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C66B6F">
      <w:pPr>
        <w:ind w:firstLine="0" w:firstLineChars="0"/>
        <w:jc w:val="center"/>
        <w:rPr>
          <w:rFonts w:hint="default" w:ascii="Times New Roman" w:hAnsi="Times New Roman" w:cs="Times New Roman"/>
          <w:sz w:val="28"/>
          <w:szCs w:val="28"/>
          <w:lang w:val="zh-CN"/>
        </w:rPr>
      </w:pPr>
      <w:bookmarkStart w:id="0" w:name="_Toc27884"/>
      <w:bookmarkStart w:id="1" w:name="_Toc16961"/>
      <w:bookmarkStart w:id="2" w:name="_Toc28975"/>
      <w:bookmarkStart w:id="3" w:name="_Toc23078"/>
      <w:bookmarkStart w:id="4" w:name="_Toc17473"/>
      <w:bookmarkStart w:id="5" w:name="_Toc15648"/>
      <w:r>
        <w:rPr>
          <w:rFonts w:hint="default" w:ascii="Times New Roman" w:hAnsi="Times New Roman" w:cs="Times New Roman"/>
          <w:sz w:val="28"/>
          <w:szCs w:val="28"/>
          <w:lang w:val="zh-CN"/>
        </w:rPr>
        <w:t>Kazakh-British Technical University</w:t>
      </w:r>
    </w:p>
    <w:p w14:paraId="132A8FE6">
      <w:pPr>
        <w:ind w:firstLine="0" w:firstLineChars="0"/>
        <w:jc w:val="center"/>
        <w:rPr>
          <w:rFonts w:hint="default" w:ascii="Times New Roman" w:hAnsi="Times New Roman" w:cs="Times New Roman"/>
          <w:sz w:val="28"/>
          <w:szCs w:val="28"/>
          <w:lang w:val="zh-CN"/>
        </w:rPr>
      </w:pPr>
    </w:p>
    <w:p w14:paraId="613D43F5">
      <w:pPr>
        <w:ind w:firstLine="0" w:firstLineChars="0"/>
        <w:jc w:val="center"/>
        <w:rPr>
          <w:rFonts w:hint="default" w:ascii="Times New Roman" w:hAnsi="Times New Roman" w:cs="Times New Roman"/>
          <w:sz w:val="28"/>
          <w:szCs w:val="28"/>
          <w:lang w:val="zh-CN"/>
        </w:rPr>
      </w:pPr>
    </w:p>
    <w:p w14:paraId="268F938F">
      <w:pPr>
        <w:ind w:firstLine="0" w:firstLineChars="0"/>
        <w:jc w:val="left"/>
        <w:rPr>
          <w:rFonts w:hint="default" w:ascii="Times New Roman" w:hAnsi="Times New Roman" w:cs="Times New Roman"/>
          <w:sz w:val="28"/>
          <w:szCs w:val="28"/>
        </w:rPr>
      </w:pPr>
      <w:r>
        <w:rPr>
          <w:rFonts w:hint="default" w:ascii="Times New Roman" w:hAnsi="Times New Roman" w:cs="Times New Roman"/>
          <w:sz w:val="28"/>
          <w:szCs w:val="28"/>
        </w:rPr>
        <w:t>UDC as a manuscript</w:t>
      </w:r>
    </w:p>
    <w:p w14:paraId="7FA6D5D8">
      <w:pPr>
        <w:ind w:firstLine="0" w:firstLineChars="0"/>
        <w:jc w:val="center"/>
        <w:rPr>
          <w:rFonts w:hint="default" w:ascii="Times New Roman" w:hAnsi="Times New Roman" w:cs="Times New Roman"/>
          <w:sz w:val="28"/>
          <w:szCs w:val="28"/>
          <w:lang w:val="zh-CN"/>
        </w:rPr>
      </w:pPr>
    </w:p>
    <w:p w14:paraId="0888E794">
      <w:pPr>
        <w:ind w:firstLine="0" w:firstLineChars="0"/>
        <w:jc w:val="center"/>
        <w:rPr>
          <w:rFonts w:hint="default" w:ascii="Times New Roman" w:hAnsi="Times New Roman" w:cs="Times New Roman"/>
          <w:sz w:val="28"/>
          <w:szCs w:val="28"/>
          <w:lang w:val="zh-CN"/>
        </w:rPr>
      </w:pPr>
    </w:p>
    <w:p w14:paraId="5C36B4B9">
      <w:pPr>
        <w:ind w:firstLine="0" w:firstLineChars="0"/>
        <w:jc w:val="center"/>
        <w:rPr>
          <w:rFonts w:hint="default" w:ascii="Times New Roman" w:hAnsi="Times New Roman" w:cs="Times New Roman"/>
          <w:b/>
          <w:bCs/>
          <w:sz w:val="28"/>
          <w:szCs w:val="28"/>
        </w:rPr>
      </w:pPr>
      <w:r>
        <w:rPr>
          <w:rFonts w:hint="default" w:ascii="Times New Roman" w:hAnsi="Times New Roman" w:cs="Times New Roman"/>
          <w:b/>
          <w:bCs/>
          <w:sz w:val="28"/>
          <w:szCs w:val="28"/>
        </w:rPr>
        <w:t>Guoqing Zhang</w:t>
      </w:r>
    </w:p>
    <w:p w14:paraId="424762AC">
      <w:pPr>
        <w:ind w:firstLine="0" w:firstLineChars="0"/>
        <w:jc w:val="center"/>
        <w:rPr>
          <w:rFonts w:hint="default" w:ascii="Times New Roman" w:hAnsi="Times New Roman" w:cs="Times New Roman"/>
          <w:sz w:val="28"/>
          <w:szCs w:val="28"/>
          <w:lang w:val="zh-CN"/>
        </w:rPr>
      </w:pPr>
    </w:p>
    <w:p w14:paraId="0D7E4864">
      <w:pPr>
        <w:ind w:firstLine="0" w:firstLineChars="0"/>
        <w:jc w:val="center"/>
        <w:rPr>
          <w:rFonts w:hint="default" w:ascii="Times New Roman" w:hAnsi="Times New Roman" w:cs="Times New Roman"/>
          <w:sz w:val="28"/>
          <w:szCs w:val="28"/>
          <w:lang w:val="zh-CN"/>
        </w:rPr>
      </w:pPr>
    </w:p>
    <w:p w14:paraId="1BE766FC">
      <w:pPr>
        <w:ind w:firstLine="0" w:firstLineChars="0"/>
        <w:jc w:val="center"/>
        <w:rPr>
          <w:rFonts w:hint="default" w:ascii="Times New Roman" w:hAnsi="Times New Roman" w:cs="Times New Roman"/>
          <w:sz w:val="28"/>
          <w:szCs w:val="28"/>
          <w:lang w:val="zh-CN"/>
        </w:rPr>
      </w:pPr>
    </w:p>
    <w:p w14:paraId="39C00249">
      <w:pPr>
        <w:ind w:firstLine="0" w:firstLineChars="0"/>
        <w:jc w:val="center"/>
        <w:rPr>
          <w:rFonts w:hint="default" w:ascii="Times New Roman" w:hAnsi="Times New Roman" w:cs="Times New Roman"/>
          <w:b/>
          <w:bCs/>
          <w:sz w:val="28"/>
          <w:szCs w:val="28"/>
        </w:rPr>
      </w:pPr>
      <w:r>
        <w:rPr>
          <w:rFonts w:hint="default" w:ascii="Times New Roman" w:hAnsi="Times New Roman" w:cs="Times New Roman"/>
          <w:b/>
          <w:bCs/>
          <w:sz w:val="28"/>
          <w:szCs w:val="28"/>
        </w:rPr>
        <w:t>STUDY ON SALT-RESISTANT SURFACTANT INJECTION SYSTEM IN LOW PERMEABILITY RESERVOIR</w:t>
      </w:r>
    </w:p>
    <w:p w14:paraId="162485A3">
      <w:pPr>
        <w:ind w:firstLine="0" w:firstLineChars="0"/>
        <w:jc w:val="center"/>
        <w:rPr>
          <w:rFonts w:hint="default" w:ascii="Times New Roman" w:hAnsi="Times New Roman" w:cs="Times New Roman"/>
          <w:sz w:val="28"/>
          <w:szCs w:val="28"/>
        </w:rPr>
      </w:pPr>
    </w:p>
    <w:p w14:paraId="545A59B8">
      <w:pPr>
        <w:ind w:firstLine="0" w:firstLineChars="0"/>
        <w:jc w:val="center"/>
        <w:rPr>
          <w:rFonts w:hint="default" w:ascii="Times New Roman" w:hAnsi="Times New Roman" w:cs="Times New Roman"/>
          <w:sz w:val="28"/>
          <w:szCs w:val="28"/>
          <w:lang w:val="zh-CN"/>
        </w:rPr>
      </w:pPr>
    </w:p>
    <w:p w14:paraId="50ED2C71">
      <w:pPr>
        <w:ind w:firstLine="0" w:firstLineChars="0"/>
        <w:jc w:val="center"/>
        <w:rPr>
          <w:rFonts w:hint="default" w:ascii="Times New Roman" w:hAnsi="Times New Roman" w:cs="Times New Roman"/>
          <w:sz w:val="28"/>
          <w:szCs w:val="28"/>
          <w:lang w:val="zh-CN"/>
        </w:rPr>
      </w:pPr>
    </w:p>
    <w:p w14:paraId="0D896D41">
      <w:pPr>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8D07201</w:t>
      </w:r>
      <w:r>
        <w:rPr>
          <w:rFonts w:hint="default" w:ascii="Times New Roman" w:hAnsi="Times New Roman" w:cs="Times New Roman"/>
          <w:sz w:val="28"/>
          <w:szCs w:val="28"/>
          <w:lang w:val="zh-CN"/>
        </w:rPr>
        <w:t xml:space="preserve"> </w:t>
      </w:r>
      <w:r>
        <w:rPr>
          <w:rFonts w:hint="default" w:ascii="Times New Roman" w:hAnsi="Times New Roman" w:cs="Times New Roman"/>
          <w:sz w:val="28"/>
          <w:szCs w:val="28"/>
        </w:rPr>
        <w:t>–</w:t>
      </w:r>
      <w:r>
        <w:rPr>
          <w:rFonts w:hint="default" w:ascii="Times New Roman" w:hAnsi="Times New Roman" w:cs="Times New Roman"/>
          <w:sz w:val="28"/>
          <w:szCs w:val="28"/>
          <w:lang w:val="zh-CN"/>
        </w:rPr>
        <w:t xml:space="preserve"> </w:t>
      </w:r>
      <w:r>
        <w:rPr>
          <w:rFonts w:hint="default" w:ascii="Times New Roman" w:hAnsi="Times New Roman" w:cs="Times New Roman"/>
          <w:sz w:val="28"/>
          <w:szCs w:val="28"/>
        </w:rPr>
        <w:t>Petroleum Engineering</w:t>
      </w:r>
    </w:p>
    <w:p w14:paraId="2F8FF8E7">
      <w:pPr>
        <w:ind w:firstLine="0" w:firstLineChars="0"/>
        <w:jc w:val="center"/>
        <w:rPr>
          <w:rFonts w:hint="default" w:ascii="Times New Roman" w:hAnsi="Times New Roman" w:cs="Times New Roman"/>
          <w:sz w:val="28"/>
          <w:szCs w:val="28"/>
          <w:lang w:val="zh-CN"/>
        </w:rPr>
      </w:pPr>
    </w:p>
    <w:p w14:paraId="2F93AF15">
      <w:pPr>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A Dissertation Submitted for the Degree of Ph.D</w:t>
      </w:r>
    </w:p>
    <w:p w14:paraId="4FB07F96">
      <w:pPr>
        <w:ind w:firstLine="0" w:firstLineChars="0"/>
        <w:jc w:val="center"/>
        <w:rPr>
          <w:rFonts w:hint="default" w:ascii="Times New Roman" w:hAnsi="Times New Roman" w:cs="Times New Roman"/>
          <w:sz w:val="28"/>
          <w:szCs w:val="28"/>
        </w:rPr>
      </w:pPr>
    </w:p>
    <w:p w14:paraId="411B77DB">
      <w:pPr>
        <w:ind w:firstLine="0" w:firstLineChars="0"/>
        <w:jc w:val="center"/>
        <w:rPr>
          <w:rFonts w:hint="default" w:ascii="Times New Roman" w:hAnsi="Times New Roman" w:cs="Times New Roman"/>
          <w:sz w:val="28"/>
          <w:szCs w:val="28"/>
        </w:rPr>
      </w:pPr>
    </w:p>
    <w:p w14:paraId="55D1E8A5">
      <w:pPr>
        <w:ind w:firstLine="0" w:firstLineChars="0"/>
        <w:jc w:val="center"/>
        <w:rPr>
          <w:rFonts w:hint="default" w:ascii="Times New Roman" w:hAnsi="Times New Roman" w:cs="Times New Roman"/>
          <w:sz w:val="28"/>
          <w:szCs w:val="28"/>
        </w:rPr>
      </w:pPr>
    </w:p>
    <w:p w14:paraId="70D6E4D8">
      <w:pPr>
        <w:ind w:firstLine="0" w:firstLineChars="0"/>
        <w:jc w:val="center"/>
        <w:rPr>
          <w:rFonts w:hint="default" w:ascii="Times New Roman" w:hAnsi="Times New Roman" w:cs="Times New Roman"/>
          <w:sz w:val="28"/>
          <w:szCs w:val="28"/>
        </w:rPr>
      </w:pPr>
    </w:p>
    <w:p w14:paraId="7F1629AD">
      <w:pPr>
        <w:ind w:firstLine="0" w:firstLineChars="0"/>
        <w:jc w:val="center"/>
        <w:rPr>
          <w:rFonts w:hint="default" w:ascii="Times New Roman" w:hAnsi="Times New Roman" w:cs="Times New Roman"/>
          <w:sz w:val="28"/>
          <w:szCs w:val="28"/>
        </w:rPr>
      </w:pPr>
    </w:p>
    <w:p w14:paraId="16BBB334">
      <w:pPr>
        <w:ind w:firstLine="0" w:firstLineChars="0"/>
        <w:jc w:val="right"/>
        <w:rPr>
          <w:rFonts w:hint="default" w:ascii="Times New Roman" w:hAnsi="Times New Roman" w:cs="Times New Roman"/>
          <w:sz w:val="28"/>
          <w:szCs w:val="28"/>
        </w:rPr>
      </w:pPr>
      <w:r>
        <w:rPr>
          <w:rFonts w:hint="default" w:ascii="Times New Roman" w:hAnsi="Times New Roman" w:cs="Times New Roman"/>
          <w:sz w:val="28"/>
          <w:szCs w:val="28"/>
        </w:rPr>
        <w:t>Supervisor: Prof. Wanli Kang</w:t>
      </w:r>
    </w:p>
    <w:p w14:paraId="39D68A03">
      <w:pPr>
        <w:ind w:firstLine="0" w:firstLineChars="0"/>
        <w:jc w:val="right"/>
        <w:rPr>
          <w:rFonts w:hint="default" w:ascii="Times New Roman" w:hAnsi="Times New Roman" w:cs="Times New Roman"/>
          <w:sz w:val="28"/>
          <w:szCs w:val="28"/>
        </w:rPr>
      </w:pPr>
      <w:r>
        <w:rPr>
          <w:rFonts w:hint="default" w:ascii="Times New Roman" w:hAnsi="Times New Roman" w:cs="Times New Roman"/>
          <w:sz w:val="28"/>
          <w:szCs w:val="28"/>
        </w:rPr>
        <w:t>PhD, Professor</w:t>
      </w:r>
    </w:p>
    <w:p w14:paraId="767970CD">
      <w:pPr>
        <w:ind w:firstLine="0" w:firstLineChars="0"/>
        <w:jc w:val="right"/>
        <w:rPr>
          <w:rFonts w:hint="default" w:ascii="Times New Roman" w:hAnsi="Times New Roman" w:cs="Times New Roman"/>
          <w:sz w:val="28"/>
          <w:szCs w:val="28"/>
        </w:rPr>
      </w:pPr>
      <w:r>
        <w:rPr>
          <w:rFonts w:hint="default" w:ascii="Times New Roman" w:hAnsi="Times New Roman" w:cs="Times New Roman"/>
          <w:sz w:val="28"/>
          <w:szCs w:val="28"/>
        </w:rPr>
        <w:t>Kazakh-British Technical University</w:t>
      </w:r>
    </w:p>
    <w:p w14:paraId="2BE94EE7">
      <w:pPr>
        <w:ind w:firstLine="0" w:firstLineChars="0"/>
        <w:jc w:val="right"/>
        <w:rPr>
          <w:rFonts w:hint="default" w:ascii="Times New Roman" w:hAnsi="Times New Roman" w:cs="Times New Roman"/>
          <w:sz w:val="28"/>
          <w:szCs w:val="28"/>
        </w:rPr>
      </w:pPr>
      <w:r>
        <w:rPr>
          <w:rFonts w:hint="default" w:ascii="Times New Roman" w:hAnsi="Times New Roman" w:cs="Times New Roman"/>
          <w:sz w:val="28"/>
          <w:szCs w:val="28"/>
        </w:rPr>
        <w:t>Foreign supervisor: Prof. Yang Hongbin</w:t>
      </w:r>
    </w:p>
    <w:p w14:paraId="3084B315">
      <w:pPr>
        <w:ind w:firstLine="0" w:firstLineChars="0"/>
        <w:jc w:val="right"/>
        <w:rPr>
          <w:rFonts w:hint="default" w:ascii="Times New Roman" w:hAnsi="Times New Roman" w:cs="Times New Roman"/>
          <w:sz w:val="28"/>
          <w:szCs w:val="28"/>
        </w:rPr>
      </w:pPr>
      <w:r>
        <w:rPr>
          <w:rFonts w:hint="default" w:ascii="Times New Roman" w:hAnsi="Times New Roman" w:cs="Times New Roman"/>
          <w:sz w:val="28"/>
          <w:szCs w:val="28"/>
        </w:rPr>
        <w:t>PhD, Professor</w:t>
      </w:r>
    </w:p>
    <w:p w14:paraId="7B008EFC">
      <w:pPr>
        <w:ind w:firstLine="0" w:firstLineChars="0"/>
        <w:jc w:val="right"/>
        <w:rPr>
          <w:rFonts w:hint="default" w:ascii="Times New Roman" w:hAnsi="Times New Roman" w:cs="Times New Roman"/>
          <w:sz w:val="28"/>
          <w:szCs w:val="28"/>
        </w:rPr>
      </w:pPr>
      <w:r>
        <w:rPr>
          <w:rFonts w:hint="default" w:ascii="Times New Roman" w:hAnsi="Times New Roman" w:cs="Times New Roman"/>
          <w:sz w:val="28"/>
          <w:szCs w:val="28"/>
        </w:rPr>
        <w:t>China University of Petroleum (East China)</w:t>
      </w:r>
    </w:p>
    <w:p w14:paraId="5E55FE45">
      <w:pPr>
        <w:ind w:firstLine="0" w:firstLineChars="0"/>
        <w:jc w:val="center"/>
        <w:rPr>
          <w:rFonts w:hint="default" w:ascii="Times New Roman" w:hAnsi="Times New Roman" w:cs="Times New Roman"/>
          <w:sz w:val="28"/>
          <w:szCs w:val="28"/>
          <w:lang w:val="zh-CN"/>
        </w:rPr>
      </w:pPr>
    </w:p>
    <w:p w14:paraId="77080E72">
      <w:pPr>
        <w:ind w:firstLine="0" w:firstLineChars="0"/>
        <w:jc w:val="center"/>
        <w:rPr>
          <w:rFonts w:hint="default" w:ascii="Times New Roman" w:hAnsi="Times New Roman" w:cs="Times New Roman"/>
          <w:sz w:val="28"/>
          <w:szCs w:val="28"/>
          <w:lang w:val="zh-CN"/>
        </w:rPr>
      </w:pPr>
    </w:p>
    <w:p w14:paraId="44E7A902">
      <w:pPr>
        <w:ind w:firstLine="0" w:firstLineChars="0"/>
        <w:jc w:val="center"/>
        <w:rPr>
          <w:rFonts w:hint="default" w:ascii="Times New Roman" w:hAnsi="Times New Roman" w:cs="Times New Roman"/>
          <w:sz w:val="28"/>
          <w:szCs w:val="28"/>
          <w:lang w:val="zh-CN"/>
        </w:rPr>
      </w:pPr>
    </w:p>
    <w:p w14:paraId="1C529E8C">
      <w:pPr>
        <w:ind w:firstLine="0" w:firstLineChars="0"/>
        <w:jc w:val="center"/>
        <w:rPr>
          <w:rFonts w:hint="default" w:ascii="Times New Roman" w:hAnsi="Times New Roman" w:cs="Times New Roman"/>
          <w:sz w:val="28"/>
          <w:szCs w:val="28"/>
          <w:lang w:val="zh-CN"/>
        </w:rPr>
      </w:pPr>
    </w:p>
    <w:p w14:paraId="15B64182">
      <w:pPr>
        <w:ind w:firstLine="0" w:firstLineChars="0"/>
        <w:jc w:val="center"/>
        <w:rPr>
          <w:rFonts w:hint="default" w:ascii="Times New Roman" w:hAnsi="Times New Roman" w:cs="Times New Roman"/>
          <w:sz w:val="28"/>
          <w:szCs w:val="28"/>
          <w:lang w:val="zh-CN"/>
        </w:rPr>
      </w:pPr>
    </w:p>
    <w:p w14:paraId="58E485FB">
      <w:pPr>
        <w:ind w:firstLine="0" w:firstLineChars="0"/>
        <w:jc w:val="center"/>
        <w:rPr>
          <w:rFonts w:hint="default" w:ascii="Times New Roman" w:hAnsi="Times New Roman" w:cs="Times New Roman"/>
          <w:sz w:val="28"/>
          <w:szCs w:val="28"/>
          <w:lang w:val="zh-CN"/>
        </w:rPr>
      </w:pPr>
    </w:p>
    <w:p w14:paraId="36C43EB0">
      <w:pPr>
        <w:ind w:firstLine="0" w:firstLineChars="0"/>
        <w:jc w:val="center"/>
        <w:rPr>
          <w:rFonts w:hint="default" w:ascii="Times New Roman" w:hAnsi="Times New Roman" w:cs="Times New Roman"/>
          <w:sz w:val="28"/>
          <w:szCs w:val="28"/>
          <w:lang w:val="zh-CN"/>
        </w:rPr>
      </w:pPr>
    </w:p>
    <w:p w14:paraId="7B5F96B6">
      <w:pPr>
        <w:ind w:firstLine="0" w:firstLineChars="0"/>
        <w:jc w:val="center"/>
        <w:rPr>
          <w:rFonts w:hint="default" w:ascii="Times New Roman" w:hAnsi="Times New Roman" w:cs="Times New Roman"/>
          <w:sz w:val="28"/>
          <w:szCs w:val="28"/>
        </w:rPr>
      </w:pPr>
    </w:p>
    <w:p w14:paraId="1D25BDF4">
      <w:pPr>
        <w:ind w:firstLine="0" w:firstLineChars="0"/>
        <w:jc w:val="center"/>
        <w:rPr>
          <w:rFonts w:hint="default" w:ascii="Times New Roman" w:hAnsi="Times New Roman" w:cs="Times New Roman"/>
          <w:sz w:val="28"/>
          <w:szCs w:val="28"/>
        </w:rPr>
      </w:pPr>
    </w:p>
    <w:p w14:paraId="5F28B6DD">
      <w:pPr>
        <w:ind w:firstLine="0" w:firstLineChars="0"/>
        <w:jc w:val="center"/>
        <w:rPr>
          <w:rFonts w:hint="default" w:ascii="Times New Roman" w:hAnsi="Times New Roman" w:cs="Times New Roman"/>
          <w:sz w:val="28"/>
          <w:szCs w:val="28"/>
        </w:rPr>
      </w:pPr>
    </w:p>
    <w:p w14:paraId="5F0602FB">
      <w:pPr>
        <w:ind w:firstLine="0" w:firstLineChars="0"/>
        <w:jc w:val="center"/>
        <w:rPr>
          <w:rFonts w:hint="default" w:ascii="Times New Roman" w:hAnsi="Times New Roman" w:cs="Times New Roman"/>
          <w:sz w:val="28"/>
          <w:szCs w:val="28"/>
        </w:rPr>
      </w:pPr>
    </w:p>
    <w:p w14:paraId="41DC6EF0">
      <w:pPr>
        <w:ind w:firstLine="0" w:firstLineChars="0"/>
        <w:jc w:val="center"/>
        <w:rPr>
          <w:rFonts w:hint="default" w:ascii="Times New Roman" w:hAnsi="Times New Roman" w:cs="Times New Roman"/>
          <w:sz w:val="28"/>
          <w:szCs w:val="28"/>
          <w:lang w:val="ru-RU"/>
        </w:rPr>
      </w:pPr>
      <w:r>
        <w:rPr>
          <w:rFonts w:hint="default" w:ascii="Times New Roman" w:hAnsi="Times New Roman" w:cs="Times New Roman"/>
          <w:sz w:val="28"/>
          <w:szCs w:val="28"/>
          <w:lang w:val="ru-RU"/>
        </w:rPr>
        <w:t>Republic of Kazakhstan</w:t>
      </w:r>
    </w:p>
    <w:p w14:paraId="4BC38580">
      <w:pPr>
        <w:ind w:firstLine="0" w:firstLineChars="0"/>
        <w:jc w:val="center"/>
        <w:rPr>
          <w:rFonts w:hint="default" w:ascii="Times New Roman" w:hAnsi="Times New Roman" w:cs="Times New Roman"/>
          <w:sz w:val="28"/>
          <w:szCs w:val="28"/>
          <w:lang w:val="zh-CN"/>
        </w:rPr>
      </w:pPr>
      <w:r>
        <w:rPr>
          <w:rFonts w:hint="default" w:ascii="Times New Roman" w:hAnsi="Times New Roman" w:cs="Times New Roman"/>
          <w:sz w:val="28"/>
          <w:szCs w:val="28"/>
          <w:lang w:val="ru-RU"/>
        </w:rPr>
        <w:t>Almaty, 2026</w:t>
      </w:r>
    </w:p>
    <w:p w14:paraId="46D51976">
      <w:pPr>
        <w:rPr>
          <w:rFonts w:hint="default" w:ascii="Times New Roman" w:hAnsi="Times New Roman" w:cs="Times New Roman"/>
          <w:sz w:val="28"/>
          <w:szCs w:val="28"/>
        </w:rPr>
      </w:pPr>
      <w:r>
        <w:rPr>
          <w:rFonts w:hint="default" w:ascii="Times New Roman" w:hAnsi="Times New Roman" w:cs="Times New Roman"/>
          <w:sz w:val="28"/>
          <w:szCs w:val="28"/>
        </w:rPr>
        <w:br w:type="page"/>
      </w:r>
    </w:p>
    <w:p w14:paraId="31F2ECDA">
      <w:pPr>
        <w:pStyle w:val="2"/>
        <w:keepNext w:val="0"/>
        <w:keepLines w:val="0"/>
        <w:widowControl/>
        <w:spacing w:before="0" w:beforeLines="0" w:after="0" w:afterLines="0" w:line="240" w:lineRule="auto"/>
        <w:jc w:val="center"/>
        <w:rPr>
          <w:rFonts w:hint="default" w:ascii="Times New Roman" w:hAnsi="Times New Roman" w:cs="Times New Roman"/>
          <w:szCs w:val="28"/>
        </w:rPr>
      </w:pPr>
      <w:bookmarkStart w:id="6" w:name="_Toc13195"/>
      <w:r>
        <w:rPr>
          <w:rFonts w:hint="default" w:ascii="Times New Roman" w:hAnsi="Times New Roman" w:cs="Times New Roman"/>
          <w:szCs w:val="28"/>
        </w:rPr>
        <w:t>ABSTRACT</w:t>
      </w:r>
      <w:bookmarkEnd w:id="0"/>
      <w:bookmarkEnd w:id="1"/>
      <w:bookmarkEnd w:id="2"/>
      <w:bookmarkEnd w:id="3"/>
      <w:bookmarkEnd w:id="4"/>
      <w:bookmarkEnd w:id="5"/>
      <w:bookmarkEnd w:id="6"/>
    </w:p>
    <w:p w14:paraId="5EB1D744">
      <w:pPr>
        <w:widowControl/>
        <w:ind w:firstLine="709" w:firstLineChars="0"/>
        <w:rPr>
          <w:rFonts w:hint="default" w:ascii="Times New Roman" w:hAnsi="Times New Roman" w:cs="Times New Roman"/>
          <w:color w:val="000000" w:themeColor="text1"/>
          <w:sz w:val="28"/>
          <w:szCs w:val="28"/>
          <w14:textFill>
            <w14:solidFill>
              <w14:schemeClr w14:val="tx1"/>
            </w14:solidFill>
          </w14:textFill>
        </w:rPr>
      </w:pPr>
    </w:p>
    <w:p w14:paraId="4F753D4A">
      <w:pPr>
        <w:widowControl/>
        <w:ind w:firstLine="709"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China’s petroleum production is increasingly shifting toward low-permeability and tight reservoirs, characterized by small pore throats, strong heterogeneity, high capillary resistance, and low productivity. Under these conditions, conventional water flooding suffers from low sweep efficiency and fails to effectively mobilize residual oil in such reservoirs, highlighting the need for more efficient enhanced oil recovery (EOR) techniques. Surfactant flooding is considered a promising EOR method due to its ability to reduce oil–water interfacial tension (IFT) and alter rock wettability. However, its performance is severely limited in high-salinity reservoirs, where heavy components (e.g., resins and asphaltenes) form adsorption films on rock surfaces, and high concentrations of divalent ions (Ca</w:t>
      </w:r>
      <w:r>
        <w:rPr>
          <w:rFonts w:hint="default" w:ascii="Times New Roman" w:hAnsi="Times New Roman" w:cs="Times New Roman"/>
          <w:color w:val="000000" w:themeColor="text1"/>
          <w:sz w:val="28"/>
          <w:szCs w:val="28"/>
          <w:vertAlign w:val="superscript"/>
          <w14:textFill>
            <w14:solidFill>
              <w14:schemeClr w14:val="tx1"/>
            </w14:solidFill>
          </w14:textFill>
        </w:rPr>
        <w:t>2+</w:t>
      </w:r>
      <w:r>
        <w:rPr>
          <w:rFonts w:hint="default" w:ascii="Times New Roman" w:hAnsi="Times New Roman" w:cs="Times New Roman"/>
          <w:color w:val="000000" w:themeColor="text1"/>
          <w:sz w:val="28"/>
          <w:szCs w:val="28"/>
          <w14:textFill>
            <w14:solidFill>
              <w14:schemeClr w14:val="tx1"/>
            </w14:solidFill>
          </w14:textFill>
        </w:rPr>
        <w:t xml:space="preserve"> and Mg</w:t>
      </w:r>
      <w:r>
        <w:rPr>
          <w:rFonts w:hint="default" w:ascii="Times New Roman" w:hAnsi="Times New Roman" w:cs="Times New Roman"/>
          <w:color w:val="000000" w:themeColor="text1"/>
          <w:sz w:val="28"/>
          <w:szCs w:val="28"/>
          <w:vertAlign w:val="superscript"/>
          <w14:textFill>
            <w14:solidFill>
              <w14:schemeClr w14:val="tx1"/>
            </w14:solidFill>
          </w14:textFill>
        </w:rPr>
        <w:t>2+</w:t>
      </w:r>
      <w:r>
        <w:rPr>
          <w:rFonts w:hint="default" w:ascii="Times New Roman" w:hAnsi="Times New Roman" w:cs="Times New Roman"/>
          <w:color w:val="000000" w:themeColor="text1"/>
          <w:sz w:val="28"/>
          <w:szCs w:val="28"/>
          <w14:textFill>
            <w14:solidFill>
              <w14:schemeClr w14:val="tx1"/>
            </w14:solidFill>
          </w14:textFill>
        </w:rPr>
        <w:t>) can induce surfactant precipitation, phase separation, and restricted transport in narrow pore networks. To address these challenges, this study focuses on extended amphoteric surfactants, whose molecular structures—comprising a hydrophobic alkyl chain, an ethylene oxide (EO)/oxopropyl (PO) spacer, and a zwitterionic headgroup—provide enhanced salt tolerance, low adsorption, and strong interfacial activity. Therefore, in this work, three extended amphoteric surfactants (C</w:t>
      </w:r>
      <w:r>
        <w:rPr>
          <w:rFonts w:hint="default" w:ascii="Times New Roman" w:hAnsi="Times New Roman" w:cs="Times New Roman"/>
          <w:color w:val="000000" w:themeColor="text1"/>
          <w:sz w:val="28"/>
          <w:szCs w:val="28"/>
          <w:vertAlign w:val="subscript"/>
          <w14:textFill>
            <w14:solidFill>
              <w14:schemeClr w14:val="tx1"/>
            </w14:solidFill>
          </w14:textFill>
        </w:rPr>
        <w:t>12</w:t>
      </w:r>
      <w:r>
        <w:rPr>
          <w:rFonts w:hint="default" w:ascii="Times New Roman" w:hAnsi="Times New Roman" w:cs="Times New Roman"/>
          <w:color w:val="000000" w:themeColor="text1"/>
          <w:sz w:val="28"/>
          <w:szCs w:val="28"/>
          <w14:textFill>
            <w14:solidFill>
              <w14:schemeClr w14:val="tx1"/>
            </w14:solidFill>
          </w14:textFill>
        </w:rPr>
        <w:t>NS, C</w:t>
      </w:r>
      <w:r>
        <w:rPr>
          <w:rFonts w:hint="default" w:ascii="Times New Roman" w:hAnsi="Times New Roman" w:cs="Times New Roman"/>
          <w:color w:val="000000" w:themeColor="text1"/>
          <w:sz w:val="28"/>
          <w:szCs w:val="28"/>
          <w:vertAlign w:val="subscript"/>
          <w14:textFill>
            <w14:solidFill>
              <w14:schemeClr w14:val="tx1"/>
            </w14:solidFill>
          </w14:textFill>
        </w:rPr>
        <w:t>12</w:t>
      </w:r>
      <w:r>
        <w:rPr>
          <w:rFonts w:hint="default" w:ascii="Times New Roman" w:hAnsi="Times New Roman" w:cs="Times New Roman"/>
          <w:color w:val="000000" w:themeColor="text1"/>
          <w:sz w:val="28"/>
          <w:szCs w:val="28"/>
          <w14:textFill>
            <w14:solidFill>
              <w14:schemeClr w14:val="tx1"/>
            </w14:solidFill>
          </w14:textFill>
        </w:rPr>
        <w:t>P</w:t>
      </w:r>
      <w:r>
        <w:rPr>
          <w:rFonts w:hint="default" w:ascii="Times New Roman" w:hAnsi="Times New Roman" w:cs="Times New Roman"/>
          <w:color w:val="000000" w:themeColor="text1"/>
          <w:sz w:val="28"/>
          <w:szCs w:val="28"/>
          <w:vertAlign w:val="subscript"/>
          <w14:textFill>
            <w14:solidFill>
              <w14:schemeClr w14:val="tx1"/>
            </w14:solidFill>
          </w14:textFill>
        </w:rPr>
        <w:t>3</w:t>
      </w:r>
      <w:r>
        <w:rPr>
          <w:rFonts w:hint="default" w:ascii="Times New Roman" w:hAnsi="Times New Roman" w:cs="Times New Roman"/>
          <w:color w:val="000000" w:themeColor="text1"/>
          <w:sz w:val="28"/>
          <w:szCs w:val="28"/>
          <w14:textFill>
            <w14:solidFill>
              <w14:schemeClr w14:val="tx1"/>
            </w14:solidFill>
          </w14:textFill>
        </w:rPr>
        <w:t>NS, and C</w:t>
      </w:r>
      <w:r>
        <w:rPr>
          <w:rFonts w:hint="default" w:ascii="Times New Roman" w:hAnsi="Times New Roman" w:cs="Times New Roman"/>
          <w:color w:val="000000" w:themeColor="text1"/>
          <w:sz w:val="28"/>
          <w:szCs w:val="28"/>
          <w:vertAlign w:val="subscript"/>
          <w14:textFill>
            <w14:solidFill>
              <w14:schemeClr w14:val="tx1"/>
            </w14:solidFill>
          </w14:textFill>
        </w:rPr>
        <w:t>12</w:t>
      </w:r>
      <w:r>
        <w:rPr>
          <w:rFonts w:hint="default" w:ascii="Times New Roman" w:hAnsi="Times New Roman" w:cs="Times New Roman"/>
          <w:color w:val="000000" w:themeColor="text1"/>
          <w:sz w:val="28"/>
          <w:szCs w:val="28"/>
          <w14:textFill>
            <w14:solidFill>
              <w14:schemeClr w14:val="tx1"/>
            </w14:solidFill>
          </w14:textFill>
        </w:rPr>
        <w:t>P</w:t>
      </w:r>
      <w:r>
        <w:rPr>
          <w:rFonts w:hint="default" w:ascii="Times New Roman" w:hAnsi="Times New Roman" w:cs="Times New Roman"/>
          <w:color w:val="000000" w:themeColor="text1"/>
          <w:sz w:val="28"/>
          <w:szCs w:val="28"/>
          <w:vertAlign w:val="subscript"/>
          <w14:textFill>
            <w14:solidFill>
              <w14:schemeClr w14:val="tx1"/>
            </w14:solidFill>
          </w14:textFill>
        </w:rPr>
        <w:t>3</w:t>
      </w:r>
      <w:r>
        <w:rPr>
          <w:rFonts w:hint="default" w:ascii="Times New Roman" w:hAnsi="Times New Roman" w:cs="Times New Roman"/>
          <w:color w:val="000000" w:themeColor="text1"/>
          <w:sz w:val="28"/>
          <w:szCs w:val="28"/>
          <w14:textFill>
            <w14:solidFill>
              <w14:schemeClr w14:val="tx1"/>
            </w14:solidFill>
          </w14:textFill>
        </w:rPr>
        <w:t>E</w:t>
      </w:r>
      <w:r>
        <w:rPr>
          <w:rFonts w:hint="default" w:ascii="Times New Roman" w:hAnsi="Times New Roman" w:cs="Times New Roman"/>
          <w:color w:val="000000" w:themeColor="text1"/>
          <w:sz w:val="28"/>
          <w:szCs w:val="28"/>
          <w:vertAlign w:val="subscript"/>
          <w14:textFill>
            <w14:solidFill>
              <w14:schemeClr w14:val="tx1"/>
            </w14:solidFill>
          </w14:textFill>
        </w:rPr>
        <w:t>3</w:t>
      </w:r>
      <w:r>
        <w:rPr>
          <w:rFonts w:hint="default" w:ascii="Times New Roman" w:hAnsi="Times New Roman" w:cs="Times New Roman"/>
          <w:color w:val="000000" w:themeColor="text1"/>
          <w:sz w:val="28"/>
          <w:szCs w:val="28"/>
          <w14:textFill>
            <w14:solidFill>
              <w14:schemeClr w14:val="tx1"/>
            </w14:solidFill>
          </w14:textFill>
        </w:rPr>
        <w:t>NS) were synthesized, and their surface (via surface tensiometer), interfacial properties (via interfacial tensiometer) and emulsification properties (via the bottle test method) were systematically evaluated.. Additionally, their synergistic interactions with gemini cationic and nonionic surfactants were investigated by assessing IFT, emulsification ability, wettability alteration (via contact angle measurements), and oil displacement efficiency (via core flooding experiments) to develop optimized surfactant flooding systems suitable for high-salinity reservoirs. The primary objective was to construct efficient surfactant formulations capable of achieving ultralow IFT while minimizing adsorption loss under harsh reservoir conditions and to elucidate the multiscale interfacial regulation mechanisms underlying enhanced oil recovery.</w:t>
      </w:r>
    </w:p>
    <w:p w14:paraId="5FBD0E68">
      <w:pPr>
        <w:widowControl/>
        <w:ind w:firstLine="709" w:firstLineChars="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Initially, lauryl alcohol was employed as the starting material to synthesize fatty alcohol ethers via an addition reaction with EO or PO. These intermediates were then converted to chlorinated fatty alcohol ethers via thionyl chloride substitution, followed by amination with N,N-dimethylpropanediamine and sulfonation with sodium bromoethylsulfonate to obtain the final extended amphoteric surfactants (named C</w:t>
      </w:r>
      <w:r>
        <w:rPr>
          <w:rFonts w:hint="default" w:ascii="Times New Roman" w:hAnsi="Times New Roman" w:cs="Times New Roman"/>
          <w:color w:val="000000"/>
          <w:sz w:val="28"/>
          <w:szCs w:val="28"/>
          <w:vertAlign w:val="subscript"/>
        </w:rPr>
        <w:t>12</w:t>
      </w:r>
      <w:r>
        <w:rPr>
          <w:rFonts w:hint="default" w:ascii="Times New Roman" w:hAnsi="Times New Roman" w:cs="Times New Roman"/>
          <w:color w:val="000000"/>
          <w:sz w:val="28"/>
          <w:szCs w:val="28"/>
        </w:rPr>
        <w:t>NS, C</w:t>
      </w:r>
      <w:r>
        <w:rPr>
          <w:rFonts w:hint="default" w:ascii="Times New Roman" w:hAnsi="Times New Roman" w:cs="Times New Roman"/>
          <w:color w:val="000000"/>
          <w:sz w:val="28"/>
          <w:szCs w:val="28"/>
          <w:vertAlign w:val="subscript"/>
        </w:rPr>
        <w:t>12</w:t>
      </w:r>
      <w:r>
        <w:rPr>
          <w:rFonts w:hint="default" w:ascii="Times New Roman" w:hAnsi="Times New Roman" w:cs="Times New Roman"/>
          <w:color w:val="000000"/>
          <w:sz w:val="28"/>
          <w:szCs w:val="28"/>
        </w:rPr>
        <w:t>P</w:t>
      </w:r>
      <w:r>
        <w:rPr>
          <w:rFonts w:hint="default" w:ascii="Times New Roman" w:hAnsi="Times New Roman" w:cs="Times New Roman"/>
          <w:color w:val="000000"/>
          <w:sz w:val="28"/>
          <w:szCs w:val="28"/>
          <w:vertAlign w:val="subscript"/>
        </w:rPr>
        <w:t>3</w:t>
      </w:r>
      <w:r>
        <w:rPr>
          <w:rFonts w:hint="default" w:ascii="Times New Roman" w:hAnsi="Times New Roman" w:cs="Times New Roman"/>
          <w:color w:val="000000"/>
          <w:sz w:val="28"/>
          <w:szCs w:val="28"/>
        </w:rPr>
        <w:t>NS, and C</w:t>
      </w:r>
      <w:r>
        <w:rPr>
          <w:rFonts w:hint="default" w:ascii="Times New Roman" w:hAnsi="Times New Roman" w:cs="Times New Roman"/>
          <w:color w:val="000000"/>
          <w:sz w:val="28"/>
          <w:szCs w:val="28"/>
          <w:vertAlign w:val="subscript"/>
        </w:rPr>
        <w:t>12</w:t>
      </w:r>
      <w:r>
        <w:rPr>
          <w:rFonts w:hint="default" w:ascii="Times New Roman" w:hAnsi="Times New Roman" w:cs="Times New Roman"/>
          <w:color w:val="000000"/>
          <w:sz w:val="28"/>
          <w:szCs w:val="28"/>
        </w:rPr>
        <w:t>P</w:t>
      </w:r>
      <w:r>
        <w:rPr>
          <w:rFonts w:hint="default" w:ascii="Times New Roman" w:hAnsi="Times New Roman" w:cs="Times New Roman"/>
          <w:color w:val="000000"/>
          <w:sz w:val="28"/>
          <w:szCs w:val="28"/>
          <w:vertAlign w:val="subscript"/>
        </w:rPr>
        <w:t>3</w:t>
      </w:r>
      <w:r>
        <w:rPr>
          <w:rFonts w:hint="default" w:ascii="Times New Roman" w:hAnsi="Times New Roman" w:cs="Times New Roman"/>
          <w:color w:val="000000"/>
          <w:sz w:val="28"/>
          <w:szCs w:val="28"/>
        </w:rPr>
        <w:t>E</w:t>
      </w:r>
      <w:r>
        <w:rPr>
          <w:rFonts w:hint="default" w:ascii="Times New Roman" w:hAnsi="Times New Roman" w:cs="Times New Roman"/>
          <w:color w:val="000000"/>
          <w:sz w:val="28"/>
          <w:szCs w:val="28"/>
          <w:vertAlign w:val="subscript"/>
        </w:rPr>
        <w:t>3</w:t>
      </w:r>
      <w:r>
        <w:rPr>
          <w:rFonts w:hint="default" w:ascii="Times New Roman" w:hAnsi="Times New Roman" w:cs="Times New Roman"/>
          <w:color w:val="000000"/>
          <w:sz w:val="28"/>
          <w:szCs w:val="28"/>
        </w:rPr>
        <w:t>NS). The products were characterized using Fourier transform infrared spectroscopy (FTIR) and proton nuclear magnetic resonance (</w:t>
      </w:r>
      <w:r>
        <w:rPr>
          <w:rFonts w:hint="default" w:ascii="Times New Roman" w:hAnsi="Times New Roman" w:cs="Times New Roman"/>
          <w:color w:val="000000"/>
          <w:sz w:val="28"/>
          <w:szCs w:val="28"/>
          <w:vertAlign w:val="superscript"/>
        </w:rPr>
        <w:t>1</w:t>
      </w:r>
      <w:r>
        <w:rPr>
          <w:rFonts w:hint="default" w:ascii="Times New Roman" w:hAnsi="Times New Roman" w:cs="Times New Roman"/>
          <w:color w:val="000000"/>
          <w:sz w:val="28"/>
          <w:szCs w:val="28"/>
        </w:rPr>
        <w:t>H·NMR) to confirm the successful synthesis of target product. And the krafft points of all surfactants were below 0 ℃, indicating good solubility. The critical micelle concentrations (cmcs) of the extended amphoteric surfactants were on the order of 10</w:t>
      </w:r>
      <w:r>
        <w:rPr>
          <w:rFonts w:hint="default" w:ascii="Times New Roman" w:hAnsi="Times New Roman" w:cs="Times New Roman"/>
          <w:color w:val="000000"/>
          <w:sz w:val="28"/>
          <w:szCs w:val="28"/>
          <w:vertAlign w:val="superscript"/>
        </w:rPr>
        <w:t>-2</w:t>
      </w:r>
      <w:r>
        <w:rPr>
          <w:rFonts w:hint="default" w:ascii="Times New Roman" w:hAnsi="Times New Roman" w:cs="Times New Roman"/>
          <w:color w:val="000000"/>
          <w:sz w:val="28"/>
          <w:szCs w:val="28"/>
        </w:rPr>
        <w:t xml:space="preserve"> mmol·L</w:t>
      </w:r>
      <w:r>
        <w:rPr>
          <w:rFonts w:hint="default" w:ascii="Times New Roman" w:hAnsi="Times New Roman" w:cs="Times New Roman"/>
          <w:color w:val="000000"/>
          <w:sz w:val="28"/>
          <w:szCs w:val="28"/>
          <w:vertAlign w:val="superscript"/>
        </w:rPr>
        <w:t>-1</w:t>
      </w:r>
      <w:r>
        <w:rPr>
          <w:rFonts w:hint="default" w:ascii="Times New Roman" w:hAnsi="Times New Roman" w:cs="Times New Roman"/>
          <w:color w:val="000000"/>
          <w:sz w:val="28"/>
          <w:szCs w:val="28"/>
        </w:rPr>
        <w:t xml:space="preserve">, and the cmc values reduce with increasing temperature and the introduction of PO and EO groups. </w:t>
      </w:r>
      <w:r>
        <w:rPr>
          <w:rFonts w:hint="default" w:ascii="Times New Roman" w:hAnsi="Times New Roman" w:cs="Times New Roman"/>
          <w:color w:val="000000"/>
          <w:sz w:val="28"/>
          <w:szCs w:val="28"/>
          <w:lang w:bidi="ar"/>
        </w:rPr>
        <w:t>The saturated adsorption capacity (</w:t>
      </w:r>
      <w:r>
        <w:rPr>
          <w:rFonts w:hint="default" w:ascii="Times New Roman" w:hAnsi="Times New Roman" w:cs="Times New Roman"/>
          <w:i/>
          <w:iCs/>
          <w:color w:val="000000"/>
          <w:sz w:val="28"/>
          <w:szCs w:val="28"/>
          <w:lang w:bidi="ar"/>
        </w:rPr>
        <w:t>Γ</w:t>
      </w:r>
      <w:r>
        <w:rPr>
          <w:rFonts w:hint="default" w:ascii="Times New Roman" w:hAnsi="Times New Roman" w:cs="Times New Roman"/>
          <w:color w:val="000000"/>
          <w:sz w:val="28"/>
          <w:szCs w:val="28"/>
          <w:vertAlign w:val="subscript"/>
          <w:lang w:bidi="ar"/>
        </w:rPr>
        <w:t>max</w:t>
      </w:r>
      <w:r>
        <w:rPr>
          <w:rFonts w:hint="default" w:ascii="Times New Roman" w:hAnsi="Times New Roman" w:cs="Times New Roman"/>
          <w:color w:val="000000"/>
          <w:sz w:val="28"/>
          <w:szCs w:val="28"/>
          <w:lang w:bidi="ar"/>
        </w:rPr>
        <w:t>) values show a downward trend, whereas the minimum cross-sectional area (</w:t>
      </w:r>
      <w:r>
        <w:rPr>
          <w:rFonts w:hint="default" w:ascii="Times New Roman" w:hAnsi="Times New Roman" w:cs="Times New Roman"/>
          <w:i/>
          <w:iCs/>
          <w:color w:val="000000"/>
          <w:sz w:val="28"/>
          <w:szCs w:val="28"/>
          <w:lang w:bidi="ar"/>
        </w:rPr>
        <w:t>A</w:t>
      </w:r>
      <w:r>
        <w:rPr>
          <w:rFonts w:hint="default" w:ascii="Times New Roman" w:hAnsi="Times New Roman" w:cs="Times New Roman"/>
          <w:color w:val="000000"/>
          <w:sz w:val="28"/>
          <w:szCs w:val="28"/>
          <w:vertAlign w:val="subscript"/>
          <w:lang w:bidi="ar"/>
        </w:rPr>
        <w:t>min</w:t>
      </w:r>
      <w:r>
        <w:rPr>
          <w:rFonts w:hint="default" w:ascii="Times New Roman" w:hAnsi="Times New Roman" w:cs="Times New Roman"/>
          <w:color w:val="000000"/>
          <w:sz w:val="28"/>
          <w:szCs w:val="28"/>
          <w:lang w:bidi="ar"/>
        </w:rPr>
        <w:t>) and surface adsorption efficiency (</w:t>
      </w:r>
      <w:r>
        <w:rPr>
          <w:rFonts w:hint="default" w:ascii="Times New Roman" w:hAnsi="Times New Roman" w:cs="Times New Roman"/>
          <w:i/>
          <w:iCs/>
          <w:color w:val="000000"/>
          <w:sz w:val="28"/>
          <w:szCs w:val="28"/>
          <w:lang w:bidi="ar"/>
        </w:rPr>
        <w:t>pC</w:t>
      </w:r>
      <w:r>
        <w:rPr>
          <w:rFonts w:hint="default" w:ascii="Times New Roman" w:hAnsi="Times New Roman" w:cs="Times New Roman"/>
          <w:color w:val="000000"/>
          <w:sz w:val="28"/>
          <w:szCs w:val="28"/>
          <w:vertAlign w:val="subscript"/>
          <w:lang w:bidi="ar"/>
        </w:rPr>
        <w:t>20</w:t>
      </w:r>
      <w:r>
        <w:rPr>
          <w:rFonts w:hint="default" w:ascii="Times New Roman" w:hAnsi="Times New Roman" w:cs="Times New Roman"/>
          <w:color w:val="000000"/>
          <w:sz w:val="28"/>
          <w:szCs w:val="28"/>
          <w:lang w:bidi="ar"/>
        </w:rPr>
        <w:t xml:space="preserve">) show an opposite trend. </w:t>
      </w:r>
      <w:r>
        <w:rPr>
          <w:rFonts w:hint="default" w:ascii="Times New Roman" w:hAnsi="Times New Roman" w:cs="Times New Roman"/>
          <w:color w:val="000000" w:themeColor="text1"/>
          <w:sz w:val="28"/>
          <w:szCs w:val="28"/>
          <w14:textFill>
            <w14:solidFill>
              <w14:schemeClr w14:val="tx1"/>
            </w14:solidFill>
          </w14:textFill>
        </w:rPr>
        <w:t xml:space="preserve">The enthalpy change </w:t>
      </w:r>
      <m:oMath>
        <m:r>
          <m:rPr>
            <m:nor/>
            <m:sty m:val="p"/>
          </m:rPr>
          <w:rPr>
            <w:rFonts w:hint="default" w:ascii="Times New Roman" w:hAnsi="Times New Roman" w:cs="Times New Roman"/>
            <w:b w:val="0"/>
            <w:i w:val="0"/>
            <w:color w:val="000000" w:themeColor="text1"/>
            <w:sz w:val="28"/>
            <w:szCs w:val="28"/>
            <w14:textFill>
              <w14:solidFill>
                <w14:schemeClr w14:val="tx1"/>
              </w14:solidFill>
            </w14:textFill>
          </w:rPr>
          <m:t>∆</m:t>
        </m:r>
        <m:sSubSup>
          <m:sSubSupPr>
            <m:ctrlPr>
              <w:rPr>
                <w:rFonts w:hint="default" w:ascii="Cambria Math" w:hAnsi="Cambria Math" w:cs="Times New Roman"/>
                <w:color w:val="000000" w:themeColor="text1"/>
                <w:sz w:val="28"/>
                <w:szCs w:val="28"/>
                <w14:textFill>
                  <w14:solidFill>
                    <w14:schemeClr w14:val="tx1"/>
                  </w14:solidFill>
                </w14:textFill>
              </w:rPr>
            </m:ctrlPr>
          </m:sSubSupPr>
          <m:e>
            <m:r>
              <m:rPr>
                <m:nor/>
              </m:rPr>
              <w:rPr>
                <w:rFonts w:hint="default" w:ascii="Times New Roman" w:hAnsi="Times New Roman" w:cs="Times New Roman"/>
                <w:i/>
                <w:color w:val="000000" w:themeColor="text1"/>
                <w:sz w:val="28"/>
                <w:szCs w:val="28"/>
                <w14:textFill>
                  <w14:solidFill>
                    <w14:schemeClr w14:val="tx1"/>
                  </w14:solidFill>
                </w14:textFill>
              </w:rPr>
              <m:t>H</m:t>
            </m:r>
            <m:ctrlPr>
              <w:rPr>
                <w:rFonts w:hint="default" w:ascii="Cambria Math" w:hAnsi="Cambria Math" w:cs="Times New Roman"/>
                <w:color w:val="000000" w:themeColor="text1"/>
                <w:sz w:val="28"/>
                <w:szCs w:val="28"/>
                <w14:textFill>
                  <w14:solidFill>
                    <w14:schemeClr w14:val="tx1"/>
                  </w14:solidFill>
                </w14:textFill>
              </w:rPr>
            </m:ctrlPr>
          </m:e>
          <m:sub>
            <m:r>
              <m:rPr>
                <m:nor/>
                <m:sty m:val="p"/>
              </m:rPr>
              <w:rPr>
                <w:rFonts w:hint="default" w:ascii="Times New Roman" w:hAnsi="Times New Roman" w:cs="Times New Roman"/>
                <w:b w:val="0"/>
                <w:i w:val="0"/>
                <w:color w:val="000000" w:themeColor="text1"/>
                <w:sz w:val="28"/>
                <w:szCs w:val="28"/>
                <w14:textFill>
                  <w14:solidFill>
                    <w14:schemeClr w14:val="tx1"/>
                  </w14:solidFill>
                </w14:textFill>
              </w:rPr>
              <m:t>mic</m:t>
            </m:r>
            <m:ctrlPr>
              <w:rPr>
                <w:rFonts w:hint="default" w:ascii="Cambria Math" w:hAnsi="Cambria Math" w:cs="Times New Roman"/>
                <w:color w:val="000000" w:themeColor="text1"/>
                <w:sz w:val="28"/>
                <w:szCs w:val="28"/>
                <w14:textFill>
                  <w14:solidFill>
                    <w14:schemeClr w14:val="tx1"/>
                  </w14:solidFill>
                </w14:textFill>
              </w:rPr>
            </m:ctrlPr>
          </m:sub>
          <m:sup>
            <m:r>
              <m:rPr>
                <m:nor/>
                <m:sty m:val="p"/>
              </m:rPr>
              <w:rPr>
                <w:rFonts w:hint="default" w:ascii="Times New Roman" w:hAnsi="Times New Roman" w:cs="Times New Roman"/>
                <w:b w:val="0"/>
                <w:i w:val="0"/>
                <w:color w:val="000000" w:themeColor="text1"/>
                <w:sz w:val="28"/>
                <w:szCs w:val="28"/>
                <w14:textFill>
                  <w14:solidFill>
                    <w14:schemeClr w14:val="tx1"/>
                  </w14:solidFill>
                </w14:textFill>
              </w:rPr>
              <m:t>θ</m:t>
            </m:r>
            <m:ctrlPr>
              <w:rPr>
                <w:rFonts w:hint="default" w:ascii="Cambria Math" w:hAnsi="Cambria Math" w:cs="Times New Roman"/>
                <w:color w:val="000000" w:themeColor="text1"/>
                <w:sz w:val="28"/>
                <w:szCs w:val="28"/>
                <w14:textFill>
                  <w14:solidFill>
                    <w14:schemeClr w14:val="tx1"/>
                  </w14:solidFill>
                </w14:textFill>
              </w:rPr>
            </m:ctrlPr>
          </m:sup>
        </m:sSubSup>
      </m:oMath>
      <w:r>
        <w:rPr>
          <w:rFonts w:hint="default" w:ascii="Times New Roman" w:hAnsi="Times New Roman" w:cs="Times New Roman"/>
          <w:color w:val="000000" w:themeColor="text1"/>
          <w:sz w:val="28"/>
          <w:szCs w:val="28"/>
          <w14:textFill>
            <w14:solidFill>
              <w14:schemeClr w14:val="tx1"/>
            </w14:solidFill>
          </w14:textFill>
        </w:rPr>
        <w:t xml:space="preserve">, entropy change </w:t>
      </w:r>
      <m:oMath>
        <m:r>
          <m:rPr>
            <m:nor/>
            <m:sty m:val="p"/>
          </m:rPr>
          <w:rPr>
            <w:rFonts w:hint="default" w:ascii="Times New Roman" w:hAnsi="Times New Roman" w:cs="Times New Roman"/>
            <w:b w:val="0"/>
            <w:i w:val="0"/>
            <w:color w:val="000000" w:themeColor="text1"/>
            <w:sz w:val="28"/>
            <w:szCs w:val="28"/>
            <w14:textFill>
              <w14:solidFill>
                <w14:schemeClr w14:val="tx1"/>
              </w14:solidFill>
            </w14:textFill>
          </w:rPr>
          <m:t>∆</m:t>
        </m:r>
        <m:sSubSup>
          <m:sSubSupPr>
            <m:ctrlPr>
              <w:rPr>
                <w:rFonts w:hint="default" w:ascii="Cambria Math" w:hAnsi="Cambria Math" w:cs="Times New Roman"/>
                <w:color w:val="000000" w:themeColor="text1"/>
                <w:sz w:val="28"/>
                <w:szCs w:val="28"/>
                <w14:textFill>
                  <w14:solidFill>
                    <w14:schemeClr w14:val="tx1"/>
                  </w14:solidFill>
                </w14:textFill>
              </w:rPr>
            </m:ctrlPr>
          </m:sSubSupPr>
          <m:e>
            <m:r>
              <m:rPr>
                <m:nor/>
              </m:rPr>
              <w:rPr>
                <w:rFonts w:hint="default" w:ascii="Times New Roman" w:hAnsi="Times New Roman" w:cs="Times New Roman"/>
                <w:i/>
                <w:color w:val="000000" w:themeColor="text1"/>
                <w:sz w:val="28"/>
                <w:szCs w:val="28"/>
                <w14:textFill>
                  <w14:solidFill>
                    <w14:schemeClr w14:val="tx1"/>
                  </w14:solidFill>
                </w14:textFill>
              </w:rPr>
              <m:t>S</m:t>
            </m:r>
            <m:ctrlPr>
              <w:rPr>
                <w:rFonts w:hint="default" w:ascii="Cambria Math" w:hAnsi="Cambria Math" w:cs="Times New Roman"/>
                <w:color w:val="000000" w:themeColor="text1"/>
                <w:sz w:val="28"/>
                <w:szCs w:val="28"/>
                <w14:textFill>
                  <w14:solidFill>
                    <w14:schemeClr w14:val="tx1"/>
                  </w14:solidFill>
                </w14:textFill>
              </w:rPr>
            </m:ctrlPr>
          </m:e>
          <m:sub>
            <m:r>
              <m:rPr>
                <m:nor/>
                <m:sty m:val="p"/>
              </m:rPr>
              <w:rPr>
                <w:rFonts w:hint="default" w:ascii="Times New Roman" w:hAnsi="Times New Roman" w:cs="Times New Roman"/>
                <w:b w:val="0"/>
                <w:i w:val="0"/>
                <w:color w:val="000000" w:themeColor="text1"/>
                <w:sz w:val="28"/>
                <w:szCs w:val="28"/>
                <w14:textFill>
                  <w14:solidFill>
                    <w14:schemeClr w14:val="tx1"/>
                  </w14:solidFill>
                </w14:textFill>
              </w:rPr>
              <m:t>mic</m:t>
            </m:r>
            <m:ctrlPr>
              <w:rPr>
                <w:rFonts w:hint="default" w:ascii="Cambria Math" w:hAnsi="Cambria Math" w:cs="Times New Roman"/>
                <w:color w:val="000000" w:themeColor="text1"/>
                <w:sz w:val="28"/>
                <w:szCs w:val="28"/>
                <w14:textFill>
                  <w14:solidFill>
                    <w14:schemeClr w14:val="tx1"/>
                  </w14:solidFill>
                </w14:textFill>
              </w:rPr>
            </m:ctrlPr>
          </m:sub>
          <m:sup>
            <m:r>
              <m:rPr>
                <m:nor/>
                <m:sty m:val="p"/>
              </m:rPr>
              <w:rPr>
                <w:rFonts w:hint="default" w:ascii="Times New Roman" w:hAnsi="Times New Roman" w:cs="Times New Roman"/>
                <w:b w:val="0"/>
                <w:i w:val="0"/>
                <w:color w:val="000000" w:themeColor="text1"/>
                <w:sz w:val="28"/>
                <w:szCs w:val="28"/>
                <w14:textFill>
                  <w14:solidFill>
                    <w14:schemeClr w14:val="tx1"/>
                  </w14:solidFill>
                </w14:textFill>
              </w:rPr>
              <m:t>θ</m:t>
            </m:r>
            <m:ctrlPr>
              <w:rPr>
                <w:rFonts w:hint="default" w:ascii="Cambria Math" w:hAnsi="Cambria Math" w:cs="Times New Roman"/>
                <w:color w:val="000000" w:themeColor="text1"/>
                <w:sz w:val="28"/>
                <w:szCs w:val="28"/>
                <w14:textFill>
                  <w14:solidFill>
                    <w14:schemeClr w14:val="tx1"/>
                  </w14:solidFill>
                </w14:textFill>
              </w:rPr>
            </m:ctrlPr>
          </m:sup>
        </m:sSubSup>
      </m:oMath>
      <w:r>
        <w:rPr>
          <w:rFonts w:hint="default" w:ascii="Times New Roman" w:hAnsi="Times New Roman" w:cs="Times New Roman"/>
          <w:color w:val="000000" w:themeColor="text1"/>
          <w:sz w:val="28"/>
          <w:szCs w:val="28"/>
          <w14:textFill>
            <w14:solidFill>
              <w14:schemeClr w14:val="tx1"/>
            </w14:solidFill>
          </w14:textFill>
        </w:rPr>
        <w:t xml:space="preserve"> and Gibbs free energy change </w:t>
      </w:r>
      <m:oMath>
        <m:r>
          <m:rPr>
            <m:nor/>
            <m:sty m:val="p"/>
          </m:rPr>
          <w:rPr>
            <w:rFonts w:hint="default" w:ascii="Times New Roman" w:hAnsi="Times New Roman" w:cs="Times New Roman"/>
            <w:b w:val="0"/>
            <w:i w:val="0"/>
            <w:color w:val="000000" w:themeColor="text1"/>
            <w:sz w:val="28"/>
            <w:szCs w:val="28"/>
            <w14:textFill>
              <w14:solidFill>
                <w14:schemeClr w14:val="tx1"/>
              </w14:solidFill>
            </w14:textFill>
          </w:rPr>
          <m:t>∆</m:t>
        </m:r>
        <m:sSubSup>
          <m:sSubSupPr>
            <m:ctrlPr>
              <w:rPr>
                <w:rFonts w:hint="default" w:ascii="Cambria Math" w:hAnsi="Cambria Math" w:cs="Times New Roman"/>
                <w:color w:val="000000" w:themeColor="text1"/>
                <w:sz w:val="28"/>
                <w:szCs w:val="28"/>
                <w14:textFill>
                  <w14:solidFill>
                    <w14:schemeClr w14:val="tx1"/>
                  </w14:solidFill>
                </w14:textFill>
              </w:rPr>
            </m:ctrlPr>
          </m:sSubSupPr>
          <m:e>
            <m:r>
              <m:rPr>
                <m:nor/>
              </m:rPr>
              <w:rPr>
                <w:rFonts w:hint="default" w:ascii="Times New Roman" w:hAnsi="Times New Roman" w:cs="Times New Roman"/>
                <w:i/>
                <w:iCs/>
                <w:color w:val="000000" w:themeColor="text1"/>
                <w:sz w:val="28"/>
                <w:szCs w:val="28"/>
                <w14:textFill>
                  <w14:solidFill>
                    <w14:schemeClr w14:val="tx1"/>
                  </w14:solidFill>
                </w14:textFill>
              </w:rPr>
              <m:t>G</m:t>
            </m:r>
            <m:ctrlPr>
              <w:rPr>
                <w:rFonts w:hint="default" w:ascii="Cambria Math" w:hAnsi="Cambria Math" w:cs="Times New Roman"/>
                <w:color w:val="000000" w:themeColor="text1"/>
                <w:sz w:val="28"/>
                <w:szCs w:val="28"/>
                <w14:textFill>
                  <w14:solidFill>
                    <w14:schemeClr w14:val="tx1"/>
                  </w14:solidFill>
                </w14:textFill>
              </w:rPr>
            </m:ctrlPr>
          </m:e>
          <m:sub>
            <m:r>
              <m:rPr>
                <m:nor/>
                <m:sty m:val="p"/>
              </m:rPr>
              <w:rPr>
                <w:rFonts w:hint="default" w:ascii="Times New Roman" w:hAnsi="Times New Roman" w:cs="Times New Roman"/>
                <w:b w:val="0"/>
                <w:i w:val="0"/>
                <w:color w:val="000000" w:themeColor="text1"/>
                <w:sz w:val="28"/>
                <w:szCs w:val="28"/>
                <w14:textFill>
                  <w14:solidFill>
                    <w14:schemeClr w14:val="tx1"/>
                  </w14:solidFill>
                </w14:textFill>
              </w:rPr>
              <m:t>ads</m:t>
            </m:r>
            <m:ctrlPr>
              <w:rPr>
                <w:rFonts w:hint="default" w:ascii="Cambria Math" w:hAnsi="Cambria Math" w:cs="Times New Roman"/>
                <w:color w:val="000000" w:themeColor="text1"/>
                <w:sz w:val="28"/>
                <w:szCs w:val="28"/>
                <w14:textFill>
                  <w14:solidFill>
                    <w14:schemeClr w14:val="tx1"/>
                  </w14:solidFill>
                </w14:textFill>
              </w:rPr>
            </m:ctrlPr>
          </m:sub>
          <m:sup>
            <m:r>
              <m:rPr>
                <m:nor/>
                <m:sty m:val="p"/>
              </m:rPr>
              <w:rPr>
                <w:rFonts w:hint="default" w:ascii="Times New Roman" w:hAnsi="Times New Roman" w:cs="Times New Roman"/>
                <w:b w:val="0"/>
                <w:i w:val="0"/>
                <w:color w:val="000000" w:themeColor="text1"/>
                <w:sz w:val="28"/>
                <w:szCs w:val="28"/>
                <w14:textFill>
                  <w14:solidFill>
                    <w14:schemeClr w14:val="tx1"/>
                  </w14:solidFill>
                </w14:textFill>
              </w:rPr>
              <m:t>θ</m:t>
            </m:r>
            <m:ctrlPr>
              <w:rPr>
                <w:rFonts w:hint="default" w:ascii="Cambria Math" w:hAnsi="Cambria Math" w:cs="Times New Roman"/>
                <w:color w:val="000000" w:themeColor="text1"/>
                <w:sz w:val="28"/>
                <w:szCs w:val="28"/>
                <w14:textFill>
                  <w14:solidFill>
                    <w14:schemeClr w14:val="tx1"/>
                  </w14:solidFill>
                </w14:textFill>
              </w:rPr>
            </m:ctrlPr>
          </m:sup>
        </m:sSubSup>
        <m:r>
          <m:rPr>
            <m:nor/>
            <m:sty m:val="p"/>
          </m:rPr>
          <w:rPr>
            <w:rFonts w:hint="default" w:ascii="Times New Roman" w:hAnsi="Times New Roman" w:cs="Times New Roman"/>
            <w:b w:val="0"/>
            <w:i w:val="0"/>
            <w:color w:val="000000" w:themeColor="text1"/>
            <w:sz w:val="28"/>
            <w:szCs w:val="28"/>
            <w14:textFill>
              <w14:solidFill>
                <w14:schemeClr w14:val="tx1"/>
              </w14:solidFill>
            </w14:textFill>
          </w:rPr>
          <m:t xml:space="preserve"> </m:t>
        </m:r>
      </m:oMath>
      <w:r>
        <w:rPr>
          <w:rFonts w:hint="default" w:ascii="Times New Roman" w:hAnsi="Times New Roman" w:cs="Times New Roman"/>
          <w:color w:val="000000" w:themeColor="text1"/>
          <w:sz w:val="28"/>
          <w:szCs w:val="28"/>
          <w14:textFill>
            <w14:solidFill>
              <w14:schemeClr w14:val="tx1"/>
            </w14:solidFill>
          </w14:textFill>
        </w:rPr>
        <w:t xml:space="preserve"> and </w:t>
      </w:r>
      <m:oMath>
        <m:r>
          <m:rPr>
            <m:nor/>
            <m:sty m:val="p"/>
          </m:rPr>
          <w:rPr>
            <w:rFonts w:hint="default" w:ascii="Times New Roman" w:hAnsi="Times New Roman" w:cs="Times New Roman"/>
            <w:b w:val="0"/>
            <w:i w:val="0"/>
            <w:color w:val="000000" w:themeColor="text1"/>
            <w:sz w:val="28"/>
            <w:szCs w:val="28"/>
            <w14:textFill>
              <w14:solidFill>
                <w14:schemeClr w14:val="tx1"/>
              </w14:solidFill>
            </w14:textFill>
          </w:rPr>
          <m:t>∆</m:t>
        </m:r>
        <m:sSubSup>
          <m:sSubSupPr>
            <m:ctrlPr>
              <w:rPr>
                <w:rFonts w:hint="default" w:ascii="Cambria Math" w:hAnsi="Cambria Math" w:cs="Times New Roman"/>
                <w:color w:val="000000" w:themeColor="text1"/>
                <w:sz w:val="28"/>
                <w:szCs w:val="28"/>
                <w14:textFill>
                  <w14:solidFill>
                    <w14:schemeClr w14:val="tx1"/>
                  </w14:solidFill>
                </w14:textFill>
              </w:rPr>
            </m:ctrlPr>
          </m:sSubSupPr>
          <m:e>
            <m:r>
              <m:rPr>
                <m:nor/>
              </m:rPr>
              <w:rPr>
                <w:rFonts w:hint="default" w:ascii="Times New Roman" w:hAnsi="Times New Roman" w:cs="Times New Roman"/>
                <w:i/>
                <w:iCs/>
                <w:color w:val="000000" w:themeColor="text1"/>
                <w:sz w:val="28"/>
                <w:szCs w:val="28"/>
                <w14:textFill>
                  <w14:solidFill>
                    <w14:schemeClr w14:val="tx1"/>
                  </w14:solidFill>
                </w14:textFill>
              </w:rPr>
              <m:t>G</m:t>
            </m:r>
            <m:ctrlPr>
              <w:rPr>
                <w:rFonts w:hint="default" w:ascii="Cambria Math" w:hAnsi="Cambria Math" w:cs="Times New Roman"/>
                <w:color w:val="000000" w:themeColor="text1"/>
                <w:sz w:val="28"/>
                <w:szCs w:val="28"/>
                <w14:textFill>
                  <w14:solidFill>
                    <w14:schemeClr w14:val="tx1"/>
                  </w14:solidFill>
                </w14:textFill>
              </w:rPr>
            </m:ctrlPr>
          </m:e>
          <m:sub>
            <m:r>
              <m:rPr>
                <m:nor/>
                <m:sty m:val="p"/>
              </m:rPr>
              <w:rPr>
                <w:rFonts w:hint="default" w:ascii="Times New Roman" w:hAnsi="Times New Roman" w:cs="Times New Roman"/>
                <w:b w:val="0"/>
                <w:i w:val="0"/>
                <w:color w:val="000000" w:themeColor="text1"/>
                <w:sz w:val="28"/>
                <w:szCs w:val="28"/>
                <w14:textFill>
                  <w14:solidFill>
                    <w14:schemeClr w14:val="tx1"/>
                  </w14:solidFill>
                </w14:textFill>
              </w:rPr>
              <m:t>mic</m:t>
            </m:r>
            <m:ctrlPr>
              <w:rPr>
                <w:rFonts w:hint="default" w:ascii="Cambria Math" w:hAnsi="Cambria Math" w:cs="Times New Roman"/>
                <w:color w:val="000000" w:themeColor="text1"/>
                <w:sz w:val="28"/>
                <w:szCs w:val="28"/>
                <w14:textFill>
                  <w14:solidFill>
                    <w14:schemeClr w14:val="tx1"/>
                  </w14:solidFill>
                </w14:textFill>
              </w:rPr>
            </m:ctrlPr>
          </m:sub>
          <m:sup>
            <m:r>
              <m:rPr>
                <m:nor/>
                <m:sty m:val="p"/>
              </m:rPr>
              <w:rPr>
                <w:rFonts w:hint="default" w:ascii="Times New Roman" w:hAnsi="Times New Roman" w:cs="Times New Roman"/>
                <w:b w:val="0"/>
                <w:i w:val="0"/>
                <w:color w:val="000000" w:themeColor="text1"/>
                <w:sz w:val="28"/>
                <w:szCs w:val="28"/>
                <w14:textFill>
                  <w14:solidFill>
                    <w14:schemeClr w14:val="tx1"/>
                  </w14:solidFill>
                </w14:textFill>
              </w:rPr>
              <m:t>θ</m:t>
            </m:r>
            <m:ctrlPr>
              <w:rPr>
                <w:rFonts w:hint="default" w:ascii="Cambria Math" w:hAnsi="Cambria Math" w:cs="Times New Roman"/>
                <w:color w:val="000000" w:themeColor="text1"/>
                <w:sz w:val="28"/>
                <w:szCs w:val="28"/>
                <w14:textFill>
                  <w14:solidFill>
                    <w14:schemeClr w14:val="tx1"/>
                  </w14:solidFill>
                </w14:textFill>
              </w:rPr>
            </m:ctrlPr>
          </m:sup>
        </m:sSubSup>
      </m:oMath>
      <w:r>
        <w:rPr>
          <w:rFonts w:hint="default" w:ascii="Times New Roman" w:hAnsi="Times New Roman" w:cs="Times New Roman"/>
          <w:color w:val="000000" w:themeColor="text1"/>
          <w:sz w:val="28"/>
          <w:szCs w:val="28"/>
          <w14:textFill>
            <w14:solidFill>
              <w14:schemeClr w14:val="tx1"/>
            </w14:solidFill>
          </w14:textFill>
        </w:rPr>
        <w:t xml:space="preserve"> increase with increasing temperature and the insertion of PO and EO groups. Additionally, the </w:t>
      </w:r>
      <m:oMath>
        <m:r>
          <m:rPr>
            <m:nor/>
            <m:sty m:val="p"/>
          </m:rPr>
          <w:rPr>
            <w:rFonts w:hint="default" w:ascii="Times New Roman" w:hAnsi="Times New Roman" w:cs="Times New Roman"/>
            <w:b w:val="0"/>
            <w:i w:val="0"/>
            <w:color w:val="000000" w:themeColor="text1"/>
            <w:sz w:val="28"/>
            <w:szCs w:val="28"/>
            <w14:textFill>
              <w14:solidFill>
                <w14:schemeClr w14:val="tx1"/>
              </w14:solidFill>
            </w14:textFill>
          </w:rPr>
          <m:t>∆</m:t>
        </m:r>
        <m:sSubSup>
          <m:sSubSupPr>
            <m:ctrlPr>
              <w:rPr>
                <w:rFonts w:hint="default" w:ascii="Cambria Math" w:hAnsi="Cambria Math" w:cs="Times New Roman"/>
                <w:color w:val="000000" w:themeColor="text1"/>
                <w:sz w:val="28"/>
                <w:szCs w:val="28"/>
                <w14:textFill>
                  <w14:solidFill>
                    <w14:schemeClr w14:val="tx1"/>
                  </w14:solidFill>
                </w14:textFill>
              </w:rPr>
            </m:ctrlPr>
          </m:sSubSupPr>
          <m:e>
            <m:r>
              <m:rPr>
                <m:nor/>
              </m:rPr>
              <w:rPr>
                <w:rFonts w:hint="default" w:ascii="Times New Roman" w:hAnsi="Times New Roman" w:cs="Times New Roman"/>
                <w:i/>
                <w:color w:val="000000" w:themeColor="text1"/>
                <w:sz w:val="28"/>
                <w:szCs w:val="28"/>
                <w14:textFill>
                  <w14:solidFill>
                    <w14:schemeClr w14:val="tx1"/>
                  </w14:solidFill>
                </w14:textFill>
              </w:rPr>
              <m:t>G</m:t>
            </m:r>
            <m:ctrlPr>
              <w:rPr>
                <w:rFonts w:hint="default" w:ascii="Cambria Math" w:hAnsi="Cambria Math" w:cs="Times New Roman"/>
                <w:color w:val="000000" w:themeColor="text1"/>
                <w:sz w:val="28"/>
                <w:szCs w:val="28"/>
                <w14:textFill>
                  <w14:solidFill>
                    <w14:schemeClr w14:val="tx1"/>
                  </w14:solidFill>
                </w14:textFill>
              </w:rPr>
            </m:ctrlPr>
          </m:e>
          <m:sub>
            <m:r>
              <m:rPr>
                <m:nor/>
                <m:sty m:val="p"/>
              </m:rPr>
              <w:rPr>
                <w:rFonts w:hint="default" w:ascii="Times New Roman" w:hAnsi="Times New Roman" w:cs="Times New Roman"/>
                <w:b w:val="0"/>
                <w:i w:val="0"/>
                <w:color w:val="000000" w:themeColor="text1"/>
                <w:sz w:val="28"/>
                <w:szCs w:val="28"/>
                <w14:textFill>
                  <w14:solidFill>
                    <w14:schemeClr w14:val="tx1"/>
                  </w14:solidFill>
                </w14:textFill>
              </w:rPr>
              <m:t>ads</m:t>
            </m:r>
            <m:ctrlPr>
              <w:rPr>
                <w:rFonts w:hint="default" w:ascii="Cambria Math" w:hAnsi="Cambria Math" w:cs="Times New Roman"/>
                <w:color w:val="000000" w:themeColor="text1"/>
                <w:sz w:val="28"/>
                <w:szCs w:val="28"/>
                <w14:textFill>
                  <w14:solidFill>
                    <w14:schemeClr w14:val="tx1"/>
                  </w14:solidFill>
                </w14:textFill>
              </w:rPr>
            </m:ctrlPr>
          </m:sub>
          <m:sup>
            <m:r>
              <m:rPr>
                <m:nor/>
                <m:sty m:val="p"/>
              </m:rPr>
              <w:rPr>
                <w:rFonts w:hint="default" w:ascii="Times New Roman" w:hAnsi="Times New Roman" w:cs="Times New Roman"/>
                <w:b w:val="0"/>
                <w:i w:val="0"/>
                <w:color w:val="000000" w:themeColor="text1"/>
                <w:sz w:val="28"/>
                <w:szCs w:val="28"/>
                <w14:textFill>
                  <w14:solidFill>
                    <w14:schemeClr w14:val="tx1"/>
                  </w14:solidFill>
                </w14:textFill>
              </w:rPr>
              <m:t>θ</m:t>
            </m:r>
            <m:ctrlPr>
              <w:rPr>
                <w:rFonts w:hint="default" w:ascii="Cambria Math" w:hAnsi="Cambria Math" w:cs="Times New Roman"/>
                <w:color w:val="000000" w:themeColor="text1"/>
                <w:sz w:val="28"/>
                <w:szCs w:val="28"/>
                <w14:textFill>
                  <w14:solidFill>
                    <w14:schemeClr w14:val="tx1"/>
                  </w14:solidFill>
                </w14:textFill>
              </w:rPr>
            </m:ctrlPr>
          </m:sup>
        </m:sSubSup>
      </m:oMath>
      <w:r>
        <w:rPr>
          <w:rFonts w:hint="default" w:ascii="Times New Roman" w:hAnsi="Times New Roman" w:cs="Times New Roman"/>
          <w:color w:val="000000" w:themeColor="text1"/>
          <w:sz w:val="28"/>
          <w:szCs w:val="28"/>
          <w14:textFill>
            <w14:solidFill>
              <w14:schemeClr w14:val="tx1"/>
            </w14:solidFill>
          </w14:textFill>
        </w:rPr>
        <w:t xml:space="preserve"> values are smaller than the </w:t>
      </w:r>
      <m:oMath>
        <m:r>
          <m:rPr>
            <m:nor/>
            <m:sty m:val="p"/>
          </m:rPr>
          <w:rPr>
            <w:rFonts w:hint="default" w:ascii="Times New Roman" w:hAnsi="Times New Roman" w:cs="Times New Roman"/>
            <w:b w:val="0"/>
            <w:i w:val="0"/>
            <w:color w:val="000000" w:themeColor="text1"/>
            <w:sz w:val="28"/>
            <w:szCs w:val="28"/>
            <w14:textFill>
              <w14:solidFill>
                <w14:schemeClr w14:val="tx1"/>
              </w14:solidFill>
            </w14:textFill>
          </w:rPr>
          <m:t>∆</m:t>
        </m:r>
        <m:sSubSup>
          <m:sSubSupPr>
            <m:ctrlPr>
              <w:rPr>
                <w:rFonts w:hint="default" w:ascii="Cambria Math" w:hAnsi="Cambria Math" w:cs="Times New Roman"/>
                <w:color w:val="000000" w:themeColor="text1"/>
                <w:sz w:val="28"/>
                <w:szCs w:val="28"/>
                <w14:textFill>
                  <w14:solidFill>
                    <w14:schemeClr w14:val="tx1"/>
                  </w14:solidFill>
                </w14:textFill>
              </w:rPr>
            </m:ctrlPr>
          </m:sSubSupPr>
          <m:e>
            <m:r>
              <m:rPr>
                <m:nor/>
              </m:rPr>
              <w:rPr>
                <w:rFonts w:hint="default" w:ascii="Times New Roman" w:hAnsi="Times New Roman" w:cs="Times New Roman"/>
                <w:i/>
                <w:color w:val="000000" w:themeColor="text1"/>
                <w:sz w:val="28"/>
                <w:szCs w:val="28"/>
                <w14:textFill>
                  <w14:solidFill>
                    <w14:schemeClr w14:val="tx1"/>
                  </w14:solidFill>
                </w14:textFill>
              </w:rPr>
              <m:t>G</m:t>
            </m:r>
            <m:ctrlPr>
              <w:rPr>
                <w:rFonts w:hint="default" w:ascii="Cambria Math" w:hAnsi="Cambria Math" w:cs="Times New Roman"/>
                <w:color w:val="000000" w:themeColor="text1"/>
                <w:sz w:val="28"/>
                <w:szCs w:val="28"/>
                <w14:textFill>
                  <w14:solidFill>
                    <w14:schemeClr w14:val="tx1"/>
                  </w14:solidFill>
                </w14:textFill>
              </w:rPr>
            </m:ctrlPr>
          </m:e>
          <m:sub>
            <m:r>
              <m:rPr>
                <m:nor/>
                <m:sty m:val="p"/>
              </m:rPr>
              <w:rPr>
                <w:rFonts w:hint="default" w:ascii="Times New Roman" w:hAnsi="Times New Roman" w:cs="Times New Roman"/>
                <w:b w:val="0"/>
                <w:i w:val="0"/>
                <w:color w:val="000000" w:themeColor="text1"/>
                <w:sz w:val="28"/>
                <w:szCs w:val="28"/>
                <w14:textFill>
                  <w14:solidFill>
                    <w14:schemeClr w14:val="tx1"/>
                  </w14:solidFill>
                </w14:textFill>
              </w:rPr>
              <m:t>mic</m:t>
            </m:r>
            <m:ctrlPr>
              <w:rPr>
                <w:rFonts w:hint="default" w:ascii="Cambria Math" w:hAnsi="Cambria Math" w:cs="Times New Roman"/>
                <w:color w:val="000000" w:themeColor="text1"/>
                <w:sz w:val="28"/>
                <w:szCs w:val="28"/>
                <w14:textFill>
                  <w14:solidFill>
                    <w14:schemeClr w14:val="tx1"/>
                  </w14:solidFill>
                </w14:textFill>
              </w:rPr>
            </m:ctrlPr>
          </m:sub>
          <m:sup>
            <m:r>
              <m:rPr>
                <m:nor/>
                <m:sty m:val="p"/>
              </m:rPr>
              <w:rPr>
                <w:rFonts w:hint="default" w:ascii="Times New Roman" w:hAnsi="Times New Roman" w:cs="Times New Roman"/>
                <w:b w:val="0"/>
                <w:i w:val="0"/>
                <w:color w:val="000000" w:themeColor="text1"/>
                <w:sz w:val="28"/>
                <w:szCs w:val="28"/>
                <w14:textFill>
                  <w14:solidFill>
                    <w14:schemeClr w14:val="tx1"/>
                  </w14:solidFill>
                </w14:textFill>
              </w:rPr>
              <m:t>θ</m:t>
            </m:r>
            <m:ctrlPr>
              <w:rPr>
                <w:rFonts w:hint="default" w:ascii="Cambria Math" w:hAnsi="Cambria Math" w:cs="Times New Roman"/>
                <w:color w:val="000000" w:themeColor="text1"/>
                <w:sz w:val="28"/>
                <w:szCs w:val="28"/>
                <w14:textFill>
                  <w14:solidFill>
                    <w14:schemeClr w14:val="tx1"/>
                  </w14:solidFill>
                </w14:textFill>
              </w:rPr>
            </m:ctrlPr>
          </m:sup>
        </m:sSubSup>
      </m:oMath>
      <w:r>
        <w:rPr>
          <w:rFonts w:hint="default" w:ascii="Times New Roman" w:hAnsi="Times New Roman" w:cs="Times New Roman"/>
          <w:color w:val="000000" w:themeColor="text1"/>
          <w:sz w:val="28"/>
          <w:szCs w:val="28"/>
          <w14:textFill>
            <w14:solidFill>
              <w14:schemeClr w14:val="tx1"/>
            </w14:solidFill>
          </w14:textFill>
        </w:rPr>
        <w:t xml:space="preserve"> values, indicating that the surface adsorption is thermodynamically more favorable than micellization formation. Moreover, three surfactants exhibit better Enthalpy-entropy compensation in micellization and have similar compensation temperatures. Regarding interfacial properties, C</w:t>
      </w:r>
      <w:r>
        <w:rPr>
          <w:rFonts w:hint="default" w:ascii="Times New Roman" w:hAnsi="Times New Roman" w:cs="Times New Roman"/>
          <w:color w:val="000000" w:themeColor="text1"/>
          <w:sz w:val="28"/>
          <w:szCs w:val="28"/>
          <w:vertAlign w:val="subscript"/>
          <w14:textFill>
            <w14:solidFill>
              <w14:schemeClr w14:val="tx1"/>
            </w14:solidFill>
          </w14:textFill>
        </w:rPr>
        <w:t>12</w:t>
      </w:r>
      <w:r>
        <w:rPr>
          <w:rFonts w:hint="default" w:ascii="Times New Roman" w:hAnsi="Times New Roman" w:cs="Times New Roman"/>
          <w:color w:val="000000" w:themeColor="text1"/>
          <w:sz w:val="28"/>
          <w:szCs w:val="28"/>
          <w14:textFill>
            <w14:solidFill>
              <w14:schemeClr w14:val="tx1"/>
            </w14:solidFill>
          </w14:textFill>
        </w:rPr>
        <w:t>P</w:t>
      </w:r>
      <w:r>
        <w:rPr>
          <w:rFonts w:hint="default" w:ascii="Times New Roman" w:hAnsi="Times New Roman" w:cs="Times New Roman"/>
          <w:color w:val="000000" w:themeColor="text1"/>
          <w:sz w:val="28"/>
          <w:szCs w:val="28"/>
          <w:vertAlign w:val="subscript"/>
          <w14:textFill>
            <w14:solidFill>
              <w14:schemeClr w14:val="tx1"/>
            </w14:solidFill>
          </w14:textFill>
        </w:rPr>
        <w:t>3</w:t>
      </w:r>
      <w:r>
        <w:rPr>
          <w:rFonts w:hint="default" w:ascii="Times New Roman" w:hAnsi="Times New Roman" w:cs="Times New Roman"/>
          <w:color w:val="000000" w:themeColor="text1"/>
          <w:sz w:val="28"/>
          <w:szCs w:val="28"/>
          <w14:textFill>
            <w14:solidFill>
              <w14:schemeClr w14:val="tx1"/>
            </w14:solidFill>
          </w14:textFill>
        </w:rPr>
        <w:t>NS e</w:t>
      </w:r>
      <w:r>
        <w:rPr>
          <w:rFonts w:hint="default" w:ascii="Times New Roman" w:hAnsi="Times New Roman" w:cs="Times New Roman"/>
          <w:color w:val="000000"/>
          <w:sz w:val="28"/>
          <w:szCs w:val="28"/>
        </w:rPr>
        <w:t>xhibits the strongest interfacial activity, achieving ultralow oil–water interfacial tension (IFT) (10</w:t>
      </w:r>
      <w:r>
        <w:rPr>
          <w:rFonts w:hint="default" w:ascii="Times New Roman" w:hAnsi="Times New Roman" w:cs="Times New Roman"/>
          <w:color w:val="000000"/>
          <w:sz w:val="28"/>
          <w:szCs w:val="28"/>
          <w:vertAlign w:val="superscript"/>
        </w:rPr>
        <w:t>-3</w:t>
      </w:r>
      <w:r>
        <w:rPr>
          <w:rFonts w:hint="default" w:ascii="Times New Roman" w:hAnsi="Times New Roman" w:cs="Times New Roman"/>
          <w:color w:val="000000"/>
          <w:sz w:val="28"/>
          <w:szCs w:val="28"/>
        </w:rPr>
        <w:t xml:space="preserve"> mN·m</w:t>
      </w:r>
      <w:r>
        <w:rPr>
          <w:rFonts w:hint="default" w:ascii="Times New Roman" w:hAnsi="Times New Roman" w:cs="Times New Roman"/>
          <w:color w:val="000000"/>
          <w:sz w:val="28"/>
          <w:szCs w:val="28"/>
          <w:vertAlign w:val="superscript"/>
        </w:rPr>
        <w:t>-1</w:t>
      </w:r>
      <w:r>
        <w:rPr>
          <w:rFonts w:hint="default" w:ascii="Times New Roman" w:hAnsi="Times New Roman" w:cs="Times New Roman"/>
          <w:color w:val="000000"/>
          <w:sz w:val="28"/>
          <w:szCs w:val="28"/>
        </w:rPr>
        <w:t>) at intermediate salinities between surfactant solutiuon and crude oil Z27, while C</w:t>
      </w:r>
      <w:r>
        <w:rPr>
          <w:rFonts w:hint="default" w:ascii="Times New Roman" w:hAnsi="Times New Roman" w:cs="Times New Roman"/>
          <w:color w:val="000000"/>
          <w:sz w:val="28"/>
          <w:szCs w:val="28"/>
          <w:vertAlign w:val="subscript"/>
        </w:rPr>
        <w:t>12</w:t>
      </w:r>
      <w:r>
        <w:rPr>
          <w:rFonts w:hint="default" w:ascii="Times New Roman" w:hAnsi="Times New Roman" w:cs="Times New Roman"/>
          <w:color w:val="000000"/>
          <w:sz w:val="28"/>
          <w:szCs w:val="28"/>
        </w:rPr>
        <w:t>NS and C</w:t>
      </w:r>
      <w:r>
        <w:rPr>
          <w:rFonts w:hint="default" w:ascii="Times New Roman" w:hAnsi="Times New Roman" w:cs="Times New Roman"/>
          <w:color w:val="000000"/>
          <w:sz w:val="28"/>
          <w:szCs w:val="28"/>
          <w:vertAlign w:val="subscript"/>
        </w:rPr>
        <w:t>12</w:t>
      </w:r>
      <w:r>
        <w:rPr>
          <w:rFonts w:hint="default" w:ascii="Times New Roman" w:hAnsi="Times New Roman" w:cs="Times New Roman"/>
          <w:color w:val="000000"/>
          <w:sz w:val="28"/>
          <w:szCs w:val="28"/>
        </w:rPr>
        <w:t>P</w:t>
      </w:r>
      <w:r>
        <w:rPr>
          <w:rFonts w:hint="default" w:ascii="Times New Roman" w:hAnsi="Times New Roman" w:cs="Times New Roman"/>
          <w:color w:val="000000"/>
          <w:sz w:val="28"/>
          <w:szCs w:val="28"/>
          <w:vertAlign w:val="subscript"/>
        </w:rPr>
        <w:t>3</w:t>
      </w:r>
      <w:r>
        <w:rPr>
          <w:rFonts w:hint="default" w:ascii="Times New Roman" w:hAnsi="Times New Roman" w:cs="Times New Roman"/>
          <w:color w:val="000000"/>
          <w:sz w:val="28"/>
          <w:szCs w:val="28"/>
        </w:rPr>
        <w:t>E</w:t>
      </w:r>
      <w:r>
        <w:rPr>
          <w:rFonts w:hint="default" w:ascii="Times New Roman" w:hAnsi="Times New Roman" w:cs="Times New Roman"/>
          <w:color w:val="000000"/>
          <w:sz w:val="28"/>
          <w:szCs w:val="28"/>
          <w:vertAlign w:val="subscript"/>
        </w:rPr>
        <w:t>3</w:t>
      </w:r>
      <w:r>
        <w:rPr>
          <w:rFonts w:hint="default" w:ascii="Times New Roman" w:hAnsi="Times New Roman" w:cs="Times New Roman"/>
          <w:color w:val="000000"/>
          <w:sz w:val="28"/>
          <w:szCs w:val="28"/>
        </w:rPr>
        <w:t>NS reduced interfacial tension to approximately 10</w:t>
      </w:r>
      <w:r>
        <w:rPr>
          <w:rFonts w:hint="default" w:ascii="Times New Roman" w:hAnsi="Times New Roman" w:cs="Times New Roman"/>
          <w:color w:val="000000"/>
          <w:sz w:val="28"/>
          <w:szCs w:val="28"/>
          <w:vertAlign w:val="superscript"/>
        </w:rPr>
        <w:t>-2</w:t>
      </w:r>
      <w:r>
        <w:rPr>
          <w:rFonts w:hint="default" w:ascii="Times New Roman" w:hAnsi="Times New Roman" w:cs="Times New Roman"/>
          <w:color w:val="000000"/>
          <w:sz w:val="28"/>
          <w:szCs w:val="28"/>
        </w:rPr>
        <w:t xml:space="preserve"> mN·m</w:t>
      </w:r>
      <w:r>
        <w:rPr>
          <w:rFonts w:hint="default" w:ascii="Times New Roman" w:hAnsi="Times New Roman" w:cs="Times New Roman"/>
          <w:color w:val="000000"/>
          <w:sz w:val="28"/>
          <w:szCs w:val="28"/>
          <w:vertAlign w:val="superscript"/>
        </w:rPr>
        <w:t xml:space="preserve">-1 </w:t>
      </w:r>
      <w:r>
        <w:rPr>
          <w:rFonts w:hint="default" w:ascii="Times New Roman" w:hAnsi="Times New Roman" w:cs="Times New Roman"/>
          <w:color w:val="000000"/>
          <w:sz w:val="28"/>
          <w:szCs w:val="28"/>
        </w:rPr>
        <w:t>and 10</w:t>
      </w:r>
      <w:r>
        <w:rPr>
          <w:rFonts w:hint="default" w:ascii="Times New Roman" w:hAnsi="Times New Roman" w:cs="Times New Roman"/>
          <w:color w:val="000000"/>
          <w:sz w:val="28"/>
          <w:szCs w:val="28"/>
          <w:vertAlign w:val="superscript"/>
        </w:rPr>
        <w:t>-1</w:t>
      </w:r>
      <w:r>
        <w:rPr>
          <w:rFonts w:hint="default" w:ascii="Times New Roman" w:hAnsi="Times New Roman" w:cs="Times New Roman"/>
          <w:color w:val="000000"/>
          <w:sz w:val="28"/>
          <w:szCs w:val="28"/>
        </w:rPr>
        <w:t xml:space="preserve"> mN·m</w:t>
      </w:r>
      <w:r>
        <w:rPr>
          <w:rFonts w:hint="default" w:ascii="Times New Roman" w:hAnsi="Times New Roman" w:cs="Times New Roman"/>
          <w:color w:val="000000"/>
          <w:sz w:val="28"/>
          <w:szCs w:val="28"/>
          <w:vertAlign w:val="superscript"/>
        </w:rPr>
        <w:t>-1</w:t>
      </w:r>
      <w:r>
        <w:rPr>
          <w:rFonts w:hint="default" w:ascii="Times New Roman" w:hAnsi="Times New Roman" w:cs="Times New Roman"/>
          <w:color w:val="000000"/>
          <w:sz w:val="28"/>
          <w:szCs w:val="28"/>
        </w:rPr>
        <w:t>, respectively. The improved IFT reduction by PO incorporation is attributed to a favorable hydrophilic–lipophilic balance, enabling effective interfacial tension reduction across varying salinity and oil-phase conditions. C</w:t>
      </w:r>
      <w:r>
        <w:rPr>
          <w:rFonts w:hint="default" w:ascii="Times New Roman" w:hAnsi="Times New Roman" w:cs="Times New Roman"/>
          <w:color w:val="000000"/>
          <w:sz w:val="28"/>
          <w:szCs w:val="28"/>
          <w:vertAlign w:val="subscript"/>
        </w:rPr>
        <w:t>12</w:t>
      </w:r>
      <w:r>
        <w:rPr>
          <w:rFonts w:hint="default" w:ascii="Times New Roman" w:hAnsi="Times New Roman" w:cs="Times New Roman"/>
          <w:color w:val="000000"/>
          <w:sz w:val="28"/>
          <w:szCs w:val="28"/>
        </w:rPr>
        <w:t>NS shows weak salinity response and limited emulsification. C</w:t>
      </w:r>
      <w:r>
        <w:rPr>
          <w:rFonts w:hint="default" w:ascii="Times New Roman" w:hAnsi="Times New Roman" w:cs="Times New Roman"/>
          <w:color w:val="000000"/>
          <w:sz w:val="28"/>
          <w:szCs w:val="28"/>
          <w:vertAlign w:val="subscript"/>
        </w:rPr>
        <w:t>12</w:t>
      </w:r>
      <w:r>
        <w:rPr>
          <w:rFonts w:hint="default" w:ascii="Times New Roman" w:hAnsi="Times New Roman" w:cs="Times New Roman"/>
          <w:color w:val="000000"/>
          <w:sz w:val="28"/>
          <w:szCs w:val="28"/>
        </w:rPr>
        <w:t>P</w:t>
      </w:r>
      <w:r>
        <w:rPr>
          <w:rFonts w:hint="default" w:ascii="Times New Roman" w:hAnsi="Times New Roman" w:cs="Times New Roman"/>
          <w:color w:val="000000"/>
          <w:sz w:val="28"/>
          <w:szCs w:val="28"/>
          <w:vertAlign w:val="subscript"/>
        </w:rPr>
        <w:t>3</w:t>
      </w:r>
      <w:r>
        <w:rPr>
          <w:rFonts w:hint="default" w:ascii="Times New Roman" w:hAnsi="Times New Roman" w:cs="Times New Roman"/>
          <w:color w:val="000000"/>
          <w:sz w:val="28"/>
          <w:szCs w:val="28"/>
        </w:rPr>
        <w:t>NS exhibits strong salinity dependence, achieving optimal emulsification and ultralow IFT at intermediate salinity due to PO segments. C</w:t>
      </w:r>
      <w:r>
        <w:rPr>
          <w:rFonts w:hint="default" w:ascii="Times New Roman" w:hAnsi="Times New Roman" w:cs="Times New Roman"/>
          <w:color w:val="000000"/>
          <w:sz w:val="28"/>
          <w:szCs w:val="28"/>
          <w:vertAlign w:val="subscript"/>
        </w:rPr>
        <w:t>12</w:t>
      </w:r>
      <w:r>
        <w:rPr>
          <w:rFonts w:hint="default" w:ascii="Times New Roman" w:hAnsi="Times New Roman" w:cs="Times New Roman"/>
          <w:color w:val="000000"/>
          <w:sz w:val="28"/>
          <w:szCs w:val="28"/>
        </w:rPr>
        <w:t>P</w:t>
      </w:r>
      <w:r>
        <w:rPr>
          <w:rFonts w:hint="default" w:ascii="Times New Roman" w:hAnsi="Times New Roman" w:cs="Times New Roman"/>
          <w:color w:val="000000"/>
          <w:sz w:val="28"/>
          <w:szCs w:val="28"/>
          <w:vertAlign w:val="subscript"/>
        </w:rPr>
        <w:t>3</w:t>
      </w:r>
      <w:r>
        <w:rPr>
          <w:rFonts w:hint="default" w:ascii="Times New Roman" w:hAnsi="Times New Roman" w:cs="Times New Roman"/>
          <w:color w:val="000000"/>
          <w:sz w:val="28"/>
          <w:szCs w:val="28"/>
        </w:rPr>
        <w:t>E</w:t>
      </w:r>
      <w:r>
        <w:rPr>
          <w:rFonts w:hint="default" w:ascii="Times New Roman" w:hAnsi="Times New Roman" w:cs="Times New Roman"/>
          <w:color w:val="000000"/>
          <w:sz w:val="28"/>
          <w:szCs w:val="28"/>
          <w:vertAlign w:val="subscript"/>
        </w:rPr>
        <w:t>3</w:t>
      </w:r>
      <w:r>
        <w:rPr>
          <w:rFonts w:hint="default" w:ascii="Times New Roman" w:hAnsi="Times New Roman" w:cs="Times New Roman"/>
          <w:color w:val="000000"/>
          <w:sz w:val="28"/>
          <w:szCs w:val="28"/>
        </w:rPr>
        <w:t>NS provides the broadest salinity window and most robust emulsification, benefiting from synergistic EO/PO chains despite higher baseline IFT. The results reveal that the introduction of PO segments significantly enhances interfacial activity, while EO segments broaden the salinity tolerance window, demonstrating a clear structure–performance relationship.</w:t>
      </w:r>
    </w:p>
    <w:p w14:paraId="72DE9368">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Further optimization was conducted by combining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with a nonionic surfactant (APG</w:t>
      </w:r>
      <w:r>
        <w:rPr>
          <w:rFonts w:hint="default" w:ascii="Times New Roman" w:hAnsi="Times New Roman" w:cs="Times New Roman"/>
          <w:sz w:val="28"/>
          <w:szCs w:val="28"/>
          <w:vertAlign w:val="subscript"/>
        </w:rPr>
        <w:t>0810</w:t>
      </w:r>
      <w:r>
        <w:rPr>
          <w:rFonts w:hint="default" w:ascii="Times New Roman" w:hAnsi="Times New Roman" w:cs="Times New Roman"/>
          <w:sz w:val="28"/>
          <w:szCs w:val="28"/>
        </w:rPr>
        <w:t>, an alkyl polyglycoside) to form a compound system. The system with 40 mol%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(C12A) displayed the strongest interaction behavior and highest expansion modulus, achieving ultralow IFT (~10</w:t>
      </w:r>
      <w:r>
        <w:rPr>
          <w:rFonts w:hint="default" w:ascii="Times New Roman" w:hAnsi="Times New Roman" w:cs="Times New Roman"/>
          <w:sz w:val="28"/>
          <w:szCs w:val="28"/>
          <w:vertAlign w:val="superscript"/>
        </w:rPr>
        <w:t>-3</w:t>
      </w:r>
      <w:r>
        <w:rPr>
          <w:rFonts w:hint="default" w:ascii="Times New Roman" w:hAnsi="Times New Roman" w:cs="Times New Roman"/>
          <w:sz w:val="28"/>
          <w:szCs w:val="28"/>
        </w:rPr>
        <w:t xml:space="preserve"> </w:t>
      </w:r>
      <w:r>
        <w:rPr>
          <w:rFonts w:hint="default" w:ascii="Times New Roman" w:hAnsi="Times New Roman" w:cs="Times New Roman"/>
          <w:color w:val="000000"/>
          <w:sz w:val="28"/>
          <w:szCs w:val="28"/>
        </w:rPr>
        <w:t>mN·m</w:t>
      </w:r>
      <w:r>
        <w:rPr>
          <w:rFonts w:hint="default" w:ascii="Times New Roman" w:hAnsi="Times New Roman" w:cs="Times New Roman"/>
          <w:color w:val="000000"/>
          <w:sz w:val="28"/>
          <w:szCs w:val="28"/>
          <w:vertAlign w:val="superscript"/>
        </w:rPr>
        <w:t>-1</w:t>
      </w:r>
      <w:r>
        <w:rPr>
          <w:rFonts w:hint="default" w:ascii="Times New Roman" w:hAnsi="Times New Roman" w:cs="Times New Roman"/>
          <w:sz w:val="28"/>
          <w:szCs w:val="28"/>
        </w:rPr>
        <w:t>) at 10 wt% salinity and moderate emulsification of crude oil. Contact angle measurements revealed a reduction from 108.50° to 55.07°, confirming effective wettability alteration. Core flooding experiments showed that C12A reduced displacement pressure by 15.80% and improved oil recovery by 15.25% after water flooding. The improved performance is attributed to enhanced interfacial film strength through synergistic molecular interactions.</w:t>
      </w:r>
    </w:p>
    <w:p w14:paraId="5FC9DEA3">
      <w:pPr>
        <w:widowControl/>
        <w:ind w:firstLine="709" w:firstLineChars="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Additionally, C</w:t>
      </w:r>
      <w:r>
        <w:rPr>
          <w:rFonts w:hint="default" w:ascii="Times New Roman" w:hAnsi="Times New Roman" w:cs="Times New Roman"/>
          <w:color w:val="000000"/>
          <w:sz w:val="28"/>
          <w:szCs w:val="28"/>
          <w:vertAlign w:val="subscript"/>
        </w:rPr>
        <w:t>12</w:t>
      </w:r>
      <w:r>
        <w:rPr>
          <w:rFonts w:hint="default" w:ascii="Times New Roman" w:hAnsi="Times New Roman" w:cs="Times New Roman"/>
          <w:color w:val="000000"/>
          <w:sz w:val="28"/>
          <w:szCs w:val="28"/>
        </w:rPr>
        <w:t>P</w:t>
      </w:r>
      <w:r>
        <w:rPr>
          <w:rFonts w:hint="default" w:ascii="Times New Roman" w:hAnsi="Times New Roman" w:cs="Times New Roman"/>
          <w:color w:val="000000"/>
          <w:sz w:val="28"/>
          <w:szCs w:val="28"/>
          <w:vertAlign w:val="subscript"/>
        </w:rPr>
        <w:t>3</w:t>
      </w:r>
      <w:r>
        <w:rPr>
          <w:rFonts w:hint="default" w:ascii="Times New Roman" w:hAnsi="Times New Roman" w:cs="Times New Roman"/>
          <w:color w:val="000000"/>
          <w:sz w:val="28"/>
          <w:szCs w:val="28"/>
        </w:rPr>
        <w:t>E</w:t>
      </w:r>
      <w:r>
        <w:rPr>
          <w:rFonts w:hint="default" w:ascii="Times New Roman" w:hAnsi="Times New Roman" w:cs="Times New Roman"/>
          <w:color w:val="000000"/>
          <w:sz w:val="28"/>
          <w:szCs w:val="28"/>
          <w:vertAlign w:val="subscript"/>
        </w:rPr>
        <w:t>3</w:t>
      </w:r>
      <w:r>
        <w:rPr>
          <w:rFonts w:hint="default" w:ascii="Times New Roman" w:hAnsi="Times New Roman" w:cs="Times New Roman"/>
          <w:color w:val="000000"/>
          <w:sz w:val="28"/>
          <w:szCs w:val="28"/>
        </w:rPr>
        <w:t>NS was combined with a gemini cationic surfactant (C</w:t>
      </w:r>
      <w:r>
        <w:rPr>
          <w:rFonts w:hint="default" w:ascii="Times New Roman" w:hAnsi="Times New Roman" w:cs="Times New Roman"/>
          <w:color w:val="000000"/>
          <w:sz w:val="28"/>
          <w:szCs w:val="28"/>
          <w:vertAlign w:val="subscript"/>
        </w:rPr>
        <w:t>14-3-14</w:t>
      </w:r>
      <w:r>
        <w:rPr>
          <w:rFonts w:hint="default" w:ascii="Times New Roman" w:hAnsi="Times New Roman" w:cs="Times New Roman"/>
          <w:color w:val="000000"/>
          <w:sz w:val="28"/>
          <w:szCs w:val="28"/>
        </w:rPr>
        <w:t>) to produce two optimized mixtures: C23 (40 mol% C</w:t>
      </w:r>
      <w:r>
        <w:rPr>
          <w:rFonts w:hint="default" w:ascii="Times New Roman" w:hAnsi="Times New Roman" w:cs="Times New Roman"/>
          <w:color w:val="000000"/>
          <w:sz w:val="28"/>
          <w:szCs w:val="28"/>
          <w:vertAlign w:val="subscript"/>
        </w:rPr>
        <w:t>12</w:t>
      </w:r>
      <w:r>
        <w:rPr>
          <w:rFonts w:hint="default" w:ascii="Times New Roman" w:hAnsi="Times New Roman" w:cs="Times New Roman"/>
          <w:color w:val="000000"/>
          <w:sz w:val="28"/>
          <w:szCs w:val="28"/>
        </w:rPr>
        <w:t>P</w:t>
      </w:r>
      <w:r>
        <w:rPr>
          <w:rFonts w:hint="default" w:ascii="Times New Roman" w:hAnsi="Times New Roman" w:cs="Times New Roman"/>
          <w:color w:val="000000"/>
          <w:sz w:val="28"/>
          <w:szCs w:val="28"/>
          <w:vertAlign w:val="subscript"/>
        </w:rPr>
        <w:t>3</w:t>
      </w:r>
      <w:r>
        <w:rPr>
          <w:rFonts w:hint="default" w:ascii="Times New Roman" w:hAnsi="Times New Roman" w:cs="Times New Roman"/>
          <w:color w:val="000000"/>
          <w:sz w:val="28"/>
          <w:szCs w:val="28"/>
        </w:rPr>
        <w:t>E</w:t>
      </w:r>
      <w:r>
        <w:rPr>
          <w:rFonts w:hint="default" w:ascii="Times New Roman" w:hAnsi="Times New Roman" w:cs="Times New Roman"/>
          <w:color w:val="000000"/>
          <w:sz w:val="28"/>
          <w:szCs w:val="28"/>
          <w:vertAlign w:val="subscript"/>
        </w:rPr>
        <w:t>3</w:t>
      </w:r>
      <w:r>
        <w:rPr>
          <w:rFonts w:hint="default" w:ascii="Times New Roman" w:hAnsi="Times New Roman" w:cs="Times New Roman"/>
          <w:color w:val="000000"/>
          <w:sz w:val="28"/>
          <w:szCs w:val="28"/>
        </w:rPr>
        <w:t>NS) and C11 (50 mol% C</w:t>
      </w:r>
      <w:r>
        <w:rPr>
          <w:rFonts w:hint="default" w:ascii="Times New Roman" w:hAnsi="Times New Roman" w:cs="Times New Roman"/>
          <w:color w:val="000000"/>
          <w:sz w:val="28"/>
          <w:szCs w:val="28"/>
          <w:vertAlign w:val="subscript"/>
        </w:rPr>
        <w:t>12</w:t>
      </w:r>
      <w:r>
        <w:rPr>
          <w:rFonts w:hint="default" w:ascii="Times New Roman" w:hAnsi="Times New Roman" w:cs="Times New Roman"/>
          <w:color w:val="000000"/>
          <w:sz w:val="28"/>
          <w:szCs w:val="28"/>
        </w:rPr>
        <w:t>P</w:t>
      </w:r>
      <w:r>
        <w:rPr>
          <w:rFonts w:hint="default" w:ascii="Times New Roman" w:hAnsi="Times New Roman" w:cs="Times New Roman"/>
          <w:color w:val="000000"/>
          <w:sz w:val="28"/>
          <w:szCs w:val="28"/>
          <w:vertAlign w:val="subscript"/>
        </w:rPr>
        <w:t>3</w:t>
      </w:r>
      <w:r>
        <w:rPr>
          <w:rFonts w:hint="default" w:ascii="Times New Roman" w:hAnsi="Times New Roman" w:cs="Times New Roman"/>
          <w:color w:val="000000"/>
          <w:sz w:val="28"/>
          <w:szCs w:val="28"/>
        </w:rPr>
        <w:t>E</w:t>
      </w:r>
      <w:r>
        <w:rPr>
          <w:rFonts w:hint="default" w:ascii="Times New Roman" w:hAnsi="Times New Roman" w:cs="Times New Roman"/>
          <w:color w:val="000000"/>
          <w:sz w:val="28"/>
          <w:szCs w:val="28"/>
          <w:vertAlign w:val="subscript"/>
        </w:rPr>
        <w:t>3</w:t>
      </w:r>
      <w:r>
        <w:rPr>
          <w:rFonts w:hint="default" w:ascii="Times New Roman" w:hAnsi="Times New Roman" w:cs="Times New Roman"/>
          <w:color w:val="000000"/>
          <w:sz w:val="28"/>
          <w:szCs w:val="28"/>
        </w:rPr>
        <w:t>NS). Both mixtures achieved ultralow IFT (~10</w:t>
      </w:r>
      <w:r>
        <w:rPr>
          <w:rFonts w:hint="default" w:ascii="Times New Roman" w:hAnsi="Times New Roman" w:cs="Times New Roman"/>
          <w:color w:val="000000"/>
          <w:sz w:val="28"/>
          <w:szCs w:val="28"/>
          <w:vertAlign w:val="superscript"/>
        </w:rPr>
        <w:t>-3</w:t>
      </w:r>
      <w:r>
        <w:rPr>
          <w:rFonts w:hint="default" w:ascii="Times New Roman" w:hAnsi="Times New Roman" w:cs="Times New Roman"/>
          <w:color w:val="000000"/>
          <w:sz w:val="28"/>
          <w:szCs w:val="28"/>
        </w:rPr>
        <w:t xml:space="preserve"> mN·m</w:t>
      </w:r>
      <w:r>
        <w:rPr>
          <w:rFonts w:hint="default" w:ascii="Times New Roman" w:hAnsi="Times New Roman" w:cs="Times New Roman"/>
          <w:color w:val="000000"/>
          <w:sz w:val="28"/>
          <w:szCs w:val="28"/>
          <w:vertAlign w:val="superscript"/>
        </w:rPr>
        <w:t>-1</w:t>
      </w:r>
      <w:r>
        <w:rPr>
          <w:rFonts w:hint="default" w:ascii="Times New Roman" w:hAnsi="Times New Roman" w:cs="Times New Roman"/>
          <w:color w:val="000000"/>
          <w:sz w:val="28"/>
          <w:szCs w:val="28"/>
        </w:rPr>
        <w:t>) at 10 wt% salinity, with C23 showing superior emulsification due to smaller droplet size, higher zeta potential, and stronger interfacial film strength. Wettability measurements confirmed oil-to-water wetting transformation, facilitating residual oil displacement. Core flooding results indicated that C23 reduced pressure by 10.3% with an oil recovery of 12.2%, outperforming C11.</w:t>
      </w:r>
    </w:p>
    <w:p w14:paraId="5E6EF5BE">
      <w:pPr>
        <w:widowControl/>
        <w:ind w:firstLine="709" w:firstLineChars="0"/>
        <w:rPr>
          <w:rFonts w:hint="default" w:ascii="Times New Roman" w:hAnsi="Times New Roman" w:cs="Times New Roman"/>
          <w:color w:val="000000"/>
          <w:sz w:val="28"/>
          <w:szCs w:val="28"/>
        </w:rPr>
      </w:pPr>
      <w:r>
        <w:rPr>
          <w:rFonts w:hint="default" w:ascii="Times New Roman" w:hAnsi="Times New Roman" w:cs="Times New Roman"/>
          <w:sz w:val="28"/>
          <w:szCs w:val="28"/>
        </w:rPr>
        <w:t>Comparing the two optimal systems, the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mixture exhibited stronger interaction behavior than the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NS/APG</w:t>
      </w:r>
      <w:r>
        <w:rPr>
          <w:rFonts w:hint="default" w:ascii="Times New Roman" w:hAnsi="Times New Roman" w:cs="Times New Roman"/>
          <w:sz w:val="28"/>
          <w:szCs w:val="28"/>
          <w:vertAlign w:val="subscript"/>
        </w:rPr>
        <w:t>0810</w:t>
      </w:r>
      <w:r>
        <w:rPr>
          <w:rFonts w:hint="default" w:ascii="Times New Roman" w:hAnsi="Times New Roman" w:cs="Times New Roman"/>
          <w:sz w:val="28"/>
          <w:szCs w:val="28"/>
        </w:rPr>
        <w:t xml:space="preserve"> system, likely due to electrostatic attraction between amphoteric and cationic surfactant heads. Both formulations achieved ultralow IFT at 10 wt% salinity, and C23 demonstrated higher emulsion stability due to larger zeta potentials and improved viscoelasticity. However, core flooding results indicated that C12A achieved higher oil recovery (15.25%) than C23 (9.74%), attributed to adsorption losses of cationic surfactants within the reservoir. These results highlight the potential of mixed amphoteric/cationic/nonionic surfactant formulations to enhance oil recovery through a combination of IFT reduction, wettability alteration, and emulsification. </w:t>
      </w:r>
      <w:r>
        <w:rPr>
          <w:rFonts w:hint="default" w:ascii="Times New Roman" w:hAnsi="Times New Roman" w:cs="Times New Roman"/>
          <w:color w:val="000000"/>
          <w:sz w:val="28"/>
          <w:szCs w:val="28"/>
        </w:rPr>
        <w:t>This study establishes a multiscale structure–interface–emulsion–flow relationship and provides a theoretical and practical basis for designing high-performance surfactant systems for harsh reservoir conditions.</w:t>
      </w:r>
    </w:p>
    <w:p w14:paraId="61D674C1">
      <w:pPr>
        <w:widowControl/>
        <w:ind w:firstLine="709" w:firstLineChars="0"/>
        <w:rPr>
          <w:rFonts w:hint="default" w:ascii="Times New Roman" w:hAnsi="Times New Roman" w:cs="Times New Roman"/>
          <w:color w:val="000000"/>
          <w:sz w:val="28"/>
          <w:szCs w:val="28"/>
        </w:rPr>
      </w:pPr>
    </w:p>
    <w:p w14:paraId="7B49FE2E">
      <w:pPr>
        <w:widowControl/>
        <w:ind w:firstLine="709" w:firstLineChars="0"/>
        <w:rPr>
          <w:rFonts w:hint="default" w:ascii="Times New Roman" w:hAnsi="Times New Roman" w:cs="Times New Roman"/>
          <w:sz w:val="28"/>
          <w:szCs w:val="28"/>
        </w:rPr>
      </w:pPr>
      <w:r>
        <w:rPr>
          <w:rFonts w:hint="default" w:ascii="Times New Roman" w:hAnsi="Times New Roman" w:cs="Times New Roman"/>
          <w:b/>
          <w:bCs/>
          <w:color w:val="000000"/>
          <w:sz w:val="28"/>
          <w:szCs w:val="28"/>
        </w:rPr>
        <w:t>Keywords:</w:t>
      </w:r>
      <w:r>
        <w:rPr>
          <w:rFonts w:hint="default" w:ascii="Times New Roman" w:hAnsi="Times New Roman" w:cs="Times New Roman"/>
          <w:color w:val="000000"/>
          <w:sz w:val="28"/>
          <w:szCs w:val="28"/>
        </w:rPr>
        <w:t xml:space="preserve"> Extended amphoteric surfactant, Interfacial tension, Interaction behaviour, Emulsification, Wettability alteration, Enhance oil recovery</w:t>
      </w:r>
      <w:r>
        <w:rPr>
          <w:rFonts w:hint="default" w:ascii="Times New Roman" w:hAnsi="Times New Roman" w:cs="Times New Roman"/>
          <w:sz w:val="28"/>
          <w:szCs w:val="28"/>
        </w:rPr>
        <w:br w:type="page"/>
      </w:r>
    </w:p>
    <w:sdt>
      <w:sdtPr>
        <w:rPr>
          <w:rFonts w:hint="default" w:ascii="Times New Roman" w:hAnsi="Times New Roman" w:cs="Times New Roman"/>
          <w:sz w:val="28"/>
          <w:szCs w:val="28"/>
        </w:rPr>
        <w:id w:val="147457872"/>
        <w15:color w:val="DBDBDB"/>
        <w:docPartObj>
          <w:docPartGallery w:val="Table of Contents"/>
          <w:docPartUnique/>
        </w:docPartObj>
      </w:sdtPr>
      <w:sdtEndPr>
        <w:rPr>
          <w:rFonts w:hint="default" w:ascii="Times New Roman" w:hAnsi="Times New Roman" w:cs="Times New Roman"/>
          <w:sz w:val="28"/>
          <w:szCs w:val="28"/>
        </w:rPr>
      </w:sdtEndPr>
      <w:sdtContent>
        <w:p w14:paraId="60A92465">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b/>
              <w:bCs/>
              <w:sz w:val="28"/>
              <w:szCs w:val="28"/>
            </w:rPr>
            <w:t>OUTLINE</w:t>
          </w:r>
        </w:p>
        <w:p w14:paraId="7B6AEDBE">
          <w:pPr>
            <w:pStyle w:val="10"/>
            <w:tabs>
              <w:tab w:val="right" w:leader="dot" w:pos="9638"/>
              <w:tab w:val="clear" w:pos="8504"/>
            </w:tabs>
            <w:rPr>
              <w:rFonts w:hint="default" w:ascii="Times New Roman" w:hAnsi="Times New Roman" w:cs="Times New Roman"/>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TOC \o "1-3" \h \u </w:instrText>
          </w:r>
          <w:r>
            <w:rPr>
              <w:rFonts w:hint="default" w:ascii="Times New Roman" w:hAnsi="Times New Roman" w:cs="Times New Roman"/>
              <w:sz w:val="28"/>
              <w:szCs w:val="28"/>
            </w:rPr>
            <w:fldChar w:fldCharType="separate"/>
          </w: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_Toc13195 </w:instrText>
          </w:r>
          <w:r>
            <w:rPr>
              <w:rFonts w:hint="default" w:ascii="Times New Roman" w:hAnsi="Times New Roman" w:cs="Times New Roman"/>
              <w:szCs w:val="28"/>
            </w:rPr>
            <w:fldChar w:fldCharType="separate"/>
          </w:r>
          <w:r>
            <w:rPr>
              <w:rFonts w:hint="default" w:ascii="Times New Roman" w:hAnsi="Times New Roman" w:cs="Times New Roman"/>
              <w:szCs w:val="28"/>
            </w:rPr>
            <w:t>ABSTRACT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_Toc13195 \h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1DFADFE6">
          <w:pPr>
            <w:pStyle w:val="10"/>
            <w:tabs>
              <w:tab w:val="right" w:leader="dot" w:pos="9638"/>
              <w:tab w:val="clear" w:pos="8504"/>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_Toc20677 </w:instrText>
          </w:r>
          <w:r>
            <w:rPr>
              <w:rFonts w:hint="default" w:ascii="Times New Roman" w:hAnsi="Times New Roman" w:cs="Times New Roman"/>
              <w:szCs w:val="28"/>
            </w:rPr>
            <w:fldChar w:fldCharType="separate"/>
          </w:r>
          <w:r>
            <w:rPr>
              <w:rFonts w:hint="default" w:ascii="Times New Roman" w:hAnsi="Times New Roman" w:cs="Times New Roman"/>
              <w:szCs w:val="28"/>
              <w:lang w:val="en-US" w:eastAsia="zh-CN"/>
            </w:rPr>
            <w:t xml:space="preserve">CHAPTER 1 </w:t>
          </w:r>
          <w:r>
            <w:rPr>
              <w:rFonts w:hint="default" w:ascii="Times New Roman" w:hAnsi="Times New Roman" w:cs="Times New Roman"/>
              <w:szCs w:val="28"/>
            </w:rPr>
            <w:t>I</w:t>
          </w:r>
          <w:r>
            <w:rPr>
              <w:rFonts w:hint="default" w:ascii="Times New Roman" w:hAnsi="Times New Roman" w:cs="Times New Roman"/>
              <w:szCs w:val="28"/>
              <w:lang w:val="en-US" w:eastAsia="zh-CN"/>
            </w:rPr>
            <w:t>NTRODUCTION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_Toc20677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07D21A86">
          <w:pPr>
            <w:pStyle w:val="12"/>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_Toc20627 </w:instrText>
          </w:r>
          <w:r>
            <w:rPr>
              <w:rFonts w:hint="default" w:ascii="Times New Roman" w:hAnsi="Times New Roman" w:cs="Times New Roman"/>
              <w:szCs w:val="28"/>
            </w:rPr>
            <w:fldChar w:fldCharType="separate"/>
          </w:r>
          <w:r>
            <w:rPr>
              <w:rFonts w:hint="default" w:ascii="Times New Roman" w:hAnsi="Times New Roman" w:cs="Times New Roman"/>
              <w:bCs/>
              <w:i w:val="0"/>
              <w:iCs w:val="0"/>
              <w:szCs w:val="28"/>
            </w:rPr>
            <w:t>1.1 The general characteristics of the study</w:t>
          </w:r>
          <w:r>
            <w:rPr>
              <w:rFonts w:hint="default" w:ascii="Times New Roman" w:hAnsi="Times New Roman" w:cs="Times New Roman"/>
              <w:bCs/>
              <w:i w:val="0"/>
              <w:iCs w:val="0"/>
              <w:szCs w:val="28"/>
              <w:lang w:val="en-US" w:eastAsia="zh-CN"/>
            </w:rPr>
            <w: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_Toc20627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4E06C1CB">
          <w:pPr>
            <w:pStyle w:val="12"/>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_Toc23717 </w:instrText>
          </w:r>
          <w:r>
            <w:rPr>
              <w:rFonts w:hint="default" w:ascii="Times New Roman" w:hAnsi="Times New Roman" w:cs="Times New Roman"/>
              <w:szCs w:val="28"/>
            </w:rPr>
            <w:fldChar w:fldCharType="separate"/>
          </w:r>
          <w:r>
            <w:rPr>
              <w:rFonts w:hint="default" w:ascii="Times New Roman" w:hAnsi="Times New Roman" w:cs="Times New Roman"/>
              <w:bCs/>
              <w:i w:val="0"/>
              <w:iCs w:val="0"/>
              <w:szCs w:val="28"/>
            </w:rPr>
            <w:t>1.2 Relevance</w:t>
          </w:r>
          <w:r>
            <w:rPr>
              <w:rFonts w:hint="default" w:ascii="Times New Roman" w:hAnsi="Times New Roman" w:cs="Times New Roman"/>
              <w:bCs/>
              <w:i w:val="0"/>
              <w:iCs w:val="0"/>
              <w:szCs w:val="28"/>
              <w:lang w:val="en-US" w:eastAsia="zh-CN"/>
            </w:rPr>
            <w: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_Toc23717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2539C2DF">
          <w:pPr>
            <w:pStyle w:val="12"/>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_Toc8233 </w:instrText>
          </w:r>
          <w:r>
            <w:rPr>
              <w:rFonts w:hint="default" w:ascii="Times New Roman" w:hAnsi="Times New Roman" w:cs="Times New Roman"/>
              <w:szCs w:val="28"/>
            </w:rPr>
            <w:fldChar w:fldCharType="separate"/>
          </w:r>
          <w:r>
            <w:rPr>
              <w:rFonts w:hint="default" w:ascii="Times New Roman" w:hAnsi="Times New Roman" w:cs="Times New Roman"/>
              <w:bCs/>
              <w:i w:val="0"/>
              <w:iCs w:val="0"/>
              <w:szCs w:val="28"/>
            </w:rPr>
            <w:t>1.3 Purpose of study</w:t>
          </w:r>
          <w:r>
            <w:rPr>
              <w:rFonts w:hint="default" w:ascii="Times New Roman" w:hAnsi="Times New Roman" w:cs="Times New Roman"/>
              <w:bCs/>
              <w:i w:val="0"/>
              <w:iCs w:val="0"/>
              <w:szCs w:val="28"/>
              <w:lang w:val="en-US" w:eastAsia="zh-CN"/>
            </w:rPr>
            <w: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_Toc8233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755DD0C1">
          <w:pPr>
            <w:pStyle w:val="12"/>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_Toc16354 </w:instrText>
          </w:r>
          <w:r>
            <w:rPr>
              <w:rFonts w:hint="default" w:ascii="Times New Roman" w:hAnsi="Times New Roman" w:cs="Times New Roman"/>
              <w:szCs w:val="28"/>
            </w:rPr>
            <w:fldChar w:fldCharType="separate"/>
          </w:r>
          <w:r>
            <w:rPr>
              <w:rFonts w:hint="default" w:ascii="Times New Roman" w:hAnsi="Times New Roman" w:cs="Times New Roman"/>
              <w:bCs/>
              <w:i w:val="0"/>
              <w:iCs w:val="0"/>
              <w:szCs w:val="28"/>
            </w:rPr>
            <w:t>1.4 Research tasks</w:t>
          </w:r>
          <w:r>
            <w:rPr>
              <w:rFonts w:hint="default" w:ascii="Times New Roman" w:hAnsi="Times New Roman" w:cs="Times New Roman"/>
              <w:bCs/>
              <w:i w:val="0"/>
              <w:iCs w:val="0"/>
              <w:szCs w:val="28"/>
              <w:lang w:val="en-US" w:eastAsia="zh-CN"/>
            </w:rPr>
            <w: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_Toc16354 \h </w:instrText>
          </w:r>
          <w:r>
            <w:rPr>
              <w:rFonts w:hint="default" w:ascii="Times New Roman" w:hAnsi="Times New Roman" w:cs="Times New Roman"/>
            </w:rPr>
            <w:fldChar w:fldCharType="separate"/>
          </w:r>
          <w:r>
            <w:rPr>
              <w:rFonts w:hint="default" w:ascii="Times New Roman" w:hAnsi="Times New Roman" w:cs="Times New Roman"/>
            </w:rPr>
            <w:t>9</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1EC5E5FC">
          <w:pPr>
            <w:pStyle w:val="12"/>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_Toc32158 </w:instrText>
          </w:r>
          <w:r>
            <w:rPr>
              <w:rFonts w:hint="default" w:ascii="Times New Roman" w:hAnsi="Times New Roman" w:cs="Times New Roman"/>
              <w:szCs w:val="28"/>
            </w:rPr>
            <w:fldChar w:fldCharType="separate"/>
          </w:r>
          <w:r>
            <w:rPr>
              <w:rFonts w:hint="default" w:ascii="Times New Roman" w:hAnsi="Times New Roman" w:cs="Times New Roman"/>
              <w:bCs/>
              <w:i w:val="0"/>
              <w:iCs w:val="0"/>
              <w:szCs w:val="28"/>
            </w:rPr>
            <w:t>1.5 Objects of study</w:t>
          </w:r>
          <w:r>
            <w:rPr>
              <w:rFonts w:hint="default" w:ascii="Times New Roman" w:hAnsi="Times New Roman" w:cs="Times New Roman"/>
              <w:bCs/>
              <w:i w:val="0"/>
              <w:iCs w:val="0"/>
              <w:szCs w:val="28"/>
              <w:lang w:val="en-US" w:eastAsia="zh-CN"/>
            </w:rPr>
            <w: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_Toc32158 \h </w:instrText>
          </w:r>
          <w:r>
            <w:rPr>
              <w:rFonts w:hint="default" w:ascii="Times New Roman" w:hAnsi="Times New Roman" w:cs="Times New Roman"/>
            </w:rPr>
            <w:fldChar w:fldCharType="separate"/>
          </w:r>
          <w:r>
            <w:rPr>
              <w:rFonts w:hint="default" w:ascii="Times New Roman" w:hAnsi="Times New Roman" w:cs="Times New Roman"/>
            </w:rPr>
            <w:t>9</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37560DF1">
          <w:pPr>
            <w:pStyle w:val="12"/>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_Toc6821 </w:instrText>
          </w:r>
          <w:r>
            <w:rPr>
              <w:rFonts w:hint="default" w:ascii="Times New Roman" w:hAnsi="Times New Roman" w:cs="Times New Roman"/>
              <w:szCs w:val="28"/>
            </w:rPr>
            <w:fldChar w:fldCharType="separate"/>
          </w:r>
          <w:r>
            <w:rPr>
              <w:rFonts w:hint="default" w:ascii="Times New Roman" w:hAnsi="Times New Roman" w:cs="Times New Roman"/>
              <w:bCs/>
              <w:i w:val="0"/>
              <w:iCs w:val="0"/>
              <w:szCs w:val="28"/>
            </w:rPr>
            <w:t>1.6 Subject of study</w:t>
          </w:r>
          <w:r>
            <w:rPr>
              <w:rFonts w:hint="default" w:ascii="Times New Roman" w:hAnsi="Times New Roman" w:cs="Times New Roman"/>
              <w:bCs/>
              <w:i w:val="0"/>
              <w:iCs w:val="0"/>
              <w:szCs w:val="28"/>
              <w:lang w:val="en-US" w:eastAsia="zh-CN"/>
            </w:rPr>
            <w: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_Toc6821 \h </w:instrText>
          </w:r>
          <w:r>
            <w:rPr>
              <w:rFonts w:hint="default" w:ascii="Times New Roman" w:hAnsi="Times New Roman" w:cs="Times New Roman"/>
            </w:rPr>
            <w:fldChar w:fldCharType="separate"/>
          </w:r>
          <w:r>
            <w:rPr>
              <w:rFonts w:hint="default" w:ascii="Times New Roman" w:hAnsi="Times New Roman" w:cs="Times New Roman"/>
            </w:rPr>
            <w:t>9</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00E4ACD7">
          <w:pPr>
            <w:pStyle w:val="12"/>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_Toc31242 </w:instrText>
          </w:r>
          <w:r>
            <w:rPr>
              <w:rFonts w:hint="default" w:ascii="Times New Roman" w:hAnsi="Times New Roman" w:cs="Times New Roman"/>
              <w:szCs w:val="28"/>
            </w:rPr>
            <w:fldChar w:fldCharType="separate"/>
          </w:r>
          <w:r>
            <w:rPr>
              <w:rFonts w:hint="default" w:ascii="Times New Roman" w:hAnsi="Times New Roman" w:cs="Times New Roman"/>
              <w:bCs/>
              <w:i w:val="0"/>
              <w:iCs w:val="0"/>
              <w:szCs w:val="28"/>
            </w:rPr>
            <w:t>1.7 Main provisions for the defense</w:t>
          </w:r>
          <w:r>
            <w:rPr>
              <w:rFonts w:hint="default" w:ascii="Times New Roman" w:hAnsi="Times New Roman" w:cs="Times New Roman"/>
              <w:bCs/>
              <w:i w:val="0"/>
              <w:iCs w:val="0"/>
              <w:szCs w:val="28"/>
              <w:lang w:val="en-US" w:eastAsia="zh-CN"/>
            </w:rPr>
            <w: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_Toc31242 \h </w:instrText>
          </w:r>
          <w:r>
            <w:rPr>
              <w:rFonts w:hint="default" w:ascii="Times New Roman" w:hAnsi="Times New Roman" w:cs="Times New Roman"/>
            </w:rPr>
            <w:fldChar w:fldCharType="separate"/>
          </w:r>
          <w:r>
            <w:rPr>
              <w:rFonts w:hint="default" w:ascii="Times New Roman" w:hAnsi="Times New Roman" w:cs="Times New Roman"/>
            </w:rPr>
            <w:t>9</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31E3FE2A">
          <w:pPr>
            <w:pStyle w:val="12"/>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_Toc19677 </w:instrText>
          </w:r>
          <w:r>
            <w:rPr>
              <w:rFonts w:hint="default" w:ascii="Times New Roman" w:hAnsi="Times New Roman" w:cs="Times New Roman"/>
              <w:szCs w:val="28"/>
            </w:rPr>
            <w:fldChar w:fldCharType="separate"/>
          </w:r>
          <w:r>
            <w:rPr>
              <w:rFonts w:hint="default" w:ascii="Times New Roman" w:hAnsi="Times New Roman" w:cs="Times New Roman"/>
              <w:bCs/>
              <w:i w:val="0"/>
              <w:iCs w:val="0"/>
              <w:szCs w:val="28"/>
            </w:rPr>
            <w:t>1.8 Scientific novelty</w:t>
          </w:r>
          <w:r>
            <w:rPr>
              <w:rFonts w:hint="default" w:ascii="Times New Roman" w:hAnsi="Times New Roman" w:cs="Times New Roman"/>
              <w:bCs/>
              <w:i w:val="0"/>
              <w:iCs w:val="0"/>
              <w:szCs w:val="28"/>
              <w:lang w:val="en-US" w:eastAsia="zh-CN"/>
            </w:rPr>
            <w: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_Toc19677 \h </w:instrText>
          </w:r>
          <w:r>
            <w:rPr>
              <w:rFonts w:hint="default" w:ascii="Times New Roman" w:hAnsi="Times New Roman" w:cs="Times New Roman"/>
            </w:rPr>
            <w:fldChar w:fldCharType="separate"/>
          </w:r>
          <w:r>
            <w:rPr>
              <w:rFonts w:hint="default" w:ascii="Times New Roman" w:hAnsi="Times New Roman" w:cs="Times New Roman"/>
            </w:rPr>
            <w:t>9</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3FFFEED4">
          <w:pPr>
            <w:pStyle w:val="12"/>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_Toc1041 </w:instrText>
          </w:r>
          <w:r>
            <w:rPr>
              <w:rFonts w:hint="default" w:ascii="Times New Roman" w:hAnsi="Times New Roman" w:cs="Times New Roman"/>
              <w:szCs w:val="28"/>
            </w:rPr>
            <w:fldChar w:fldCharType="separate"/>
          </w:r>
          <w:r>
            <w:rPr>
              <w:rFonts w:hint="default" w:ascii="Times New Roman" w:hAnsi="Times New Roman" w:cs="Times New Roman"/>
              <w:bCs/>
              <w:i w:val="0"/>
              <w:iCs w:val="0"/>
              <w:szCs w:val="28"/>
            </w:rPr>
            <w:t>1.9 Scientific and practical significance of the work</w:t>
          </w:r>
          <w:r>
            <w:rPr>
              <w:rFonts w:hint="default" w:ascii="Times New Roman" w:hAnsi="Times New Roman" w:cs="Times New Roman"/>
              <w:bCs/>
              <w:i w:val="0"/>
              <w:iCs w:val="0"/>
              <w:szCs w:val="28"/>
              <w:lang w:val="en-US" w:eastAsia="zh-CN"/>
            </w:rPr>
            <w: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_Toc1041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53D1B5C2">
          <w:pPr>
            <w:pStyle w:val="12"/>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_Toc1886 </w:instrText>
          </w:r>
          <w:r>
            <w:rPr>
              <w:rFonts w:hint="default" w:ascii="Times New Roman" w:hAnsi="Times New Roman" w:cs="Times New Roman"/>
              <w:szCs w:val="28"/>
            </w:rPr>
            <w:fldChar w:fldCharType="separate"/>
          </w:r>
          <w:r>
            <w:rPr>
              <w:rFonts w:hint="default" w:ascii="Times New Roman" w:hAnsi="Times New Roman" w:cs="Times New Roman"/>
              <w:bCs/>
              <w:i w:val="0"/>
              <w:iCs w:val="0"/>
              <w:szCs w:val="28"/>
            </w:rPr>
            <w:t>1.13 Relation of the dissertation topic with the plans of scientific works</w:t>
          </w:r>
          <w:r>
            <w:rPr>
              <w:rFonts w:hint="default" w:ascii="Times New Roman" w:hAnsi="Times New Roman" w:cs="Times New Roman"/>
              <w:bCs/>
              <w:i w:val="0"/>
              <w:iCs w:val="0"/>
              <w:szCs w:val="28"/>
              <w:lang w:val="en-US" w:eastAsia="zh-CN"/>
            </w:rPr>
            <w: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_Toc1886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34533313">
          <w:pPr>
            <w:pStyle w:val="12"/>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_Toc6893 </w:instrText>
          </w:r>
          <w:r>
            <w:rPr>
              <w:rFonts w:hint="default" w:ascii="Times New Roman" w:hAnsi="Times New Roman" w:cs="Times New Roman"/>
              <w:szCs w:val="28"/>
            </w:rPr>
            <w:fldChar w:fldCharType="separate"/>
          </w:r>
          <w:r>
            <w:rPr>
              <w:rFonts w:hint="default" w:ascii="Times New Roman" w:hAnsi="Times New Roman" w:cs="Times New Roman"/>
              <w:bCs/>
              <w:i w:val="0"/>
              <w:iCs w:val="0"/>
              <w:szCs w:val="28"/>
            </w:rPr>
            <w:t>1.14 Structure and scope of the dissertation</w:t>
          </w:r>
          <w:r>
            <w:rPr>
              <w:rFonts w:hint="default" w:ascii="Times New Roman" w:hAnsi="Times New Roman" w:cs="Times New Roman"/>
              <w:bCs/>
              <w:i w:val="0"/>
              <w:iCs w:val="0"/>
              <w:szCs w:val="28"/>
              <w:lang w:val="en-US" w:eastAsia="zh-CN"/>
            </w:rPr>
            <w: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_Toc6893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5084F875">
          <w:pPr>
            <w:pStyle w:val="10"/>
            <w:tabs>
              <w:tab w:val="right" w:leader="dot" w:pos="9638"/>
              <w:tab w:val="clear" w:pos="8504"/>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_Toc32587 </w:instrText>
          </w:r>
          <w:r>
            <w:rPr>
              <w:rFonts w:hint="default" w:ascii="Times New Roman" w:hAnsi="Times New Roman" w:cs="Times New Roman"/>
              <w:szCs w:val="28"/>
            </w:rPr>
            <w:fldChar w:fldCharType="separate"/>
          </w:r>
          <w:r>
            <w:rPr>
              <w:rFonts w:hint="default" w:ascii="Times New Roman" w:hAnsi="Times New Roman" w:cs="Times New Roman"/>
              <w:szCs w:val="28"/>
            </w:rPr>
            <w:t>C</w:t>
          </w:r>
          <w:r>
            <w:rPr>
              <w:rFonts w:hint="default" w:ascii="Times New Roman" w:hAnsi="Times New Roman" w:cs="Times New Roman"/>
              <w:szCs w:val="28"/>
              <w:lang w:val="en-US" w:eastAsia="zh-CN"/>
            </w:rPr>
            <w:t>HAPTER</w:t>
          </w:r>
          <w:r>
            <w:rPr>
              <w:rFonts w:hint="default" w:ascii="Times New Roman" w:hAnsi="Times New Roman" w:cs="Times New Roman"/>
              <w:szCs w:val="28"/>
            </w:rPr>
            <w:t xml:space="preserve"> 2 </w:t>
          </w:r>
          <w:r>
            <w:rPr>
              <w:rFonts w:hint="default" w:ascii="Times New Roman" w:hAnsi="Times New Roman" w:cs="Times New Roman"/>
              <w:szCs w:val="28"/>
              <w:lang w:val="en-US" w:eastAsia="zh-CN"/>
            </w:rPr>
            <w:t>LITERATURE</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REVIEW</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_Toc32587 \h </w:instrText>
          </w:r>
          <w:r>
            <w:rPr>
              <w:rFonts w:hint="default" w:ascii="Times New Roman" w:hAnsi="Times New Roman" w:cs="Times New Roman"/>
            </w:rPr>
            <w:fldChar w:fldCharType="separate"/>
          </w:r>
          <w:r>
            <w:rPr>
              <w:rFonts w:hint="default" w:ascii="Times New Roman" w:hAnsi="Times New Roman" w:cs="Times New Roman"/>
            </w:rPr>
            <w:t>12</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0E2E3538">
          <w:pPr>
            <w:pStyle w:val="12"/>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_Toc20162 </w:instrText>
          </w:r>
          <w:r>
            <w:rPr>
              <w:rFonts w:hint="default" w:ascii="Times New Roman" w:hAnsi="Times New Roman" w:cs="Times New Roman"/>
              <w:szCs w:val="28"/>
            </w:rPr>
            <w:fldChar w:fldCharType="separate"/>
          </w:r>
          <w:r>
            <w:rPr>
              <w:rFonts w:hint="default" w:ascii="Times New Roman" w:hAnsi="Times New Roman" w:eastAsia="等线 Light" w:cs="Times New Roman"/>
              <w:bCs/>
              <w:i w:val="0"/>
              <w:iCs w:val="0"/>
              <w:szCs w:val="28"/>
            </w:rPr>
            <w:t>2.1 Research background</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_Toc20162 \h </w:instrText>
          </w:r>
          <w:r>
            <w:rPr>
              <w:rFonts w:hint="default" w:ascii="Times New Roman" w:hAnsi="Times New Roman" w:cs="Times New Roman"/>
            </w:rPr>
            <w:fldChar w:fldCharType="separate"/>
          </w:r>
          <w:r>
            <w:rPr>
              <w:rFonts w:hint="default" w:ascii="Times New Roman" w:hAnsi="Times New Roman" w:cs="Times New Roman"/>
            </w:rPr>
            <w:t>12</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6DE03B1B">
          <w:pPr>
            <w:pStyle w:val="12"/>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_Toc7580 </w:instrText>
          </w:r>
          <w:r>
            <w:rPr>
              <w:rFonts w:hint="default" w:ascii="Times New Roman" w:hAnsi="Times New Roman" w:cs="Times New Roman"/>
              <w:szCs w:val="28"/>
            </w:rPr>
            <w:fldChar w:fldCharType="separate"/>
          </w:r>
          <w:r>
            <w:rPr>
              <w:rFonts w:hint="default" w:ascii="Times New Roman" w:hAnsi="Times New Roman" w:eastAsia="等线 Light" w:cs="Times New Roman"/>
              <w:bCs/>
              <w:i w:val="0"/>
              <w:iCs w:val="0"/>
              <w:szCs w:val="28"/>
            </w:rPr>
            <w:t>2.2 Development of surfactants for EOR</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_Toc7580 \h </w:instrText>
          </w:r>
          <w:r>
            <w:rPr>
              <w:rFonts w:hint="default" w:ascii="Times New Roman" w:hAnsi="Times New Roman" w:cs="Times New Roman"/>
            </w:rPr>
            <w:fldChar w:fldCharType="separate"/>
          </w:r>
          <w:r>
            <w:rPr>
              <w:rFonts w:hint="default" w:ascii="Times New Roman" w:hAnsi="Times New Roman" w:cs="Times New Roman"/>
            </w:rPr>
            <w:t>13</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01EF1F07">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_Toc8318 </w:instrText>
          </w:r>
          <w:r>
            <w:rPr>
              <w:rFonts w:hint="default" w:ascii="Times New Roman" w:hAnsi="Times New Roman" w:cs="Times New Roman"/>
              <w:szCs w:val="28"/>
            </w:rPr>
            <w:fldChar w:fldCharType="separate"/>
          </w:r>
          <w:r>
            <w:rPr>
              <w:rFonts w:hint="default" w:ascii="Times New Roman" w:hAnsi="Times New Roman" w:cs="Times New Roman"/>
              <w:bCs/>
              <w:i w:val="0"/>
              <w:iCs w:val="0"/>
              <w:szCs w:val="28"/>
            </w:rPr>
            <w:t>2.2.1 Classification of surfactants for EOR</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_Toc8318 \h </w:instrText>
          </w:r>
          <w:r>
            <w:rPr>
              <w:rFonts w:hint="default" w:ascii="Times New Roman" w:hAnsi="Times New Roman" w:cs="Times New Roman"/>
            </w:rPr>
            <w:fldChar w:fldCharType="separate"/>
          </w:r>
          <w:r>
            <w:rPr>
              <w:rFonts w:hint="default" w:ascii="Times New Roman" w:hAnsi="Times New Roman" w:cs="Times New Roman"/>
            </w:rPr>
            <w:t>14</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62FCDF21">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_Toc9687 </w:instrText>
          </w:r>
          <w:r>
            <w:rPr>
              <w:rFonts w:hint="default" w:ascii="Times New Roman" w:hAnsi="Times New Roman" w:cs="Times New Roman"/>
              <w:szCs w:val="28"/>
            </w:rPr>
            <w:fldChar w:fldCharType="separate"/>
          </w:r>
          <w:r>
            <w:rPr>
              <w:rFonts w:hint="default" w:ascii="Times New Roman" w:hAnsi="Times New Roman" w:cs="Times New Roman"/>
              <w:bCs/>
              <w:i w:val="0"/>
              <w:iCs w:val="0"/>
              <w:szCs w:val="28"/>
            </w:rPr>
            <w:t>2.2.2 Classification of amphoteric surfactant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_Toc9687 \h </w:instrText>
          </w:r>
          <w:r>
            <w:rPr>
              <w:rFonts w:hint="default" w:ascii="Times New Roman" w:hAnsi="Times New Roman" w:cs="Times New Roman"/>
            </w:rPr>
            <w:fldChar w:fldCharType="separate"/>
          </w:r>
          <w:r>
            <w:rPr>
              <w:rFonts w:hint="default" w:ascii="Times New Roman" w:hAnsi="Times New Roman" w:cs="Times New Roman"/>
            </w:rPr>
            <w:t>15</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1B2CD210">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_Toc18753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2.2.3 Limitations of conventional amphoteric surfactants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_Toc18753 \h </w:instrText>
          </w:r>
          <w:r>
            <w:rPr>
              <w:rFonts w:hint="default" w:ascii="Times New Roman" w:hAnsi="Times New Roman" w:cs="Times New Roman"/>
            </w:rPr>
            <w:fldChar w:fldCharType="separate"/>
          </w:r>
          <w:r>
            <w:rPr>
              <w:rFonts w:hint="default" w:ascii="Times New Roman" w:hAnsi="Times New Roman" w:cs="Times New Roman"/>
            </w:rPr>
            <w:t>16</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734F25F6">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_Toc14887 </w:instrText>
          </w:r>
          <w:r>
            <w:rPr>
              <w:rFonts w:hint="default" w:ascii="Times New Roman" w:hAnsi="Times New Roman" w:cs="Times New Roman"/>
              <w:szCs w:val="28"/>
            </w:rPr>
            <w:fldChar w:fldCharType="separate"/>
          </w:r>
          <w:r>
            <w:rPr>
              <w:rFonts w:hint="default" w:ascii="Times New Roman" w:hAnsi="Times New Roman" w:cs="Times New Roman"/>
              <w:bCs/>
              <w:i w:val="0"/>
              <w:iCs w:val="0"/>
              <w:szCs w:val="28"/>
            </w:rPr>
            <w:t>2.2.4 Development of extended amphoteric surfactants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_Toc14887 \h </w:instrText>
          </w:r>
          <w:r>
            <w:rPr>
              <w:rFonts w:hint="default" w:ascii="Times New Roman" w:hAnsi="Times New Roman" w:cs="Times New Roman"/>
            </w:rPr>
            <w:fldChar w:fldCharType="separate"/>
          </w:r>
          <w:r>
            <w:rPr>
              <w:rFonts w:hint="default" w:ascii="Times New Roman" w:hAnsi="Times New Roman" w:cs="Times New Roman"/>
            </w:rPr>
            <w:t>17</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381E7FF0">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_Toc25461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2.2.5 Blended Extended Amphoteric Surfactant Systems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_Toc25461 \h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742AC85F">
          <w:pPr>
            <w:pStyle w:val="12"/>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_Toc2870 </w:instrText>
          </w:r>
          <w:r>
            <w:rPr>
              <w:rFonts w:hint="default" w:ascii="Times New Roman" w:hAnsi="Times New Roman" w:cs="Times New Roman"/>
              <w:szCs w:val="28"/>
            </w:rPr>
            <w:fldChar w:fldCharType="separate"/>
          </w:r>
          <w:r>
            <w:rPr>
              <w:rFonts w:hint="default" w:ascii="Times New Roman" w:hAnsi="Times New Roman" w:cs="Times New Roman"/>
              <w:bCs w:val="0"/>
              <w:i w:val="0"/>
              <w:iCs w:val="0"/>
              <w:szCs w:val="28"/>
            </w:rPr>
            <w:t>2.3 Research scheme</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_Toc2870 \h </w:instrText>
          </w:r>
          <w:r>
            <w:rPr>
              <w:rFonts w:hint="default" w:ascii="Times New Roman" w:hAnsi="Times New Roman" w:cs="Times New Roman"/>
            </w:rPr>
            <w:fldChar w:fldCharType="separate"/>
          </w:r>
          <w:r>
            <w:rPr>
              <w:rFonts w:hint="default" w:ascii="Times New Roman" w:hAnsi="Times New Roman" w:cs="Times New Roman"/>
            </w:rPr>
            <w:t>23</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2B486BFF">
          <w:pPr>
            <w:pStyle w:val="10"/>
            <w:tabs>
              <w:tab w:val="right" w:leader="dot" w:pos="9638"/>
              <w:tab w:val="clear" w:pos="8504"/>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_Toc8679 </w:instrText>
          </w:r>
          <w:r>
            <w:rPr>
              <w:rFonts w:hint="default" w:ascii="Times New Roman" w:hAnsi="Times New Roman" w:cs="Times New Roman"/>
              <w:szCs w:val="28"/>
            </w:rPr>
            <w:fldChar w:fldCharType="separate"/>
          </w:r>
          <w:r>
            <w:rPr>
              <w:rFonts w:hint="default" w:ascii="Times New Roman" w:hAnsi="Times New Roman" w:cs="Times New Roman"/>
              <w:szCs w:val="28"/>
            </w:rPr>
            <w:t>C</w:t>
          </w:r>
          <w:r>
            <w:rPr>
              <w:rFonts w:hint="default" w:ascii="Times New Roman" w:hAnsi="Times New Roman" w:cs="Times New Roman"/>
              <w:szCs w:val="28"/>
              <w:lang w:val="en-US" w:eastAsia="zh-CN"/>
            </w:rPr>
            <w:t>HAPTER</w:t>
          </w:r>
          <w:r>
            <w:rPr>
              <w:rFonts w:hint="default" w:ascii="Times New Roman" w:hAnsi="Times New Roman" w:cs="Times New Roman"/>
              <w:szCs w:val="28"/>
            </w:rPr>
            <w:t xml:space="preserve"> 3 S</w:t>
          </w:r>
          <w:r>
            <w:rPr>
              <w:rFonts w:hint="default" w:ascii="Times New Roman" w:hAnsi="Times New Roman" w:cs="Times New Roman"/>
              <w:szCs w:val="28"/>
              <w:lang w:val="en-US" w:eastAsia="zh-CN"/>
            </w:rPr>
            <w:t>YNTHESIS</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AND</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PROPERTIES</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OF</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EXTENDED</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AMPHOTERIC SURFACTANT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_Toc8679 \h </w:instrText>
          </w:r>
          <w:r>
            <w:rPr>
              <w:rFonts w:hint="default" w:ascii="Times New Roman" w:hAnsi="Times New Roman" w:cs="Times New Roman"/>
            </w:rPr>
            <w:fldChar w:fldCharType="separate"/>
          </w:r>
          <w:r>
            <w:rPr>
              <w:rFonts w:hint="default" w:ascii="Times New Roman" w:hAnsi="Times New Roman" w:cs="Times New Roman"/>
            </w:rPr>
            <w:t>25</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66F68708">
          <w:pPr>
            <w:pStyle w:val="12"/>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_Toc2346 </w:instrText>
          </w:r>
          <w:r>
            <w:rPr>
              <w:rFonts w:hint="default" w:ascii="Times New Roman" w:hAnsi="Times New Roman" w:cs="Times New Roman"/>
              <w:szCs w:val="28"/>
            </w:rPr>
            <w:fldChar w:fldCharType="separate"/>
          </w:r>
          <w:r>
            <w:rPr>
              <w:rFonts w:hint="default" w:ascii="Times New Roman" w:hAnsi="Times New Roman" w:cs="Times New Roman"/>
              <w:bCs w:val="0"/>
              <w:i w:val="0"/>
              <w:iCs w:val="0"/>
              <w:szCs w:val="28"/>
            </w:rPr>
            <w:t>3.1 Experimental parts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_Toc2346 \h </w:instrText>
          </w:r>
          <w:r>
            <w:rPr>
              <w:rFonts w:hint="default" w:ascii="Times New Roman" w:hAnsi="Times New Roman" w:cs="Times New Roman"/>
            </w:rPr>
            <w:fldChar w:fldCharType="separate"/>
          </w:r>
          <w:r>
            <w:rPr>
              <w:rFonts w:hint="default" w:ascii="Times New Roman" w:hAnsi="Times New Roman" w:cs="Times New Roman"/>
            </w:rPr>
            <w:t>25</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1AD6DD9C">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_Toc4560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3.1.1 Materials and agents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_Toc4560 \h </w:instrText>
          </w:r>
          <w:r>
            <w:rPr>
              <w:rFonts w:hint="default" w:ascii="Times New Roman" w:hAnsi="Times New Roman" w:cs="Times New Roman"/>
            </w:rPr>
            <w:fldChar w:fldCharType="separate"/>
          </w:r>
          <w:r>
            <w:rPr>
              <w:rFonts w:hint="default" w:ascii="Times New Roman" w:hAnsi="Times New Roman" w:cs="Times New Roman"/>
            </w:rPr>
            <w:t>25</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2B867C6C">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_Toc15165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3.1.2 Experimental instruments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_Toc15165 \h </w:instrText>
          </w:r>
          <w:r>
            <w:rPr>
              <w:rFonts w:hint="default" w:ascii="Times New Roman" w:hAnsi="Times New Roman" w:cs="Times New Roman"/>
            </w:rPr>
            <w:fldChar w:fldCharType="separate"/>
          </w:r>
          <w:r>
            <w:rPr>
              <w:rFonts w:hint="default" w:ascii="Times New Roman" w:hAnsi="Times New Roman" w:cs="Times New Roman"/>
            </w:rPr>
            <w:t>25</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740E0466">
          <w:pPr>
            <w:pStyle w:val="12"/>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_Toc14534 </w:instrText>
          </w:r>
          <w:r>
            <w:rPr>
              <w:rFonts w:hint="default" w:ascii="Times New Roman" w:hAnsi="Times New Roman" w:cs="Times New Roman"/>
              <w:szCs w:val="28"/>
            </w:rPr>
            <w:fldChar w:fldCharType="separate"/>
          </w:r>
          <w:r>
            <w:rPr>
              <w:rFonts w:hint="default" w:ascii="Times New Roman" w:hAnsi="Times New Roman" w:cs="Times New Roman"/>
              <w:bCs w:val="0"/>
              <w:i w:val="0"/>
              <w:iCs w:val="0"/>
              <w:szCs w:val="28"/>
            </w:rPr>
            <w:t>3.2 Methods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_Toc14534 \h </w:instrText>
          </w:r>
          <w:r>
            <w:rPr>
              <w:rFonts w:hint="default" w:ascii="Times New Roman" w:hAnsi="Times New Roman" w:cs="Times New Roman"/>
            </w:rPr>
            <w:fldChar w:fldCharType="separate"/>
          </w:r>
          <w:r>
            <w:rPr>
              <w:rFonts w:hint="default" w:ascii="Times New Roman" w:hAnsi="Times New Roman" w:cs="Times New Roman"/>
            </w:rPr>
            <w:t>26</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1CE1307D">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_Toc18157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3.2.1 Synthesis of fatty alcohol ether</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_Toc18157 \h </w:instrText>
          </w:r>
          <w:r>
            <w:rPr>
              <w:rFonts w:hint="default" w:ascii="Times New Roman" w:hAnsi="Times New Roman" w:cs="Times New Roman"/>
            </w:rPr>
            <w:fldChar w:fldCharType="separate"/>
          </w:r>
          <w:r>
            <w:rPr>
              <w:rFonts w:hint="default" w:ascii="Times New Roman" w:hAnsi="Times New Roman" w:cs="Times New Roman"/>
            </w:rPr>
            <w:t>26</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7915F291">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_Toc27555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3.2.2 Synthesis of chlorinated fatty alcohol polyether</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_Toc27555 \h </w:instrText>
          </w:r>
          <w:r>
            <w:rPr>
              <w:rFonts w:hint="default" w:ascii="Times New Roman" w:hAnsi="Times New Roman" w:cs="Times New Roman"/>
            </w:rPr>
            <w:fldChar w:fldCharType="separate"/>
          </w:r>
          <w:r>
            <w:rPr>
              <w:rFonts w:hint="default" w:ascii="Times New Roman" w:hAnsi="Times New Roman" w:cs="Times New Roman"/>
            </w:rPr>
            <w:t>26</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2DAC13E8">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_Toc9652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3.2.3 Synthesis of fatty alcohol ether amine</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_Toc9652 \h </w:instrText>
          </w:r>
          <w:r>
            <w:rPr>
              <w:rFonts w:hint="default" w:ascii="Times New Roman" w:hAnsi="Times New Roman" w:cs="Times New Roman"/>
            </w:rPr>
            <w:fldChar w:fldCharType="separate"/>
          </w:r>
          <w:r>
            <w:rPr>
              <w:rFonts w:hint="default" w:ascii="Times New Roman" w:hAnsi="Times New Roman" w:cs="Times New Roman"/>
            </w:rPr>
            <w:t>27</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6F42BDAD">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_Toc32216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3.2.4 Synthesis of extended amphoteric surfactants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_Toc32216 \h </w:instrText>
          </w:r>
          <w:r>
            <w:rPr>
              <w:rFonts w:hint="default" w:ascii="Times New Roman" w:hAnsi="Times New Roman" w:cs="Times New Roman"/>
            </w:rPr>
            <w:fldChar w:fldCharType="separate"/>
          </w:r>
          <w:r>
            <w:rPr>
              <w:rFonts w:hint="default" w:ascii="Times New Roman" w:hAnsi="Times New Roman" w:cs="Times New Roman"/>
            </w:rPr>
            <w:t>27</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1B5DBA2D">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_Toc9620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3.2.5 Determination of surfactant content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_Toc9620 \h </w:instrText>
          </w:r>
          <w:r>
            <w:rPr>
              <w:rFonts w:hint="default" w:ascii="Times New Roman" w:hAnsi="Times New Roman" w:cs="Times New Roman"/>
            </w:rPr>
            <w:fldChar w:fldCharType="separate"/>
          </w:r>
          <w:r>
            <w:rPr>
              <w:rFonts w:hint="default" w:ascii="Times New Roman" w:hAnsi="Times New Roman" w:cs="Times New Roman"/>
            </w:rPr>
            <w:t>28</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23115D8D">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_Toc5200 </w:instrText>
          </w:r>
          <w:r>
            <w:rPr>
              <w:rFonts w:hint="default" w:ascii="Times New Roman" w:hAnsi="Times New Roman" w:cs="Times New Roman"/>
              <w:szCs w:val="28"/>
            </w:rPr>
            <w:fldChar w:fldCharType="separate"/>
          </w:r>
          <w:r>
            <w:rPr>
              <w:rFonts w:hint="default" w:ascii="Times New Roman" w:hAnsi="Times New Roman" w:cs="Times New Roman"/>
              <w:bCs w:val="0"/>
              <w:i w:val="0"/>
              <w:iCs w:val="0"/>
              <w:szCs w:val="28"/>
            </w:rPr>
            <w:t>3.2.6 Structural characterization methods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_Toc5200 \h </w:instrText>
          </w:r>
          <w:r>
            <w:rPr>
              <w:rFonts w:hint="default" w:ascii="Times New Roman" w:hAnsi="Times New Roman" w:cs="Times New Roman"/>
            </w:rPr>
            <w:fldChar w:fldCharType="separate"/>
          </w:r>
          <w:r>
            <w:rPr>
              <w:rFonts w:hint="default" w:ascii="Times New Roman" w:hAnsi="Times New Roman" w:cs="Times New Roman"/>
            </w:rPr>
            <w:t>29</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6A2ECD53">
          <w:pPr>
            <w:pStyle w:val="12"/>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_Toc29439 </w:instrText>
          </w:r>
          <w:r>
            <w:rPr>
              <w:rFonts w:hint="default" w:ascii="Times New Roman" w:hAnsi="Times New Roman" w:cs="Times New Roman"/>
              <w:szCs w:val="28"/>
            </w:rPr>
            <w:fldChar w:fldCharType="separate"/>
          </w:r>
          <w:r>
            <w:rPr>
              <w:rFonts w:hint="default" w:ascii="Times New Roman" w:hAnsi="Times New Roman" w:cs="Times New Roman"/>
              <w:bCs w:val="0"/>
              <w:i w:val="0"/>
              <w:iCs w:val="0"/>
              <w:szCs w:val="28"/>
            </w:rPr>
            <w:t>3.3 Properties evaluation methods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_Toc29439 \h </w:instrText>
          </w:r>
          <w:r>
            <w:rPr>
              <w:rFonts w:hint="default" w:ascii="Times New Roman" w:hAnsi="Times New Roman" w:cs="Times New Roman"/>
            </w:rPr>
            <w:fldChar w:fldCharType="separate"/>
          </w:r>
          <w:r>
            <w:rPr>
              <w:rFonts w:hint="default" w:ascii="Times New Roman" w:hAnsi="Times New Roman" w:cs="Times New Roman"/>
            </w:rPr>
            <w:t>30</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3BAD8876">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_Toc60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3.3.1 Solubility determination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_Toc60 \h </w:instrText>
          </w:r>
          <w:r>
            <w:rPr>
              <w:rFonts w:hint="default" w:ascii="Times New Roman" w:hAnsi="Times New Roman" w:cs="Times New Roman"/>
            </w:rPr>
            <w:fldChar w:fldCharType="separate"/>
          </w:r>
          <w:r>
            <w:rPr>
              <w:rFonts w:hint="default" w:ascii="Times New Roman" w:hAnsi="Times New Roman" w:cs="Times New Roman"/>
            </w:rPr>
            <w:t>30</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05BABE6C">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_Toc7893 </w:instrText>
          </w:r>
          <w:r>
            <w:rPr>
              <w:rFonts w:hint="default" w:ascii="Times New Roman" w:hAnsi="Times New Roman" w:cs="Times New Roman"/>
              <w:szCs w:val="28"/>
            </w:rPr>
            <w:fldChar w:fldCharType="separate"/>
          </w:r>
          <w:r>
            <w:rPr>
              <w:rFonts w:hint="default" w:ascii="Times New Roman" w:hAnsi="Times New Roman" w:cs="Times New Roman"/>
              <w:bCs w:val="0"/>
              <w:i w:val="0"/>
              <w:iCs w:val="0"/>
              <w:szCs w:val="28"/>
            </w:rPr>
            <w:t>3.3.2 Surface tension measurement method</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_Toc7893 \h </w:instrText>
          </w:r>
          <w:r>
            <w:rPr>
              <w:rFonts w:hint="default" w:ascii="Times New Roman" w:hAnsi="Times New Roman" w:cs="Times New Roman"/>
            </w:rPr>
            <w:fldChar w:fldCharType="separate"/>
          </w:r>
          <w:r>
            <w:rPr>
              <w:rFonts w:hint="default" w:ascii="Times New Roman" w:hAnsi="Times New Roman" w:cs="Times New Roman"/>
            </w:rPr>
            <w:t>30</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0321AEB3">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_Toc27018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3.3.3 Interfacial tension determination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_Toc27018 \h </w:instrText>
          </w:r>
          <w:r>
            <w:rPr>
              <w:rFonts w:hint="default" w:ascii="Times New Roman" w:hAnsi="Times New Roman" w:cs="Times New Roman"/>
            </w:rPr>
            <w:fldChar w:fldCharType="separate"/>
          </w:r>
          <w:r>
            <w:rPr>
              <w:rFonts w:hint="default" w:ascii="Times New Roman" w:hAnsi="Times New Roman" w:cs="Times New Roman"/>
            </w:rPr>
            <w:t>32</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7EE3BA68">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_Toc27032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3.3.4 Emulsification performance determination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_Toc27032 \h </w:instrText>
          </w:r>
          <w:r>
            <w:rPr>
              <w:rFonts w:hint="default" w:ascii="Times New Roman" w:hAnsi="Times New Roman" w:cs="Times New Roman"/>
            </w:rPr>
            <w:fldChar w:fldCharType="separate"/>
          </w:r>
          <w:r>
            <w:rPr>
              <w:rFonts w:hint="default" w:ascii="Times New Roman" w:hAnsi="Times New Roman" w:cs="Times New Roman"/>
            </w:rPr>
            <w:t>32</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1AD12D7D">
          <w:pPr>
            <w:pStyle w:val="12"/>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_Toc3545 </w:instrText>
          </w:r>
          <w:r>
            <w:rPr>
              <w:rFonts w:hint="default" w:ascii="Times New Roman" w:hAnsi="Times New Roman" w:cs="Times New Roman"/>
              <w:szCs w:val="28"/>
            </w:rPr>
            <w:fldChar w:fldCharType="separate"/>
          </w:r>
          <w:r>
            <w:rPr>
              <w:rFonts w:hint="default" w:ascii="Times New Roman" w:hAnsi="Times New Roman" w:cs="Times New Roman"/>
              <w:bCs/>
              <w:i w:val="0"/>
              <w:iCs w:val="0"/>
              <w:szCs w:val="28"/>
            </w:rPr>
            <w:t>3.4 Results and discussion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_Toc3545 \h </w:instrText>
          </w:r>
          <w:r>
            <w:rPr>
              <w:rFonts w:hint="default" w:ascii="Times New Roman" w:hAnsi="Times New Roman" w:cs="Times New Roman"/>
            </w:rPr>
            <w:fldChar w:fldCharType="separate"/>
          </w:r>
          <w:r>
            <w:rPr>
              <w:rFonts w:hint="default" w:ascii="Times New Roman" w:hAnsi="Times New Roman" w:cs="Times New Roman"/>
            </w:rPr>
            <w:t>33</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205DF4F9">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_Toc9480 </w:instrText>
          </w:r>
          <w:r>
            <w:rPr>
              <w:rFonts w:hint="default" w:ascii="Times New Roman" w:hAnsi="Times New Roman" w:cs="Times New Roman"/>
              <w:szCs w:val="28"/>
            </w:rPr>
            <w:fldChar w:fldCharType="separate"/>
          </w:r>
          <w:r>
            <w:rPr>
              <w:rFonts w:hint="default" w:ascii="Times New Roman" w:hAnsi="Times New Roman" w:cs="Times New Roman"/>
              <w:bCs w:val="0"/>
              <w:i w:val="0"/>
              <w:iCs w:val="0"/>
              <w:szCs w:val="28"/>
            </w:rPr>
            <w:t>3.4.1 Purity and structural characterization analysis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_Toc9480 \h </w:instrText>
          </w:r>
          <w:r>
            <w:rPr>
              <w:rFonts w:hint="default" w:ascii="Times New Roman" w:hAnsi="Times New Roman" w:cs="Times New Roman"/>
            </w:rPr>
            <w:fldChar w:fldCharType="separate"/>
          </w:r>
          <w:r>
            <w:rPr>
              <w:rFonts w:hint="default" w:ascii="Times New Roman" w:hAnsi="Times New Roman" w:cs="Times New Roman"/>
            </w:rPr>
            <w:t>33</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01C57613">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_Toc16408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3.4.2 Krafft point and effect of NaCl on the solubility</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_Toc16408 \h </w:instrText>
          </w:r>
          <w:r>
            <w:rPr>
              <w:rFonts w:hint="default" w:ascii="Times New Roman" w:hAnsi="Times New Roman" w:cs="Times New Roman"/>
            </w:rPr>
            <w:fldChar w:fldCharType="separate"/>
          </w:r>
          <w:r>
            <w:rPr>
              <w:rFonts w:hint="default" w:ascii="Times New Roman" w:hAnsi="Times New Roman" w:cs="Times New Roman"/>
            </w:rPr>
            <w:t>36</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265F40DB">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_Toc18365 </w:instrText>
          </w:r>
          <w:r>
            <w:rPr>
              <w:rFonts w:hint="default" w:ascii="Times New Roman" w:hAnsi="Times New Roman" w:cs="Times New Roman"/>
              <w:szCs w:val="28"/>
            </w:rPr>
            <w:fldChar w:fldCharType="separate"/>
          </w:r>
          <w:r>
            <w:rPr>
              <w:rFonts w:hint="default" w:ascii="Times New Roman" w:hAnsi="Times New Roman" w:cs="Times New Roman"/>
              <w:bCs w:val="0"/>
              <w:i w:val="0"/>
              <w:iCs w:val="0"/>
              <w:szCs w:val="28"/>
            </w:rPr>
            <w:t>3.4.3 Surface properties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_Toc18365 \h </w:instrText>
          </w:r>
          <w:r>
            <w:rPr>
              <w:rFonts w:hint="default" w:ascii="Times New Roman" w:hAnsi="Times New Roman" w:cs="Times New Roman"/>
            </w:rPr>
            <w:fldChar w:fldCharType="separate"/>
          </w:r>
          <w:r>
            <w:rPr>
              <w:rFonts w:hint="default" w:ascii="Times New Roman" w:hAnsi="Times New Roman" w:cs="Times New Roman"/>
            </w:rPr>
            <w:t>37</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76FC7E10">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_Toc30275 </w:instrText>
          </w:r>
          <w:r>
            <w:rPr>
              <w:rFonts w:hint="default" w:ascii="Times New Roman" w:hAnsi="Times New Roman" w:cs="Times New Roman"/>
              <w:szCs w:val="28"/>
            </w:rPr>
            <w:fldChar w:fldCharType="separate"/>
          </w:r>
          <w:r>
            <w:rPr>
              <w:rFonts w:hint="default" w:ascii="Times New Roman" w:hAnsi="Times New Roman" w:cs="Times New Roman"/>
              <w:bCs w:val="0"/>
              <w:i w:val="0"/>
              <w:iCs w:val="0"/>
              <w:szCs w:val="28"/>
            </w:rPr>
            <w:t>3.4.5 Interface properties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_Toc30275 \h </w:instrText>
          </w:r>
          <w:r>
            <w:rPr>
              <w:rFonts w:hint="default" w:ascii="Times New Roman" w:hAnsi="Times New Roman" w:cs="Times New Roman"/>
            </w:rPr>
            <w:fldChar w:fldCharType="separate"/>
          </w:r>
          <w:r>
            <w:rPr>
              <w:rFonts w:hint="default" w:ascii="Times New Roman" w:hAnsi="Times New Roman" w:cs="Times New Roman"/>
            </w:rPr>
            <w:t>50</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5AEF57D7">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_Toc27262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3.4.6 Emulsification performance</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_Toc27262 \h </w:instrText>
          </w:r>
          <w:r>
            <w:rPr>
              <w:rFonts w:hint="default" w:ascii="Times New Roman" w:hAnsi="Times New Roman" w:cs="Times New Roman"/>
            </w:rPr>
            <w:fldChar w:fldCharType="separate"/>
          </w:r>
          <w:r>
            <w:rPr>
              <w:rFonts w:hint="default" w:ascii="Times New Roman" w:hAnsi="Times New Roman" w:cs="Times New Roman"/>
            </w:rPr>
            <w:t>53</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76E96373">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_Toc24021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3.4.7 Summary</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_Toc24021 \h </w:instrText>
          </w:r>
          <w:r>
            <w:rPr>
              <w:rFonts w:hint="default" w:ascii="Times New Roman" w:hAnsi="Times New Roman" w:cs="Times New Roman"/>
            </w:rPr>
            <w:fldChar w:fldCharType="separate"/>
          </w:r>
          <w:r>
            <w:rPr>
              <w:rFonts w:hint="default" w:ascii="Times New Roman" w:hAnsi="Times New Roman" w:cs="Times New Roman"/>
            </w:rPr>
            <w:t>54</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19073612">
          <w:pPr>
            <w:pStyle w:val="10"/>
            <w:tabs>
              <w:tab w:val="right" w:leader="dot" w:pos="9638"/>
              <w:tab w:val="clear" w:pos="8504"/>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_Toc25958 </w:instrText>
          </w:r>
          <w:r>
            <w:rPr>
              <w:rFonts w:hint="default" w:ascii="Times New Roman" w:hAnsi="Times New Roman" w:cs="Times New Roman"/>
              <w:szCs w:val="28"/>
            </w:rPr>
            <w:fldChar w:fldCharType="separate"/>
          </w:r>
          <w:r>
            <w:rPr>
              <w:rFonts w:hint="default" w:ascii="Times New Roman" w:hAnsi="Times New Roman" w:cs="Times New Roman"/>
              <w:szCs w:val="28"/>
            </w:rPr>
            <w:t>C</w:t>
          </w:r>
          <w:r>
            <w:rPr>
              <w:rFonts w:hint="default" w:ascii="Times New Roman" w:hAnsi="Times New Roman" w:cs="Times New Roman"/>
              <w:szCs w:val="28"/>
              <w:lang w:val="en-US" w:eastAsia="zh-CN"/>
            </w:rPr>
            <w:t>HAPTER</w:t>
          </w:r>
          <w:r>
            <w:rPr>
              <w:rFonts w:hint="default" w:ascii="Times New Roman" w:hAnsi="Times New Roman" w:cs="Times New Roman"/>
              <w:szCs w:val="28"/>
            </w:rPr>
            <w:t xml:space="preserve"> 4 I</w:t>
          </w:r>
          <w:r>
            <w:rPr>
              <w:rFonts w:hint="default" w:ascii="Times New Roman" w:hAnsi="Times New Roman" w:cs="Times New Roman"/>
              <w:szCs w:val="28"/>
              <w:lang w:val="en-US" w:eastAsia="zh-CN"/>
            </w:rPr>
            <w:t>NTERACTION</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OF</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AN</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EXTENDED</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AMPHOTERIC</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SURFACTANT</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COMBINING</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WITH</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A</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NONIONIC</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SURFACTANT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_Toc25958 \h </w:instrText>
          </w:r>
          <w:r>
            <w:rPr>
              <w:rFonts w:hint="default" w:ascii="Times New Roman" w:hAnsi="Times New Roman" w:cs="Times New Roman"/>
            </w:rPr>
            <w:fldChar w:fldCharType="separate"/>
          </w:r>
          <w:r>
            <w:rPr>
              <w:rFonts w:hint="default" w:ascii="Times New Roman" w:hAnsi="Times New Roman" w:cs="Times New Roman"/>
            </w:rPr>
            <w:t>56</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287F3C7C">
          <w:pPr>
            <w:pStyle w:val="12"/>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_Toc29922 </w:instrText>
          </w:r>
          <w:r>
            <w:rPr>
              <w:rFonts w:hint="default" w:ascii="Times New Roman" w:hAnsi="Times New Roman" w:cs="Times New Roman"/>
              <w:szCs w:val="28"/>
            </w:rPr>
            <w:fldChar w:fldCharType="separate"/>
          </w:r>
          <w:r>
            <w:rPr>
              <w:rFonts w:hint="default" w:ascii="Times New Roman" w:hAnsi="Times New Roman" w:cs="Times New Roman"/>
              <w:bCs w:val="0"/>
              <w:i w:val="0"/>
              <w:iCs w:val="0"/>
              <w:szCs w:val="28"/>
            </w:rPr>
            <w:t>4.1 Experimental parts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_Toc29922 \h </w:instrText>
          </w:r>
          <w:r>
            <w:rPr>
              <w:rFonts w:hint="default" w:ascii="Times New Roman" w:hAnsi="Times New Roman" w:cs="Times New Roman"/>
            </w:rPr>
            <w:fldChar w:fldCharType="separate"/>
          </w:r>
          <w:r>
            <w:rPr>
              <w:rFonts w:hint="default" w:ascii="Times New Roman" w:hAnsi="Times New Roman" w:cs="Times New Roman"/>
            </w:rPr>
            <w:t>56</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33E8BEC4">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_Toc21756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4.1.1 Materials and agents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_Toc21756 \h </w:instrText>
          </w:r>
          <w:r>
            <w:rPr>
              <w:rFonts w:hint="default" w:ascii="Times New Roman" w:hAnsi="Times New Roman" w:cs="Times New Roman"/>
            </w:rPr>
            <w:fldChar w:fldCharType="separate"/>
          </w:r>
          <w:r>
            <w:rPr>
              <w:rFonts w:hint="default" w:ascii="Times New Roman" w:hAnsi="Times New Roman" w:cs="Times New Roman"/>
            </w:rPr>
            <w:t>56</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7C991E4F">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_Toc12922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4.1.2 Experimental instruments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_Toc12922 \h </w:instrText>
          </w:r>
          <w:r>
            <w:rPr>
              <w:rFonts w:hint="default" w:ascii="Times New Roman" w:hAnsi="Times New Roman" w:cs="Times New Roman"/>
            </w:rPr>
            <w:fldChar w:fldCharType="separate"/>
          </w:r>
          <w:r>
            <w:rPr>
              <w:rFonts w:hint="default" w:ascii="Times New Roman" w:hAnsi="Times New Roman" w:cs="Times New Roman"/>
            </w:rPr>
            <w:t>56</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4CF82433">
          <w:pPr>
            <w:pStyle w:val="12"/>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_Toc1617 </w:instrText>
          </w:r>
          <w:r>
            <w:rPr>
              <w:rFonts w:hint="default" w:ascii="Times New Roman" w:hAnsi="Times New Roman" w:cs="Times New Roman"/>
              <w:szCs w:val="28"/>
            </w:rPr>
            <w:fldChar w:fldCharType="separate"/>
          </w:r>
          <w:r>
            <w:rPr>
              <w:rFonts w:hint="default" w:ascii="Times New Roman" w:hAnsi="Times New Roman" w:cs="Times New Roman"/>
              <w:bCs w:val="0"/>
              <w:i w:val="0"/>
              <w:iCs w:val="0"/>
              <w:szCs w:val="28"/>
            </w:rPr>
            <w:t>4.2 Methods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_Toc1617 \h </w:instrText>
          </w:r>
          <w:r>
            <w:rPr>
              <w:rFonts w:hint="default" w:ascii="Times New Roman" w:hAnsi="Times New Roman" w:cs="Times New Roman"/>
            </w:rPr>
            <w:fldChar w:fldCharType="separate"/>
          </w:r>
          <w:r>
            <w:rPr>
              <w:rFonts w:hint="default" w:ascii="Times New Roman" w:hAnsi="Times New Roman" w:cs="Times New Roman"/>
            </w:rPr>
            <w:t>57</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2CAA870C">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_Toc25608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4.2.1 Surface tension determination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_Toc25608 \h </w:instrText>
          </w:r>
          <w:r>
            <w:rPr>
              <w:rFonts w:hint="default" w:ascii="Times New Roman" w:hAnsi="Times New Roman" w:cs="Times New Roman"/>
            </w:rPr>
            <w:fldChar w:fldCharType="separate"/>
          </w:r>
          <w:r>
            <w:rPr>
              <w:rFonts w:hint="default" w:ascii="Times New Roman" w:hAnsi="Times New Roman" w:cs="Times New Roman"/>
            </w:rPr>
            <w:t>57</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0BF24304">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_Toc9378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4.2.2 Calculation of interaction parameters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_Toc9378 \h </w:instrText>
          </w:r>
          <w:r>
            <w:rPr>
              <w:rFonts w:hint="default" w:ascii="Times New Roman" w:hAnsi="Times New Roman" w:cs="Times New Roman"/>
            </w:rPr>
            <w:fldChar w:fldCharType="separate"/>
          </w:r>
          <w:r>
            <w:rPr>
              <w:rFonts w:hint="default" w:ascii="Times New Roman" w:hAnsi="Times New Roman" w:cs="Times New Roman"/>
            </w:rPr>
            <w:t>57</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333192B6">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_Toc11524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4.2.3 Surface viscoelasticity determination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_Toc11524 \h </w:instrText>
          </w:r>
          <w:r>
            <w:rPr>
              <w:rFonts w:hint="default" w:ascii="Times New Roman" w:hAnsi="Times New Roman" w:cs="Times New Roman"/>
            </w:rPr>
            <w:fldChar w:fldCharType="separate"/>
          </w:r>
          <w:r>
            <w:rPr>
              <w:rFonts w:hint="default" w:ascii="Times New Roman" w:hAnsi="Times New Roman" w:cs="Times New Roman"/>
            </w:rPr>
            <w:t>58</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6FA5C4D0">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_Toc17931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4.2.4 DLS measurement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_Toc17931 \h </w:instrText>
          </w:r>
          <w:r>
            <w:rPr>
              <w:rFonts w:hint="default" w:ascii="Times New Roman" w:hAnsi="Times New Roman" w:cs="Times New Roman"/>
            </w:rPr>
            <w:fldChar w:fldCharType="separate"/>
          </w:r>
          <w:r>
            <w:rPr>
              <w:rFonts w:hint="default" w:ascii="Times New Roman" w:hAnsi="Times New Roman" w:cs="Times New Roman"/>
            </w:rPr>
            <w:t>58</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58270A93">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_Toc17028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4.2.5 Transmission electron microscopy (TEM)</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_Toc17028 \h </w:instrText>
          </w:r>
          <w:r>
            <w:rPr>
              <w:rFonts w:hint="default" w:ascii="Times New Roman" w:hAnsi="Times New Roman" w:cs="Times New Roman"/>
            </w:rPr>
            <w:fldChar w:fldCharType="separate"/>
          </w:r>
          <w:r>
            <w:rPr>
              <w:rFonts w:hint="default" w:ascii="Times New Roman" w:hAnsi="Times New Roman" w:cs="Times New Roman"/>
            </w:rPr>
            <w:t>59</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6200B53B">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_Toc27934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4.2.6 Interface tension measurement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_Toc27934 \h </w:instrText>
          </w:r>
          <w:r>
            <w:rPr>
              <w:rFonts w:hint="default" w:ascii="Times New Roman" w:hAnsi="Times New Roman" w:cs="Times New Roman"/>
            </w:rPr>
            <w:fldChar w:fldCharType="separate"/>
          </w:r>
          <w:r>
            <w:rPr>
              <w:rFonts w:hint="default" w:ascii="Times New Roman" w:hAnsi="Times New Roman" w:cs="Times New Roman"/>
            </w:rPr>
            <w:t>59</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513139D8">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_Toc26926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4.2.7 Coreflooding experiment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_Toc26926 \h </w:instrText>
          </w:r>
          <w:r>
            <w:rPr>
              <w:rFonts w:hint="default" w:ascii="Times New Roman" w:hAnsi="Times New Roman" w:cs="Times New Roman"/>
            </w:rPr>
            <w:fldChar w:fldCharType="separate"/>
          </w:r>
          <w:r>
            <w:rPr>
              <w:rFonts w:hint="default" w:ascii="Times New Roman" w:hAnsi="Times New Roman" w:cs="Times New Roman"/>
            </w:rPr>
            <w:t>59</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2C39DD7D">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_Toc11671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4.2.8 Emulsification performance determination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_Toc11671 \h </w:instrText>
          </w:r>
          <w:r>
            <w:rPr>
              <w:rFonts w:hint="default" w:ascii="Times New Roman" w:hAnsi="Times New Roman" w:cs="Times New Roman"/>
            </w:rPr>
            <w:fldChar w:fldCharType="separate"/>
          </w:r>
          <w:r>
            <w:rPr>
              <w:rFonts w:hint="default" w:ascii="Times New Roman" w:hAnsi="Times New Roman" w:cs="Times New Roman"/>
            </w:rPr>
            <w:t>61</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5895654E">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_Toc29187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4.2.9 Wettability alteration determination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_Toc29187 \h </w:instrText>
          </w:r>
          <w:r>
            <w:rPr>
              <w:rFonts w:hint="default" w:ascii="Times New Roman" w:hAnsi="Times New Roman" w:cs="Times New Roman"/>
            </w:rPr>
            <w:fldChar w:fldCharType="separate"/>
          </w:r>
          <w:r>
            <w:rPr>
              <w:rFonts w:hint="default" w:ascii="Times New Roman" w:hAnsi="Times New Roman" w:cs="Times New Roman"/>
            </w:rPr>
            <w:t>61</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0F59A8DF">
          <w:pPr>
            <w:pStyle w:val="12"/>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_Toc32119 </w:instrText>
          </w:r>
          <w:r>
            <w:rPr>
              <w:rFonts w:hint="default" w:ascii="Times New Roman" w:hAnsi="Times New Roman" w:cs="Times New Roman"/>
              <w:szCs w:val="28"/>
            </w:rPr>
            <w:fldChar w:fldCharType="separate"/>
          </w:r>
          <w:r>
            <w:rPr>
              <w:rFonts w:hint="default" w:ascii="Times New Roman" w:hAnsi="Times New Roman" w:cs="Times New Roman"/>
              <w:bCs w:val="0"/>
              <w:i w:val="0"/>
              <w:iCs w:val="0"/>
              <w:szCs w:val="28"/>
            </w:rPr>
            <w:t>4.3 Results and discussion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_Toc32119 \h </w:instrText>
          </w:r>
          <w:r>
            <w:rPr>
              <w:rFonts w:hint="default" w:ascii="Times New Roman" w:hAnsi="Times New Roman" w:cs="Times New Roman"/>
            </w:rPr>
            <w:fldChar w:fldCharType="separate"/>
          </w:r>
          <w:r>
            <w:rPr>
              <w:rFonts w:hint="default" w:ascii="Times New Roman" w:hAnsi="Times New Roman" w:cs="Times New Roman"/>
            </w:rPr>
            <w:t>61</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5670C586">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_Toc26593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4.3.1 Surface activity of composite surfactants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_Toc26593 \h </w:instrText>
          </w:r>
          <w:r>
            <w:rPr>
              <w:rFonts w:hint="default" w:ascii="Times New Roman" w:hAnsi="Times New Roman" w:cs="Times New Roman"/>
            </w:rPr>
            <w:fldChar w:fldCharType="separate"/>
          </w:r>
          <w:r>
            <w:rPr>
              <w:rFonts w:hint="default" w:ascii="Times New Roman" w:hAnsi="Times New Roman" w:cs="Times New Roman"/>
            </w:rPr>
            <w:t>61</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1451F2D5">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_Toc32130 </w:instrText>
          </w:r>
          <w:r>
            <w:rPr>
              <w:rFonts w:hint="default" w:ascii="Times New Roman" w:hAnsi="Times New Roman" w:cs="Times New Roman"/>
              <w:szCs w:val="28"/>
            </w:rPr>
            <w:fldChar w:fldCharType="separate"/>
          </w:r>
          <w:r>
            <w:rPr>
              <w:rFonts w:hint="default" w:ascii="Times New Roman" w:hAnsi="Times New Roman" w:cs="Times New Roman"/>
              <w:szCs w:val="28"/>
            </w:rPr>
            <w:t>4.3.2 Calculation of thermodynamic parameters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_Toc32130 \h </w:instrText>
          </w:r>
          <w:r>
            <w:rPr>
              <w:rFonts w:hint="default" w:ascii="Times New Roman" w:hAnsi="Times New Roman" w:cs="Times New Roman"/>
            </w:rPr>
            <w:fldChar w:fldCharType="separate"/>
          </w:r>
          <w:r>
            <w:rPr>
              <w:rFonts w:hint="default" w:ascii="Times New Roman" w:hAnsi="Times New Roman" w:cs="Times New Roman"/>
            </w:rPr>
            <w:t>65</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273C4688">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_Toc3181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4.3.3 Surface viscoelasticity</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_Toc3181 \h </w:instrText>
          </w:r>
          <w:r>
            <w:rPr>
              <w:rFonts w:hint="default" w:ascii="Times New Roman" w:hAnsi="Times New Roman" w:cs="Times New Roman"/>
            </w:rPr>
            <w:fldChar w:fldCharType="separate"/>
          </w:r>
          <w:r>
            <w:rPr>
              <w:rFonts w:hint="default" w:ascii="Times New Roman" w:hAnsi="Times New Roman" w:cs="Times New Roman"/>
            </w:rPr>
            <w:t>67</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2BB23B0D">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_Toc17652 </w:instrText>
          </w:r>
          <w:r>
            <w:rPr>
              <w:rFonts w:hint="default" w:ascii="Times New Roman" w:hAnsi="Times New Roman" w:cs="Times New Roman"/>
              <w:szCs w:val="28"/>
            </w:rPr>
            <w:fldChar w:fldCharType="separate"/>
          </w:r>
          <w:r>
            <w:rPr>
              <w:rFonts w:hint="default" w:ascii="Times New Roman" w:hAnsi="Times New Roman" w:cs="Times New Roman"/>
              <w:bCs/>
              <w:szCs w:val="28"/>
            </w:rPr>
            <w:t>4.3.4 Interfacial tension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_Toc17652 \h </w:instrText>
          </w:r>
          <w:r>
            <w:rPr>
              <w:rFonts w:hint="default" w:ascii="Times New Roman" w:hAnsi="Times New Roman" w:cs="Times New Roman"/>
            </w:rPr>
            <w:fldChar w:fldCharType="separate"/>
          </w:r>
          <w:r>
            <w:rPr>
              <w:rFonts w:hint="default" w:ascii="Times New Roman" w:hAnsi="Times New Roman" w:cs="Times New Roman"/>
            </w:rPr>
            <w:t>68</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07EAF5D5">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_Toc11639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4.3.5 Oil displacement performance</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_Toc11639 \h </w:instrText>
          </w:r>
          <w:r>
            <w:rPr>
              <w:rFonts w:hint="default" w:ascii="Times New Roman" w:hAnsi="Times New Roman" w:cs="Times New Roman"/>
            </w:rPr>
            <w:fldChar w:fldCharType="separate"/>
          </w:r>
          <w:r>
            <w:rPr>
              <w:rFonts w:hint="default" w:ascii="Times New Roman" w:hAnsi="Times New Roman" w:cs="Times New Roman"/>
            </w:rPr>
            <w:t>70</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45BA604C">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_Toc14292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4.3.6 Emulsification performance</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_Toc14292 \h </w:instrText>
          </w:r>
          <w:r>
            <w:rPr>
              <w:rFonts w:hint="default" w:ascii="Times New Roman" w:hAnsi="Times New Roman" w:cs="Times New Roman"/>
            </w:rPr>
            <w:fldChar w:fldCharType="separate"/>
          </w:r>
          <w:r>
            <w:rPr>
              <w:rFonts w:hint="default" w:ascii="Times New Roman" w:hAnsi="Times New Roman" w:cs="Times New Roman"/>
            </w:rPr>
            <w:t>71</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130438A4">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_Toc7806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4.3.7 Wettability alteration performance</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_Toc7806 \h </w:instrText>
          </w:r>
          <w:r>
            <w:rPr>
              <w:rFonts w:hint="default" w:ascii="Times New Roman" w:hAnsi="Times New Roman" w:cs="Times New Roman"/>
            </w:rPr>
            <w:fldChar w:fldCharType="separate"/>
          </w:r>
          <w:r>
            <w:rPr>
              <w:rFonts w:hint="default" w:ascii="Times New Roman" w:hAnsi="Times New Roman" w:cs="Times New Roman"/>
            </w:rPr>
            <w:t>72</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235FB1B8">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_Toc9457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4.3.8 Summary for EOR Mechanism</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_Toc9457 \h </w:instrText>
          </w:r>
          <w:r>
            <w:rPr>
              <w:rFonts w:hint="default" w:ascii="Times New Roman" w:hAnsi="Times New Roman" w:cs="Times New Roman"/>
            </w:rPr>
            <w:fldChar w:fldCharType="separate"/>
          </w:r>
          <w:r>
            <w:rPr>
              <w:rFonts w:hint="default" w:ascii="Times New Roman" w:hAnsi="Times New Roman" w:cs="Times New Roman"/>
            </w:rPr>
            <w:t>74</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06F46B5B">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_Toc16178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4.3.9 Summary</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_Toc16178 \h </w:instrText>
          </w:r>
          <w:r>
            <w:rPr>
              <w:rFonts w:hint="default" w:ascii="Times New Roman" w:hAnsi="Times New Roman" w:cs="Times New Roman"/>
            </w:rPr>
            <w:fldChar w:fldCharType="separate"/>
          </w:r>
          <w:r>
            <w:rPr>
              <w:rFonts w:hint="default" w:ascii="Times New Roman" w:hAnsi="Times New Roman" w:cs="Times New Roman"/>
            </w:rPr>
            <w:t>75</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32E3A794">
          <w:pPr>
            <w:pStyle w:val="10"/>
            <w:tabs>
              <w:tab w:val="right" w:leader="dot" w:pos="9638"/>
              <w:tab w:val="clear" w:pos="8504"/>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_Toc4310 </w:instrText>
          </w:r>
          <w:r>
            <w:rPr>
              <w:rFonts w:hint="default" w:ascii="Times New Roman" w:hAnsi="Times New Roman" w:cs="Times New Roman"/>
              <w:szCs w:val="28"/>
            </w:rPr>
            <w:fldChar w:fldCharType="separate"/>
          </w:r>
          <w:r>
            <w:rPr>
              <w:rFonts w:hint="default" w:ascii="Times New Roman" w:hAnsi="Times New Roman" w:cs="Times New Roman"/>
              <w:szCs w:val="28"/>
              <w:lang w:val="en-US" w:eastAsia="zh-CN"/>
            </w:rPr>
            <w:t>CHAPTER</w:t>
          </w:r>
          <w:r>
            <w:rPr>
              <w:rFonts w:hint="default" w:ascii="Times New Roman" w:hAnsi="Times New Roman" w:cs="Times New Roman"/>
              <w:szCs w:val="28"/>
            </w:rPr>
            <w:t xml:space="preserve"> 5 </w:t>
          </w:r>
          <w:r>
            <w:rPr>
              <w:rFonts w:hint="default" w:ascii="Times New Roman" w:hAnsi="Times New Roman" w:cs="Times New Roman"/>
              <w:szCs w:val="28"/>
              <w:lang w:val="en-US" w:eastAsia="zh-CN"/>
            </w:rPr>
            <w:t>INTERACTION</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OF</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AN</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EXTENDED</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AMPHOTERIC</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SURFACTANT</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COMBINING</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WITH A</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GEMINI</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CATIONIC SURFACTANTS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_Toc4310 \h </w:instrText>
          </w:r>
          <w:r>
            <w:rPr>
              <w:rFonts w:hint="default" w:ascii="Times New Roman" w:hAnsi="Times New Roman" w:cs="Times New Roman"/>
            </w:rPr>
            <w:fldChar w:fldCharType="separate"/>
          </w:r>
          <w:r>
            <w:rPr>
              <w:rFonts w:hint="default" w:ascii="Times New Roman" w:hAnsi="Times New Roman" w:cs="Times New Roman"/>
            </w:rPr>
            <w:t>76</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07E902A5">
          <w:pPr>
            <w:pStyle w:val="12"/>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_Toc32551 </w:instrText>
          </w:r>
          <w:r>
            <w:rPr>
              <w:rFonts w:hint="default" w:ascii="Times New Roman" w:hAnsi="Times New Roman" w:cs="Times New Roman"/>
              <w:szCs w:val="28"/>
            </w:rPr>
            <w:fldChar w:fldCharType="separate"/>
          </w:r>
          <w:r>
            <w:rPr>
              <w:rFonts w:hint="default" w:ascii="Times New Roman" w:hAnsi="Times New Roman" w:cs="Times New Roman"/>
              <w:bCs w:val="0"/>
              <w:i w:val="0"/>
              <w:iCs w:val="0"/>
              <w:szCs w:val="28"/>
            </w:rPr>
            <w:t>5.1 Experimental parts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_Toc32551 \h </w:instrText>
          </w:r>
          <w:r>
            <w:rPr>
              <w:rFonts w:hint="default" w:ascii="Times New Roman" w:hAnsi="Times New Roman" w:cs="Times New Roman"/>
            </w:rPr>
            <w:fldChar w:fldCharType="separate"/>
          </w:r>
          <w:r>
            <w:rPr>
              <w:rFonts w:hint="default" w:ascii="Times New Roman" w:hAnsi="Times New Roman" w:cs="Times New Roman"/>
            </w:rPr>
            <w:t>76</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274E53A0">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_Toc32045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5.1.1 Materials and agents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_Toc32045 \h </w:instrText>
          </w:r>
          <w:r>
            <w:rPr>
              <w:rFonts w:hint="default" w:ascii="Times New Roman" w:hAnsi="Times New Roman" w:cs="Times New Roman"/>
            </w:rPr>
            <w:fldChar w:fldCharType="separate"/>
          </w:r>
          <w:r>
            <w:rPr>
              <w:rFonts w:hint="default" w:ascii="Times New Roman" w:hAnsi="Times New Roman" w:cs="Times New Roman"/>
            </w:rPr>
            <w:t>76</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0D4E062C">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_Toc4127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5.1.2 Experimental instruments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_Toc4127 \h </w:instrText>
          </w:r>
          <w:r>
            <w:rPr>
              <w:rFonts w:hint="default" w:ascii="Times New Roman" w:hAnsi="Times New Roman" w:cs="Times New Roman"/>
            </w:rPr>
            <w:fldChar w:fldCharType="separate"/>
          </w:r>
          <w:r>
            <w:rPr>
              <w:rFonts w:hint="default" w:ascii="Times New Roman" w:hAnsi="Times New Roman" w:cs="Times New Roman"/>
            </w:rPr>
            <w:t>76</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2EE13CBA">
          <w:pPr>
            <w:pStyle w:val="12"/>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_Toc14443 </w:instrText>
          </w:r>
          <w:r>
            <w:rPr>
              <w:rFonts w:hint="default" w:ascii="Times New Roman" w:hAnsi="Times New Roman" w:cs="Times New Roman"/>
              <w:szCs w:val="28"/>
            </w:rPr>
            <w:fldChar w:fldCharType="separate"/>
          </w:r>
          <w:r>
            <w:rPr>
              <w:rFonts w:hint="default" w:ascii="Times New Roman" w:hAnsi="Times New Roman" w:cs="Times New Roman"/>
              <w:bCs w:val="0"/>
              <w:i w:val="0"/>
              <w:iCs w:val="0"/>
              <w:szCs w:val="28"/>
            </w:rPr>
            <w:t>5.2 Methods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_Toc14443 \h </w:instrText>
          </w:r>
          <w:r>
            <w:rPr>
              <w:rFonts w:hint="default" w:ascii="Times New Roman" w:hAnsi="Times New Roman" w:cs="Times New Roman"/>
            </w:rPr>
            <w:fldChar w:fldCharType="separate"/>
          </w:r>
          <w:r>
            <w:rPr>
              <w:rFonts w:hint="default" w:ascii="Times New Roman" w:hAnsi="Times New Roman" w:cs="Times New Roman"/>
            </w:rPr>
            <w:t>77</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3D3DF10F">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_Toc17293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5.2.1 Surface tension determination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_Toc17293 \h </w:instrText>
          </w:r>
          <w:r>
            <w:rPr>
              <w:rFonts w:hint="default" w:ascii="Times New Roman" w:hAnsi="Times New Roman" w:cs="Times New Roman"/>
            </w:rPr>
            <w:fldChar w:fldCharType="separate"/>
          </w:r>
          <w:r>
            <w:rPr>
              <w:rFonts w:hint="default" w:ascii="Times New Roman" w:hAnsi="Times New Roman" w:cs="Times New Roman"/>
            </w:rPr>
            <w:t>77</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480E0A7E">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_Toc24514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5.2.2 Calculation of interaction parameters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_Toc24514 \h </w:instrText>
          </w:r>
          <w:r>
            <w:rPr>
              <w:rFonts w:hint="default" w:ascii="Times New Roman" w:hAnsi="Times New Roman" w:cs="Times New Roman"/>
            </w:rPr>
            <w:fldChar w:fldCharType="separate"/>
          </w:r>
          <w:r>
            <w:rPr>
              <w:rFonts w:hint="default" w:ascii="Times New Roman" w:hAnsi="Times New Roman" w:cs="Times New Roman"/>
            </w:rPr>
            <w:t>77</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7B8904B0">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_Toc13632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5.2.3 Interface tension measurement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_Toc13632 \h </w:instrText>
          </w:r>
          <w:r>
            <w:rPr>
              <w:rFonts w:hint="default" w:ascii="Times New Roman" w:hAnsi="Times New Roman" w:cs="Times New Roman"/>
            </w:rPr>
            <w:fldChar w:fldCharType="separate"/>
          </w:r>
          <w:r>
            <w:rPr>
              <w:rFonts w:hint="default" w:ascii="Times New Roman" w:hAnsi="Times New Roman" w:cs="Times New Roman"/>
            </w:rPr>
            <w:t>78</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57780A45">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_Toc19875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5.2.4 Core flooding experiment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_Toc19875 \h </w:instrText>
          </w:r>
          <w:r>
            <w:rPr>
              <w:rFonts w:hint="default" w:ascii="Times New Roman" w:hAnsi="Times New Roman" w:cs="Times New Roman"/>
            </w:rPr>
            <w:fldChar w:fldCharType="separate"/>
          </w:r>
          <w:r>
            <w:rPr>
              <w:rFonts w:hint="default" w:ascii="Times New Roman" w:hAnsi="Times New Roman" w:cs="Times New Roman"/>
            </w:rPr>
            <w:t>78</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4ABE165B">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_Toc13397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5.2.5 Emulsification performance measurement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_Toc13397 \h </w:instrText>
          </w:r>
          <w:r>
            <w:rPr>
              <w:rFonts w:hint="default" w:ascii="Times New Roman" w:hAnsi="Times New Roman" w:cs="Times New Roman"/>
            </w:rPr>
            <w:fldChar w:fldCharType="separate"/>
          </w:r>
          <w:r>
            <w:rPr>
              <w:rFonts w:hint="default" w:ascii="Times New Roman" w:hAnsi="Times New Roman" w:cs="Times New Roman"/>
            </w:rPr>
            <w:t>78</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7DA7E790">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_Toc16731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5.2.6 Viscoelasticity determination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_Toc16731 \h </w:instrText>
          </w:r>
          <w:r>
            <w:rPr>
              <w:rFonts w:hint="default" w:ascii="Times New Roman" w:hAnsi="Times New Roman" w:cs="Times New Roman"/>
            </w:rPr>
            <w:fldChar w:fldCharType="separate"/>
          </w:r>
          <w:r>
            <w:rPr>
              <w:rFonts w:hint="default" w:ascii="Times New Roman" w:hAnsi="Times New Roman" w:cs="Times New Roman"/>
            </w:rPr>
            <w:t>78</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45682A20">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_Toc9449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5.2.7 Zeta potential test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_Toc9449 \h </w:instrText>
          </w:r>
          <w:r>
            <w:rPr>
              <w:rFonts w:hint="default" w:ascii="Times New Roman" w:hAnsi="Times New Roman" w:cs="Times New Roman"/>
            </w:rPr>
            <w:fldChar w:fldCharType="separate"/>
          </w:r>
          <w:r>
            <w:rPr>
              <w:rFonts w:hint="default" w:ascii="Times New Roman" w:hAnsi="Times New Roman" w:cs="Times New Roman"/>
            </w:rPr>
            <w:t>79</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52196B4A">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_Toc12430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5.2.8 Contact angle determination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_Toc12430 \h </w:instrText>
          </w:r>
          <w:r>
            <w:rPr>
              <w:rFonts w:hint="default" w:ascii="Times New Roman" w:hAnsi="Times New Roman" w:cs="Times New Roman"/>
            </w:rPr>
            <w:fldChar w:fldCharType="separate"/>
          </w:r>
          <w:r>
            <w:rPr>
              <w:rFonts w:hint="default" w:ascii="Times New Roman" w:hAnsi="Times New Roman" w:cs="Times New Roman"/>
            </w:rPr>
            <w:t>80</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57D47E88">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_Toc10271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5.2.9 Adsorption determination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_Toc10271 \h </w:instrText>
          </w:r>
          <w:r>
            <w:rPr>
              <w:rFonts w:hint="default" w:ascii="Times New Roman" w:hAnsi="Times New Roman" w:cs="Times New Roman"/>
            </w:rPr>
            <w:fldChar w:fldCharType="separate"/>
          </w:r>
          <w:r>
            <w:rPr>
              <w:rFonts w:hint="default" w:ascii="Times New Roman" w:hAnsi="Times New Roman" w:cs="Times New Roman"/>
            </w:rPr>
            <w:t>80</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7703898B">
          <w:pPr>
            <w:pStyle w:val="12"/>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_Toc31137 </w:instrText>
          </w:r>
          <w:r>
            <w:rPr>
              <w:rFonts w:hint="default" w:ascii="Times New Roman" w:hAnsi="Times New Roman" w:cs="Times New Roman"/>
              <w:szCs w:val="28"/>
            </w:rPr>
            <w:fldChar w:fldCharType="separate"/>
          </w:r>
          <w:r>
            <w:rPr>
              <w:rFonts w:hint="default" w:ascii="Times New Roman" w:hAnsi="Times New Roman" w:cs="Times New Roman"/>
              <w:bCs w:val="0"/>
              <w:i w:val="0"/>
              <w:iCs w:val="0"/>
              <w:szCs w:val="28"/>
            </w:rPr>
            <w:t>5.3 Results and discussion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_Toc31137 \h </w:instrText>
          </w:r>
          <w:r>
            <w:rPr>
              <w:rFonts w:hint="default" w:ascii="Times New Roman" w:hAnsi="Times New Roman" w:cs="Times New Roman"/>
            </w:rPr>
            <w:fldChar w:fldCharType="separate"/>
          </w:r>
          <w:r>
            <w:rPr>
              <w:rFonts w:hint="default" w:ascii="Times New Roman" w:hAnsi="Times New Roman" w:cs="Times New Roman"/>
            </w:rPr>
            <w:t>80</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24497A35">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_Toc1387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5.3.1 Surface properties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_Toc1387 \h </w:instrText>
          </w:r>
          <w:r>
            <w:rPr>
              <w:rFonts w:hint="default" w:ascii="Times New Roman" w:hAnsi="Times New Roman" w:cs="Times New Roman"/>
            </w:rPr>
            <w:fldChar w:fldCharType="separate"/>
          </w:r>
          <w:r>
            <w:rPr>
              <w:rFonts w:hint="default" w:ascii="Times New Roman" w:hAnsi="Times New Roman" w:cs="Times New Roman"/>
            </w:rPr>
            <w:t>80</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7449F695">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_Toc9806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5.3.2 Calculation of thermodynamic parameters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_Toc9806 \h </w:instrText>
          </w:r>
          <w:r>
            <w:rPr>
              <w:rFonts w:hint="default" w:ascii="Times New Roman" w:hAnsi="Times New Roman" w:cs="Times New Roman"/>
            </w:rPr>
            <w:fldChar w:fldCharType="separate"/>
          </w:r>
          <w:r>
            <w:rPr>
              <w:rFonts w:hint="default" w:ascii="Times New Roman" w:hAnsi="Times New Roman" w:cs="Times New Roman"/>
            </w:rPr>
            <w:t>85</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267B0789">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_Toc26448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5.3.3 Interfacial tension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_Toc26448 \h </w:instrText>
          </w:r>
          <w:r>
            <w:rPr>
              <w:rFonts w:hint="default" w:ascii="Times New Roman" w:hAnsi="Times New Roman" w:cs="Times New Roman"/>
            </w:rPr>
            <w:fldChar w:fldCharType="separate"/>
          </w:r>
          <w:r>
            <w:rPr>
              <w:rFonts w:hint="default" w:ascii="Times New Roman" w:hAnsi="Times New Roman" w:cs="Times New Roman"/>
            </w:rPr>
            <w:t>86</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63053338">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_Toc10230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5.3.4 Oil displacement efficiency</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_Toc10230 \h </w:instrText>
          </w:r>
          <w:r>
            <w:rPr>
              <w:rFonts w:hint="default" w:ascii="Times New Roman" w:hAnsi="Times New Roman" w:cs="Times New Roman"/>
            </w:rPr>
            <w:fldChar w:fldCharType="separate"/>
          </w:r>
          <w:r>
            <w:rPr>
              <w:rFonts w:hint="default" w:ascii="Times New Roman" w:hAnsi="Times New Roman" w:cs="Times New Roman"/>
            </w:rPr>
            <w:t>88</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583812DA">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_Toc20208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5.3.5 Emulsification performance</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_Toc20208 \h </w:instrText>
          </w:r>
          <w:r>
            <w:rPr>
              <w:rFonts w:hint="default" w:ascii="Times New Roman" w:hAnsi="Times New Roman" w:cs="Times New Roman"/>
            </w:rPr>
            <w:fldChar w:fldCharType="separate"/>
          </w:r>
          <w:r>
            <w:rPr>
              <w:rFonts w:hint="default" w:ascii="Times New Roman" w:hAnsi="Times New Roman" w:cs="Times New Roman"/>
            </w:rPr>
            <w:t>89</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4F8997AE">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_Toc880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5.3.6 Wettability alteration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_Toc880 \h </w:instrText>
          </w:r>
          <w:r>
            <w:rPr>
              <w:rFonts w:hint="default" w:ascii="Times New Roman" w:hAnsi="Times New Roman" w:cs="Times New Roman"/>
            </w:rPr>
            <w:fldChar w:fldCharType="separate"/>
          </w:r>
          <w:r>
            <w:rPr>
              <w:rFonts w:hint="default" w:ascii="Times New Roman" w:hAnsi="Times New Roman" w:cs="Times New Roman"/>
            </w:rPr>
            <w:t>92</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640FEB2E">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_Toc32021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5.3.7 Adsorption performance</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_Toc32021 \h </w:instrText>
          </w:r>
          <w:r>
            <w:rPr>
              <w:rFonts w:hint="default" w:ascii="Times New Roman" w:hAnsi="Times New Roman" w:cs="Times New Roman"/>
            </w:rPr>
            <w:fldChar w:fldCharType="separate"/>
          </w:r>
          <w:r>
            <w:rPr>
              <w:rFonts w:hint="default" w:ascii="Times New Roman" w:hAnsi="Times New Roman" w:cs="Times New Roman"/>
            </w:rPr>
            <w:t>93</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2716ABDB">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_Toc20582 </w:instrText>
          </w:r>
          <w:r>
            <w:rPr>
              <w:rFonts w:hint="default" w:ascii="Times New Roman" w:hAnsi="Times New Roman" w:cs="Times New Roman"/>
              <w:szCs w:val="28"/>
            </w:rPr>
            <w:fldChar w:fldCharType="separate"/>
          </w:r>
          <w:r>
            <w:rPr>
              <w:rFonts w:hint="default" w:ascii="Times New Roman" w:hAnsi="Times New Roman" w:cs="Times New Roman"/>
              <w:szCs w:val="28"/>
            </w:rPr>
            <w:t>5.3.8 Comparative Study of Two Optimal Compound Systems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_Toc20582 \h </w:instrText>
          </w:r>
          <w:r>
            <w:rPr>
              <w:rFonts w:hint="default" w:ascii="Times New Roman" w:hAnsi="Times New Roman" w:cs="Times New Roman"/>
            </w:rPr>
            <w:fldChar w:fldCharType="separate"/>
          </w:r>
          <w:r>
            <w:rPr>
              <w:rFonts w:hint="default" w:ascii="Times New Roman" w:hAnsi="Times New Roman" w:cs="Times New Roman"/>
            </w:rPr>
            <w:t>94</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28D0C3B9">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_Toc17574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5.3.9 Mechanism summary for EOR</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_Toc17574 \h </w:instrText>
          </w:r>
          <w:r>
            <w:rPr>
              <w:rFonts w:hint="default" w:ascii="Times New Roman" w:hAnsi="Times New Roman" w:cs="Times New Roman"/>
            </w:rPr>
            <w:fldChar w:fldCharType="separate"/>
          </w:r>
          <w:r>
            <w:rPr>
              <w:rFonts w:hint="default" w:ascii="Times New Roman" w:hAnsi="Times New Roman" w:cs="Times New Roman"/>
            </w:rPr>
            <w:t>97</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474C309C">
          <w:pPr>
            <w:pStyle w:val="6"/>
            <w:tabs>
              <w:tab w:val="right" w:leader="dot" w:pos="9638"/>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_Toc20605 </w:instrText>
          </w:r>
          <w:r>
            <w:rPr>
              <w:rFonts w:hint="default" w:ascii="Times New Roman" w:hAnsi="Times New Roman" w:cs="Times New Roman"/>
              <w:szCs w:val="28"/>
            </w:rPr>
            <w:fldChar w:fldCharType="separate"/>
          </w:r>
          <w:r>
            <w:rPr>
              <w:rFonts w:hint="default" w:ascii="Times New Roman" w:hAnsi="Times New Roman" w:cs="Times New Roman"/>
              <w:i w:val="0"/>
              <w:iCs w:val="0"/>
              <w:szCs w:val="28"/>
            </w:rPr>
            <w:t>5.3.10 Summary</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_Toc20605 \h </w:instrText>
          </w:r>
          <w:r>
            <w:rPr>
              <w:rFonts w:hint="default" w:ascii="Times New Roman" w:hAnsi="Times New Roman" w:cs="Times New Roman"/>
            </w:rPr>
            <w:fldChar w:fldCharType="separate"/>
          </w:r>
          <w:r>
            <w:rPr>
              <w:rFonts w:hint="default" w:ascii="Times New Roman" w:hAnsi="Times New Roman" w:cs="Times New Roman"/>
            </w:rPr>
            <w:t>97</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07DE803D">
          <w:pPr>
            <w:pStyle w:val="10"/>
            <w:tabs>
              <w:tab w:val="right" w:leader="dot" w:pos="9638"/>
              <w:tab w:val="clear" w:pos="8504"/>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_Toc6565 </w:instrText>
          </w:r>
          <w:r>
            <w:rPr>
              <w:rFonts w:hint="default" w:ascii="Times New Roman" w:hAnsi="Times New Roman" w:cs="Times New Roman"/>
              <w:szCs w:val="28"/>
            </w:rPr>
            <w:fldChar w:fldCharType="separate"/>
          </w:r>
          <w:r>
            <w:rPr>
              <w:rFonts w:hint="default" w:ascii="Times New Roman" w:hAnsi="Times New Roman" w:cs="Times New Roman"/>
              <w:szCs w:val="28"/>
            </w:rPr>
            <w:t>C</w:t>
          </w:r>
          <w:r>
            <w:rPr>
              <w:rFonts w:hint="default" w:ascii="Times New Roman" w:hAnsi="Times New Roman" w:cs="Times New Roman"/>
              <w:szCs w:val="28"/>
              <w:lang w:val="en-US" w:eastAsia="zh-CN"/>
            </w:rPr>
            <w:t>HAPTER</w:t>
          </w:r>
          <w:r>
            <w:rPr>
              <w:rFonts w:hint="default" w:ascii="Times New Roman" w:hAnsi="Times New Roman" w:cs="Times New Roman"/>
              <w:szCs w:val="28"/>
            </w:rPr>
            <w:t xml:space="preserve"> 6 C</w:t>
          </w:r>
          <w:r>
            <w:rPr>
              <w:rFonts w:hint="default" w:ascii="Times New Roman" w:hAnsi="Times New Roman" w:cs="Times New Roman"/>
              <w:szCs w:val="28"/>
              <w:lang w:val="en-US" w:eastAsia="zh-CN"/>
            </w:rPr>
            <w:t>ONCLUSIONS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_Toc6565 \h </w:instrText>
          </w:r>
          <w:r>
            <w:rPr>
              <w:rFonts w:hint="default" w:ascii="Times New Roman" w:hAnsi="Times New Roman" w:cs="Times New Roman"/>
            </w:rPr>
            <w:fldChar w:fldCharType="separate"/>
          </w:r>
          <w:r>
            <w:rPr>
              <w:rFonts w:hint="default" w:ascii="Times New Roman" w:hAnsi="Times New Roman" w:cs="Times New Roman"/>
            </w:rPr>
            <w:t>98</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41E0C408">
          <w:pPr>
            <w:pStyle w:val="10"/>
            <w:tabs>
              <w:tab w:val="right" w:leader="dot" w:pos="9638"/>
              <w:tab w:val="clear" w:pos="8504"/>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_Toc17626 </w:instrText>
          </w:r>
          <w:r>
            <w:rPr>
              <w:rFonts w:hint="default" w:ascii="Times New Roman" w:hAnsi="Times New Roman" w:cs="Times New Roman"/>
              <w:szCs w:val="28"/>
            </w:rPr>
            <w:fldChar w:fldCharType="separate"/>
          </w:r>
          <w:r>
            <w:rPr>
              <w:rFonts w:hint="default" w:ascii="Times New Roman" w:hAnsi="Times New Roman" w:cs="Times New Roman"/>
              <w:szCs w:val="28"/>
            </w:rPr>
            <w:t>ABBREVIATIONS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_Toc17626 \h </w:instrText>
          </w:r>
          <w:r>
            <w:rPr>
              <w:rFonts w:hint="default" w:ascii="Times New Roman" w:hAnsi="Times New Roman" w:cs="Times New Roman"/>
            </w:rPr>
            <w:fldChar w:fldCharType="separate"/>
          </w:r>
          <w:r>
            <w:rPr>
              <w:rFonts w:hint="default" w:ascii="Times New Roman" w:hAnsi="Times New Roman" w:cs="Times New Roman"/>
            </w:rPr>
            <w:t>100</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29529664">
          <w:pPr>
            <w:pStyle w:val="10"/>
            <w:tabs>
              <w:tab w:val="right" w:leader="dot" w:pos="9638"/>
              <w:tab w:val="clear" w:pos="8504"/>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_Toc2336 </w:instrText>
          </w:r>
          <w:r>
            <w:rPr>
              <w:rFonts w:hint="default" w:ascii="Times New Roman" w:hAnsi="Times New Roman" w:cs="Times New Roman"/>
              <w:szCs w:val="28"/>
            </w:rPr>
            <w:fldChar w:fldCharType="separate"/>
          </w:r>
          <w:r>
            <w:rPr>
              <w:rFonts w:hint="default" w:ascii="Times New Roman" w:hAnsi="Times New Roman" w:cs="Times New Roman"/>
              <w:szCs w:val="28"/>
            </w:rPr>
            <w:t>ACKNOWLEDGMENT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_Toc2336 \h </w:instrText>
          </w:r>
          <w:r>
            <w:rPr>
              <w:rFonts w:hint="default" w:ascii="Times New Roman" w:hAnsi="Times New Roman" w:cs="Times New Roman"/>
            </w:rPr>
            <w:fldChar w:fldCharType="separate"/>
          </w:r>
          <w:r>
            <w:rPr>
              <w:rFonts w:hint="default" w:ascii="Times New Roman" w:hAnsi="Times New Roman" w:cs="Times New Roman"/>
            </w:rPr>
            <w:t>103</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3BD04639">
          <w:pPr>
            <w:pStyle w:val="10"/>
            <w:tabs>
              <w:tab w:val="right" w:leader="dot" w:pos="9638"/>
              <w:tab w:val="clear" w:pos="8504"/>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 HYPERLINK \l _Toc7371 </w:instrText>
          </w:r>
          <w:r>
            <w:rPr>
              <w:rFonts w:hint="default" w:ascii="Times New Roman" w:hAnsi="Times New Roman" w:cs="Times New Roman"/>
              <w:szCs w:val="28"/>
            </w:rPr>
            <w:fldChar w:fldCharType="separate"/>
          </w:r>
          <w:r>
            <w:rPr>
              <w:rFonts w:hint="default" w:ascii="Times New Roman" w:hAnsi="Times New Roman" w:cs="Times New Roman"/>
              <w:szCs w:val="28"/>
            </w:rPr>
            <w:t>REFERENCES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_Toc7371 \h </w:instrText>
          </w:r>
          <w:r>
            <w:rPr>
              <w:rFonts w:hint="default" w:ascii="Times New Roman" w:hAnsi="Times New Roman" w:cs="Times New Roman"/>
            </w:rPr>
            <w:fldChar w:fldCharType="separate"/>
          </w:r>
          <w:r>
            <w:rPr>
              <w:rFonts w:hint="default" w:ascii="Times New Roman" w:hAnsi="Times New Roman" w:cs="Times New Roman"/>
            </w:rPr>
            <w:t>104</w:t>
          </w:r>
          <w:r>
            <w:rPr>
              <w:rFonts w:hint="default" w:ascii="Times New Roman" w:hAnsi="Times New Roman" w:cs="Times New Roman"/>
            </w:rPr>
            <w:fldChar w:fldCharType="end"/>
          </w:r>
          <w:r>
            <w:rPr>
              <w:rFonts w:hint="default" w:ascii="Times New Roman" w:hAnsi="Times New Roman" w:cs="Times New Roman"/>
              <w:szCs w:val="28"/>
            </w:rPr>
            <w:fldChar w:fldCharType="end"/>
          </w:r>
        </w:p>
        <w:p w14:paraId="28095F28">
          <w:pPr>
            <w:widowControl/>
            <w:ind w:firstLine="0" w:firstLineChars="0"/>
            <w:rPr>
              <w:rFonts w:hint="default" w:ascii="Times New Roman" w:hAnsi="Times New Roman" w:cs="Times New Roman"/>
              <w:sz w:val="28"/>
              <w:szCs w:val="28"/>
            </w:rPr>
          </w:pPr>
          <w:r>
            <w:rPr>
              <w:rFonts w:hint="default" w:ascii="Times New Roman" w:hAnsi="Times New Roman" w:cs="Times New Roman"/>
              <w:szCs w:val="28"/>
            </w:rPr>
            <w:fldChar w:fldCharType="end"/>
          </w:r>
        </w:p>
      </w:sdtContent>
    </w:sdt>
    <w:p w14:paraId="0A9458FA">
      <w:pPr>
        <w:pStyle w:val="2"/>
        <w:keepNext w:val="0"/>
        <w:keepLines w:val="0"/>
        <w:widowControl/>
        <w:spacing w:before="0" w:beforeLines="0" w:after="0" w:afterLines="0" w:line="240" w:lineRule="auto"/>
        <w:ind w:firstLine="709"/>
        <w:jc w:val="both"/>
        <w:rPr>
          <w:rFonts w:hint="default" w:ascii="Times New Roman" w:hAnsi="Times New Roman" w:cs="Times New Roman"/>
          <w:szCs w:val="28"/>
        </w:rPr>
        <w:sectPr>
          <w:headerReference r:id="rId7" w:type="first"/>
          <w:footerReference r:id="rId10" w:type="first"/>
          <w:headerReference r:id="rId5" w:type="default"/>
          <w:footerReference r:id="rId8" w:type="default"/>
          <w:headerReference r:id="rId6" w:type="even"/>
          <w:footerReference r:id="rId9" w:type="even"/>
          <w:pgSz w:w="11906" w:h="16838"/>
          <w:pgMar w:top="1134" w:right="567" w:bottom="1134" w:left="1701" w:header="0" w:footer="616" w:gutter="0"/>
          <w:pgNumType w:start="1"/>
          <w:cols w:space="425" w:num="1"/>
          <w:docGrid w:type="linesAndChars" w:linePitch="326" w:charSpace="0"/>
        </w:sectPr>
      </w:pPr>
      <w:bookmarkStart w:id="7" w:name="_Toc10210"/>
      <w:bookmarkStart w:id="8" w:name="_Toc29617"/>
      <w:bookmarkStart w:id="9" w:name="_Toc18954"/>
      <w:bookmarkStart w:id="10" w:name="_Toc6535"/>
      <w:bookmarkStart w:id="11" w:name="_Toc20469"/>
      <w:bookmarkStart w:id="12" w:name="_Toc6510"/>
    </w:p>
    <w:p w14:paraId="78262152">
      <w:pPr>
        <w:pStyle w:val="2"/>
        <w:keepNext w:val="0"/>
        <w:keepLines w:val="0"/>
        <w:widowControl/>
        <w:spacing w:before="0" w:beforeLines="0" w:after="0" w:afterLines="0" w:line="240" w:lineRule="auto"/>
        <w:ind w:firstLine="560" w:firstLineChars="200"/>
        <w:jc w:val="both"/>
        <w:rPr>
          <w:rFonts w:hint="default" w:ascii="Times New Roman" w:hAnsi="Times New Roman" w:eastAsia="宋体" w:cs="Times New Roman"/>
          <w:szCs w:val="28"/>
          <w:lang w:val="en-US" w:eastAsia="zh-CN"/>
        </w:rPr>
      </w:pPr>
      <w:bookmarkStart w:id="13" w:name="_Toc20677"/>
      <w:r>
        <w:rPr>
          <w:rFonts w:hint="default" w:ascii="Times New Roman" w:hAnsi="Times New Roman" w:cs="Times New Roman"/>
          <w:szCs w:val="28"/>
          <w:lang w:val="en-US" w:eastAsia="zh-CN"/>
        </w:rPr>
        <w:t xml:space="preserve">CHAPTER 1 </w:t>
      </w:r>
      <w:r>
        <w:rPr>
          <w:rFonts w:hint="default" w:ascii="Times New Roman" w:hAnsi="Times New Roman" w:cs="Times New Roman"/>
          <w:szCs w:val="28"/>
        </w:rPr>
        <w:t>I</w:t>
      </w:r>
      <w:bookmarkEnd w:id="7"/>
      <w:bookmarkEnd w:id="8"/>
      <w:bookmarkEnd w:id="9"/>
      <w:bookmarkEnd w:id="10"/>
      <w:bookmarkEnd w:id="11"/>
      <w:bookmarkEnd w:id="12"/>
      <w:r>
        <w:rPr>
          <w:rFonts w:hint="default" w:ascii="Times New Roman" w:hAnsi="Times New Roman" w:cs="Times New Roman"/>
          <w:szCs w:val="28"/>
          <w:lang w:val="en-US" w:eastAsia="zh-CN"/>
        </w:rPr>
        <w:t>NTRODUCTION</w:t>
      </w:r>
      <w:bookmarkEnd w:id="13"/>
    </w:p>
    <w:p w14:paraId="2F9C80BE">
      <w:pPr>
        <w:ind w:firstLine="480"/>
        <w:rPr>
          <w:rFonts w:hint="default" w:ascii="Times New Roman" w:hAnsi="Times New Roman" w:cs="Times New Roman"/>
        </w:rPr>
      </w:pPr>
    </w:p>
    <w:p w14:paraId="69D930F6">
      <w:pPr>
        <w:pStyle w:val="3"/>
        <w:keepNext w:val="0"/>
        <w:keepLines w:val="0"/>
        <w:widowControl/>
        <w:spacing w:line="240" w:lineRule="auto"/>
        <w:ind w:firstLine="709"/>
        <w:jc w:val="both"/>
        <w:rPr>
          <w:rFonts w:hint="default" w:ascii="Times New Roman" w:hAnsi="Times New Roman" w:cs="Times New Roman" w:eastAsiaTheme="majorEastAsia"/>
          <w:b/>
          <w:bCs/>
          <w:i w:val="0"/>
          <w:iCs w:val="0"/>
          <w:sz w:val="28"/>
          <w:szCs w:val="28"/>
          <w:lang w:val="en-US" w:eastAsia="zh-CN"/>
        </w:rPr>
      </w:pPr>
      <w:bookmarkStart w:id="14" w:name="_Toc4956"/>
      <w:bookmarkStart w:id="15" w:name="_Toc2670"/>
      <w:bookmarkStart w:id="16" w:name="_Toc6159"/>
      <w:bookmarkStart w:id="17" w:name="_Toc11996"/>
      <w:bookmarkStart w:id="18" w:name="_Toc12706"/>
      <w:bookmarkStart w:id="19" w:name="_Toc28369"/>
      <w:bookmarkStart w:id="20" w:name="_Toc18215"/>
      <w:bookmarkStart w:id="21" w:name="_Toc22116"/>
      <w:bookmarkStart w:id="22" w:name="_Toc17509"/>
      <w:bookmarkStart w:id="23" w:name="_Toc32666"/>
      <w:bookmarkStart w:id="24" w:name="_Toc25524"/>
      <w:bookmarkStart w:id="25" w:name="_Toc3913"/>
      <w:bookmarkStart w:id="26" w:name="_Toc28491"/>
      <w:bookmarkStart w:id="27" w:name="_Toc31647"/>
      <w:bookmarkStart w:id="28" w:name="_Toc13259"/>
      <w:bookmarkStart w:id="29" w:name="_Toc1313"/>
      <w:bookmarkStart w:id="30" w:name="_Toc23428"/>
      <w:bookmarkStart w:id="31" w:name="_Toc3995"/>
      <w:bookmarkStart w:id="32" w:name="_Toc9027"/>
      <w:bookmarkStart w:id="33" w:name="_Toc2967"/>
      <w:bookmarkStart w:id="34" w:name="_Toc29133"/>
      <w:bookmarkStart w:id="35" w:name="_Toc17116"/>
      <w:bookmarkStart w:id="36" w:name="_Toc18770"/>
      <w:bookmarkStart w:id="37" w:name="_Toc20627"/>
      <w:r>
        <w:rPr>
          <w:rFonts w:hint="default" w:ascii="Times New Roman" w:hAnsi="Times New Roman" w:cs="Times New Roman"/>
          <w:b/>
          <w:bCs/>
          <w:i w:val="0"/>
          <w:iCs w:val="0"/>
          <w:sz w:val="28"/>
          <w:szCs w:val="28"/>
        </w:rPr>
        <w:t>1.1 The general characteristics of the study</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Pr>
          <w:rFonts w:hint="default" w:ascii="Times New Roman" w:hAnsi="Times New Roman" w:cs="Times New Roman"/>
          <w:b/>
          <w:bCs/>
          <w:i w:val="0"/>
          <w:iCs w:val="0"/>
          <w:sz w:val="28"/>
          <w:szCs w:val="28"/>
          <w:lang w:val="en-US" w:eastAsia="zh-CN"/>
        </w:rPr>
        <w:t>.</w:t>
      </w:r>
      <w:bookmarkEnd w:id="37"/>
    </w:p>
    <w:p w14:paraId="4C38360B">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This study focuses on extended amphoteric surfactant systems for enhanced oil recovery in high-salinity, low-permeability reservoirs, systematically evaluating their interfacial properties, synergistic interactions, and oil displacement performance. A multiscale interfacial regulation mechanism involving molecular adsorption, interfacial film reconstruction, emulsion-mediated transport, and wettability-controlled displacement is proposed. Firstly, three extended amphoteric surfactants were synthesized, exhibiting excellent salt tolerance, low critical micelle concentration (cmc), and the ability to achieve ultralow interfacial tension under harsh reservoir conditions. Secondly, their interactions with gemini cationic and nonionic surfactants were investigated, revealing strong synergistic effects that enhance interfacial activity, emulsion stability, and wettability alteration. The underlying mechanisms are analyzed based on thermodynamic behavior and interfacial interactions, and the effect of salinity on system performance is further examined to determine optimal application conditions. Finally, core flooding experiments demonstrate that the optimized surfactant systems effectively improve conformance control and oil recovery in heterogeneous reservoirs. To establish a clear logical framework, this study is based on the hypothesis that the enhanced oil recovery performance of extended amphoteric surfactant systems can be regulated across multiple scales. Specifically, molecular structure (EO/PO segments) influences interfacial adsorption behavior, which further affects interfacial film properties, emulsification characteristics, and ultimately fluid flow behavior and oil displacement efficiency in porous media. Based on this, a structure–interface–emulsion–flow–EOR relationship is proposed as the central framework of this work.</w:t>
      </w:r>
    </w:p>
    <w:p w14:paraId="237E1452">
      <w:pPr>
        <w:pStyle w:val="3"/>
        <w:keepNext w:val="0"/>
        <w:keepLines w:val="0"/>
        <w:widowControl/>
        <w:spacing w:line="240" w:lineRule="auto"/>
        <w:ind w:firstLine="709"/>
        <w:jc w:val="both"/>
        <w:rPr>
          <w:rFonts w:hint="default" w:ascii="Times New Roman" w:hAnsi="Times New Roman" w:cs="Times New Roman" w:eastAsiaTheme="majorEastAsia"/>
          <w:b/>
          <w:bCs/>
          <w:i w:val="0"/>
          <w:iCs w:val="0"/>
          <w:sz w:val="28"/>
          <w:szCs w:val="28"/>
          <w:lang w:val="en-US" w:eastAsia="zh-CN"/>
        </w:rPr>
      </w:pPr>
      <w:bookmarkStart w:id="38" w:name="_Toc26781"/>
      <w:bookmarkStart w:id="39" w:name="_Toc4474"/>
      <w:bookmarkStart w:id="40" w:name="_Toc28187"/>
      <w:bookmarkStart w:id="41" w:name="_Toc19924"/>
      <w:bookmarkStart w:id="42" w:name="_Toc1925"/>
      <w:bookmarkStart w:id="43" w:name="_Toc16240"/>
      <w:bookmarkStart w:id="44" w:name="_Toc16863"/>
      <w:bookmarkStart w:id="45" w:name="_Toc24186"/>
      <w:bookmarkStart w:id="46" w:name="_Toc14438"/>
      <w:bookmarkStart w:id="47" w:name="_Toc31309"/>
      <w:bookmarkStart w:id="48" w:name="_Toc5028"/>
      <w:bookmarkStart w:id="49" w:name="_Toc15220"/>
      <w:bookmarkStart w:id="50" w:name="_Toc15206"/>
      <w:bookmarkStart w:id="51" w:name="_Toc21893"/>
      <w:bookmarkStart w:id="52" w:name="_Toc7509"/>
      <w:bookmarkStart w:id="53" w:name="_Toc28495"/>
      <w:bookmarkStart w:id="54" w:name="_Toc4735"/>
      <w:bookmarkStart w:id="55" w:name="_Toc15467"/>
      <w:bookmarkStart w:id="56" w:name="_Toc24480"/>
      <w:bookmarkStart w:id="57" w:name="_Toc20567"/>
      <w:bookmarkStart w:id="58" w:name="_Toc20247"/>
      <w:bookmarkStart w:id="59" w:name="_Toc2939"/>
      <w:bookmarkStart w:id="60" w:name="_Toc20798"/>
      <w:bookmarkStart w:id="61" w:name="_Toc23717"/>
      <w:r>
        <w:rPr>
          <w:rFonts w:hint="default" w:ascii="Times New Roman" w:hAnsi="Times New Roman" w:cs="Times New Roman"/>
          <w:b/>
          <w:bCs/>
          <w:i w:val="0"/>
          <w:iCs w:val="0"/>
          <w:sz w:val="28"/>
          <w:szCs w:val="28"/>
        </w:rPr>
        <w:t>1.2 Relevance</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Pr>
          <w:rFonts w:hint="default" w:ascii="Times New Roman" w:hAnsi="Times New Roman" w:cs="Times New Roman"/>
          <w:b/>
          <w:bCs/>
          <w:i w:val="0"/>
          <w:iCs w:val="0"/>
          <w:sz w:val="28"/>
          <w:szCs w:val="28"/>
          <w:lang w:val="en-US" w:eastAsia="zh-CN"/>
        </w:rPr>
        <w:t>.</w:t>
      </w:r>
      <w:bookmarkEnd w:id="61"/>
    </w:p>
    <w:p w14:paraId="36DE5CD7">
      <w:pPr>
        <w:widowControl/>
        <w:ind w:firstLine="709" w:firstLineChars="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Unconventional reservoirs, particularly low-permeability and high-salinity formations, have become increasingly important for sustaining global energy supply, yet their complex pore structures and harsh conditions severely limit the efficiency of conventional EOR methods. Although surfactant flooding is an effective approach to enhance oil recovery by reducing interfacial tension and altering wettability, its performance is often hindered by high salinity, divalent ions, and strong adsorption of heavy oil components, leading to instability and reduced efficiency. This study addresses these challenges by developing extended amphoteric surfactant systems with enhanced salt tolerance and interfacial activity. Through molecular design and synergistic formulation with gemini cationic and nonionic surfactants, the developed systems achieve ultra-low interfacial tension, improved emulsification, and effective wettability alteration under harsh conditions. The results provide new insights into interfacial regulation mechanisms and offer a robust and cost-effective strategy for improving oil recovery in challenging reservoirs.</w:t>
      </w:r>
    </w:p>
    <w:p w14:paraId="0B9C6FC9">
      <w:pPr>
        <w:pStyle w:val="3"/>
        <w:keepNext w:val="0"/>
        <w:keepLines w:val="0"/>
        <w:widowControl/>
        <w:spacing w:line="240" w:lineRule="auto"/>
        <w:ind w:firstLine="709"/>
        <w:jc w:val="both"/>
        <w:rPr>
          <w:rFonts w:hint="default" w:ascii="Times New Roman" w:hAnsi="Times New Roman" w:cs="Times New Roman" w:eastAsiaTheme="majorEastAsia"/>
          <w:b/>
          <w:bCs/>
          <w:i w:val="0"/>
          <w:iCs w:val="0"/>
          <w:sz w:val="28"/>
          <w:szCs w:val="28"/>
          <w:lang w:val="en-US" w:eastAsia="zh-CN"/>
        </w:rPr>
      </w:pPr>
      <w:bookmarkStart w:id="62" w:name="_Toc15080"/>
      <w:bookmarkStart w:id="63" w:name="_Toc27864"/>
      <w:bookmarkStart w:id="64" w:name="_Toc1595"/>
      <w:bookmarkStart w:id="65" w:name="_Toc22212"/>
      <w:bookmarkStart w:id="66" w:name="_Toc20655"/>
      <w:bookmarkStart w:id="67" w:name="_Toc22756"/>
      <w:bookmarkStart w:id="68" w:name="_Toc9756"/>
      <w:bookmarkStart w:id="69" w:name="_Toc1855"/>
      <w:bookmarkStart w:id="70" w:name="_Toc28551"/>
      <w:bookmarkStart w:id="71" w:name="_Toc939"/>
      <w:bookmarkStart w:id="72" w:name="_Toc22952"/>
      <w:bookmarkStart w:id="73" w:name="_Toc21821"/>
      <w:bookmarkStart w:id="74" w:name="_Toc20096"/>
      <w:bookmarkStart w:id="75" w:name="_Toc24498"/>
      <w:bookmarkStart w:id="76" w:name="_Toc7600"/>
      <w:bookmarkStart w:id="77" w:name="_Toc1629"/>
      <w:bookmarkStart w:id="78" w:name="_Toc19807"/>
      <w:bookmarkStart w:id="79" w:name="_Toc4143"/>
      <w:bookmarkStart w:id="80" w:name="_Toc23194"/>
      <w:bookmarkStart w:id="81" w:name="_Toc5478"/>
      <w:bookmarkStart w:id="82" w:name="_Toc25433"/>
      <w:bookmarkStart w:id="83" w:name="_Toc4153"/>
      <w:bookmarkStart w:id="84" w:name="_Toc25373"/>
      <w:bookmarkStart w:id="85" w:name="_Toc8233"/>
      <w:r>
        <w:rPr>
          <w:rFonts w:hint="default" w:ascii="Times New Roman" w:hAnsi="Times New Roman" w:cs="Times New Roman"/>
          <w:b/>
          <w:bCs/>
          <w:i w:val="0"/>
          <w:iCs w:val="0"/>
          <w:sz w:val="28"/>
          <w:szCs w:val="28"/>
        </w:rPr>
        <w:t>1.3 Purpose of study</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Pr>
          <w:rFonts w:hint="default" w:ascii="Times New Roman" w:hAnsi="Times New Roman" w:cs="Times New Roman"/>
          <w:b/>
          <w:bCs/>
          <w:i w:val="0"/>
          <w:iCs w:val="0"/>
          <w:sz w:val="28"/>
          <w:szCs w:val="28"/>
          <w:lang w:val="en-US" w:eastAsia="zh-CN"/>
        </w:rPr>
        <w:t>.</w:t>
      </w:r>
      <w:bookmarkEnd w:id="85"/>
    </w:p>
    <w:p w14:paraId="0B793708">
      <w:pPr>
        <w:widowControl/>
        <w:ind w:firstLine="709" w:firstLineChars="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The purpose of this study is to establish a structure–performance relationship and develop synergistic surfactant systems capable of achieving ultralow interfacial tension and low adsorption loss under high-salinity conditions.</w:t>
      </w:r>
    </w:p>
    <w:p w14:paraId="4440EC8C">
      <w:pPr>
        <w:pStyle w:val="3"/>
        <w:keepNext w:val="0"/>
        <w:keepLines w:val="0"/>
        <w:widowControl/>
        <w:spacing w:line="240" w:lineRule="auto"/>
        <w:ind w:firstLine="709"/>
        <w:jc w:val="both"/>
        <w:rPr>
          <w:rFonts w:hint="default" w:ascii="Times New Roman" w:hAnsi="Times New Roman" w:cs="Times New Roman" w:eastAsiaTheme="majorEastAsia"/>
          <w:b/>
          <w:bCs/>
          <w:i w:val="0"/>
          <w:iCs w:val="0"/>
          <w:sz w:val="28"/>
          <w:szCs w:val="28"/>
          <w:lang w:val="en-US" w:eastAsia="zh-CN"/>
        </w:rPr>
      </w:pPr>
      <w:bookmarkStart w:id="86" w:name="_Toc4449"/>
      <w:bookmarkStart w:id="87" w:name="_Toc21257"/>
      <w:bookmarkStart w:id="88" w:name="_Toc5737"/>
      <w:bookmarkStart w:id="89" w:name="_Toc21690"/>
      <w:bookmarkStart w:id="90" w:name="_Toc20831"/>
      <w:bookmarkStart w:id="91" w:name="_Toc11462"/>
      <w:bookmarkStart w:id="92" w:name="_Toc12681"/>
      <w:bookmarkStart w:id="93" w:name="_Toc5356"/>
      <w:bookmarkStart w:id="94" w:name="_Toc9494"/>
      <w:bookmarkStart w:id="95" w:name="_Toc19073"/>
      <w:bookmarkStart w:id="96" w:name="_Toc23668"/>
      <w:bookmarkStart w:id="97" w:name="_Toc15002"/>
      <w:bookmarkStart w:id="98" w:name="_Toc29254"/>
      <w:bookmarkStart w:id="99" w:name="_Toc14206"/>
      <w:bookmarkStart w:id="100" w:name="_Toc7478"/>
      <w:bookmarkStart w:id="101" w:name="_Toc17138"/>
      <w:bookmarkStart w:id="102" w:name="_Toc31451"/>
      <w:bookmarkStart w:id="103" w:name="_Toc19471"/>
      <w:bookmarkStart w:id="104" w:name="_Toc16730"/>
      <w:bookmarkStart w:id="105" w:name="_Toc5050"/>
      <w:bookmarkStart w:id="106" w:name="_Toc12955"/>
      <w:bookmarkStart w:id="107" w:name="_Toc13991"/>
      <w:bookmarkStart w:id="108" w:name="_Toc28064"/>
      <w:bookmarkStart w:id="109" w:name="_Toc16354"/>
      <w:r>
        <w:rPr>
          <w:rFonts w:hint="default" w:ascii="Times New Roman" w:hAnsi="Times New Roman" w:cs="Times New Roman"/>
          <w:b/>
          <w:bCs/>
          <w:i w:val="0"/>
          <w:iCs w:val="0"/>
          <w:sz w:val="28"/>
          <w:szCs w:val="28"/>
        </w:rPr>
        <w:t>1.4 Research tasks</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Pr>
          <w:rFonts w:hint="default" w:ascii="Times New Roman" w:hAnsi="Times New Roman" w:cs="Times New Roman"/>
          <w:b/>
          <w:bCs/>
          <w:i w:val="0"/>
          <w:iCs w:val="0"/>
          <w:sz w:val="28"/>
          <w:szCs w:val="28"/>
          <w:lang w:val="en-US" w:eastAsia="zh-CN"/>
        </w:rPr>
        <w:t>.</w:t>
      </w:r>
      <w:bookmarkEnd w:id="109"/>
    </w:p>
    <w:p w14:paraId="09BF8B02">
      <w:pPr>
        <w:widowControl/>
        <w:ind w:firstLine="709" w:firstLineChars="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1) Series of novel extended amphoteric surfactants were developed and characterized with FTIR and </w:t>
      </w:r>
      <w:r>
        <w:rPr>
          <w:rFonts w:hint="default" w:ascii="Times New Roman" w:hAnsi="Times New Roman" w:cs="Times New Roman"/>
          <w:color w:val="000000"/>
          <w:sz w:val="28"/>
          <w:szCs w:val="28"/>
          <w:vertAlign w:val="superscript"/>
        </w:rPr>
        <w:t>1</w:t>
      </w:r>
      <w:r>
        <w:rPr>
          <w:rFonts w:hint="default" w:ascii="Times New Roman" w:hAnsi="Times New Roman" w:cs="Times New Roman"/>
          <w:color w:val="000000"/>
          <w:sz w:val="28"/>
          <w:szCs w:val="28"/>
        </w:rPr>
        <w:t>H</w:t>
      </w:r>
      <w:r>
        <w:rPr>
          <w:rFonts w:hint="default" w:ascii="Times New Roman" w:hAnsi="Times New Roman" w:cs="Times New Roman"/>
          <w:color w:val="000000"/>
          <w:sz w:val="28"/>
          <w:szCs w:val="28"/>
          <w:lang w:val="en-US" w:eastAsia="zh-CN"/>
        </w:rPr>
        <w:t>·</w:t>
      </w:r>
      <w:r>
        <w:rPr>
          <w:rFonts w:hint="default" w:ascii="Times New Roman" w:hAnsi="Times New Roman" w:cs="Times New Roman"/>
          <w:color w:val="000000"/>
          <w:sz w:val="28"/>
          <w:szCs w:val="28"/>
        </w:rPr>
        <w:t>NMR, and the solubility, surface properties, interfacial properties, emulsification ability of prepared surfactants were systematically investigated.</w:t>
      </w:r>
    </w:p>
    <w:p w14:paraId="14447E88">
      <w:pPr>
        <w:widowControl/>
        <w:ind w:firstLine="709" w:firstLineChars="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 The synergistic interactions between extended amphoteric surfactants and gemini cationic/nonionic surfactants were investigated to optimize mixed formulations for enhanced interfacial tension reduction and system stability.</w:t>
      </w:r>
    </w:p>
    <w:p w14:paraId="22B6E0BA">
      <w:pPr>
        <w:widowControl/>
        <w:ind w:firstLine="709" w:firstLineChars="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3) The interfacial regulation mechanisms of the mixed systems were elucidated through thermodynamic analysis, emulsification behavior, and wettability alteration studies.</w:t>
      </w:r>
    </w:p>
    <w:p w14:paraId="5CD817AF">
      <w:pPr>
        <w:widowControl/>
        <w:ind w:firstLine="709" w:firstLineChars="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4) The conformance control and enhanced oil recovery performance of the optimized surfactant systems was evaluated through core flooding experiments in heterogeneous low-permeability reservoirs.</w:t>
      </w:r>
    </w:p>
    <w:p w14:paraId="691185CA">
      <w:pPr>
        <w:pStyle w:val="3"/>
        <w:keepNext w:val="0"/>
        <w:keepLines w:val="0"/>
        <w:widowControl/>
        <w:spacing w:line="240" w:lineRule="auto"/>
        <w:ind w:firstLine="709"/>
        <w:jc w:val="both"/>
        <w:rPr>
          <w:rFonts w:hint="default" w:ascii="Times New Roman" w:hAnsi="Times New Roman" w:cs="Times New Roman" w:eastAsiaTheme="majorEastAsia"/>
          <w:b/>
          <w:bCs/>
          <w:i w:val="0"/>
          <w:iCs w:val="0"/>
          <w:sz w:val="28"/>
          <w:szCs w:val="28"/>
          <w:lang w:val="en-US" w:eastAsia="zh-CN"/>
        </w:rPr>
      </w:pPr>
      <w:bookmarkStart w:id="110" w:name="_Toc7817"/>
      <w:bookmarkStart w:id="111" w:name="_Toc11109"/>
      <w:bookmarkStart w:id="112" w:name="_Toc8202"/>
      <w:bookmarkStart w:id="113" w:name="_Toc19420"/>
      <w:bookmarkStart w:id="114" w:name="_Toc29883"/>
      <w:bookmarkStart w:id="115" w:name="_Toc10091"/>
      <w:bookmarkStart w:id="116" w:name="_Toc3474"/>
      <w:bookmarkStart w:id="117" w:name="_Toc18558"/>
      <w:bookmarkStart w:id="118" w:name="_Toc19986"/>
      <w:bookmarkStart w:id="119" w:name="_Toc31177"/>
      <w:bookmarkStart w:id="120" w:name="_Toc16889"/>
      <w:bookmarkStart w:id="121" w:name="_Toc25149"/>
      <w:bookmarkStart w:id="122" w:name="_Toc14822"/>
      <w:bookmarkStart w:id="123" w:name="_Toc23930"/>
      <w:bookmarkStart w:id="124" w:name="_Toc5101"/>
      <w:bookmarkStart w:id="125" w:name="_Toc28799"/>
      <w:bookmarkStart w:id="126" w:name="_Toc29581"/>
      <w:bookmarkStart w:id="127" w:name="_Toc21492"/>
      <w:bookmarkStart w:id="128" w:name="_Toc29513"/>
      <w:bookmarkStart w:id="129" w:name="_Toc32542"/>
      <w:bookmarkStart w:id="130" w:name="_Toc8364"/>
      <w:bookmarkStart w:id="131" w:name="_Toc28041"/>
      <w:bookmarkStart w:id="132" w:name="_Toc24065"/>
      <w:bookmarkStart w:id="133" w:name="_Toc32158"/>
      <w:r>
        <w:rPr>
          <w:rFonts w:hint="default" w:ascii="Times New Roman" w:hAnsi="Times New Roman" w:cs="Times New Roman"/>
          <w:b/>
          <w:bCs/>
          <w:i w:val="0"/>
          <w:iCs w:val="0"/>
          <w:sz w:val="28"/>
          <w:szCs w:val="28"/>
        </w:rPr>
        <w:t>1.5 Objects of study</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Pr>
          <w:rFonts w:hint="default" w:ascii="Times New Roman" w:hAnsi="Times New Roman" w:cs="Times New Roman"/>
          <w:b/>
          <w:bCs/>
          <w:i w:val="0"/>
          <w:iCs w:val="0"/>
          <w:sz w:val="28"/>
          <w:szCs w:val="28"/>
          <w:lang w:val="en-US" w:eastAsia="zh-CN"/>
        </w:rPr>
        <w:t>.</w:t>
      </w:r>
      <w:bookmarkEnd w:id="133"/>
    </w:p>
    <w:p w14:paraId="604681D4">
      <w:pPr>
        <w:widowControl/>
        <w:ind w:firstLine="709" w:firstLineChars="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Synthesized novel extended amphoteric surfactants and developed compound system for EOR in low-permeability and high salinity reservoir.</w:t>
      </w:r>
    </w:p>
    <w:p w14:paraId="0BEF8DFE">
      <w:pPr>
        <w:pStyle w:val="3"/>
        <w:keepNext w:val="0"/>
        <w:keepLines w:val="0"/>
        <w:widowControl/>
        <w:spacing w:line="240" w:lineRule="auto"/>
        <w:ind w:firstLine="709"/>
        <w:jc w:val="both"/>
        <w:rPr>
          <w:rFonts w:hint="default" w:ascii="Times New Roman" w:hAnsi="Times New Roman" w:cs="Times New Roman" w:eastAsiaTheme="majorEastAsia"/>
          <w:b/>
          <w:bCs/>
          <w:i w:val="0"/>
          <w:iCs w:val="0"/>
          <w:sz w:val="28"/>
          <w:szCs w:val="28"/>
          <w:lang w:val="en-US" w:eastAsia="zh-CN"/>
        </w:rPr>
      </w:pPr>
      <w:bookmarkStart w:id="134" w:name="_Toc3844"/>
      <w:bookmarkStart w:id="135" w:name="_Toc27612"/>
      <w:bookmarkStart w:id="136" w:name="_Toc17713"/>
      <w:bookmarkStart w:id="137" w:name="_Toc1146"/>
      <w:bookmarkStart w:id="138" w:name="_Toc27783"/>
      <w:bookmarkStart w:id="139" w:name="_Toc30056"/>
      <w:bookmarkStart w:id="140" w:name="_Toc5710"/>
      <w:bookmarkStart w:id="141" w:name="_Toc26200"/>
      <w:bookmarkStart w:id="142" w:name="_Toc5563"/>
      <w:bookmarkStart w:id="143" w:name="_Toc32637"/>
      <w:bookmarkStart w:id="144" w:name="_Toc5113"/>
      <w:bookmarkStart w:id="145" w:name="_Toc3827"/>
      <w:bookmarkStart w:id="146" w:name="_Toc26446"/>
      <w:bookmarkStart w:id="147" w:name="_Toc29152"/>
      <w:bookmarkStart w:id="148" w:name="_Toc2743"/>
      <w:bookmarkStart w:id="149" w:name="_Toc178"/>
      <w:bookmarkStart w:id="150" w:name="_Toc3477"/>
      <w:bookmarkStart w:id="151" w:name="_Toc9878"/>
      <w:bookmarkStart w:id="152" w:name="_Toc7739"/>
      <w:bookmarkStart w:id="153" w:name="_Toc15196"/>
      <w:bookmarkStart w:id="154" w:name="_Toc18037"/>
      <w:bookmarkStart w:id="155" w:name="_Toc5079"/>
      <w:bookmarkStart w:id="156" w:name="_Toc778"/>
      <w:bookmarkStart w:id="157" w:name="_Toc6821"/>
      <w:r>
        <w:rPr>
          <w:rFonts w:hint="default" w:ascii="Times New Roman" w:hAnsi="Times New Roman" w:cs="Times New Roman"/>
          <w:b/>
          <w:bCs/>
          <w:i w:val="0"/>
          <w:iCs w:val="0"/>
          <w:sz w:val="28"/>
          <w:szCs w:val="28"/>
        </w:rPr>
        <w:t>1.6 Subject of study</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r>
        <w:rPr>
          <w:rFonts w:hint="default" w:ascii="Times New Roman" w:hAnsi="Times New Roman" w:cs="Times New Roman"/>
          <w:b/>
          <w:bCs/>
          <w:i w:val="0"/>
          <w:iCs w:val="0"/>
          <w:sz w:val="28"/>
          <w:szCs w:val="28"/>
          <w:lang w:val="en-US" w:eastAsia="zh-CN"/>
        </w:rPr>
        <w:t>.</w:t>
      </w:r>
      <w:bookmarkEnd w:id="157"/>
    </w:p>
    <w:p w14:paraId="0026F2F0">
      <w:pPr>
        <w:widowControl/>
        <w:ind w:firstLine="709" w:firstLineChars="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Novel extended amphoteric surfactant C</w:t>
      </w:r>
      <w:r>
        <w:rPr>
          <w:rFonts w:hint="default" w:ascii="Times New Roman" w:hAnsi="Times New Roman" w:cs="Times New Roman"/>
          <w:color w:val="000000"/>
          <w:sz w:val="28"/>
          <w:szCs w:val="28"/>
          <w:vertAlign w:val="subscript"/>
        </w:rPr>
        <w:t>12</w:t>
      </w:r>
      <w:r>
        <w:rPr>
          <w:rFonts w:hint="default" w:ascii="Times New Roman" w:hAnsi="Times New Roman" w:cs="Times New Roman"/>
          <w:color w:val="000000"/>
          <w:sz w:val="28"/>
          <w:szCs w:val="28"/>
        </w:rPr>
        <w:t>P</w:t>
      </w:r>
      <w:r>
        <w:rPr>
          <w:rFonts w:hint="default" w:ascii="Times New Roman" w:hAnsi="Times New Roman" w:cs="Times New Roman"/>
          <w:color w:val="000000"/>
          <w:sz w:val="28"/>
          <w:szCs w:val="28"/>
          <w:vertAlign w:val="subscript"/>
        </w:rPr>
        <w:t>3</w:t>
      </w:r>
      <w:r>
        <w:rPr>
          <w:rFonts w:hint="default" w:ascii="Times New Roman" w:hAnsi="Times New Roman" w:cs="Times New Roman"/>
          <w:color w:val="000000"/>
          <w:sz w:val="28"/>
          <w:szCs w:val="28"/>
        </w:rPr>
        <w:t>NS, and C</w:t>
      </w:r>
      <w:r>
        <w:rPr>
          <w:rFonts w:hint="default" w:ascii="Times New Roman" w:hAnsi="Times New Roman" w:cs="Times New Roman"/>
          <w:color w:val="000000"/>
          <w:sz w:val="28"/>
          <w:szCs w:val="28"/>
          <w:vertAlign w:val="subscript"/>
        </w:rPr>
        <w:t>12</w:t>
      </w:r>
      <w:r>
        <w:rPr>
          <w:rFonts w:hint="default" w:ascii="Times New Roman" w:hAnsi="Times New Roman" w:cs="Times New Roman"/>
          <w:color w:val="000000"/>
          <w:sz w:val="28"/>
          <w:szCs w:val="28"/>
        </w:rPr>
        <w:t>P</w:t>
      </w:r>
      <w:r>
        <w:rPr>
          <w:rFonts w:hint="default" w:ascii="Times New Roman" w:hAnsi="Times New Roman" w:cs="Times New Roman"/>
          <w:color w:val="000000"/>
          <w:sz w:val="28"/>
          <w:szCs w:val="28"/>
          <w:vertAlign w:val="subscript"/>
        </w:rPr>
        <w:t>3</w:t>
      </w:r>
      <w:r>
        <w:rPr>
          <w:rFonts w:hint="default" w:ascii="Times New Roman" w:hAnsi="Times New Roman" w:cs="Times New Roman"/>
          <w:color w:val="000000"/>
          <w:sz w:val="28"/>
          <w:szCs w:val="28"/>
        </w:rPr>
        <w:t>E</w:t>
      </w:r>
      <w:r>
        <w:rPr>
          <w:rFonts w:hint="default" w:ascii="Times New Roman" w:hAnsi="Times New Roman" w:cs="Times New Roman"/>
          <w:color w:val="000000"/>
          <w:sz w:val="28"/>
          <w:szCs w:val="28"/>
          <w:vertAlign w:val="subscript"/>
        </w:rPr>
        <w:t>3</w:t>
      </w:r>
      <w:r>
        <w:rPr>
          <w:rFonts w:hint="default" w:ascii="Times New Roman" w:hAnsi="Times New Roman" w:cs="Times New Roman"/>
          <w:color w:val="000000"/>
          <w:sz w:val="28"/>
          <w:szCs w:val="28"/>
        </w:rPr>
        <w:t>NS were prepared and their surface, interfacial properties were evaluated. Then C</w:t>
      </w:r>
      <w:r>
        <w:rPr>
          <w:rFonts w:hint="default" w:ascii="Times New Roman" w:hAnsi="Times New Roman" w:cs="Times New Roman"/>
          <w:color w:val="000000"/>
          <w:sz w:val="28"/>
          <w:szCs w:val="28"/>
          <w:vertAlign w:val="subscript"/>
        </w:rPr>
        <w:t>12</w:t>
      </w:r>
      <w:r>
        <w:rPr>
          <w:rFonts w:hint="default" w:ascii="Times New Roman" w:hAnsi="Times New Roman" w:cs="Times New Roman"/>
          <w:color w:val="000000"/>
          <w:sz w:val="28"/>
          <w:szCs w:val="28"/>
        </w:rPr>
        <w:t>P</w:t>
      </w:r>
      <w:r>
        <w:rPr>
          <w:rFonts w:hint="default" w:ascii="Times New Roman" w:hAnsi="Times New Roman" w:cs="Times New Roman"/>
          <w:color w:val="000000"/>
          <w:sz w:val="28"/>
          <w:szCs w:val="28"/>
          <w:vertAlign w:val="subscript"/>
        </w:rPr>
        <w:t>3</w:t>
      </w:r>
      <w:r>
        <w:rPr>
          <w:rFonts w:hint="default" w:ascii="Times New Roman" w:hAnsi="Times New Roman" w:cs="Times New Roman"/>
          <w:color w:val="000000"/>
          <w:sz w:val="28"/>
          <w:szCs w:val="28"/>
        </w:rPr>
        <w:t>E</w:t>
      </w:r>
      <w:r>
        <w:rPr>
          <w:rFonts w:hint="default" w:ascii="Times New Roman" w:hAnsi="Times New Roman" w:cs="Times New Roman"/>
          <w:color w:val="000000"/>
          <w:sz w:val="28"/>
          <w:szCs w:val="28"/>
          <w:vertAlign w:val="subscript"/>
        </w:rPr>
        <w:t>3</w:t>
      </w:r>
      <w:r>
        <w:rPr>
          <w:rFonts w:hint="default" w:ascii="Times New Roman" w:hAnsi="Times New Roman" w:cs="Times New Roman"/>
          <w:color w:val="000000"/>
          <w:sz w:val="28"/>
          <w:szCs w:val="28"/>
        </w:rPr>
        <w:t>NS was selected to combine with gemini cationic surfactant and nonionic surfactant to obtain optimal compound systems for EOR by determining their interaction behaviour, interfacial properties, emulsification, wettability alteration and EOR efficiency. Lastly, the EOR mechanisms were concluded according to the previous results.</w:t>
      </w:r>
    </w:p>
    <w:p w14:paraId="7142945C">
      <w:pPr>
        <w:pStyle w:val="3"/>
        <w:keepNext w:val="0"/>
        <w:keepLines w:val="0"/>
        <w:widowControl/>
        <w:spacing w:line="240" w:lineRule="auto"/>
        <w:ind w:firstLine="709"/>
        <w:jc w:val="both"/>
        <w:rPr>
          <w:rFonts w:hint="default" w:ascii="Times New Roman" w:hAnsi="Times New Roman" w:cs="Times New Roman" w:eastAsiaTheme="majorEastAsia"/>
          <w:b/>
          <w:bCs/>
          <w:i w:val="0"/>
          <w:iCs w:val="0"/>
          <w:sz w:val="28"/>
          <w:szCs w:val="28"/>
          <w:lang w:val="en-US" w:eastAsia="zh-CN"/>
        </w:rPr>
      </w:pPr>
      <w:bookmarkStart w:id="158" w:name="_Toc28464"/>
      <w:bookmarkStart w:id="159" w:name="_Toc29307"/>
      <w:bookmarkStart w:id="160" w:name="_Toc3055"/>
      <w:bookmarkStart w:id="161" w:name="_Toc23518"/>
      <w:bookmarkStart w:id="162" w:name="_Toc24827"/>
      <w:bookmarkStart w:id="163" w:name="_Toc19496"/>
      <w:bookmarkStart w:id="164" w:name="_Toc18678"/>
      <w:bookmarkStart w:id="165" w:name="_Toc28788"/>
      <w:bookmarkStart w:id="166" w:name="_Toc11523"/>
      <w:bookmarkStart w:id="167" w:name="_Toc22357"/>
      <w:bookmarkStart w:id="168" w:name="_Toc17952"/>
      <w:bookmarkStart w:id="169" w:name="_Toc24114"/>
      <w:bookmarkStart w:id="170" w:name="_Toc12394"/>
      <w:bookmarkStart w:id="171" w:name="_Toc25570"/>
      <w:bookmarkStart w:id="172" w:name="_Toc31047"/>
      <w:bookmarkStart w:id="173" w:name="_Toc24011"/>
      <w:bookmarkStart w:id="174" w:name="_Toc26772"/>
      <w:bookmarkStart w:id="175" w:name="_Toc15371"/>
      <w:bookmarkStart w:id="176" w:name="_Toc5467"/>
      <w:bookmarkStart w:id="177" w:name="_Toc16302"/>
      <w:bookmarkStart w:id="178" w:name="_Toc5530"/>
      <w:bookmarkStart w:id="179" w:name="_Toc6776"/>
      <w:bookmarkStart w:id="180" w:name="_Toc12573"/>
      <w:bookmarkStart w:id="181" w:name="_Toc31242"/>
      <w:r>
        <w:rPr>
          <w:rFonts w:hint="default" w:ascii="Times New Roman" w:hAnsi="Times New Roman" w:cs="Times New Roman"/>
          <w:b/>
          <w:bCs/>
          <w:i w:val="0"/>
          <w:iCs w:val="0"/>
          <w:sz w:val="28"/>
          <w:szCs w:val="28"/>
        </w:rPr>
        <w:t>1.7 Main provisions for the defense</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Pr>
          <w:rFonts w:hint="default" w:ascii="Times New Roman" w:hAnsi="Times New Roman" w:cs="Times New Roman"/>
          <w:b/>
          <w:bCs/>
          <w:i w:val="0"/>
          <w:iCs w:val="0"/>
          <w:sz w:val="28"/>
          <w:szCs w:val="28"/>
          <w:lang w:val="en-US" w:eastAsia="zh-CN"/>
        </w:rPr>
        <w:t>.</w:t>
      </w:r>
      <w:bookmarkEnd w:id="181"/>
    </w:p>
    <w:p w14:paraId="22428FF3">
      <w:pPr>
        <w:widowControl/>
        <w:ind w:firstLine="709" w:firstLineChars="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 Developed a novel extended sulfobetaine surfactants with better solubility, surface and interfacial properties.</w:t>
      </w:r>
    </w:p>
    <w:p w14:paraId="6E992F2C">
      <w:pPr>
        <w:widowControl/>
        <w:ind w:firstLine="709" w:firstLineChars="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 Constructed high-efficiency synergistic composite surfactant systems: Extended amphoteric/nonionic (C12A) and extended amphoteric/gemini cationic (C23)</w:t>
      </w:r>
    </w:p>
    <w:p w14:paraId="05B39948">
      <w:pPr>
        <w:widowControl/>
        <w:ind w:firstLine="709" w:firstLineChars="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3) Revealed a multiscale interfacial regulation mechanism: A mechanism of “synergistic adsorption → interfacial film reconstruction → emulsification transport → wettability inversion”</w:t>
      </w:r>
    </w:p>
    <w:p w14:paraId="560C2104">
      <w:pPr>
        <w:widowControl/>
        <w:ind w:firstLine="709" w:firstLineChars="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4) Elucidated the mechanism of improving oil recovery: The synergistic effect of the ultra-low IFT, wettability alteration and the ability to emulsify crude oil.</w:t>
      </w:r>
    </w:p>
    <w:p w14:paraId="2A5B89B2">
      <w:pPr>
        <w:widowControl/>
        <w:ind w:firstLine="709" w:firstLineChars="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These results highlight the potential of mixed amphoteric/cationic/nonionic surfactant formulations to enhance oil recovery through a combination of interfacial tension reduction, wettability alteration, and emulsification.</w:t>
      </w:r>
    </w:p>
    <w:p w14:paraId="14BE3314">
      <w:pPr>
        <w:pStyle w:val="3"/>
        <w:keepNext w:val="0"/>
        <w:keepLines w:val="0"/>
        <w:widowControl/>
        <w:spacing w:line="240" w:lineRule="auto"/>
        <w:ind w:firstLine="709"/>
        <w:jc w:val="both"/>
        <w:rPr>
          <w:rFonts w:hint="default" w:ascii="Times New Roman" w:hAnsi="Times New Roman" w:cs="Times New Roman" w:eastAsiaTheme="majorEastAsia"/>
          <w:b/>
          <w:bCs/>
          <w:i w:val="0"/>
          <w:iCs w:val="0"/>
          <w:sz w:val="28"/>
          <w:szCs w:val="28"/>
          <w:lang w:val="en-US" w:eastAsia="zh-CN"/>
        </w:rPr>
      </w:pPr>
      <w:bookmarkStart w:id="182" w:name="_Toc20647"/>
      <w:bookmarkStart w:id="183" w:name="_Toc31366"/>
      <w:bookmarkStart w:id="184" w:name="_Toc2767"/>
      <w:bookmarkStart w:id="185" w:name="_Toc15439"/>
      <w:bookmarkStart w:id="186" w:name="_Toc21183"/>
      <w:bookmarkStart w:id="187" w:name="_Toc25238"/>
      <w:bookmarkStart w:id="188" w:name="_Toc22449"/>
      <w:bookmarkStart w:id="189" w:name="_Toc23330"/>
      <w:bookmarkStart w:id="190" w:name="_Toc17698"/>
      <w:bookmarkStart w:id="191" w:name="_Toc6804"/>
      <w:bookmarkStart w:id="192" w:name="_Toc7272"/>
      <w:bookmarkStart w:id="193" w:name="_Toc18647"/>
      <w:bookmarkStart w:id="194" w:name="_Toc17224"/>
      <w:bookmarkStart w:id="195" w:name="_Toc24372"/>
      <w:bookmarkStart w:id="196" w:name="_Toc14812"/>
      <w:bookmarkStart w:id="197" w:name="_Toc12339"/>
      <w:bookmarkStart w:id="198" w:name="_Toc11503"/>
      <w:bookmarkStart w:id="199" w:name="_Toc23573"/>
      <w:bookmarkStart w:id="200" w:name="_Toc8397"/>
      <w:bookmarkStart w:id="201" w:name="_Toc29687"/>
      <w:bookmarkStart w:id="202" w:name="_Toc30302"/>
      <w:bookmarkStart w:id="203" w:name="_Toc18271"/>
      <w:bookmarkStart w:id="204" w:name="_Toc11399"/>
      <w:bookmarkStart w:id="205" w:name="_Toc19677"/>
      <w:r>
        <w:rPr>
          <w:rFonts w:hint="default" w:ascii="Times New Roman" w:hAnsi="Times New Roman" w:cs="Times New Roman"/>
          <w:b/>
          <w:bCs/>
          <w:i w:val="0"/>
          <w:iCs w:val="0"/>
          <w:sz w:val="28"/>
          <w:szCs w:val="28"/>
        </w:rPr>
        <w:t>1.8 Scientific novelty</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Pr>
          <w:rFonts w:hint="default" w:ascii="Times New Roman" w:hAnsi="Times New Roman" w:cs="Times New Roman"/>
          <w:b/>
          <w:bCs/>
          <w:i w:val="0"/>
          <w:iCs w:val="0"/>
          <w:sz w:val="28"/>
          <w:szCs w:val="28"/>
          <w:lang w:val="en-US" w:eastAsia="zh-CN"/>
        </w:rPr>
        <w:t>.</w:t>
      </w:r>
      <w:bookmarkEnd w:id="205"/>
    </w:p>
    <w:p w14:paraId="5FBA4FB2">
      <w:pPr>
        <w:widowControl/>
        <w:ind w:firstLine="709" w:firstLineChars="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 Developed a new class of EO/PO-modified extended amphoteric surfactants: A series of extended amphoteric surfactants (C</w:t>
      </w:r>
      <w:r>
        <w:rPr>
          <w:rFonts w:hint="default" w:ascii="Times New Roman" w:hAnsi="Times New Roman" w:cs="Times New Roman"/>
          <w:color w:val="000000"/>
          <w:sz w:val="28"/>
          <w:szCs w:val="28"/>
          <w:vertAlign w:val="subscript"/>
        </w:rPr>
        <w:t>12</w:t>
      </w:r>
      <w:r>
        <w:rPr>
          <w:rFonts w:hint="default" w:ascii="Times New Roman" w:hAnsi="Times New Roman" w:cs="Times New Roman"/>
          <w:color w:val="000000"/>
          <w:sz w:val="28"/>
          <w:szCs w:val="28"/>
        </w:rPr>
        <w:t>NS, C</w:t>
      </w:r>
      <w:r>
        <w:rPr>
          <w:rFonts w:hint="default" w:ascii="Times New Roman" w:hAnsi="Times New Roman" w:cs="Times New Roman"/>
          <w:color w:val="000000"/>
          <w:sz w:val="28"/>
          <w:szCs w:val="28"/>
          <w:vertAlign w:val="subscript"/>
        </w:rPr>
        <w:t>12</w:t>
      </w:r>
      <w:r>
        <w:rPr>
          <w:rFonts w:hint="default" w:ascii="Times New Roman" w:hAnsi="Times New Roman" w:cs="Times New Roman"/>
          <w:color w:val="000000"/>
          <w:sz w:val="28"/>
          <w:szCs w:val="28"/>
        </w:rPr>
        <w:t>P</w:t>
      </w:r>
      <w:r>
        <w:rPr>
          <w:rFonts w:hint="default" w:ascii="Times New Roman" w:hAnsi="Times New Roman" w:cs="Times New Roman"/>
          <w:color w:val="000000"/>
          <w:sz w:val="28"/>
          <w:szCs w:val="28"/>
          <w:vertAlign w:val="subscript"/>
        </w:rPr>
        <w:t>3</w:t>
      </w:r>
      <w:r>
        <w:rPr>
          <w:rFonts w:hint="default" w:ascii="Times New Roman" w:hAnsi="Times New Roman" w:cs="Times New Roman"/>
          <w:color w:val="000000"/>
          <w:sz w:val="28"/>
          <w:szCs w:val="28"/>
        </w:rPr>
        <w:t>NS, C</w:t>
      </w:r>
      <w:r>
        <w:rPr>
          <w:rFonts w:hint="default" w:ascii="Times New Roman" w:hAnsi="Times New Roman" w:cs="Times New Roman"/>
          <w:color w:val="000000"/>
          <w:sz w:val="28"/>
          <w:szCs w:val="28"/>
          <w:vertAlign w:val="subscript"/>
        </w:rPr>
        <w:t>12</w:t>
      </w:r>
      <w:r>
        <w:rPr>
          <w:rFonts w:hint="default" w:ascii="Times New Roman" w:hAnsi="Times New Roman" w:cs="Times New Roman"/>
          <w:color w:val="000000"/>
          <w:sz w:val="28"/>
          <w:szCs w:val="28"/>
        </w:rPr>
        <w:t>P</w:t>
      </w:r>
      <w:r>
        <w:rPr>
          <w:rFonts w:hint="default" w:ascii="Times New Roman" w:hAnsi="Times New Roman" w:cs="Times New Roman"/>
          <w:color w:val="000000"/>
          <w:sz w:val="28"/>
          <w:szCs w:val="28"/>
          <w:vertAlign w:val="subscript"/>
        </w:rPr>
        <w:t>3</w:t>
      </w:r>
      <w:r>
        <w:rPr>
          <w:rFonts w:hint="default" w:ascii="Times New Roman" w:hAnsi="Times New Roman" w:cs="Times New Roman"/>
          <w:color w:val="000000"/>
          <w:sz w:val="28"/>
          <w:szCs w:val="28"/>
        </w:rPr>
        <w:t>E</w:t>
      </w:r>
      <w:r>
        <w:rPr>
          <w:rFonts w:hint="default" w:ascii="Times New Roman" w:hAnsi="Times New Roman" w:cs="Times New Roman"/>
          <w:color w:val="000000"/>
          <w:sz w:val="28"/>
          <w:szCs w:val="28"/>
          <w:vertAlign w:val="subscript"/>
        </w:rPr>
        <w:t>3</w:t>
      </w:r>
      <w:r>
        <w:rPr>
          <w:rFonts w:hint="default" w:ascii="Times New Roman" w:hAnsi="Times New Roman" w:cs="Times New Roman"/>
          <w:color w:val="000000"/>
          <w:sz w:val="28"/>
          <w:szCs w:val="28"/>
        </w:rPr>
        <w:t>NS) containing EO/PO spacer segments were synthesized based on lauryl alcohol, achieving synergistic enhancement of low adsorption and high interfacial activity under high salt conditions.</w:t>
      </w:r>
    </w:p>
    <w:p w14:paraId="099039CE">
      <w:pPr>
        <w:widowControl/>
        <w:ind w:firstLine="709" w:firstLineChars="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 Constructed high-efficiency synergistic composite surfactant systems: Extended amphoteric/nonionic (C12A) and extended amphoteric/gemini cationic (C23) systems were developed, achieving ultralow interfacial tension (10</w:t>
      </w:r>
      <w:r>
        <w:rPr>
          <w:rFonts w:hint="default" w:ascii="Times New Roman" w:hAnsi="Times New Roman" w:cs="Times New Roman"/>
          <w:color w:val="000000"/>
          <w:sz w:val="28"/>
          <w:szCs w:val="28"/>
          <w:vertAlign w:val="superscript"/>
        </w:rPr>
        <w:t>-3</w:t>
      </w:r>
      <w:r>
        <w:rPr>
          <w:rFonts w:hint="default" w:ascii="Times New Roman" w:hAnsi="Times New Roman" w:cs="Times New Roman"/>
          <w:color w:val="000000"/>
          <w:sz w:val="28"/>
          <w:szCs w:val="28"/>
        </w:rPr>
        <w:t xml:space="preserve"> mN·m</w:t>
      </w:r>
      <w:r>
        <w:rPr>
          <w:rFonts w:hint="default" w:ascii="Times New Roman" w:hAnsi="Times New Roman" w:cs="Times New Roman"/>
          <w:color w:val="000000"/>
          <w:sz w:val="28"/>
          <w:szCs w:val="28"/>
          <w:vertAlign w:val="superscript"/>
        </w:rPr>
        <w:t>-1</w:t>
      </w:r>
      <w:r>
        <w:rPr>
          <w:rFonts w:hint="default" w:ascii="Times New Roman" w:hAnsi="Times New Roman" w:cs="Times New Roman"/>
          <w:color w:val="000000"/>
          <w:sz w:val="28"/>
          <w:szCs w:val="28"/>
        </w:rPr>
        <w:t>) at 10 wt% salinity and significantly enhanced emulsification and wettability alteration.</w:t>
      </w:r>
    </w:p>
    <w:p w14:paraId="7D065B04">
      <w:pPr>
        <w:widowControl/>
        <w:numPr>
          <w:ilvl w:val="255"/>
          <w:numId w:val="0"/>
        </w:numPr>
        <w:ind w:firstLine="70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3) Revealed a multiscale interfacial regulation mechanism: A mechanism of “synergistic adsorption → interfacial film reconstruction → emulsification transport → wettability inversion” was proposed, clarifying the role of EO/PO segments in regulating salinity responsiveness, interfacial structure, and film viscoelasticity.</w:t>
      </w:r>
    </w:p>
    <w:p w14:paraId="77DE97B8">
      <w:pPr>
        <w:widowControl/>
        <w:ind w:firstLine="709" w:firstLineChars="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4) Elucidated the mechanism of improving oil recovery: The performance of reducing injection pressure (~15%), increasing EOR efficiency (~15%), and utilizing residual oil was attributed to the synergistic effect of ultra-low interfacial tension, emulsion carrying, and wettability alteration.</w:t>
      </w:r>
      <w:bookmarkStart w:id="206" w:name="_Toc22852"/>
      <w:bookmarkStart w:id="207" w:name="_Toc4749"/>
      <w:bookmarkStart w:id="208" w:name="_Toc26682"/>
      <w:bookmarkStart w:id="209" w:name="_Toc5242"/>
      <w:bookmarkStart w:id="210" w:name="_Toc24494"/>
      <w:bookmarkStart w:id="211" w:name="_Toc12890"/>
    </w:p>
    <w:p w14:paraId="316F6402">
      <w:pPr>
        <w:pStyle w:val="3"/>
        <w:keepNext w:val="0"/>
        <w:keepLines w:val="0"/>
        <w:widowControl/>
        <w:spacing w:line="240" w:lineRule="auto"/>
        <w:ind w:firstLine="709"/>
        <w:jc w:val="both"/>
        <w:rPr>
          <w:rFonts w:hint="default" w:ascii="Times New Roman" w:hAnsi="Times New Roman" w:cs="Times New Roman" w:eastAsiaTheme="majorEastAsia"/>
          <w:b/>
          <w:bCs/>
          <w:i w:val="0"/>
          <w:iCs w:val="0"/>
          <w:sz w:val="28"/>
          <w:szCs w:val="28"/>
          <w:lang w:val="en-US" w:eastAsia="zh-CN"/>
        </w:rPr>
      </w:pPr>
      <w:bookmarkStart w:id="212" w:name="_Toc29590"/>
      <w:bookmarkStart w:id="213" w:name="_Toc15294"/>
      <w:bookmarkStart w:id="214" w:name="_Toc10873"/>
      <w:bookmarkStart w:id="215" w:name="_Toc22499"/>
      <w:bookmarkStart w:id="216" w:name="_Toc27954"/>
      <w:bookmarkStart w:id="217" w:name="_Toc13076"/>
      <w:bookmarkStart w:id="218" w:name="_Toc25644"/>
      <w:bookmarkStart w:id="219" w:name="_Toc1579"/>
      <w:bookmarkStart w:id="220" w:name="_Toc3144"/>
      <w:bookmarkStart w:id="221" w:name="_Toc10324"/>
      <w:bookmarkStart w:id="222" w:name="_Toc29511"/>
      <w:bookmarkStart w:id="223" w:name="_Toc15699"/>
      <w:bookmarkStart w:id="224" w:name="_Toc24614"/>
      <w:bookmarkStart w:id="225" w:name="_Toc32453"/>
      <w:bookmarkStart w:id="226" w:name="_Toc27338"/>
      <w:bookmarkStart w:id="227" w:name="_Toc17899"/>
      <w:bookmarkStart w:id="228" w:name="_Toc8798"/>
      <w:bookmarkStart w:id="229" w:name="_Toc1041"/>
      <w:r>
        <w:rPr>
          <w:rFonts w:hint="default" w:ascii="Times New Roman" w:hAnsi="Times New Roman" w:cs="Times New Roman"/>
          <w:b/>
          <w:bCs/>
          <w:i w:val="0"/>
          <w:iCs w:val="0"/>
          <w:sz w:val="28"/>
          <w:szCs w:val="28"/>
        </w:rPr>
        <w:t>1.9 Scientific and practical significance of the work</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Pr>
          <w:rFonts w:hint="default" w:ascii="Times New Roman" w:hAnsi="Times New Roman" w:cs="Times New Roman"/>
          <w:b/>
          <w:bCs/>
          <w:i w:val="0"/>
          <w:iCs w:val="0"/>
          <w:sz w:val="28"/>
          <w:szCs w:val="28"/>
          <w:lang w:val="en-US" w:eastAsia="zh-CN"/>
        </w:rPr>
        <w:t>.</w:t>
      </w:r>
      <w:bookmarkEnd w:id="229"/>
    </w:p>
    <w:p w14:paraId="195C6570">
      <w:pPr>
        <w:widowControl/>
        <w:ind w:firstLine="709" w:firstLineChars="0"/>
        <w:rPr>
          <w:rFonts w:hint="default" w:ascii="Times New Roman" w:hAnsi="Times New Roman" w:cs="Times New Roman"/>
          <w:color w:val="000000"/>
          <w:sz w:val="28"/>
          <w:szCs w:val="28"/>
        </w:rPr>
      </w:pPr>
      <w:r>
        <w:rPr>
          <w:rFonts w:hint="default" w:ascii="Times New Roman" w:hAnsi="Times New Roman" w:cs="Times New Roman"/>
          <w:b/>
          <w:bCs/>
          <w:i/>
          <w:iCs/>
          <w:color w:val="000000"/>
          <w:sz w:val="28"/>
          <w:szCs w:val="28"/>
        </w:rPr>
        <w:t>Scientific</w:t>
      </w:r>
      <w:r>
        <w:rPr>
          <w:rFonts w:hint="default" w:ascii="Times New Roman" w:hAnsi="Times New Roman" w:cs="Times New Roman"/>
          <w:b/>
          <w:bCs/>
          <w:color w:val="000000"/>
          <w:sz w:val="28"/>
          <w:szCs w:val="28"/>
        </w:rPr>
        <w:t>:</w:t>
      </w:r>
      <w:r>
        <w:rPr>
          <w:rFonts w:hint="default" w:ascii="Times New Roman" w:hAnsi="Times New Roman" w:cs="Times New Roman"/>
          <w:color w:val="000000"/>
          <w:sz w:val="28"/>
          <w:szCs w:val="28"/>
        </w:rPr>
        <w:t xml:space="preserve"> This work advances the understanding of extended amphoteric surfactants and their synergistic interactions with cationic and nonionic systems in regulating oil–water interfaces under harsh reservoir conditions. It elucidates the mechanisms of ultra-low interfacial tension generation, emulsification, and wettability alteration, providing a theoretical framework for the rational design of high-performance surfactant formulations for EOR in high-salinity, low-permeability reservoirs.</w:t>
      </w:r>
    </w:p>
    <w:p w14:paraId="08AC42D2">
      <w:pPr>
        <w:widowControl/>
        <w:ind w:firstLine="709" w:firstLineChars="0"/>
        <w:rPr>
          <w:rFonts w:hint="default" w:ascii="Times New Roman" w:hAnsi="Times New Roman" w:cs="Times New Roman"/>
          <w:color w:val="000000"/>
          <w:sz w:val="28"/>
          <w:szCs w:val="28"/>
        </w:rPr>
      </w:pPr>
      <w:r>
        <w:rPr>
          <w:rFonts w:hint="default" w:ascii="Times New Roman" w:hAnsi="Times New Roman" w:cs="Times New Roman"/>
          <w:b/>
          <w:bCs/>
          <w:i/>
          <w:iCs/>
          <w:color w:val="000000"/>
          <w:sz w:val="28"/>
          <w:szCs w:val="28"/>
        </w:rPr>
        <w:t>Practical</w:t>
      </w:r>
      <w:r>
        <w:rPr>
          <w:rFonts w:hint="default" w:ascii="Times New Roman" w:hAnsi="Times New Roman" w:cs="Times New Roman"/>
          <w:b/>
          <w:bCs/>
          <w:color w:val="000000"/>
          <w:sz w:val="28"/>
          <w:szCs w:val="28"/>
        </w:rPr>
        <w:t>:</w:t>
      </w:r>
      <w:r>
        <w:rPr>
          <w:rFonts w:hint="default" w:ascii="Times New Roman" w:hAnsi="Times New Roman" w:cs="Times New Roman"/>
          <w:color w:val="000000"/>
          <w:sz w:val="28"/>
          <w:szCs w:val="28"/>
        </w:rPr>
        <w:t xml:space="preserve"> The optimized mixed surfactant systems offer a cost-effective and robust solution for enhancing oil recovery in challenging reservoirs. With strong salt tolerance, low adsorption, and significant improvement in oil recovery efficiency, these formulations improve displacement performance, demonstrating promising potential for field-scale EOR applications.</w:t>
      </w:r>
    </w:p>
    <w:p w14:paraId="538C308E">
      <w:pPr>
        <w:widowControl/>
        <w:ind w:firstLine="709" w:firstLineChars="0"/>
        <w:rPr>
          <w:rFonts w:hint="default" w:ascii="Times New Roman" w:hAnsi="Times New Roman" w:eastAsia="宋体" w:cs="Times New Roman"/>
          <w:b/>
          <w:bCs/>
          <w:i w:val="0"/>
          <w:iCs w:val="0"/>
          <w:color w:val="000000"/>
          <w:sz w:val="28"/>
          <w:szCs w:val="28"/>
          <w:lang w:val="en-US" w:eastAsia="zh-CN"/>
        </w:rPr>
      </w:pPr>
      <w:r>
        <w:rPr>
          <w:rFonts w:hint="default" w:ascii="Times New Roman" w:hAnsi="Times New Roman" w:cs="Times New Roman"/>
          <w:b/>
          <w:bCs/>
          <w:i w:val="0"/>
          <w:iCs w:val="0"/>
          <w:color w:val="000000"/>
          <w:sz w:val="28"/>
          <w:szCs w:val="28"/>
        </w:rPr>
        <w:t>1.10 Personal contribution of the author</w:t>
      </w:r>
      <w:r>
        <w:rPr>
          <w:rFonts w:hint="default" w:ascii="Times New Roman" w:hAnsi="Times New Roman" w:cs="Times New Roman"/>
          <w:b/>
          <w:bCs/>
          <w:i w:val="0"/>
          <w:iCs w:val="0"/>
          <w:color w:val="000000"/>
          <w:sz w:val="28"/>
          <w:szCs w:val="28"/>
          <w:lang w:val="en-US" w:eastAsia="zh-CN"/>
        </w:rPr>
        <w:t>.</w:t>
      </w:r>
    </w:p>
    <w:p w14:paraId="442F8F41">
      <w:pPr>
        <w:widowControl/>
        <w:ind w:firstLine="709" w:firstLineChars="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The experimental design, execution, and data analysis of this study were carried out by Guoqing Zhang. The synthesis, structural characterization, and performance evaluation of extended amphoteric surfactants were systematically conducted. In particular, the interfacial and thermodynamic evaluation methods, including surface tension measurements, interfacial tension analysis, and micellization thermodynamics, were established and applied. Based on these results, the synergistic mechanisms between amphoteric, gemini cationic, and nonionic surfactants were elucidated through interfacial behavior, emulsification, and wettability studies. Furthermore, core flooding experiments were performed to evaluate oil displacement performance and reveal the underlying EOR mechanisms. Finally, the interfacial regulation mechanisms and application potential of the optimized surfactant systems were proposed and validated.</w:t>
      </w:r>
    </w:p>
    <w:p w14:paraId="6F977804">
      <w:pPr>
        <w:widowControl/>
        <w:ind w:firstLine="709" w:firstLineChars="0"/>
        <w:rPr>
          <w:rFonts w:hint="default" w:ascii="Times New Roman" w:hAnsi="Times New Roman" w:eastAsia="宋体" w:cs="Times New Roman"/>
          <w:b/>
          <w:bCs/>
          <w:i w:val="0"/>
          <w:iCs w:val="0"/>
          <w:color w:val="000000"/>
          <w:sz w:val="28"/>
          <w:szCs w:val="28"/>
          <w:lang w:val="en-US" w:eastAsia="zh-CN"/>
        </w:rPr>
      </w:pPr>
      <w:r>
        <w:rPr>
          <w:rFonts w:hint="default" w:ascii="Times New Roman" w:hAnsi="Times New Roman" w:cs="Times New Roman"/>
          <w:b/>
          <w:bCs/>
          <w:i w:val="0"/>
          <w:iCs w:val="0"/>
          <w:color w:val="000000"/>
          <w:sz w:val="28"/>
          <w:szCs w:val="28"/>
        </w:rPr>
        <w:t>1.11 Reliability of results</w:t>
      </w:r>
      <w:r>
        <w:rPr>
          <w:rFonts w:hint="default" w:ascii="Times New Roman" w:hAnsi="Times New Roman" w:cs="Times New Roman"/>
          <w:b/>
          <w:bCs/>
          <w:i w:val="0"/>
          <w:iCs w:val="0"/>
          <w:color w:val="000000"/>
          <w:sz w:val="28"/>
          <w:szCs w:val="28"/>
          <w:lang w:val="en-US" w:eastAsia="zh-CN"/>
        </w:rPr>
        <w:t>.</w:t>
      </w:r>
    </w:p>
    <w:p w14:paraId="20E435A1">
      <w:pPr>
        <w:widowControl/>
        <w:ind w:firstLine="709" w:firstLineChars="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 Results validated through triplicate experiments and statistical analysis.</w:t>
      </w:r>
    </w:p>
    <w:p w14:paraId="6DEA24D9">
      <w:pPr>
        <w:widowControl/>
        <w:ind w:firstLine="709" w:firstLineChars="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 Alignment with existing theories (EOR mechanisms).</w:t>
      </w:r>
    </w:p>
    <w:p w14:paraId="4A947DFC">
      <w:pPr>
        <w:widowControl/>
        <w:ind w:firstLine="709" w:firstLineChars="0"/>
        <w:rPr>
          <w:rFonts w:hint="default" w:ascii="Times New Roman" w:hAnsi="Times New Roman" w:eastAsia="宋体" w:cs="Times New Roman"/>
          <w:b/>
          <w:bCs/>
          <w:i w:val="0"/>
          <w:iCs w:val="0"/>
          <w:color w:val="000000"/>
          <w:sz w:val="28"/>
          <w:szCs w:val="28"/>
          <w:lang w:val="en-US" w:eastAsia="zh-CN"/>
        </w:rPr>
      </w:pPr>
      <w:r>
        <w:rPr>
          <w:rFonts w:hint="default" w:ascii="Times New Roman" w:hAnsi="Times New Roman" w:cs="Times New Roman"/>
          <w:b/>
          <w:bCs/>
          <w:i w:val="0"/>
          <w:iCs w:val="0"/>
          <w:color w:val="000000"/>
          <w:sz w:val="28"/>
          <w:szCs w:val="28"/>
        </w:rPr>
        <w:t>1.12 Approbation testing of thesis</w:t>
      </w:r>
      <w:r>
        <w:rPr>
          <w:rFonts w:hint="default" w:ascii="Times New Roman" w:hAnsi="Times New Roman" w:cs="Times New Roman"/>
          <w:b/>
          <w:bCs/>
          <w:i w:val="0"/>
          <w:iCs w:val="0"/>
          <w:color w:val="000000"/>
          <w:sz w:val="28"/>
          <w:szCs w:val="28"/>
          <w:lang w:val="en-US" w:eastAsia="zh-CN"/>
        </w:rPr>
        <w:t>.</w:t>
      </w:r>
    </w:p>
    <w:p w14:paraId="3DB20EC7">
      <w:pPr>
        <w:widowControl/>
        <w:ind w:firstLine="709" w:firstLineChars="0"/>
        <w:rPr>
          <w:rFonts w:hint="default" w:ascii="Times New Roman" w:hAnsi="Times New Roman" w:cs="Times New Roman"/>
          <w:color w:val="000000"/>
          <w:sz w:val="28"/>
          <w:szCs w:val="28"/>
        </w:rPr>
      </w:pPr>
      <w:r>
        <w:rPr>
          <w:rFonts w:hint="default" w:ascii="Times New Roman" w:hAnsi="Times New Roman" w:cs="Times New Roman"/>
          <w:sz w:val="28"/>
          <w:szCs w:val="28"/>
        </w:rPr>
        <w:t>The results obtained were reported and discussed at the 2024 International Conference on Energy and Enhanced Oil Recovery and published in “Journal of Molecular Liquids (2024,</w:t>
      </w:r>
      <w:r>
        <w:rPr>
          <w:rFonts w:hint="default" w:ascii="Times New Roman" w:hAnsi="Times New Roman" w:cs="Times New Roman"/>
          <w:color w:val="EE0000"/>
          <w:sz w:val="28"/>
          <w:szCs w:val="28"/>
        </w:rPr>
        <w:t xml:space="preserve"> Scopus Q1, IF=5.2, first author)</w:t>
      </w:r>
      <w:r>
        <w:rPr>
          <w:rFonts w:hint="default" w:ascii="Times New Roman" w:hAnsi="Times New Roman" w:cs="Times New Roman"/>
          <w:sz w:val="28"/>
          <w:szCs w:val="28"/>
        </w:rPr>
        <w:t>”, “</w:t>
      </w:r>
      <w:r>
        <w:rPr>
          <w:rFonts w:hint="default" w:ascii="Times New Roman" w:hAnsi="Times New Roman" w:cs="Times New Roman"/>
          <w:color w:val="000000"/>
          <w:sz w:val="28"/>
          <w:szCs w:val="28"/>
        </w:rPr>
        <w:t xml:space="preserve">Physics of fluids (2025, Q1, IF=4.3, </w:t>
      </w:r>
      <w:r>
        <w:rPr>
          <w:rFonts w:hint="default" w:ascii="Times New Roman" w:hAnsi="Times New Roman" w:cs="Times New Roman"/>
          <w:sz w:val="28"/>
          <w:szCs w:val="28"/>
        </w:rPr>
        <w:t>first author</w:t>
      </w:r>
      <w:r>
        <w:rPr>
          <w:rFonts w:hint="default" w:ascii="Times New Roman" w:hAnsi="Times New Roman" w:cs="Times New Roman"/>
          <w:color w:val="000000"/>
          <w:sz w:val="28"/>
          <w:szCs w:val="28"/>
        </w:rPr>
        <w:t>)” and “Langmuir (2026, Q2, IF=3.9, first author)”</w:t>
      </w:r>
    </w:p>
    <w:p w14:paraId="72EDC726">
      <w:pPr>
        <w:widowControl/>
        <w:ind w:firstLine="709" w:firstLineChars="0"/>
        <w:rPr>
          <w:rFonts w:hint="default" w:ascii="Times New Roman" w:hAnsi="Times New Roman" w:cs="Times New Roman"/>
          <w:b/>
          <w:bCs/>
          <w:i w:val="0"/>
          <w:iCs w:val="0"/>
          <w:color w:val="000000"/>
          <w:sz w:val="28"/>
          <w:szCs w:val="28"/>
        </w:rPr>
      </w:pPr>
      <w:r>
        <w:rPr>
          <w:rFonts w:hint="default" w:ascii="Times New Roman" w:hAnsi="Times New Roman" w:cs="Times New Roman"/>
          <w:b/>
          <w:bCs/>
          <w:i w:val="0"/>
          <w:iCs w:val="0"/>
          <w:color w:val="000000"/>
          <w:sz w:val="28"/>
          <w:szCs w:val="28"/>
        </w:rPr>
        <w:t>Publications and conferences during PhD</w:t>
      </w:r>
    </w:p>
    <w:p w14:paraId="26FDFB5C">
      <w:pPr>
        <w:widowControl/>
        <w:ind w:firstLine="709" w:firstLineChars="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1 </w:t>
      </w:r>
      <w:r>
        <w:rPr>
          <w:rFonts w:hint="default" w:ascii="Times New Roman" w:hAnsi="Times New Roman" w:cs="Times New Roman"/>
          <w:b/>
          <w:bCs/>
          <w:color w:val="000000"/>
          <w:sz w:val="28"/>
          <w:szCs w:val="28"/>
        </w:rPr>
        <w:t>Zhang G</w:t>
      </w:r>
      <w:r>
        <w:rPr>
          <w:rFonts w:hint="default" w:ascii="Times New Roman" w:hAnsi="Times New Roman" w:cs="Times New Roman"/>
          <w:color w:val="000000"/>
          <w:sz w:val="28"/>
          <w:szCs w:val="28"/>
        </w:rPr>
        <w:t>, Zheng Y, Kang W, et al. Micelle Thermodynamic Properties and Interaction Behavior of the Prepared Extended Amphoteric Surfactant with Gemini Cationic Surfactants. [J]. Langmuir : the ACS journal of surfaces and colloids, 2026, DOI:10.1021/ACS.LANGMUIR.5C05173. (Q2, IF=3.9)</w:t>
      </w:r>
    </w:p>
    <w:p w14:paraId="78A0CA51">
      <w:pPr>
        <w:widowControl/>
        <w:ind w:firstLine="709" w:firstLineChars="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2 </w:t>
      </w:r>
      <w:r>
        <w:rPr>
          <w:rFonts w:hint="default" w:ascii="Times New Roman" w:hAnsi="Times New Roman" w:cs="Times New Roman"/>
          <w:b/>
          <w:bCs/>
          <w:color w:val="000000"/>
          <w:sz w:val="28"/>
          <w:szCs w:val="28"/>
        </w:rPr>
        <w:t>Zhang G</w:t>
      </w:r>
      <w:r>
        <w:rPr>
          <w:rFonts w:hint="default" w:ascii="Times New Roman" w:hAnsi="Times New Roman" w:cs="Times New Roman"/>
          <w:color w:val="000000"/>
          <w:sz w:val="28"/>
          <w:szCs w:val="28"/>
        </w:rPr>
        <w:t>, Zheng Y, Zeng L, et al. Optimization and effectiveness of the extended amphoteric-Gemini surfactant combination flooding for low-permeability reservoirs. Physics of Fluids 1 October 2025; 37 (10): 107128. (Q1, IF=4.3)</w:t>
      </w:r>
    </w:p>
    <w:p w14:paraId="4B7E73B8">
      <w:pPr>
        <w:widowControl/>
        <w:ind w:firstLine="709" w:firstLineChars="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3 </w:t>
      </w:r>
      <w:r>
        <w:rPr>
          <w:rFonts w:hint="default" w:ascii="Times New Roman" w:hAnsi="Times New Roman" w:cs="Times New Roman"/>
          <w:b/>
          <w:bCs/>
          <w:color w:val="000000"/>
          <w:sz w:val="28"/>
          <w:szCs w:val="28"/>
        </w:rPr>
        <w:t>Zhang G</w:t>
      </w:r>
      <w:r>
        <w:rPr>
          <w:rFonts w:hint="default" w:ascii="Times New Roman" w:hAnsi="Times New Roman" w:cs="Times New Roman"/>
          <w:color w:val="000000"/>
          <w:sz w:val="28"/>
          <w:szCs w:val="28"/>
        </w:rPr>
        <w:t xml:space="preserve">, Zheng Y, Mu J,et al. </w:t>
      </w:r>
      <w:bookmarkStart w:id="230" w:name="OLE_LINK1"/>
      <w:r>
        <w:rPr>
          <w:rFonts w:hint="default" w:ascii="Times New Roman" w:hAnsi="Times New Roman" w:cs="Times New Roman"/>
          <w:color w:val="000000"/>
          <w:sz w:val="28"/>
          <w:szCs w:val="28"/>
        </w:rPr>
        <w:t>Interactions and oil recovery performance of a prepared extended amphoteric surfactant combining with a nonionic surfactant under high salinity condition</w:t>
      </w:r>
      <w:bookmarkEnd w:id="230"/>
      <w:r>
        <w:rPr>
          <w:rFonts w:hint="default" w:ascii="Times New Roman" w:hAnsi="Times New Roman" w:cs="Times New Roman"/>
          <w:color w:val="000000"/>
          <w:sz w:val="28"/>
          <w:szCs w:val="28"/>
        </w:rPr>
        <w:t>[J].Journal of Molecular Liquids, 2024(Pt.A):414. (Q1, IF=5.2)</w:t>
      </w:r>
    </w:p>
    <w:p w14:paraId="4D2A4212">
      <w:pPr>
        <w:widowControl/>
        <w:ind w:firstLine="709" w:firstLineChars="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4 </w:t>
      </w:r>
      <w:r>
        <w:rPr>
          <w:rFonts w:hint="default" w:ascii="Times New Roman" w:hAnsi="Times New Roman" w:cs="Times New Roman"/>
          <w:b/>
          <w:bCs/>
          <w:color w:val="000000"/>
          <w:sz w:val="28"/>
          <w:szCs w:val="28"/>
        </w:rPr>
        <w:t>Zhang G</w:t>
      </w:r>
      <w:r>
        <w:rPr>
          <w:rFonts w:hint="default" w:ascii="Times New Roman" w:hAnsi="Times New Roman" w:cs="Times New Roman"/>
          <w:color w:val="000000"/>
          <w:sz w:val="28"/>
          <w:szCs w:val="28"/>
        </w:rPr>
        <w:t>, Zheng Y, Kang N, et al. Preparation of an extended amphoteric surfactant and enhanced oil recovery performance of its compounded system, The First International Conference on Energy and Enhanced Oil Recovery, 2024 (conference).</w:t>
      </w:r>
    </w:p>
    <w:p w14:paraId="6935796A">
      <w:pPr>
        <w:pStyle w:val="3"/>
        <w:keepNext w:val="0"/>
        <w:keepLines w:val="0"/>
        <w:widowControl/>
        <w:spacing w:line="240" w:lineRule="auto"/>
        <w:ind w:firstLine="709"/>
        <w:jc w:val="both"/>
        <w:rPr>
          <w:rFonts w:hint="default" w:ascii="Times New Roman" w:hAnsi="Times New Roman" w:cs="Times New Roman" w:eastAsiaTheme="majorEastAsia"/>
          <w:b/>
          <w:bCs/>
          <w:i w:val="0"/>
          <w:iCs w:val="0"/>
          <w:sz w:val="28"/>
          <w:szCs w:val="28"/>
          <w:lang w:val="en-US" w:eastAsia="zh-CN"/>
        </w:rPr>
      </w:pPr>
      <w:bookmarkStart w:id="231" w:name="_Toc10410"/>
      <w:bookmarkStart w:id="232" w:name="_Toc20378"/>
      <w:bookmarkStart w:id="233" w:name="_Toc12036"/>
      <w:bookmarkStart w:id="234" w:name="_Toc18668"/>
      <w:bookmarkStart w:id="235" w:name="_Toc9717"/>
      <w:bookmarkStart w:id="236" w:name="_Toc3196"/>
      <w:bookmarkStart w:id="237" w:name="_Toc25401"/>
      <w:bookmarkStart w:id="238" w:name="_Toc14521"/>
      <w:bookmarkStart w:id="239" w:name="_Toc18776"/>
      <w:bookmarkStart w:id="240" w:name="_Toc8040"/>
      <w:bookmarkStart w:id="241" w:name="_Toc24179"/>
      <w:bookmarkStart w:id="242" w:name="_Toc18181"/>
      <w:bookmarkStart w:id="243" w:name="_Toc18892"/>
      <w:bookmarkStart w:id="244" w:name="_Toc5268"/>
      <w:bookmarkStart w:id="245" w:name="_Toc27377"/>
      <w:bookmarkStart w:id="246" w:name="_Toc16401"/>
      <w:bookmarkStart w:id="247" w:name="_Toc21177"/>
      <w:bookmarkStart w:id="248" w:name="_Toc12986"/>
      <w:bookmarkStart w:id="249" w:name="_Toc19680"/>
      <w:bookmarkStart w:id="250" w:name="_Toc13122"/>
      <w:bookmarkStart w:id="251" w:name="_Toc29281"/>
      <w:bookmarkStart w:id="252" w:name="_Toc3288"/>
      <w:bookmarkStart w:id="253" w:name="_Toc19840"/>
      <w:bookmarkStart w:id="254" w:name="_Toc1886"/>
      <w:r>
        <w:rPr>
          <w:rFonts w:hint="default" w:ascii="Times New Roman" w:hAnsi="Times New Roman" w:cs="Times New Roman"/>
          <w:b/>
          <w:bCs/>
          <w:i w:val="0"/>
          <w:iCs w:val="0"/>
          <w:sz w:val="28"/>
          <w:szCs w:val="28"/>
        </w:rPr>
        <w:t>1.13 Relation of the dissertation topic with the plans of scientific works</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r>
        <w:rPr>
          <w:rFonts w:hint="default" w:ascii="Times New Roman" w:hAnsi="Times New Roman" w:cs="Times New Roman"/>
          <w:b/>
          <w:bCs/>
          <w:i w:val="0"/>
          <w:iCs w:val="0"/>
          <w:sz w:val="28"/>
          <w:szCs w:val="28"/>
          <w:lang w:val="en-US" w:eastAsia="zh-CN"/>
        </w:rPr>
        <w:t>.</w:t>
      </w:r>
      <w:bookmarkEnd w:id="254"/>
    </w:p>
    <w:p w14:paraId="437FBF49">
      <w:pPr>
        <w:widowControl/>
        <w:ind w:firstLine="709" w:firstLineChars="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Aligning with the demand for efficient EOR in low-permeability, high-salinity reservoirs, this study develops extended amphoteric surfactant systems with enhanced adaptability to harsh conditions. Compared with conventional surfactants, these materials exhibit superior salt tolerance, low adsorption, and strong interfacial activity due to their EO/PO spacer and zwitterionic structure. Building on this, synergistic formulations with gemini cationic and nonionic surfactants were constructed, achieving ultra-low interfacial tension, improved emulsification, and effective wettability alteration. Core flooding results further confirm their ability to significantly enhance oil recovery. Overall, these systems provide a robust and cost-effective approach for improving EOR performance in challenging reservoirs.</w:t>
      </w:r>
    </w:p>
    <w:p w14:paraId="16DA1CF4">
      <w:pPr>
        <w:pStyle w:val="3"/>
        <w:keepNext w:val="0"/>
        <w:keepLines w:val="0"/>
        <w:widowControl/>
        <w:spacing w:line="240" w:lineRule="auto"/>
        <w:ind w:firstLine="709"/>
        <w:jc w:val="both"/>
        <w:rPr>
          <w:rFonts w:hint="default" w:ascii="Times New Roman" w:hAnsi="Times New Roman" w:cs="Times New Roman" w:eastAsiaTheme="majorEastAsia"/>
          <w:b/>
          <w:bCs/>
          <w:i w:val="0"/>
          <w:iCs w:val="0"/>
          <w:sz w:val="28"/>
          <w:szCs w:val="28"/>
          <w:lang w:val="en-US" w:eastAsia="zh-CN"/>
        </w:rPr>
      </w:pPr>
      <w:bookmarkStart w:id="255" w:name="_Toc22777"/>
      <w:bookmarkStart w:id="256" w:name="_Toc23070"/>
      <w:bookmarkStart w:id="257" w:name="_Toc20769"/>
      <w:bookmarkStart w:id="258" w:name="_Toc23260"/>
      <w:bookmarkStart w:id="259" w:name="_Toc25652"/>
      <w:bookmarkStart w:id="260" w:name="_Toc19096"/>
      <w:bookmarkStart w:id="261" w:name="_Toc19977"/>
      <w:bookmarkStart w:id="262" w:name="_Toc17866"/>
      <w:bookmarkStart w:id="263" w:name="_Toc2999"/>
      <w:bookmarkStart w:id="264" w:name="_Toc3629"/>
      <w:bookmarkStart w:id="265" w:name="_Toc2410"/>
      <w:bookmarkStart w:id="266" w:name="_Toc10061"/>
      <w:bookmarkStart w:id="267" w:name="_Toc25355"/>
      <w:bookmarkStart w:id="268" w:name="_Toc11392"/>
      <w:bookmarkStart w:id="269" w:name="_Toc24427"/>
      <w:bookmarkStart w:id="270" w:name="_Toc17388"/>
      <w:bookmarkStart w:id="271" w:name="_Toc17254"/>
      <w:bookmarkStart w:id="272" w:name="_Toc2289"/>
      <w:bookmarkStart w:id="273" w:name="_Toc16477"/>
      <w:bookmarkStart w:id="274" w:name="_Toc28640"/>
      <w:bookmarkStart w:id="275" w:name="_Toc15991"/>
      <w:bookmarkStart w:id="276" w:name="_Toc24894"/>
      <w:bookmarkStart w:id="277" w:name="_Toc13507"/>
      <w:bookmarkStart w:id="278" w:name="_Toc6893"/>
      <w:r>
        <w:rPr>
          <w:rFonts w:hint="default" w:ascii="Times New Roman" w:hAnsi="Times New Roman" w:cs="Times New Roman"/>
          <w:b/>
          <w:bCs/>
          <w:i w:val="0"/>
          <w:iCs w:val="0"/>
          <w:sz w:val="28"/>
          <w:szCs w:val="28"/>
        </w:rPr>
        <w:t>1.14 Structure and scope of the dissertation</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rPr>
          <w:rFonts w:hint="default" w:ascii="Times New Roman" w:hAnsi="Times New Roman" w:cs="Times New Roman"/>
          <w:b/>
          <w:bCs/>
          <w:i w:val="0"/>
          <w:iCs w:val="0"/>
          <w:sz w:val="28"/>
          <w:szCs w:val="28"/>
          <w:lang w:val="en-US" w:eastAsia="zh-CN"/>
        </w:rPr>
        <w:t>.</w:t>
      </w:r>
      <w:bookmarkEnd w:id="278"/>
    </w:p>
    <w:p w14:paraId="4895706A">
      <w:pPr>
        <w:widowControl/>
        <w:ind w:firstLine="709" w:firstLineChars="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Structure: 6 chapters (Introduction, Literature Review, Synthesis and properties of Extended amphoteric surfactant, Interaction of an Extended Amphoteric Surfactant Combining with a Nonionic Surfactant, Interaction of an Extended Amphoteric Surfactant combining with Gemini Cationic Surfactants, Conclusions).</w:t>
      </w:r>
    </w:p>
    <w:p w14:paraId="2806800E">
      <w:pPr>
        <w:widowControl/>
        <w:ind w:firstLine="709" w:firstLineChars="0"/>
        <w:rPr>
          <w:rFonts w:hint="default" w:ascii="Times New Roman" w:hAnsi="Times New Roman" w:cs="Times New Roman"/>
          <w:sz w:val="28"/>
          <w:szCs w:val="28"/>
        </w:rPr>
      </w:pPr>
      <w:r>
        <w:rPr>
          <w:rFonts w:hint="default" w:ascii="Times New Roman" w:hAnsi="Times New Roman" w:cs="Times New Roman"/>
          <w:color w:val="000000"/>
          <w:sz w:val="28"/>
          <w:szCs w:val="28"/>
        </w:rPr>
        <w:t>• Volume: 1</w:t>
      </w:r>
      <w:r>
        <w:rPr>
          <w:rFonts w:hint="default" w:ascii="Times New Roman" w:hAnsi="Times New Roman" w:cs="Times New Roman"/>
          <w:color w:val="000000"/>
          <w:sz w:val="28"/>
          <w:szCs w:val="28"/>
          <w:lang w:val="en-US" w:eastAsia="zh-CN"/>
        </w:rPr>
        <w:t>20</w:t>
      </w:r>
      <w:r>
        <w:rPr>
          <w:rFonts w:hint="default" w:ascii="Times New Roman" w:hAnsi="Times New Roman" w:cs="Times New Roman"/>
          <w:color w:val="000000"/>
          <w:sz w:val="28"/>
          <w:szCs w:val="28"/>
        </w:rPr>
        <w:t xml:space="preserve"> pages, including 41 figures, and 22 tables</w:t>
      </w:r>
      <w:r>
        <w:rPr>
          <w:rFonts w:hint="default" w:ascii="Times New Roman" w:hAnsi="Times New Roman" w:cs="Times New Roman"/>
          <w:color w:val="000000"/>
          <w:sz w:val="28"/>
          <w:szCs w:val="28"/>
          <w:lang w:val="en-US" w:eastAsia="zh-CN"/>
        </w:rPr>
        <w:t>.</w:t>
      </w:r>
      <w:r>
        <w:rPr>
          <w:rFonts w:hint="default" w:ascii="Times New Roman" w:hAnsi="Times New Roman" w:cs="Times New Roman"/>
          <w:sz w:val="28"/>
          <w:szCs w:val="28"/>
        </w:rPr>
        <w:br w:type="page"/>
      </w:r>
    </w:p>
    <w:p w14:paraId="1C6B61FE">
      <w:pPr>
        <w:pStyle w:val="2"/>
        <w:keepNext w:val="0"/>
        <w:keepLines w:val="0"/>
        <w:widowControl/>
        <w:spacing w:before="0" w:beforeLines="0" w:after="0" w:afterLines="0" w:line="240" w:lineRule="auto"/>
        <w:ind w:firstLine="560" w:firstLineChars="200"/>
        <w:jc w:val="both"/>
        <w:rPr>
          <w:rFonts w:hint="default" w:ascii="Times New Roman" w:hAnsi="Times New Roman" w:eastAsia="宋体" w:cs="Times New Roman"/>
          <w:szCs w:val="28"/>
          <w:lang w:val="en-US" w:eastAsia="zh-CN"/>
        </w:rPr>
      </w:pPr>
      <w:bookmarkStart w:id="279" w:name="_Toc8580"/>
      <w:bookmarkStart w:id="280" w:name="_Toc6964"/>
      <w:bookmarkStart w:id="281" w:name="_Toc22397"/>
      <w:bookmarkStart w:id="282" w:name="_Toc18075"/>
      <w:bookmarkStart w:id="283" w:name="_Toc28443"/>
      <w:bookmarkStart w:id="284" w:name="_Toc3179"/>
      <w:bookmarkStart w:id="285" w:name="_Toc32587"/>
      <w:r>
        <w:rPr>
          <w:rFonts w:hint="default" w:ascii="Times New Roman" w:hAnsi="Times New Roman" w:cs="Times New Roman"/>
          <w:szCs w:val="28"/>
        </w:rPr>
        <w:t>C</w:t>
      </w:r>
      <w:r>
        <w:rPr>
          <w:rFonts w:hint="default" w:ascii="Times New Roman" w:hAnsi="Times New Roman" w:cs="Times New Roman"/>
          <w:szCs w:val="28"/>
          <w:lang w:val="en-US" w:eastAsia="zh-CN"/>
        </w:rPr>
        <w:t>HAPTER</w:t>
      </w:r>
      <w:r>
        <w:rPr>
          <w:rFonts w:hint="default" w:ascii="Times New Roman" w:hAnsi="Times New Roman" w:cs="Times New Roman"/>
          <w:szCs w:val="28"/>
        </w:rPr>
        <w:t xml:space="preserve"> 2 </w:t>
      </w:r>
      <w:r>
        <w:rPr>
          <w:rFonts w:hint="default" w:ascii="Times New Roman" w:hAnsi="Times New Roman" w:cs="Times New Roman"/>
          <w:szCs w:val="28"/>
          <w:lang w:val="en-US" w:eastAsia="zh-CN"/>
        </w:rPr>
        <w:t>LITERATURE</w:t>
      </w:r>
      <w:r>
        <w:rPr>
          <w:rFonts w:hint="default" w:ascii="Times New Roman" w:hAnsi="Times New Roman" w:cs="Times New Roman"/>
          <w:szCs w:val="28"/>
        </w:rPr>
        <w:t xml:space="preserve"> </w:t>
      </w:r>
      <w:bookmarkEnd w:id="279"/>
      <w:bookmarkEnd w:id="280"/>
      <w:bookmarkEnd w:id="281"/>
      <w:bookmarkEnd w:id="282"/>
      <w:bookmarkEnd w:id="283"/>
      <w:bookmarkEnd w:id="284"/>
      <w:r>
        <w:rPr>
          <w:rFonts w:hint="default" w:ascii="Times New Roman" w:hAnsi="Times New Roman" w:cs="Times New Roman"/>
          <w:szCs w:val="28"/>
          <w:lang w:val="en-US" w:eastAsia="zh-CN"/>
        </w:rPr>
        <w:t>REVIEW</w:t>
      </w:r>
      <w:bookmarkEnd w:id="285"/>
    </w:p>
    <w:p w14:paraId="7A131617">
      <w:pPr>
        <w:ind w:firstLine="480"/>
        <w:rPr>
          <w:rFonts w:hint="default" w:ascii="Times New Roman" w:hAnsi="Times New Roman" w:cs="Times New Roman"/>
        </w:rPr>
      </w:pPr>
    </w:p>
    <w:p w14:paraId="5E9B1CFF">
      <w:pPr>
        <w:widowControl/>
        <w:ind w:firstLine="709" w:firstLineChars="0"/>
        <w:outlineLvl w:val="1"/>
        <w:rPr>
          <w:rFonts w:hint="default" w:ascii="Times New Roman" w:hAnsi="Times New Roman" w:eastAsia="等线 Light" w:cs="Times New Roman"/>
          <w:b/>
          <w:bCs/>
          <w:i w:val="0"/>
          <w:iCs w:val="0"/>
          <w:sz w:val="28"/>
          <w:szCs w:val="28"/>
        </w:rPr>
      </w:pPr>
      <w:bookmarkStart w:id="286" w:name="_Toc7146"/>
      <w:bookmarkStart w:id="287" w:name="_Toc27932"/>
      <w:bookmarkStart w:id="288" w:name="_Toc8401"/>
      <w:bookmarkStart w:id="289" w:name="_Toc13153"/>
      <w:bookmarkStart w:id="290" w:name="_Toc20162"/>
      <w:bookmarkStart w:id="291" w:name="_Toc23524"/>
      <w:bookmarkStart w:id="292" w:name="_Toc18012"/>
      <w:bookmarkStart w:id="293" w:name="_Toc131344052"/>
      <w:r>
        <w:rPr>
          <w:rFonts w:hint="default" w:ascii="Times New Roman" w:hAnsi="Times New Roman" w:eastAsia="等线 Light" w:cs="Times New Roman"/>
          <w:b/>
          <w:bCs/>
          <w:i w:val="0"/>
          <w:iCs w:val="0"/>
          <w:sz w:val="28"/>
          <w:szCs w:val="28"/>
        </w:rPr>
        <w:t>2.1 Research background</w:t>
      </w:r>
      <w:bookmarkEnd w:id="286"/>
      <w:bookmarkEnd w:id="287"/>
      <w:bookmarkEnd w:id="288"/>
      <w:bookmarkEnd w:id="289"/>
      <w:bookmarkEnd w:id="290"/>
      <w:bookmarkEnd w:id="291"/>
      <w:bookmarkEnd w:id="292"/>
    </w:p>
    <w:p w14:paraId="7FB446AA">
      <w:pPr>
        <w:widowControl/>
        <w:ind w:firstLine="709" w:firstLineChars="0"/>
        <w:rPr>
          <w:rFonts w:hint="default" w:ascii="Times New Roman" w:hAnsi="Times New Roman" w:cs="Times New Roman"/>
          <w:sz w:val="28"/>
          <w:szCs w:val="28"/>
        </w:rPr>
      </w:pPr>
      <w:bookmarkStart w:id="294" w:name="_Toc6825"/>
      <w:bookmarkStart w:id="295" w:name="_Toc5114"/>
      <w:r>
        <w:rPr>
          <w:rFonts w:hint="default" w:ascii="Times New Roman" w:hAnsi="Times New Roman" w:cs="Times New Roman"/>
          <w:sz w:val="28"/>
          <w:szCs w:val="28"/>
        </w:rPr>
        <w:t>Petroleum remains a cornerstone of China’s energy supply structure and a strategic resource supporting industrial production, economic development, and national energy security. However, with the sustained advancement of oilfield exploration and development, conventional oil reservoirs with high permeability and moderate salinity have been gradually exhausted, forcing the petroleum industry to shift its focus toward low‑permeability, tight, and high‑salinity reservoirs that are more difficult to exploit. Unfortunately, conventional water flooding and other secondary recovery technologies face severe technical bottlenecks in these complex reservoirs. Such reservoirs are typically characterized by extremely tight pore structures, strong microscopic heterogeneity, high clay content, and prominent capillary resistance effects, all of which jointly lead to unsatisfactory sweep efficiency, limited oil washing capacity, and large amounts of unrecoverable residual oil trapped in tiny pores after conventional water flooding [1–4]. Under these stringent technical and engineering constraints, the research and development of efficient, stable, and adaptable enhanced oil recovery (EOR) technologies have become an urgent requirement to sustain stable crude oil production and improve ultimate recovery.</w:t>
      </w:r>
    </w:p>
    <w:p w14:paraId="4207D467">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Surfactant flooding has long been widely recognized as one of the most effective chemical EOR techniques, owing to its unique ability to regulate oil–water interfacial properties, modify rock surface characteristics, and enhance microscopic oil displacement efficiency. The core functions of surfactant flooding include significantly reducing oil–water interfacial tension (IFT), altering reservoir rock wettability from oil‑wet to water‑wet, enhancing emulsification and dispersion of crude oil, and reducing the retention loss of chemicals in porous media, so as to fully mobilize capillary‑trapped residual oil that cannot be displaced by water flooding alone. Conventional surfactants used in EOR projects mainly fall into four categories: anionic surfactants (petroleum sulfonates), nonionic surfactants (fatty alcohol ethoxylates), amphoteric surfactants (betaine compounds)</w:t>
      </w:r>
      <w:r>
        <w:rPr>
          <w:rFonts w:hint="eastAsia" w:cs="Times New Roman"/>
          <w:sz w:val="28"/>
          <w:szCs w:val="28"/>
          <w:lang w:val="en-US" w:eastAsia="zh-CN"/>
        </w:rPr>
        <w:t>,</w:t>
      </w:r>
      <w:r>
        <w:rPr>
          <w:rFonts w:hint="default" w:ascii="Times New Roman" w:hAnsi="Times New Roman" w:cs="Times New Roman"/>
          <w:sz w:val="28"/>
          <w:szCs w:val="28"/>
        </w:rPr>
        <w:t xml:space="preserve"> and cationic surfactants (quaternary ammonium salts). Under optimized laboratory conditions, these conventional surfactants are capable of reducing oil–water IFT to an ultralow level (≤10</w:t>
      </w:r>
      <w:r>
        <w:rPr>
          <w:rFonts w:hint="default" w:ascii="Times New Roman" w:hAnsi="Times New Roman" w:cs="Times New Roman"/>
          <w:sz w:val="28"/>
          <w:szCs w:val="28"/>
          <w:vertAlign w:val="superscript"/>
        </w:rPr>
        <w:t>-3</w:t>
      </w:r>
      <w:r>
        <w:rPr>
          <w:rFonts w:hint="default" w:ascii="Times New Roman" w:hAnsi="Times New Roman" w:cs="Times New Roman"/>
          <w:sz w:val="28"/>
          <w:szCs w:val="28"/>
        </w:rPr>
        <w:t xml:space="preserve">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which greatly increases the capillary number and enables effective oil mobilization [5-8]. Nevertheless, their large‑scale practical application in harsh reservoir environments is still subject to multiple restrictions.</w:t>
      </w:r>
    </w:p>
    <w:p w14:paraId="416C5BF1">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First, high salinity and abundant divalent ions (Ca</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/Mg</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 in formation water tend to cause precipitation, turbidity, or phase separation of ionic surfactants, resulting in rapid performance deterioration. Second, strong electrostatic adsorption or hydrogen‑bonding adsorption onto negatively charged rock surfaces leads to massive chemical loss during fluid transport in porous media, which significantly raises the economic cost. In addition, most conventional surfactants possess narrow effective concentration windows, poor long‑term thermal stability, and insufficient interfacial film strength under high‑temperature and high‑salinity conditions, making it extremely difficult to simultaneously achieve ultra-low IFT, low adsorption loss, and durable stability required for long‑distance migration in low‑permeability reservoirs [9-11].</w:t>
      </w:r>
    </w:p>
    <w:p w14:paraId="7510154C">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To overcome the above technical bottlenecks, researchers have developed a new type of extended amphoteric surfactants by introducing ethylene oxide (EO) and/or propylene oxide (PO) flexible segments into the molecular structure. By inserting intermediate‑polarity chains between hydrophilic head groups and hydrophobic tails, these surfactants achieve a more delicate balance of amphiphilicity, which significantly improves water solubility in high‑salinity conditions, reduces adsorption loss onto rock surfaces, and enhances tolerance to divalent ions and high temperature. Moreover, extended amphoteric surfactants can achieve and maintain ultralow IFT over a wider salinity and concentration range, showing outstanding application potential in harsh reservoirs [11,12]. Despite these remarkable advantages, single‑component extended amphoteric surfactants still exhibit certain limitations, such as insufficient interfacial film elasticity, limited tolerance to ultra‑high salinity, and poor adaptability to strongly heterogeneous reservoirs. Therefore, compounding extended amphoteric surfactants with other types of surfactants to construct composite systems has become an effective strategy to generate intermolecular synergistic effects. Such composite systems can further enhance comprehensive interfacial activity, improve emulsion stability, broaden applicable conditions, and reduce chemical retention, thereby significantly enhancing the final oil displacement efficiency in low‑permeability and high‑salinity reservoirs [12-14].</w:t>
      </w:r>
    </w:p>
    <w:p w14:paraId="050E0245">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Based on the above technical background and research progress, this study focuses on the molecular design, performance evaluation, and application evaluation of extended amphoteric surfactant‑based composite systems for enhanced oil recovery in low‑permeability reservoirs. The primary objective is to reveal the intermolecular interaction mechanisms and synergistic enhancement mechanisms of composite systems, and to optimize the formula and application parameters under high‑salinity, low‑permeability, and high‑temperature conditions, so as to provide theoretical support and technical reference for the design and field application of high‑efficiency surfactant flooding systems in complex reservoirs.</w:t>
      </w:r>
    </w:p>
    <w:p w14:paraId="0579B5B6">
      <w:pPr>
        <w:widowControl/>
        <w:ind w:firstLine="709" w:firstLineChars="0"/>
        <w:outlineLvl w:val="1"/>
        <w:rPr>
          <w:rFonts w:hint="default" w:ascii="Times New Roman" w:hAnsi="Times New Roman" w:eastAsia="等线 Light" w:cs="Times New Roman"/>
          <w:b/>
          <w:bCs/>
          <w:i w:val="0"/>
          <w:iCs w:val="0"/>
          <w:sz w:val="28"/>
          <w:szCs w:val="28"/>
        </w:rPr>
      </w:pPr>
      <w:bookmarkStart w:id="296" w:name="_Toc8878"/>
      <w:bookmarkStart w:id="297" w:name="_Toc31917"/>
      <w:bookmarkStart w:id="298" w:name="_Toc7580"/>
      <w:bookmarkStart w:id="299" w:name="_Toc13484"/>
      <w:bookmarkStart w:id="300" w:name="_Toc32030"/>
      <w:r>
        <w:rPr>
          <w:rFonts w:hint="default" w:ascii="Times New Roman" w:hAnsi="Times New Roman" w:eastAsia="等线 Light" w:cs="Times New Roman"/>
          <w:b/>
          <w:bCs/>
          <w:i w:val="0"/>
          <w:iCs w:val="0"/>
          <w:sz w:val="28"/>
          <w:szCs w:val="28"/>
        </w:rPr>
        <w:t>2.2 Development of surfactants for EOR</w:t>
      </w:r>
      <w:bookmarkEnd w:id="294"/>
      <w:bookmarkEnd w:id="295"/>
      <w:bookmarkEnd w:id="296"/>
      <w:bookmarkEnd w:id="297"/>
      <w:bookmarkEnd w:id="298"/>
      <w:bookmarkEnd w:id="299"/>
      <w:bookmarkEnd w:id="300"/>
    </w:p>
    <w:p w14:paraId="293CB3C7">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research and development of surfactants for EOR has experienced decades of evolution, gradually advancing from simple conventional single‑component surfactants to structurally refined, functionally targeted modified amphoteric surfactants, especially extended amphoteric surfactants, and further to multi‑component composite systems with synergistic functions. This developmental trend is closely accompanied by the increasingly harsh service environment of surfactants and the increasingly stringent technical requirements for EOR applications. The core goal of this evolution is to adapt to complex reservoir conditions while fully exerting the key EOR functions including efficient IFT reduction, controllable wettability alteration, stable emulsification and oil carrying, and reduced adsorption loss, so as to maximize microscopic and macroscopic oil displacement efficiency. Therefore, the evolution of surfactants is essentially driven by the need to optimize and coordinate multiple EOR mechanisms under increasingly complex reservoir conditions.</w:t>
      </w:r>
    </w:p>
    <w:p w14:paraId="18C996A9">
      <w:pPr>
        <w:widowControl/>
        <w:ind w:firstLine="709" w:firstLineChars="0"/>
        <w:outlineLvl w:val="2"/>
        <w:rPr>
          <w:rFonts w:hint="default" w:ascii="Times New Roman" w:hAnsi="Times New Roman" w:cs="Times New Roman"/>
          <w:bCs/>
          <w:i w:val="0"/>
          <w:iCs w:val="0"/>
          <w:sz w:val="28"/>
          <w:szCs w:val="28"/>
        </w:rPr>
      </w:pPr>
      <w:bookmarkStart w:id="301" w:name="_Toc19917"/>
      <w:bookmarkStart w:id="302" w:name="_Toc18524"/>
      <w:bookmarkStart w:id="303" w:name="_Toc8318"/>
      <w:bookmarkStart w:id="304" w:name="_Toc21083"/>
      <w:bookmarkStart w:id="305" w:name="_Toc30345"/>
      <w:bookmarkStart w:id="306" w:name="_Toc1768"/>
      <w:bookmarkStart w:id="307" w:name="_Toc19054"/>
      <w:r>
        <w:rPr>
          <w:rFonts w:hint="default" w:ascii="Times New Roman" w:hAnsi="Times New Roman" w:cs="Times New Roman"/>
          <w:bCs/>
          <w:i w:val="0"/>
          <w:iCs w:val="0"/>
          <w:sz w:val="28"/>
          <w:szCs w:val="28"/>
        </w:rPr>
        <w:t>2.2.1 Classification of surfactants for EOR</w:t>
      </w:r>
      <w:bookmarkEnd w:id="301"/>
      <w:bookmarkEnd w:id="302"/>
      <w:bookmarkEnd w:id="303"/>
      <w:bookmarkEnd w:id="304"/>
      <w:bookmarkEnd w:id="305"/>
      <w:bookmarkEnd w:id="306"/>
      <w:bookmarkEnd w:id="307"/>
    </w:p>
    <w:p w14:paraId="08A5A22C">
      <w:pPr>
        <w:widowControl/>
        <w:ind w:firstLine="709" w:firstLineChars="0"/>
        <w:rPr>
          <w:rFonts w:hint="default" w:ascii="Times New Roman" w:hAnsi="Times New Roman" w:cs="Times New Roman"/>
          <w:sz w:val="28"/>
          <w:szCs w:val="28"/>
        </w:rPr>
      </w:pPr>
      <w:bookmarkStart w:id="308" w:name="_Toc32142"/>
      <w:bookmarkStart w:id="309" w:name="_Toc7697"/>
      <w:bookmarkStart w:id="310" w:name="_Toc16297"/>
      <w:bookmarkStart w:id="311" w:name="_Toc18198"/>
      <w:bookmarkStart w:id="312" w:name="_Toc24643"/>
      <w:r>
        <w:rPr>
          <w:rFonts w:hint="default" w:ascii="Times New Roman" w:hAnsi="Times New Roman" w:cs="Times New Roman"/>
          <w:sz w:val="28"/>
          <w:szCs w:val="28"/>
        </w:rPr>
        <w:t>Over the past few decades, a wide variety of surfactants with diverse structures and properties have been designed, synthesized, and applied in laboratory studies and field tests of chemical EOR. From the perspective of enhanced oil recovery mechanisms, different types of surfactants contribute to oil displacement through distinct dominant mechanisms, including interfacial tension reduction, wettability alteration, emulsification, and adsorption control. Accordingly, conventional surfactants can be reinterpreted based on their primary functional roles rather than solely on their ionic characteristics.</w:t>
      </w:r>
    </w:p>
    <w:p w14:paraId="554B1E1E">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Cationic surfactants, mainly including amine salts and quaternary ammonium salts, carry positive charges in solution and thus show extremely strong affinity toward negatively charged reservoir rock surfaces. They can be tightly adsorbed on the rock surface to reverse wettability efficiently, which is conducive to stripping crude oil from oil‑wet pore walls. However, their practical application in EOR is seriously restricted by excessive adsorption loss in porous media, high cost, and poor compatibility with anionic chemicals [15-17]. In contrast, anionic surfactants, represented by petroleum sulfonates, carboxylates, phosphates, and sulfates, are the most widely used surfactants in conventional EOR applications. They possess high interfacial activity, outstanding ability to reduce oil–water IFT, favorable thermal stability, and relatively low adsorption on negatively charged mineral surfaces. Nevertheless, most anionic surfactants suffer from poor divalent ion tolerance; high concentrations of Ca</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 xml:space="preserve"> and Mg</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 xml:space="preserve"> easily lead to precipitation or chromatographic separation during long‑distance migration, which greatly limits their application in high‑salinity and hard water reservoirs [15-17]. Nonionic surfactants, such as fatty alcohol polyoxyethylene ethers and fatty acid polyol ethers, are electrically neutral in aqueous solution and therefore exhibit excellent tolerance to high temperature, high salinity, and divalent ions. They also show strong emulsification ability and relatively low adsorption loss. However, when used alone, nonionic surfactants usually have limited capacity to achieve ultralow IFT, making it difficult to meet the high‑efficiency oil displacement requirements in low‑permeability reservoirs [15-17]. Amphoteric surfactants contain both anionic and cationic hydrophilic groups in one molecule, enabling them to integrate the advantages of anionic and cationic surfactants. They show good temperature and salinity resistance, low toxicity, excellent compatibility with other surfactants, and adjustable wettability alteration ability. They are often used as important components in composite systems to mitigate chromatographic separation and enhance comprehensive performance, although their adsorption loss in porous media still needs to be further reduced [15-19].</w:t>
      </w:r>
    </w:p>
    <w:p w14:paraId="3DCF3E37">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For surfactant flooding in low‑permeability oil reservoirs, the selected surfactants must meet a series of strict performance requirements to ensure effective application. These requirements include: appropriate hydrophilic–lipophilic balance (HLB) matching the properties of crude oil and formation water, high efficiency in reducing oil–water interfacial tension, excellent emulsification, dispersion, and wettability alteration performance, relatively low adsorption and retention on reservoir rocks; good thermal stability and salt tolerance, low environmental toxicity, and acceptable economic cost for large‑scale application. Among all types of surfactants, amphoteric surfactants (Figure 2.1) are considered the most promising candidates for harsh reservoirs due to their unique molecular structure and versatile properties [16-19].</w:t>
      </w:r>
    </w:p>
    <w:p w14:paraId="52928B3D">
      <w:pPr>
        <w:widowControl/>
        <w:ind w:firstLine="709" w:firstLineChars="0"/>
        <w:rPr>
          <w:rFonts w:hint="default" w:ascii="Times New Roman" w:hAnsi="Times New Roman" w:cs="Times New Roman"/>
          <w:sz w:val="28"/>
          <w:szCs w:val="28"/>
        </w:rPr>
      </w:pPr>
    </w:p>
    <w:p w14:paraId="5AF4730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4127500" cy="1371600"/>
            <wp:effectExtent l="0" t="0" r="6350" b="0"/>
            <wp:docPr id="3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6"/>
                    <pic:cNvPicPr>
                      <a:picLocks noChangeAspect="1"/>
                    </pic:cNvPicPr>
                  </pic:nvPicPr>
                  <pic:blipFill>
                    <a:blip r:embed="rId13"/>
                    <a:stretch>
                      <a:fillRect/>
                    </a:stretch>
                  </pic:blipFill>
                  <pic:spPr>
                    <a:xfrm>
                      <a:off x="0" y="0"/>
                      <a:ext cx="4152090" cy="1379569"/>
                    </a:xfrm>
                    <a:prstGeom prst="rect">
                      <a:avLst/>
                    </a:prstGeom>
                    <a:noFill/>
                    <a:ln>
                      <a:noFill/>
                    </a:ln>
                  </pic:spPr>
                </pic:pic>
              </a:graphicData>
            </a:graphic>
          </wp:inline>
        </w:drawing>
      </w:r>
    </w:p>
    <w:p w14:paraId="6EEDEBDF">
      <w:pPr>
        <w:widowControl/>
        <w:ind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Figure 2.1 – Structure diagram of amphoteric surfactant</w:t>
      </w:r>
      <w:r>
        <w:rPr>
          <w:rFonts w:hint="default" w:ascii="Times New Roman" w:hAnsi="Times New Roman" w:cs="Times New Roman"/>
          <w:sz w:val="28"/>
          <w:szCs w:val="28"/>
          <w:lang w:val="en-US" w:eastAsia="zh-CN"/>
        </w:rPr>
        <w:t>.</w:t>
      </w:r>
    </w:p>
    <w:p w14:paraId="387EAE6B">
      <w:pPr>
        <w:widowControl/>
        <w:ind w:firstLine="709" w:firstLineChars="0"/>
        <w:rPr>
          <w:rFonts w:hint="default" w:ascii="Times New Roman" w:hAnsi="Times New Roman" w:cs="Times New Roman"/>
          <w:sz w:val="28"/>
          <w:szCs w:val="28"/>
        </w:rPr>
      </w:pPr>
    </w:p>
    <w:p w14:paraId="6EF601A1">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In summary, conventional surfactants are typically effective in enhancing one or two EOR mechanisms, but rarely capable of simultaneously optimizing all key processes. This intrinsic limitation becomes increasingly critical in low-permeability and high-salinity reservoirs, where multiple mechanisms must operate cooperatively to achieve efficient oil displacement.</w:t>
      </w:r>
    </w:p>
    <w:p w14:paraId="6EA9779E">
      <w:pPr>
        <w:widowControl/>
        <w:ind w:firstLine="709" w:firstLineChars="0"/>
        <w:outlineLvl w:val="2"/>
        <w:rPr>
          <w:rFonts w:hint="default" w:ascii="Times New Roman" w:hAnsi="Times New Roman" w:cs="Times New Roman"/>
          <w:bCs/>
          <w:i w:val="0"/>
          <w:iCs w:val="0"/>
          <w:sz w:val="28"/>
          <w:szCs w:val="28"/>
        </w:rPr>
      </w:pPr>
      <w:bookmarkStart w:id="313" w:name="_Toc9211"/>
      <w:bookmarkStart w:id="314" w:name="_Toc9687"/>
      <w:r>
        <w:rPr>
          <w:rFonts w:hint="default" w:ascii="Times New Roman" w:hAnsi="Times New Roman" w:cs="Times New Roman"/>
          <w:bCs/>
          <w:i w:val="0"/>
          <w:iCs w:val="0"/>
          <w:sz w:val="28"/>
          <w:szCs w:val="28"/>
        </w:rPr>
        <w:t>2.2.2 Classification of amphoteric surfactant</w:t>
      </w:r>
      <w:bookmarkEnd w:id="308"/>
      <w:bookmarkEnd w:id="309"/>
      <w:bookmarkEnd w:id="310"/>
      <w:bookmarkEnd w:id="311"/>
      <w:bookmarkEnd w:id="312"/>
      <w:bookmarkEnd w:id="313"/>
      <w:bookmarkEnd w:id="314"/>
    </w:p>
    <w:p w14:paraId="765EEB98">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At present, amphoteric surfactants widely investigated in oil‑displacement research can be divided into four major categories according to the type of anionic functional groups: sulfobetaines, carboxybetaines, sulfate ester betaines, and phosphate ester betaines. Each category has </w:t>
      </w:r>
      <w:r>
        <w:rPr>
          <w:rFonts w:hint="eastAsia" w:cs="Times New Roman"/>
          <w:sz w:val="28"/>
          <w:szCs w:val="28"/>
          <w:lang w:val="en-US" w:eastAsia="zh-CN"/>
        </w:rPr>
        <w:t xml:space="preserve">a </w:t>
      </w:r>
      <w:r>
        <w:rPr>
          <w:rFonts w:hint="default" w:ascii="Times New Roman" w:hAnsi="Times New Roman" w:cs="Times New Roman"/>
          <w:sz w:val="28"/>
          <w:szCs w:val="28"/>
        </w:rPr>
        <w:t>unique molecular structure, physicochemical properties, and EOR application potential. More importantly, these structural variations directly determine their ability to regulate interfacial behavior and multiple EOR mechanisms under harsh reservoir conditions.</w:t>
      </w:r>
    </w:p>
    <w:p w14:paraId="32812885">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Sulfobetaines contain strongly acidic sulfonate groups and are typical zwitterionic surfactants with excellent resistance to acids, alkalis, and high‑concentration inorganic salts. They show outstanding interfacial activity and salt tolerance, making them widely studied in high‑salinity reservoir EOR. Among them, alkyl sulfobetaines and hydroxyl sulfobetaines have attracted extensive attention. For example, the hydroxyl sulfobetaine surfactant MBS16 can reduce oil–water IFT to an ultralow level at 0.3 wt% concentration while maintaining good thermal and salinity stability, which effectively increases capillary number and mobilizes residual oil. When compounded with 0.15 wt% partially hydrolyzed polyacrylamide (HPAM), the system improves oil recovery by 9.4% compared with single‑component flooding. In addition, MBS16 has favorable foaming performance, and its foam stability can be further improved by compounding with anionic–nonionic surfactant systems [11,15,20].</w:t>
      </w:r>
    </w:p>
    <w:p w14:paraId="1FFC4B5D">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Carboxybetaines have relatively simple synthesis routes and good cost advantages while presenting balanced interfacial activity and oil displacement performance. Typical products include alkyl betaines and carboxyl alkyl amide betaines. For instance, a carboxybetaine synthesized from lauric acid, N,N‑dimethyl‑1,3‑propanediamine, and sodium chloroacetate shows a cmc of 3.65 mmol·L</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and surface tension of 26.76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Its 30 wt% aqueous solution has low viscosity (88.81 mPa·s), which is beneficial for injection and migration in low‑permeability porous media to ensure uniform sweep [21-24].</w:t>
      </w:r>
    </w:p>
    <w:p w14:paraId="2CE3E87B">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Sulfate ester betaines integrate the advantages of sulfate groups and betaine structures, presenting excellent foaming performance, strong hard‑water tolerance, good emulsification capacity, and acid/alkali resistance. They also have broad compatibility with other surfactants. Multiple synthesis methods have been reported, such as the reaction of tertiary amines with halohydrins followed by sulfuric acid catalyzed esterification, the reaction of tertiary amines with cyclic sulfate esters, and the reaction of ethylene oxide with pyridine/SO</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 xml:space="preserve"> complexes followed by quaternization. For example, an imidazoline‑based amphoteric surfactant synthesized from oleic acid, N‑(2‑hydroxyethyl)ethylenediamine, and sulfamic acid shows a low cmc of 0.175 mmol·L</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and surface tension of 26.8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with good water solubility [25-27].</w:t>
      </w:r>
    </w:p>
    <w:p w14:paraId="3E5A8B47">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Phosphate ester betaines are high‑efficiency phosphorus‑containing zwitterionic surfactants with molecular structures similar to biological membrane phosphoglycerides. They exhibit excellent wetting, foaming, detergency, and emulsification properties, and can effectively strip crude oil from rock surfaces and disperse it into water. Their cmc and equilibrium surface tension are generally lower than those of conventional surfactants such as sodium dodecyl sulfate. Common synthesis methods include the reaction of ethoxylated fatty amines with phosphoric acid and the reaction of long‑chain hydroxyamines with pyrophosphoric acid. For example, a phosphate ester betaine synthesized from lauryl alcohol, epichlorohydrin, dimethylamine, acetic anhydride, 2‑chloroethanol, and phosphoric acid shows a benzene solubilization capacity of 400 mL·mol</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and a sodium oleate dispersion index up to 50, indicating excellent solubilization and dispersion performance [28,29].</w:t>
      </w:r>
    </w:p>
    <w:p w14:paraId="329DFF68">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Overall, the performance of different amphoteric surfactants is strongly dependent on the type of anionic group and molecular architecture, which determine their interfacial adsorption behavior, electrostatic interactions, and compatibility with reservoir environments.</w:t>
      </w:r>
    </w:p>
    <w:p w14:paraId="725BFFBC">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315" w:name="_Toc18753"/>
      <w:bookmarkStart w:id="316" w:name="_Toc6621"/>
      <w:r>
        <w:rPr>
          <w:rFonts w:hint="default" w:ascii="Times New Roman" w:hAnsi="Times New Roman" w:cs="Times New Roman"/>
          <w:i w:val="0"/>
          <w:iCs w:val="0"/>
          <w:sz w:val="28"/>
          <w:szCs w:val="28"/>
        </w:rPr>
        <w:t>2.2.3 Limitations of conventional amphoteric surfactants</w:t>
      </w:r>
      <w:bookmarkEnd w:id="315"/>
      <w:bookmarkEnd w:id="316"/>
    </w:p>
    <w:p w14:paraId="4E6ED006">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Although amphoteric surfactants exhibit excellent temperature and salinity tolerance, good compatibility, and relatively balanced interfacial properties, their performance under harsh reservoir conditions remains subject to several intrinsic limitations. In practical EOR applications, it is particularly challenging for conventional amphoteric surfactants to simultaneously achieve ultralow oil–water interfacial tension (IFT), low adsorption loss, and strong interfacial film stability under high-temperature and high-salinity conditions. These performance constraints significantly limit their effectiveness in improving sweep efficiency and mobilizing residual oil. From a mechanistic perspective, these limitations are closely related to the relatively simple molecular architectures of conventional amphoteric surfactants. The coexistence of cationic and anionic groups within the same molecule leads to strong intramolecular and intermolecular electrostatic interactions, which can reduce the effective availability of active groups at the oil–water interface. As a result, their ability to densely adsorb and reorganize at the interface is restricted, making it difficult to form a highly elastic and stable interfacial film required for ultralow IFT and efficient emulsification.</w:t>
      </w:r>
    </w:p>
    <w:p w14:paraId="0C2F526B">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In addition, under high-salinity conditions, especially in the presence of divalent cations such as Ca²⁺ and Mg²⁺, electrostatic screening and ion binding effects can further compress the electrical double layer and weaken intermolecular repulsion. This not only affects interfacial adsorption behavior but may also induce aggregation or precipitation, thereby deteriorating surfactant efficiency. Meanwhile, high temperature can accelerate molecular motion and disrupt interfacial film integrity, leading to reduced foam stability and weakened emulsification performance.</w:t>
      </w:r>
    </w:p>
    <w:p w14:paraId="0E799D5A">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Another critical limitation is the relatively high adsorption loss of amphoteric surfactants on reservoir rock surfaces, particularly in low-permeability and heterogeneous formations. Electrostatic interactions, hydrogen bonding, and VanderWaals forces between surfactant molecules and mineral surfaces can result in significant retention, reducing the effective concentration of surfactants in the displacement front. This issue is further exacerbated in tight reservoirs, where limited pore connectivity restricts surfactant transport and distribution.</w:t>
      </w:r>
    </w:p>
    <w:p w14:paraId="6A964E4C">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Collectively, these factors highlight that conventional amphoteric surfactants face inherent challenges in balancing interfacial activity, stability, and transport efficiency under complex reservoir conditions. These limitations fundamentally arise from insufficient molecular flexibility and limited ability to regulate intermolecular interactions and interfacial assembly behavior.</w:t>
      </w:r>
    </w:p>
    <w:p w14:paraId="2346BA30">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To overcome these challenges, increasing attention has been devoted to the structural modification of amphoteric surfactants at the molecular level. The core objective of these modifications is to enhance interfacial activity, optimize adsorption behavior, and improve adaptability to complex reservoir environments by introducing functional segments or constructing more sophisticated molecular architectures. Among various modification strategies, the incorporation of ethylene oxide (EO) and/or propylene oxide (PO) segments to develop extended amphoteric surfactants has been demonstrated to be one of the most effective approaches. This strategy enables more precise control over molecular flexibility, hydrophilic–lipophilic balance, and interfacial assembly behavior, thereby providing a foundation for achieving superior EOR performance. Therefore, the development of extended amphoteric surfactants represents a key advancement in surfactant molecular design and has emerged as a critical research direction for next-generation EOR technologies.</w:t>
      </w:r>
    </w:p>
    <w:p w14:paraId="6B619196">
      <w:pPr>
        <w:widowControl/>
        <w:ind w:firstLine="709" w:firstLineChars="0"/>
        <w:outlineLvl w:val="2"/>
        <w:rPr>
          <w:rFonts w:hint="default" w:ascii="Times New Roman" w:hAnsi="Times New Roman" w:cs="Times New Roman"/>
          <w:bCs/>
          <w:i w:val="0"/>
          <w:iCs w:val="0"/>
          <w:sz w:val="28"/>
          <w:szCs w:val="28"/>
        </w:rPr>
      </w:pPr>
      <w:bookmarkStart w:id="317" w:name="_Toc11341"/>
      <w:bookmarkStart w:id="318" w:name="_Toc27135"/>
      <w:bookmarkStart w:id="319" w:name="_Toc25868"/>
      <w:bookmarkStart w:id="320" w:name="_Toc1065"/>
      <w:bookmarkStart w:id="321" w:name="_Toc23693"/>
      <w:bookmarkStart w:id="322" w:name="_Toc30618"/>
      <w:bookmarkStart w:id="323" w:name="_Toc14887"/>
      <w:r>
        <w:rPr>
          <w:rFonts w:hint="default" w:ascii="Times New Roman" w:hAnsi="Times New Roman" w:cs="Times New Roman"/>
          <w:bCs/>
          <w:i w:val="0"/>
          <w:iCs w:val="0"/>
          <w:sz w:val="28"/>
          <w:szCs w:val="28"/>
        </w:rPr>
        <w:t>2.2.</w:t>
      </w:r>
      <w:bookmarkEnd w:id="317"/>
      <w:bookmarkEnd w:id="318"/>
      <w:bookmarkEnd w:id="319"/>
      <w:bookmarkEnd w:id="320"/>
      <w:bookmarkEnd w:id="321"/>
      <w:r>
        <w:rPr>
          <w:rFonts w:hint="default" w:ascii="Times New Roman" w:hAnsi="Times New Roman" w:cs="Times New Roman"/>
          <w:bCs/>
          <w:i w:val="0"/>
          <w:iCs w:val="0"/>
          <w:sz w:val="28"/>
          <w:szCs w:val="28"/>
        </w:rPr>
        <w:t>4 Development of extended amphoteric surfactants</w:t>
      </w:r>
      <w:bookmarkEnd w:id="322"/>
      <w:bookmarkEnd w:id="323"/>
    </w:p>
    <w:p w14:paraId="191B12A4">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Extended amphoteric surfactants (EAS) (Figure 2.2) have emerged as a new generation of high-performance surfactants designed to meet the increasingly stringent requirements of enhanced oil recovery (EOR) in harsh reservoir environments. Their development is primarily motivated by the need to simultaneously optimize multiple EOR mechanisms—particularly ultralow interfacial tension, wettability control, emulsification stability, and reduced adsorption—under harsh reservoir conditions [30–32]. In recent years, molecular-level design strategies have increasingly focused on tailoring intermolecular interactions and interfacial behavior, leading to the rapid development of EAS as a versatile and effective solution for complex reservoirs.</w:t>
      </w:r>
    </w:p>
    <w:p w14:paraId="3EA6EDD4">
      <w:pPr>
        <w:widowControl/>
        <w:ind w:firstLine="709" w:firstLineChars="0"/>
        <w:rPr>
          <w:rFonts w:hint="default" w:ascii="Times New Roman" w:hAnsi="Times New Roman" w:cs="Times New Roman"/>
          <w:sz w:val="28"/>
          <w:szCs w:val="28"/>
        </w:rPr>
      </w:pPr>
    </w:p>
    <w:p w14:paraId="24FEA61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4612640" cy="1330325"/>
            <wp:effectExtent l="0" t="0" r="0" b="0"/>
            <wp:docPr id="1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pic:cNvPicPr>
                      <a:picLocks noChangeAspect="1"/>
                    </pic:cNvPicPr>
                  </pic:nvPicPr>
                  <pic:blipFill>
                    <a:blip r:embed="rId14"/>
                    <a:stretch>
                      <a:fillRect/>
                    </a:stretch>
                  </pic:blipFill>
                  <pic:spPr>
                    <a:xfrm>
                      <a:off x="0" y="0"/>
                      <a:ext cx="4641341" cy="1338921"/>
                    </a:xfrm>
                    <a:prstGeom prst="rect">
                      <a:avLst/>
                    </a:prstGeom>
                    <a:noFill/>
                    <a:ln>
                      <a:noFill/>
                    </a:ln>
                  </pic:spPr>
                </pic:pic>
              </a:graphicData>
            </a:graphic>
          </wp:inline>
        </w:drawing>
      </w:r>
    </w:p>
    <w:p w14:paraId="5836DCE1">
      <w:pPr>
        <w:widowControl/>
        <w:ind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Figure 2.2 – Structure diagram of extended amphoteric surfactant</w:t>
      </w:r>
      <w:r>
        <w:rPr>
          <w:rFonts w:hint="default" w:ascii="Times New Roman" w:hAnsi="Times New Roman" w:cs="Times New Roman"/>
          <w:sz w:val="28"/>
          <w:szCs w:val="28"/>
          <w:lang w:val="en-US" w:eastAsia="zh-CN"/>
        </w:rPr>
        <w:t>.</w:t>
      </w:r>
    </w:p>
    <w:p w14:paraId="4BC48EBC">
      <w:pPr>
        <w:widowControl/>
        <w:ind w:firstLine="709" w:firstLineChars="0"/>
        <w:rPr>
          <w:rFonts w:hint="default" w:ascii="Times New Roman" w:hAnsi="Times New Roman" w:cs="Times New Roman"/>
          <w:sz w:val="28"/>
          <w:szCs w:val="28"/>
        </w:rPr>
      </w:pPr>
    </w:p>
    <w:p w14:paraId="4EA4AAD2">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defining structural characteristic of EAS is the incorporation of ethylene oxide (EO) and/or propylene oxide (PO) segments as spacer units between the hydrophilic head group and hydrophobic tail. This intermediate-polarity segment plays a critical role in regulating the balance between hydrophilicity and hydrophobicity, thereby enabling precise control over the hydrophilic–lipophilic balance (HLB) [30,33]. From a physicochemical standpoint, the introduction of EO/PO chains effectively weakens the strong electrostatic interactions between charged head groups and negatively charged mineral surfaces, while simultaneously enhancing molecular flexibility and hydration capacity. This dual effect not only improves solubility in high-salinity brines but also reduces adsorption loss during transport in porous media, which is essential for maintaining effective surfactant concentration over long migration distances [32–34].</w:t>
      </w:r>
    </w:p>
    <w:p w14:paraId="1E3A230B">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In addition to improving bulk solution properties, EO/PO segments exert a profound influence on interfacial behavior. The flexible nature of these chains allows surfactant molecules to undergo dynamic conformational rearrangements at the oil–water interface, promoting the formation of dense and adaptive interfacial films. Compared with conventional surfactants, EAS molecules exhibit</w:t>
      </w:r>
      <w:r>
        <w:rPr>
          <w:rFonts w:hint="eastAsia" w:cs="Times New Roman"/>
          <w:sz w:val="28"/>
          <w:szCs w:val="28"/>
          <w:lang w:val="en-US" w:eastAsia="zh-CN"/>
        </w:rPr>
        <w:t xml:space="preserve"> an</w:t>
      </w:r>
      <w:r>
        <w:rPr>
          <w:rFonts w:hint="default" w:ascii="Times New Roman" w:hAnsi="Times New Roman" w:cs="Times New Roman"/>
          <w:sz w:val="28"/>
          <w:szCs w:val="28"/>
        </w:rPr>
        <w:t xml:space="preserve"> enhanced ability to adjust their orientation and packing density in response to variations in salinity, temperature, and crude oil composition [33,34]. This adaptability is particularly important in heterogeneous reservoirs, where local physicochemical conditions may vary significantly across pore networks.</w:t>
      </w:r>
    </w:p>
    <w:p w14:paraId="375F0DED">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Systematic investigations have demonstrated that the performance of EAS can be finely tuned through multiple structural parameters, including EO/PO chain length, the ratio of EO to PO units, hydrophobic chain architecture, and head group chemistry [33–36]. Increasing the EO chain length generally enhances hydrophilicity and introduces steric hindrance, which reduces adsorption on mineral surfaces and improves tolerance to divalent ions such as Ca²⁺ and Mg²⁺. However, excessive EO content may disrupt intermolecular packing at the interface, leading to reduced interfacial film strength and diminished ability to sustain ultralow IFT [33,34]. In contrast, PO segments, due to their relatively hydrophobic and bulky nature, contribute to improved thermal stability and enhanced interfacial cohesion, particularly under elevated temperature conditions [35,36]. Therefore, an optimal balance between EO and PO segments is essential for achieving synergistic improvements in both interfacial activity and environmental adaptability.</w:t>
      </w:r>
    </w:p>
    <w:p w14:paraId="54A60806">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architecture of the hydrophobic tail also plays a crucial role in determining the performance of EAS. Transitioning from linear to branched or double long-chain structures significantly alters intermolecular interactions and interfacial packing behavior. Double long-chain and Gemini-type structures enhance hydrophobic interactions and reduce the critical micelle concentration (cmc), facilitating the formation of more stable aggregates and interfacial films [37–41]. Meanwhile, branched hydrophobic chains introduce steric effects that influence molecular mobility and adsorption kinetics, resulting in complex, non-linear relationships between molecular structure and interfacial properties. These structural variations highlight the importance of cooperative effects among different molecular components in achieving optimal performance.</w:t>
      </w:r>
    </w:p>
    <w:p w14:paraId="008EC099">
      <w:pPr>
        <w:widowControl/>
        <w:tabs>
          <w:tab w:val="left" w:pos="2160"/>
        </w:tabs>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At the interfacial level, the behavior of EAS is governed by adsorption dynamics and film-forming properties. Advanced characterization techniques, including interfacial rheology and atomic force microscopy (AFM), have revealed that EAS molecules can form viscoelastic interfacial films with tunable mechanical properties [39,42]. The elasticity and viscosity of these films depend strongly on molecular arrangement and intermolecular interactions rather than surface concentration alone. Linear EAS molecules tend to form relatively ordered and compact interfacial layers, whereas branched or EO-rich structures introduce steric hindrance that disrupts close packing but enhances adaptability and resilience under dynamic conditions [37,39]. The presence of EO/PO segments enables continuous reorganization of interfacial structures, allowing the system to maintain stability even under fluctuating reservoir conditions [31,43].</w:t>
      </w:r>
    </w:p>
    <w:p w14:paraId="7F7F6F11">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These structure-dependent interfacial characteristics directly translate into multiple synergistic EOR mechanisms. This highlights that EAS represent</w:t>
      </w:r>
      <w:r>
        <w:rPr>
          <w:rFonts w:hint="eastAsia" w:cs="Times New Roman"/>
          <w:sz w:val="28"/>
          <w:szCs w:val="28"/>
          <w:lang w:val="en-US" w:eastAsia="zh-CN"/>
        </w:rPr>
        <w:t>s</w:t>
      </w:r>
      <w:r>
        <w:rPr>
          <w:rFonts w:hint="default" w:ascii="Times New Roman" w:hAnsi="Times New Roman" w:cs="Times New Roman"/>
          <w:sz w:val="28"/>
          <w:szCs w:val="28"/>
        </w:rPr>
        <w:t xml:space="preserve"> a transition from single-mechanism optimization to multi-mechanism coupling at the molecular level. First, the formation of densely packed interfacial films allows EAS to achieve and maintain ultralow IFT, typically on the order of 10</w:t>
      </w:r>
      <w:r>
        <w:rPr>
          <w:rFonts w:hint="default" w:ascii="Times New Roman" w:hAnsi="Times New Roman" w:cs="Times New Roman"/>
          <w:sz w:val="28"/>
          <w:szCs w:val="28"/>
          <w:vertAlign w:val="superscript"/>
        </w:rPr>
        <w:t>-3</w:t>
      </w:r>
      <w:r>
        <w:rPr>
          <w:rFonts w:hint="default" w:ascii="Times New Roman" w:hAnsi="Times New Roman" w:cs="Times New Roman"/>
          <w:sz w:val="28"/>
          <w:szCs w:val="28"/>
        </w:rPr>
        <w:t xml:space="preserve">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which significantly increases the capillary number and facilitates the mobilization of residual oil trapped in small pore throats [33,36,44-46]. Second, the adjustable amphiphilicity and adsorption behavior enable effective wettability alteration, promoting the transition of reservoir rock surfaces from oil-wet to water-wet states, thereby enhancing oil displacement efficiency [42,43,47-50]. Third, improved interfacial film elasticity and stability contribute to enhanced emulsification and dispersion of crude oil, which aids in the transport of mobilized oil droplets through complex pore networks [38,39,51-55]. In addition, reduced adsorption loss ensures that sufficient surfactant concentration is maintained throughout the displacement process, which is particularly critical in low-permeability reservoirs with long flow paths [30,34,56-58].</w:t>
      </w:r>
    </w:p>
    <w:p w14:paraId="56D4D5F0">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Despite these advantages, single-component EAS still face inherent limitations due to the complex trade-offs among different performance parameters. For example, increasing EO content may improve salt tolerance and reduce adsorption, but can simultaneously weaken interfacial film strength and reduce the ability to achieve ultralow IFT. Similarly, highly hydrophobic structures may enhance interfacial activity but suffer from poor solubility under extreme salinity conditions. Furthermore, achieving stable ultralow IFT across a wide range of salinity and concentration remains a significant challenge in highly heterogeneous reservoirs, where local variations in fluid composition and pore structure can disrupt interfacial equilibrium [35,36]. These limitations highlight the difficulty of optimizing all relevant properties within a single molecular system.</w:t>
      </w:r>
    </w:p>
    <w:p w14:paraId="3E2039D2">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In summary, the development of extended amphoteric surfactants represents a significant advancement in surfactant molecular design, shifting from empirical approaches toward mechanism-guided engineering. By simultaneously regulating molecular structure, interfacial behavior, and EOR mechanisms, EAS provide</w:t>
      </w:r>
      <w:r>
        <w:rPr>
          <w:rFonts w:hint="eastAsia" w:cs="Times New Roman"/>
          <w:sz w:val="28"/>
          <w:szCs w:val="28"/>
          <w:lang w:val="en-US" w:eastAsia="zh-CN"/>
        </w:rPr>
        <w:t>s</w:t>
      </w:r>
      <w:r>
        <w:rPr>
          <w:rFonts w:hint="default" w:ascii="Times New Roman" w:hAnsi="Times New Roman" w:cs="Times New Roman"/>
          <w:sz w:val="28"/>
          <w:szCs w:val="28"/>
        </w:rPr>
        <w:t xml:space="preserve"> a robust and adaptable platform for improving oil recovery under harsh reservoir conditions [30–59]. Nevertheless, the intrinsic limitations of single-component systems suggest that further improvements require the integration of complementary functionalities through synergistic formulations. This realization has driven increasing interest in the development of mixed surfactant systems based on EAS, which will be discussed in the following section.</w:t>
      </w:r>
    </w:p>
    <w:p w14:paraId="7556FAC3">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324" w:name="_Toc25461"/>
      <w:bookmarkStart w:id="325" w:name="_Toc27691"/>
      <w:r>
        <w:rPr>
          <w:rFonts w:hint="default" w:ascii="Times New Roman" w:hAnsi="Times New Roman" w:cs="Times New Roman"/>
          <w:i w:val="0"/>
          <w:iCs w:val="0"/>
          <w:sz w:val="28"/>
          <w:szCs w:val="28"/>
        </w:rPr>
        <w:t>2.2.5 Blended Extended Amphoteric Surfactant Systems</w:t>
      </w:r>
      <w:bookmarkEnd w:id="324"/>
      <w:bookmarkEnd w:id="325"/>
      <w:bookmarkStart w:id="326" w:name="_Toc9463"/>
      <w:bookmarkStart w:id="327" w:name="_Toc4986"/>
      <w:bookmarkStart w:id="328" w:name="_Toc15895"/>
      <w:bookmarkStart w:id="329" w:name="_Toc10369"/>
      <w:bookmarkStart w:id="330" w:name="_Toc29592"/>
    </w:p>
    <w:p w14:paraId="24DF0400">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Although extended amphoteric surfactants significantly improve multi</w:t>
      </w:r>
      <w:r>
        <w:rPr>
          <w:rFonts w:hint="eastAsia" w:cs="Times New Roman"/>
          <w:sz w:val="28"/>
          <w:szCs w:val="28"/>
          <w:lang w:val="en-US" w:eastAsia="zh-CN"/>
        </w:rPr>
        <w:t>-</w:t>
      </w:r>
      <w:r>
        <w:rPr>
          <w:rFonts w:hint="default" w:ascii="Times New Roman" w:hAnsi="Times New Roman" w:cs="Times New Roman"/>
          <w:sz w:val="28"/>
          <w:szCs w:val="28"/>
        </w:rPr>
        <w:t>mechanism performance, it remains fundamentally difficult for a single molecular structure to simultaneously optimize all key EOR mechanisms under highly heterogeneous reservoir conditions. Under such harsh conditions, conventional single-component surfactants, including extended amphoteric surfactants (EAS), are often unable to simultaneously satisfy the multiple performance requirements necessary for efficient enhanced oil recovery (EOR), such as achieving ultralow oil–water interfacial tension (IFT), maintaining low adsorption loss, ensuring stable emulsification, and exhibiting wide tolerance to salinity and temperature variations. This inherent limitation arises from the trade-offs among interfacial activity, molecular solubility, and adsorption behavior within a single molecular structure. Therefore, the development of blended surfactant systems based on EAS has become an inevitable and effective strategy to overcome these constraints [31,35,41].</w:t>
      </w:r>
    </w:p>
    <w:p w14:paraId="1AA942E7">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fundamental advantage of blended EAS systems lies in intermolecular synergistic effects, which enable the integration of complementary physicochemical properties from different surfactant components. At the molecular level, such synergy originates from differences in hydrophilic–lipophilic balance (HLB), molecular geometry, head group interactions, and EO/PO chain flexibility. These factors collectively regulate co-adsorption behavior at the oil–water interface, leading to optimized molecular packing, enhanced interfacial film strength, and improved dynamic adaptability under varying reservoir conditions. In particular, the presence of EO/PO segments facilitates gradual polarity transitions within the molecular structure, which promotes more efficient intermolecular interactions and reduces competitive adsorption on rock surfaces [31,36].</w:t>
      </w:r>
    </w:p>
    <w:p w14:paraId="6A7855A8">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Based on compositional characteristics, EAS-based blended systems can be broadly classified into several categories, including amphoteric–amphoteric, amphoteric–nonionic, and amphoteric–anionic systems. Among these, amphoteric–amphoteric and amphoteric–nonionic combinations have attracted the most attention due to their superior compatibility and stability under high-salinity conditions. In amphoteric–amphoteric systems, differences in hydrophobic chain length, branching structure, and EO/PO segment distribution allow for complementary packing at the interface. This leads to the formation of more compact and stable interfacial films compared with single-component systems, thereby enhancing IFT reduction and emulsification stability [31,41]. In amphoteric–nonionic systems, the introduction of nonionic surfactants further improves salt tolerance and reduces electrostatic interactions, which helps to stabilize the system in the presence of high concentrations of divalent ions [35]. In contrast, amphoteric–anionic systems are less commonly used in high-salinity reservoirs due to potential precipitation and compatibility issues, although they may still offer advantages under specific conditions.</w:t>
      </w:r>
    </w:p>
    <w:p w14:paraId="257B01A6">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From a structural perspective, the synergistic performance of blended systems is strongly influenced by the matching of molecular parameters such as EO/PO chain length, hydrophobic tail structure, and head group type. Proper matching of HLB values between components is critical for achieving optimal interfacial activity. When the molecular structures are complementary, mixed surfactants can co-adsorb at the interface in an ordered manner, reducing intermolecular repulsion and enhancing packing density. EO/PO segments play a particularly important role by introducing steric hindrance and hydration effects, which not only reduce adsorption on negatively charged mineral surfaces but also facilitate the formation of flexible and resilient interfacial films [35,41]. Furthermore, the presence of branched or double long-chain structures can enhance hydrophobic interactions, thereby increasing interfacial cohesion and film elasticity.</w:t>
      </w:r>
    </w:p>
    <w:p w14:paraId="7AFAFB31">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At the interfacial level, blended EAS systems exhibit more complex and efficient adsorption behavior compared with single-component surfactants. Co-adsorption of different surfactant molecules leads to the formation of heterogeneous but highly cooperative interfacial layers, in which molecular rearrangement can occur more readily in response to external perturbations such as changes in salinity, temperature, and shear conditions. This dynamic adaptability is essential for maintaining ultralow IFT and stable interfacial properties during the displacement process. Interfacial rheology studies indicate that mixed systems generally exhibit higher interfacial elasticity and viscosity than individual components, reflecting stronger intermolecular interactions and improved film stability [39,43].</w:t>
      </w:r>
    </w:p>
    <w:p w14:paraId="0983885B">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These enhanced interfacial properties translate directly into improved EOR mechanisms. First, the optimized interfacial packing and reduced intermolecular repulsion enable blended systems to achieve ultralow IFT over a wider concentration and salinity range, which significantly improves capillary number and facilitates the mobilization of residual oil [60,61]. Second, synergistic adsorption behavior allows more effective wettability alteration, as different surfactant components can interact with both hydrophilic and hydrophobic sites on the rock surface, promoting a more complete transition toward water-wet conditions[50, 62]. Third, improved interfacial film elasticity enhances emulsification stability and oil-carrying capacity, enabling the formation and transport of stable oil-in-water emulsions through complex pore networks</w:t>
      </w:r>
      <w:r>
        <w:rPr>
          <w:rFonts w:hint="eastAsia" w:cs="Times New Roman"/>
          <w:sz w:val="28"/>
          <w:szCs w:val="28"/>
          <w:lang w:val="en-US" w:eastAsia="zh-CN"/>
        </w:rPr>
        <w:t xml:space="preserve"> </w:t>
      </w:r>
      <w:r>
        <w:rPr>
          <w:rFonts w:hint="default" w:ascii="Times New Roman" w:hAnsi="Times New Roman" w:cs="Times New Roman"/>
          <w:sz w:val="28"/>
          <w:szCs w:val="28"/>
        </w:rPr>
        <w:t>[63-66]. In addition, reduced adsorption loss and improved transport efficiency ensure that active components can penetrate deeper into the reservoir, thereby increasing sweep efficiency and overall oil recovery [31,35,41].</w:t>
      </w:r>
    </w:p>
    <w:p w14:paraId="1612C0C9">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Another important advantage of blended systems is their ability to broaden operational windows. By combining surfactants with different solubility and interfacial characteristics, mixed systems can maintain stable performance over a wider range of salinity, temperature, and concentration conditions. This is particularly important in heterogeneous reservoirs, where local variations in formation water composition and pore structure may otherwise lead to performance degradation. The presence of EO/PO segments further enhances this adaptability by enabling continuous adjustment of molecular conformation and interfacial arrangement, thereby stabilizing system behavior under dynamic conditions</w:t>
      </w:r>
      <w:r>
        <w:rPr>
          <w:rFonts w:hint="eastAsia" w:cs="Times New Roman"/>
          <w:sz w:val="28"/>
          <w:szCs w:val="28"/>
          <w:lang w:val="en-US" w:eastAsia="zh-CN"/>
        </w:rPr>
        <w:t xml:space="preserve"> </w:t>
      </w:r>
      <w:r>
        <w:rPr>
          <w:rFonts w:hint="default" w:ascii="Times New Roman" w:hAnsi="Times New Roman" w:cs="Times New Roman"/>
          <w:sz w:val="28"/>
          <w:szCs w:val="28"/>
        </w:rPr>
        <w:t>[67].</w:t>
      </w:r>
    </w:p>
    <w:p w14:paraId="687A9B8F">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Despite these advantages, the design of blended EAS systems remains challenging due to the complexity of intermolecular interactions and the need for precise optimization of component ratios and molecular structures. Inappropriate combinations may lead to competitive adsorption, phase separation, or reduced interfacial activity. Moreover, the relationship between molecular structure, interfacial behavior, and macroscopic EOR performance is highly nonlinear, making it difficult to predict optimal formulations solely based on empirical approaches. Therefore, further research is required to develop systematic design principles based on molecular-level understanding and to integrate experimental characterization with theoretical modeling</w:t>
      </w:r>
      <w:r>
        <w:rPr>
          <w:rFonts w:hint="eastAsia" w:cs="Times New Roman"/>
          <w:sz w:val="28"/>
          <w:szCs w:val="28"/>
          <w:lang w:val="en-US" w:eastAsia="zh-CN"/>
        </w:rPr>
        <w:t xml:space="preserve"> </w:t>
      </w:r>
      <w:r>
        <w:rPr>
          <w:rFonts w:hint="default" w:ascii="Times New Roman" w:hAnsi="Times New Roman" w:cs="Times New Roman"/>
          <w:sz w:val="28"/>
          <w:szCs w:val="28"/>
        </w:rPr>
        <w:t>[68,69].</w:t>
      </w:r>
    </w:p>
    <w:p w14:paraId="42AEB429">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In summary, blended extended amphoteric surfactant systems represent a significant advancement in EOR technology by effectively overcoming the limitations of single-component surfactants through intermolecular synergistic effects. By optimizing molecular complementarity, interfacial co-adsorption, and dynamic adaptability, these systems can simultaneously achieve ultralow IFT, low adsorption loss, enhanced emulsification stability, and broad environmental tolerance. As a result, they provide a promising strategy for improving oil recovery in low-permeability and high-salinity reservoirs. Future research should focus on the rational design of multi-component systems with controllable molecular interactions, aiming to establish structure–property–performance relationships that can guide field-scale applications.</w:t>
      </w:r>
    </w:p>
    <w:p w14:paraId="4342625C">
      <w:pPr>
        <w:pStyle w:val="3"/>
        <w:keepNext w:val="0"/>
        <w:keepLines w:val="0"/>
        <w:widowControl/>
        <w:spacing w:line="240" w:lineRule="auto"/>
        <w:ind w:firstLine="709"/>
        <w:jc w:val="both"/>
        <w:rPr>
          <w:rFonts w:hint="default" w:ascii="Times New Roman" w:hAnsi="Times New Roman" w:cs="Times New Roman"/>
          <w:b w:val="0"/>
          <w:bCs w:val="0"/>
          <w:i w:val="0"/>
          <w:iCs w:val="0"/>
          <w:sz w:val="28"/>
          <w:szCs w:val="28"/>
        </w:rPr>
      </w:pPr>
      <w:bookmarkStart w:id="331" w:name="_Toc16716"/>
      <w:bookmarkStart w:id="332" w:name="_Toc2870"/>
      <w:r>
        <w:rPr>
          <w:rFonts w:hint="default" w:ascii="Times New Roman" w:hAnsi="Times New Roman" w:cs="Times New Roman"/>
          <w:b w:val="0"/>
          <w:bCs w:val="0"/>
          <w:i w:val="0"/>
          <w:iCs w:val="0"/>
          <w:sz w:val="28"/>
          <w:szCs w:val="28"/>
        </w:rPr>
        <w:t xml:space="preserve">2.3 </w:t>
      </w:r>
      <w:bookmarkEnd w:id="293"/>
      <w:r>
        <w:rPr>
          <w:rFonts w:hint="default" w:ascii="Times New Roman" w:hAnsi="Times New Roman" w:cs="Times New Roman"/>
          <w:b w:val="0"/>
          <w:bCs w:val="0"/>
          <w:i w:val="0"/>
          <w:iCs w:val="0"/>
          <w:sz w:val="28"/>
          <w:szCs w:val="28"/>
        </w:rPr>
        <w:t>Research scheme</w:t>
      </w:r>
      <w:bookmarkEnd w:id="326"/>
      <w:bookmarkEnd w:id="327"/>
      <w:bookmarkEnd w:id="328"/>
      <w:bookmarkEnd w:id="329"/>
      <w:bookmarkEnd w:id="330"/>
      <w:bookmarkEnd w:id="331"/>
      <w:bookmarkEnd w:id="332"/>
    </w:p>
    <w:p w14:paraId="64C4389D">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In our research work, there are three major aspects</w:t>
      </w:r>
      <w:r>
        <w:rPr>
          <w:rFonts w:hint="eastAsia" w:cs="Times New Roman"/>
          <w:sz w:val="28"/>
          <w:szCs w:val="28"/>
          <w:lang w:val="en-US" w:eastAsia="zh-CN"/>
        </w:rPr>
        <w:t xml:space="preserve"> (Figure 2.3)</w:t>
      </w:r>
      <w:r>
        <w:rPr>
          <w:rFonts w:hint="default" w:ascii="Times New Roman" w:hAnsi="Times New Roman" w:cs="Times New Roman"/>
          <w:sz w:val="28"/>
          <w:szCs w:val="28"/>
        </w:rPr>
        <w:t>, including the synthesis and properties evaluation of extended amphoteric surfactants, synergistic performance of composite surfactant systems, and comparison of two compound systems.</w:t>
      </w:r>
    </w:p>
    <w:p w14:paraId="56BCCD07">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In the surfactant synthesis process, three target extended amphoteric surfactants were obtained and the basic performance of the single surfactants was evaluated systematically, involving solubility, cmc, thermodynamic characteristics of micellization, and oil-water interfacial tension properties under different salinity conditions and emulsification properties, so as to clarify the structure-activity relationship of the surfactants.</w:t>
      </w:r>
    </w:p>
    <w:p w14:paraId="24127843">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Afterwards, the synergistic effects between an amphoteric surfactant and gemini cationic as well as nonionic surfactants were investigated from the aspects of mixed micellization, interfacial tension reduction, emulsification, wettability alteration and oil displacement efficiency, and the optimal composite surfactant flooding systems were determined.</w:t>
      </w:r>
    </w:p>
    <w:p w14:paraId="739C5956">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Finally, the two optimized surfactant systems are compared in terms of interfacial properties, emulsification, wettability alteration, displacement efficiency, and adsorption behavior. This comparison enables evaluation of their EOR performance and application feasibility in high-salinity and low-permeability reservoirs.</w:t>
      </w:r>
    </w:p>
    <w:p w14:paraId="501C1E85">
      <w:pPr>
        <w:widowControl/>
        <w:ind w:firstLine="709" w:firstLineChars="0"/>
        <w:rPr>
          <w:rFonts w:hint="default" w:ascii="Times New Roman" w:hAnsi="Times New Roman" w:cs="Times New Roman"/>
          <w:sz w:val="28"/>
          <w:szCs w:val="28"/>
        </w:rPr>
      </w:pPr>
    </w:p>
    <w:p w14:paraId="61CBABE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5540375" cy="4674235"/>
            <wp:effectExtent l="0" t="0" r="3175" b="0"/>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15"/>
                    <a:stretch>
                      <a:fillRect/>
                    </a:stretch>
                  </pic:blipFill>
                  <pic:spPr>
                    <a:xfrm>
                      <a:off x="0" y="0"/>
                      <a:ext cx="5576802" cy="4705077"/>
                    </a:xfrm>
                    <a:prstGeom prst="rect">
                      <a:avLst/>
                    </a:prstGeom>
                    <a:noFill/>
                    <a:ln>
                      <a:noFill/>
                    </a:ln>
                  </pic:spPr>
                </pic:pic>
              </a:graphicData>
            </a:graphic>
          </wp:inline>
        </w:drawing>
      </w:r>
    </w:p>
    <w:p w14:paraId="5D8ECA15">
      <w:pPr>
        <w:widowControl/>
        <w:ind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Figure 2.3 – Technical route</w:t>
      </w:r>
      <w:r>
        <w:rPr>
          <w:rFonts w:hint="default" w:ascii="Times New Roman" w:hAnsi="Times New Roman" w:cs="Times New Roman"/>
          <w:sz w:val="28"/>
          <w:szCs w:val="28"/>
          <w:lang w:val="en-US" w:eastAsia="zh-CN"/>
        </w:rPr>
        <w:t>.</w:t>
      </w:r>
    </w:p>
    <w:p w14:paraId="49EB698F">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br w:type="page"/>
      </w:r>
    </w:p>
    <w:p w14:paraId="673D7C4C">
      <w:pPr>
        <w:pStyle w:val="2"/>
        <w:keepNext w:val="0"/>
        <w:keepLines w:val="0"/>
        <w:widowControl/>
        <w:spacing w:before="0" w:beforeLines="0" w:after="0" w:afterLines="0" w:line="240" w:lineRule="auto"/>
        <w:ind w:firstLine="560" w:firstLineChars="200"/>
        <w:jc w:val="both"/>
        <w:rPr>
          <w:rFonts w:hint="default" w:ascii="Times New Roman" w:hAnsi="Times New Roman" w:eastAsia="宋体" w:cs="Times New Roman"/>
          <w:szCs w:val="28"/>
          <w:lang w:val="en-US" w:eastAsia="zh-CN"/>
        </w:rPr>
      </w:pPr>
      <w:bookmarkStart w:id="333" w:name="_Toc12149"/>
      <w:bookmarkStart w:id="334" w:name="_Toc16609"/>
      <w:bookmarkStart w:id="335" w:name="_Toc8698"/>
      <w:bookmarkStart w:id="336" w:name="_Toc28809"/>
      <w:bookmarkStart w:id="337" w:name="_Toc4261"/>
      <w:bookmarkStart w:id="338" w:name="_Toc21725"/>
      <w:bookmarkStart w:id="339" w:name="_Toc8679"/>
      <w:r>
        <w:rPr>
          <w:rFonts w:hint="default" w:ascii="Times New Roman" w:hAnsi="Times New Roman" w:cs="Times New Roman"/>
          <w:szCs w:val="28"/>
        </w:rPr>
        <w:t>C</w:t>
      </w:r>
      <w:r>
        <w:rPr>
          <w:rFonts w:hint="default" w:ascii="Times New Roman" w:hAnsi="Times New Roman" w:cs="Times New Roman"/>
          <w:szCs w:val="28"/>
          <w:lang w:val="en-US" w:eastAsia="zh-CN"/>
        </w:rPr>
        <w:t>HAPTER</w:t>
      </w:r>
      <w:r>
        <w:rPr>
          <w:rFonts w:hint="default" w:ascii="Times New Roman" w:hAnsi="Times New Roman" w:cs="Times New Roman"/>
          <w:szCs w:val="28"/>
        </w:rPr>
        <w:t xml:space="preserve"> 3 S</w:t>
      </w:r>
      <w:r>
        <w:rPr>
          <w:rFonts w:hint="default" w:ascii="Times New Roman" w:hAnsi="Times New Roman" w:cs="Times New Roman"/>
          <w:szCs w:val="28"/>
          <w:lang w:val="en-US" w:eastAsia="zh-CN"/>
        </w:rPr>
        <w:t>YNTHESIS</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AND</w:t>
      </w:r>
      <w:r>
        <w:rPr>
          <w:rFonts w:hint="default" w:ascii="Times New Roman" w:hAnsi="Times New Roman" w:cs="Times New Roman"/>
          <w:szCs w:val="28"/>
        </w:rPr>
        <w:t xml:space="preserve"> </w:t>
      </w:r>
      <w:bookmarkEnd w:id="333"/>
      <w:r>
        <w:rPr>
          <w:rFonts w:hint="default" w:ascii="Times New Roman" w:hAnsi="Times New Roman" w:cs="Times New Roman"/>
          <w:szCs w:val="28"/>
          <w:lang w:val="en-US" w:eastAsia="zh-CN"/>
        </w:rPr>
        <w:t>PROPERTIES</w:t>
      </w:r>
      <w:r>
        <w:rPr>
          <w:rFonts w:hint="default" w:ascii="Times New Roman" w:hAnsi="Times New Roman" w:cs="Times New Roman"/>
          <w:color w:val="000000" w:themeColor="text1"/>
          <w:szCs w:val="28"/>
          <w14:textFill>
            <w14:solidFill>
              <w14:schemeClr w14:val="tx1"/>
            </w14:solidFill>
          </w14:textFill>
        </w:rPr>
        <w:t xml:space="preserve"> </w:t>
      </w:r>
      <w:r>
        <w:rPr>
          <w:rFonts w:hint="default" w:ascii="Times New Roman" w:hAnsi="Times New Roman" w:cs="Times New Roman"/>
          <w:color w:val="000000" w:themeColor="text1"/>
          <w:szCs w:val="28"/>
          <w:lang w:val="en-US" w:eastAsia="zh-CN"/>
          <w14:textFill>
            <w14:solidFill>
              <w14:schemeClr w14:val="tx1"/>
            </w14:solidFill>
          </w14:textFill>
        </w:rPr>
        <w:t>OF</w:t>
      </w:r>
      <w:r>
        <w:rPr>
          <w:rFonts w:hint="default" w:ascii="Times New Roman" w:hAnsi="Times New Roman" w:cs="Times New Roman"/>
          <w:color w:val="000000" w:themeColor="text1"/>
          <w:szCs w:val="28"/>
          <w14:textFill>
            <w14:solidFill>
              <w14:schemeClr w14:val="tx1"/>
            </w14:solidFill>
          </w14:textFill>
        </w:rPr>
        <w:t xml:space="preserve"> </w:t>
      </w:r>
      <w:r>
        <w:rPr>
          <w:rFonts w:hint="default" w:ascii="Times New Roman" w:hAnsi="Times New Roman" w:cs="Times New Roman"/>
          <w:color w:val="000000" w:themeColor="text1"/>
          <w:szCs w:val="28"/>
          <w:lang w:val="en-US" w:eastAsia="zh-CN"/>
          <w14:textFill>
            <w14:solidFill>
              <w14:schemeClr w14:val="tx1"/>
            </w14:solidFill>
          </w14:textFill>
        </w:rPr>
        <w:t>EXTENDED</w:t>
      </w:r>
      <w:r>
        <w:rPr>
          <w:rFonts w:hint="default" w:ascii="Times New Roman" w:hAnsi="Times New Roman" w:cs="Times New Roman"/>
          <w:color w:val="000000" w:themeColor="text1"/>
          <w:szCs w:val="28"/>
          <w14:textFill>
            <w14:solidFill>
              <w14:schemeClr w14:val="tx1"/>
            </w14:solidFill>
          </w14:textFill>
        </w:rPr>
        <w:t xml:space="preserve"> </w:t>
      </w:r>
      <w:r>
        <w:rPr>
          <w:rFonts w:hint="default" w:ascii="Times New Roman" w:hAnsi="Times New Roman" w:cs="Times New Roman"/>
          <w:color w:val="000000" w:themeColor="text1"/>
          <w:szCs w:val="28"/>
          <w:lang w:val="en-US" w:eastAsia="zh-CN"/>
          <w14:textFill>
            <w14:solidFill>
              <w14:schemeClr w14:val="tx1"/>
            </w14:solidFill>
          </w14:textFill>
        </w:rPr>
        <w:t>AMPHOTERIC</w:t>
      </w:r>
      <w:bookmarkEnd w:id="334"/>
      <w:bookmarkEnd w:id="335"/>
      <w:bookmarkEnd w:id="336"/>
      <w:bookmarkEnd w:id="337"/>
      <w:bookmarkEnd w:id="338"/>
      <w:r>
        <w:rPr>
          <w:rFonts w:hint="default" w:ascii="Times New Roman" w:hAnsi="Times New Roman" w:cs="Times New Roman"/>
          <w:color w:val="000000" w:themeColor="text1"/>
          <w:szCs w:val="28"/>
          <w:lang w:val="en-US" w:eastAsia="zh-CN"/>
          <w14:textFill>
            <w14:solidFill>
              <w14:schemeClr w14:val="tx1"/>
            </w14:solidFill>
          </w14:textFill>
        </w:rPr>
        <w:t xml:space="preserve"> SURFACTANT</w:t>
      </w:r>
      <w:bookmarkEnd w:id="339"/>
    </w:p>
    <w:p w14:paraId="227A5693">
      <w:pPr>
        <w:widowControl/>
        <w:ind w:firstLine="709" w:firstLineChars="0"/>
        <w:rPr>
          <w:rFonts w:hint="default" w:ascii="Times New Roman" w:hAnsi="Times New Roman" w:cs="Times New Roman"/>
          <w:sz w:val="28"/>
          <w:szCs w:val="28"/>
        </w:rPr>
      </w:pPr>
    </w:p>
    <w:p w14:paraId="3CD65849">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This chapter focuses on the synthesis and performance evaluation of extended amphoteric surfactants for enhanced oil recovery (EOR). A series of extended amphoteric surfactants were synthesized from fatty alcohols, ethylene oxide (EO)/propylene oxide (PO), dichlorosulfoxide, 3-dimethylaminopropylamine, and sodium bromoethyl sulfonate. The chemical structures of products were confirmed by Fourier transform infrared spectroscopy (FTIR) and proton nuclear magnetic resonance spectroscopy (</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H·NMR). To evaluate their performance, the solubility, surface activity, and interfacial activity of the synthesized surfactants were systematically investigated. The effects of temperature, salinity, and oil type on interfacial properties were examined to assess their thermal stability and environmental adaptability under reservoir conditions. This study aims to clarify the relationship between molecular structure and interfacial performance, providing a basis for the design and application of extended amphoteric surfactants in EOR.</w:t>
      </w:r>
    </w:p>
    <w:p w14:paraId="24910585">
      <w:pPr>
        <w:pStyle w:val="3"/>
        <w:keepNext w:val="0"/>
        <w:keepLines w:val="0"/>
        <w:widowControl/>
        <w:spacing w:line="240" w:lineRule="auto"/>
        <w:ind w:firstLine="709"/>
        <w:jc w:val="both"/>
        <w:rPr>
          <w:rFonts w:hint="default" w:ascii="Times New Roman" w:hAnsi="Times New Roman" w:cs="Times New Roman"/>
          <w:b/>
          <w:bCs w:val="0"/>
          <w:i w:val="0"/>
          <w:iCs w:val="0"/>
          <w:sz w:val="28"/>
          <w:szCs w:val="28"/>
        </w:rPr>
      </w:pPr>
      <w:bookmarkStart w:id="340" w:name="_Toc131344054"/>
      <w:bookmarkStart w:id="341" w:name="_Toc26876"/>
      <w:bookmarkStart w:id="342" w:name="_Toc6690"/>
      <w:bookmarkStart w:id="343" w:name="_Toc27158"/>
      <w:bookmarkStart w:id="344" w:name="_Toc7935"/>
      <w:bookmarkStart w:id="345" w:name="_Toc2048"/>
      <w:bookmarkStart w:id="346" w:name="_Toc28650"/>
      <w:bookmarkStart w:id="347" w:name="_Toc2346"/>
      <w:r>
        <w:rPr>
          <w:rFonts w:hint="default" w:ascii="Times New Roman" w:hAnsi="Times New Roman" w:cs="Times New Roman"/>
          <w:b/>
          <w:bCs w:val="0"/>
          <w:i w:val="0"/>
          <w:iCs w:val="0"/>
          <w:sz w:val="28"/>
          <w:szCs w:val="28"/>
        </w:rPr>
        <w:t xml:space="preserve">3.1 </w:t>
      </w:r>
      <w:bookmarkEnd w:id="340"/>
      <w:r>
        <w:rPr>
          <w:rFonts w:hint="default" w:ascii="Times New Roman" w:hAnsi="Times New Roman" w:cs="Times New Roman"/>
          <w:b/>
          <w:bCs w:val="0"/>
          <w:i w:val="0"/>
          <w:iCs w:val="0"/>
          <w:sz w:val="28"/>
          <w:szCs w:val="28"/>
        </w:rPr>
        <w:t xml:space="preserve">Experimental </w:t>
      </w:r>
      <w:bookmarkEnd w:id="341"/>
      <w:r>
        <w:rPr>
          <w:rFonts w:hint="default" w:ascii="Times New Roman" w:hAnsi="Times New Roman" w:cs="Times New Roman"/>
          <w:b/>
          <w:bCs w:val="0"/>
          <w:i w:val="0"/>
          <w:iCs w:val="0"/>
          <w:sz w:val="28"/>
          <w:szCs w:val="28"/>
        </w:rPr>
        <w:t>parts</w:t>
      </w:r>
      <w:bookmarkEnd w:id="342"/>
      <w:bookmarkEnd w:id="343"/>
      <w:bookmarkEnd w:id="344"/>
      <w:bookmarkEnd w:id="345"/>
      <w:bookmarkEnd w:id="346"/>
      <w:bookmarkEnd w:id="347"/>
    </w:p>
    <w:p w14:paraId="6A8D8AFE">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348" w:name="_Toc19993"/>
      <w:bookmarkStart w:id="349" w:name="_Toc2762"/>
      <w:bookmarkStart w:id="350" w:name="_Toc14601"/>
      <w:bookmarkStart w:id="351" w:name="_Toc14629"/>
      <w:bookmarkStart w:id="352" w:name="_Toc17226"/>
      <w:bookmarkStart w:id="353" w:name="_Toc4560"/>
      <w:bookmarkStart w:id="354" w:name="_Toc22264"/>
      <w:r>
        <w:rPr>
          <w:rFonts w:hint="default" w:ascii="Times New Roman" w:hAnsi="Times New Roman" w:cs="Times New Roman"/>
          <w:i w:val="0"/>
          <w:iCs w:val="0"/>
          <w:sz w:val="28"/>
          <w:szCs w:val="28"/>
        </w:rPr>
        <w:t>3.1.1 Materials</w:t>
      </w:r>
      <w:bookmarkEnd w:id="348"/>
      <w:r>
        <w:rPr>
          <w:rFonts w:hint="default" w:ascii="Times New Roman" w:hAnsi="Times New Roman" w:cs="Times New Roman"/>
          <w:i w:val="0"/>
          <w:iCs w:val="0"/>
          <w:sz w:val="28"/>
          <w:szCs w:val="28"/>
        </w:rPr>
        <w:t xml:space="preserve"> and agents</w:t>
      </w:r>
      <w:bookmarkEnd w:id="349"/>
      <w:bookmarkEnd w:id="350"/>
      <w:bookmarkEnd w:id="351"/>
      <w:bookmarkEnd w:id="352"/>
      <w:bookmarkEnd w:id="353"/>
      <w:bookmarkEnd w:id="354"/>
    </w:p>
    <w:p w14:paraId="531A1DA5">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Dodecanol (AR), pyridine (AR), thionyl chloride (AR), bromophenol blue (AR), bromodinium bromide (AR), Blue disulfide (AR) were all purchased from Tianjin Fuchen Chemical Reagent Factory, China. Acetic anhydride, obtained Shanghai Third Reagent Factory, were Analytical grade. Potassium hydroxide, sodium hydroxide, petroleum ether, n-hexane, ethanol and chloroform were all </w:t>
      </w:r>
      <w:r>
        <w:rPr>
          <w:rFonts w:hint="eastAsia" w:cs="Times New Roman"/>
          <w:sz w:val="28"/>
          <w:szCs w:val="28"/>
          <w:lang w:val="en-US" w:eastAsia="zh-CN"/>
        </w:rPr>
        <w:t>a</w:t>
      </w:r>
      <w:r>
        <w:rPr>
          <w:rFonts w:hint="default" w:ascii="Times New Roman" w:hAnsi="Times New Roman" w:cs="Times New Roman"/>
          <w:sz w:val="28"/>
          <w:szCs w:val="28"/>
        </w:rPr>
        <w:t xml:space="preserve">nalytical grade and provided by Tianjin Zhiyuan Chemical Reagent Co., Ltd., China. Ethylene Oxide, Propylene Oxide, 3-dimethylaminopropylamine, p-Toluenesulfonic acid were </w:t>
      </w:r>
      <w:r>
        <w:rPr>
          <w:rFonts w:hint="eastAsia" w:cs="Times New Roman"/>
          <w:sz w:val="28"/>
          <w:szCs w:val="28"/>
          <w:lang w:val="en-US" w:eastAsia="zh-CN"/>
        </w:rPr>
        <w:t>a</w:t>
      </w:r>
      <w:r>
        <w:rPr>
          <w:rFonts w:hint="default" w:ascii="Times New Roman" w:hAnsi="Times New Roman" w:cs="Times New Roman"/>
          <w:sz w:val="28"/>
          <w:szCs w:val="28"/>
        </w:rPr>
        <w:t>nalytical grade and supplied by Shanghai Aladdin Biochemical Technology Co., Ltd., China. Sodium Bromoethylsulfonate, Haiming reagent and SDS were obtained by Shanghai McLean Biochemical Technology Co., Ltd., China. Sodium chloride (AR) was provided by Tianjin Zhiyuan Chemical Reagent Co., Ltd., China. Crude oil Z27 with details exhibiting in Table 3.1 was obtained from Changqing Oilfield, China. Kerosene was supplied by Jingmen Petrochemical, China. The n-alkane (AR) was bought from Shanghai Aladdin Biochemical Technology Co., Ltd., China. De-ionized water was obtained by double distilling tap water.</w:t>
      </w:r>
    </w:p>
    <w:p w14:paraId="2BF027F2">
      <w:pPr>
        <w:widowControl/>
        <w:ind w:firstLine="709" w:firstLineChars="0"/>
        <w:rPr>
          <w:rFonts w:hint="default" w:ascii="Times New Roman" w:hAnsi="Times New Roman" w:cs="Times New Roman"/>
          <w:sz w:val="28"/>
          <w:szCs w:val="28"/>
        </w:rPr>
      </w:pPr>
    </w:p>
    <w:p w14:paraId="3739430F">
      <w:pPr>
        <w:widowControl/>
        <w:ind w:left="0" w:leftChars="0" w:firstLine="0" w:firstLineChars="0"/>
        <w:rPr>
          <w:rFonts w:hint="default" w:ascii="Times New Roman" w:hAnsi="Times New Roman" w:eastAsia="宋体" w:cs="Times New Roman"/>
          <w:sz w:val="28"/>
          <w:szCs w:val="28"/>
          <w:lang w:val="en-US" w:eastAsia="zh-CN"/>
        </w:rPr>
      </w:pPr>
      <w:r>
        <w:rPr>
          <w:rFonts w:hint="default" w:ascii="Times New Roman" w:hAnsi="Times New Roman" w:cs="Times New Roman"/>
          <w:kern w:val="0"/>
          <w:sz w:val="28"/>
          <w:szCs w:val="28"/>
        </w:rPr>
        <w:t xml:space="preserve">Table 3.1 </w:t>
      </w:r>
      <w:r>
        <w:rPr>
          <w:rFonts w:hint="default" w:ascii="Times New Roman" w:hAnsi="Times New Roman" w:cs="Times New Roman"/>
          <w:sz w:val="28"/>
          <w:szCs w:val="28"/>
        </w:rPr>
        <w:t>–</w:t>
      </w:r>
      <w:r>
        <w:rPr>
          <w:rFonts w:hint="default" w:ascii="Times New Roman" w:hAnsi="Times New Roman" w:cs="Times New Roman"/>
          <w:kern w:val="0"/>
          <w:sz w:val="28"/>
          <w:szCs w:val="28"/>
        </w:rPr>
        <w:t xml:space="preserve"> </w:t>
      </w:r>
      <w:r>
        <w:rPr>
          <w:rFonts w:hint="default" w:ascii="Times New Roman" w:hAnsi="Times New Roman" w:cs="Times New Roman"/>
          <w:sz w:val="28"/>
          <w:szCs w:val="28"/>
        </w:rPr>
        <w:t>The basic information of crude oil Z27</w:t>
      </w:r>
      <w:r>
        <w:rPr>
          <w:rFonts w:hint="default" w:ascii="Times New Roman" w:hAnsi="Times New Roman" w:cs="Times New Roman"/>
          <w:sz w:val="28"/>
          <w:szCs w:val="28"/>
          <w:lang w:val="en-US" w:eastAsia="zh-CN"/>
        </w:rPr>
        <w:t>.</w:t>
      </w:r>
    </w:p>
    <w:tbl>
      <w:tblPr>
        <w:tblStyle w:val="16"/>
        <w:tblW w:w="5000" w:type="pct"/>
        <w:jc w:val="center"/>
        <w:tblBorders>
          <w:top w:val="single" w:color="auto" w:sz="8" w:space="0"/>
          <w:left w:val="none" w:color="auto" w:sz="0" w:space="0"/>
          <w:bottom w:val="single" w:color="auto" w:sz="8"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976"/>
        <w:gridCol w:w="1736"/>
        <w:gridCol w:w="959"/>
        <w:gridCol w:w="1580"/>
        <w:gridCol w:w="1473"/>
        <w:gridCol w:w="1284"/>
        <w:gridCol w:w="846"/>
      </w:tblGrid>
      <w:tr w14:paraId="2D13BEC9">
        <w:tblPrEx>
          <w:tblBorders>
            <w:top w:val="single" w:color="auto" w:sz="8" w:space="0"/>
            <w:left w:val="none" w:color="auto" w:sz="0" w:space="0"/>
            <w:bottom w:val="single" w:color="auto" w:sz="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94" w:hRule="atLeast"/>
          <w:jc w:val="center"/>
        </w:trPr>
        <w:tc>
          <w:tcPr>
            <w:tcW w:w="1002" w:type="pct"/>
            <w:tcBorders>
              <w:top w:val="single" w:color="auto" w:sz="12" w:space="0"/>
            </w:tcBorders>
            <w:vAlign w:val="center"/>
          </w:tcPr>
          <w:p w14:paraId="2ACE6F9E">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Saturated hydrocarbon (%)</w:t>
            </w:r>
          </w:p>
        </w:tc>
        <w:tc>
          <w:tcPr>
            <w:tcW w:w="880" w:type="pct"/>
            <w:tcBorders>
              <w:top w:val="single" w:color="auto" w:sz="12" w:space="0"/>
            </w:tcBorders>
            <w:vAlign w:val="center"/>
          </w:tcPr>
          <w:p w14:paraId="4C9CB9B8">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Aromatic </w:t>
            </w:r>
          </w:p>
          <w:p w14:paraId="338D9FF6">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hydrocarbon (%)</w:t>
            </w:r>
          </w:p>
        </w:tc>
        <w:tc>
          <w:tcPr>
            <w:tcW w:w="486" w:type="pct"/>
            <w:tcBorders>
              <w:top w:val="single" w:color="auto" w:sz="12" w:space="0"/>
            </w:tcBorders>
            <w:vAlign w:val="center"/>
          </w:tcPr>
          <w:p w14:paraId="5B3E6B38">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Resin (%)</w:t>
            </w:r>
          </w:p>
        </w:tc>
        <w:tc>
          <w:tcPr>
            <w:tcW w:w="801" w:type="pct"/>
            <w:tcBorders>
              <w:top w:val="single" w:color="auto" w:sz="12" w:space="0"/>
            </w:tcBorders>
            <w:vAlign w:val="center"/>
          </w:tcPr>
          <w:p w14:paraId="04A42ECB">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Asphaltene (%)</w:t>
            </w:r>
          </w:p>
        </w:tc>
        <w:tc>
          <w:tcPr>
            <w:tcW w:w="747" w:type="pct"/>
            <w:tcBorders>
              <w:top w:val="single" w:color="auto" w:sz="12" w:space="0"/>
            </w:tcBorders>
            <w:vAlign w:val="center"/>
          </w:tcPr>
          <w:p w14:paraId="29A3E75B">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Viscosity (mPa/s)</w:t>
            </w:r>
          </w:p>
        </w:tc>
        <w:tc>
          <w:tcPr>
            <w:tcW w:w="651" w:type="pct"/>
            <w:tcBorders>
              <w:top w:val="single" w:color="auto" w:sz="12" w:space="0"/>
            </w:tcBorders>
            <w:vAlign w:val="center"/>
          </w:tcPr>
          <w:p w14:paraId="0FEF5E16">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Density (kg/m</w:t>
            </w:r>
            <w:r>
              <w:rPr>
                <w:rFonts w:hint="default" w:ascii="Times New Roman" w:hAnsi="Times New Roman" w:cs="Times New Roman"/>
                <w:kern w:val="0"/>
                <w:sz w:val="28"/>
                <w:szCs w:val="28"/>
                <w:vertAlign w:val="superscript"/>
              </w:rPr>
              <w:t>3</w:t>
            </w:r>
            <w:r>
              <w:rPr>
                <w:rFonts w:hint="default" w:ascii="Times New Roman" w:hAnsi="Times New Roman" w:cs="Times New Roman"/>
                <w:kern w:val="0"/>
                <w:sz w:val="28"/>
                <w:szCs w:val="28"/>
              </w:rPr>
              <w:t>)</w:t>
            </w:r>
          </w:p>
        </w:tc>
        <w:tc>
          <w:tcPr>
            <w:tcW w:w="429" w:type="pct"/>
            <w:tcBorders>
              <w:top w:val="single" w:color="auto" w:sz="12" w:space="0"/>
            </w:tcBorders>
            <w:vAlign w:val="center"/>
          </w:tcPr>
          <w:p w14:paraId="6CF9252A">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API</w:t>
            </w:r>
          </w:p>
        </w:tc>
      </w:tr>
      <w:tr w14:paraId="46E2C7F5">
        <w:tblPrEx>
          <w:tblBorders>
            <w:top w:val="single" w:color="auto" w:sz="8" w:space="0"/>
            <w:left w:val="none" w:color="auto" w:sz="0" w:space="0"/>
            <w:bottom w:val="single" w:color="auto" w:sz="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83" w:hRule="atLeast"/>
          <w:jc w:val="center"/>
        </w:trPr>
        <w:tc>
          <w:tcPr>
            <w:tcW w:w="1002" w:type="pct"/>
            <w:tcBorders>
              <w:bottom w:val="single" w:color="auto" w:sz="12" w:space="0"/>
            </w:tcBorders>
            <w:vAlign w:val="center"/>
          </w:tcPr>
          <w:p w14:paraId="698AE8AD">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54.86</w:t>
            </w:r>
          </w:p>
        </w:tc>
        <w:tc>
          <w:tcPr>
            <w:tcW w:w="880" w:type="pct"/>
            <w:tcBorders>
              <w:bottom w:val="single" w:color="auto" w:sz="12" w:space="0"/>
            </w:tcBorders>
            <w:vAlign w:val="center"/>
          </w:tcPr>
          <w:p w14:paraId="110D35E1">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29.67</w:t>
            </w:r>
          </w:p>
        </w:tc>
        <w:tc>
          <w:tcPr>
            <w:tcW w:w="486" w:type="pct"/>
            <w:tcBorders>
              <w:bottom w:val="single" w:color="auto" w:sz="12" w:space="0"/>
            </w:tcBorders>
            <w:vAlign w:val="center"/>
          </w:tcPr>
          <w:p w14:paraId="42D8A3F9">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10.22</w:t>
            </w:r>
          </w:p>
        </w:tc>
        <w:tc>
          <w:tcPr>
            <w:tcW w:w="801" w:type="pct"/>
            <w:tcBorders>
              <w:bottom w:val="single" w:color="auto" w:sz="12" w:space="0"/>
            </w:tcBorders>
            <w:vAlign w:val="center"/>
          </w:tcPr>
          <w:p w14:paraId="0C1759E2">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5.25</w:t>
            </w:r>
          </w:p>
        </w:tc>
        <w:tc>
          <w:tcPr>
            <w:tcW w:w="747" w:type="pct"/>
            <w:tcBorders>
              <w:bottom w:val="single" w:color="auto" w:sz="12" w:space="0"/>
            </w:tcBorders>
            <w:vAlign w:val="center"/>
          </w:tcPr>
          <w:p w14:paraId="76DFDF15">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4.76</w:t>
            </w:r>
          </w:p>
        </w:tc>
        <w:tc>
          <w:tcPr>
            <w:tcW w:w="651" w:type="pct"/>
            <w:tcBorders>
              <w:bottom w:val="single" w:color="auto" w:sz="12" w:space="0"/>
            </w:tcBorders>
            <w:vAlign w:val="center"/>
          </w:tcPr>
          <w:p w14:paraId="057E1A60">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0.83</w:t>
            </w:r>
          </w:p>
        </w:tc>
        <w:tc>
          <w:tcPr>
            <w:tcW w:w="429" w:type="pct"/>
            <w:tcBorders>
              <w:bottom w:val="single" w:color="auto" w:sz="12" w:space="0"/>
            </w:tcBorders>
            <w:vAlign w:val="center"/>
          </w:tcPr>
          <w:p w14:paraId="51C67E29">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38.98</w:t>
            </w:r>
          </w:p>
        </w:tc>
      </w:tr>
    </w:tbl>
    <w:p w14:paraId="0B129E02">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355" w:name="_Toc12862"/>
      <w:bookmarkStart w:id="356" w:name="_Toc21404"/>
      <w:bookmarkStart w:id="357" w:name="_Toc15958"/>
      <w:bookmarkStart w:id="358" w:name="_Toc11465"/>
      <w:bookmarkStart w:id="359" w:name="_Toc23368"/>
      <w:bookmarkStart w:id="360" w:name="_Toc6420"/>
    </w:p>
    <w:p w14:paraId="633799C8">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361" w:name="_Toc15165"/>
      <w:r>
        <w:rPr>
          <w:rFonts w:hint="default" w:ascii="Times New Roman" w:hAnsi="Times New Roman" w:cs="Times New Roman"/>
          <w:i w:val="0"/>
          <w:iCs w:val="0"/>
          <w:sz w:val="28"/>
          <w:szCs w:val="28"/>
        </w:rPr>
        <w:t>3.1.2 Experimental instruments</w:t>
      </w:r>
      <w:bookmarkEnd w:id="355"/>
      <w:bookmarkEnd w:id="356"/>
      <w:bookmarkEnd w:id="357"/>
      <w:bookmarkEnd w:id="358"/>
      <w:bookmarkEnd w:id="359"/>
      <w:bookmarkEnd w:id="360"/>
      <w:bookmarkEnd w:id="361"/>
    </w:p>
    <w:p w14:paraId="67136BFD">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Rotary evaporator (RE-52CS-1) were obtained from Shanghai Yarong Biochemical Equipment Instrument Co., Ltd., China. Vacuum drying oven (DZF-6020) were provided by Shanghai Xinmiao Medical Equipment Manufacturing Co., Ltd, China. Fourier transform infrared spectrometer (FTIR) (Nicolet6700) were supplied by Thermo Fisher Scientific, USA. Nuclear magnetic resonance hydrogen spectrometer (</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H·NMR) (400M) were obtained by Bruker Switzerland. Electronic balance (BS124S) were provided by Sadolis Scientific Instruments (Beijing) Co., Ltd., China. Circulating water pump (SHZ-DⅢ) were obtained from Gongyi Yuhua Instrument Co., Ltd., China. Collecting type constant temperature heating magnetic stirrer (DF-101S) were purchased from Gongyi Yuhua Instrument Co., Ltd., China. Temperature regulating electric heating sleeve (ZDHW) were obtained from Beijing Zhongxing Weiye Instrument Co., Ltd., China. K11 Automatic Surface Tension Meter were obtained from KRUSS, Germany. Rotating droplet interfacial tensiometer (TX500C) were provided by Corona Industries Inc., USA.</w:t>
      </w:r>
    </w:p>
    <w:p w14:paraId="6F22BD0C">
      <w:pPr>
        <w:pStyle w:val="3"/>
        <w:keepNext w:val="0"/>
        <w:keepLines w:val="0"/>
        <w:widowControl/>
        <w:spacing w:line="240" w:lineRule="auto"/>
        <w:ind w:firstLine="709"/>
        <w:jc w:val="both"/>
        <w:rPr>
          <w:rFonts w:hint="default" w:ascii="Times New Roman" w:hAnsi="Times New Roman" w:cs="Times New Roman"/>
          <w:b/>
          <w:bCs w:val="0"/>
          <w:i w:val="0"/>
          <w:iCs w:val="0"/>
          <w:sz w:val="28"/>
          <w:szCs w:val="28"/>
        </w:rPr>
      </w:pPr>
      <w:bookmarkStart w:id="362" w:name="_Toc131344055"/>
      <w:bookmarkStart w:id="363" w:name="_Toc1929"/>
      <w:bookmarkStart w:id="364" w:name="_Toc19043"/>
      <w:bookmarkStart w:id="365" w:name="_Toc9905"/>
      <w:bookmarkStart w:id="366" w:name="_Toc14534"/>
      <w:bookmarkStart w:id="367" w:name="_Toc5030"/>
      <w:bookmarkStart w:id="368" w:name="_Toc27347"/>
      <w:bookmarkStart w:id="369" w:name="_Toc16361"/>
      <w:r>
        <w:rPr>
          <w:rFonts w:hint="default" w:ascii="Times New Roman" w:hAnsi="Times New Roman" w:cs="Times New Roman"/>
          <w:b/>
          <w:bCs w:val="0"/>
          <w:i w:val="0"/>
          <w:iCs w:val="0"/>
          <w:sz w:val="28"/>
          <w:szCs w:val="28"/>
        </w:rPr>
        <w:t xml:space="preserve">3.2 </w:t>
      </w:r>
      <w:bookmarkEnd w:id="362"/>
      <w:r>
        <w:rPr>
          <w:rFonts w:hint="default" w:ascii="Times New Roman" w:hAnsi="Times New Roman" w:cs="Times New Roman"/>
          <w:b/>
          <w:bCs w:val="0"/>
          <w:i w:val="0"/>
          <w:iCs w:val="0"/>
          <w:sz w:val="28"/>
          <w:szCs w:val="28"/>
        </w:rPr>
        <w:t>Methods</w:t>
      </w:r>
      <w:bookmarkEnd w:id="363"/>
      <w:bookmarkEnd w:id="364"/>
      <w:bookmarkEnd w:id="365"/>
      <w:bookmarkEnd w:id="366"/>
      <w:bookmarkEnd w:id="367"/>
      <w:bookmarkEnd w:id="368"/>
      <w:bookmarkEnd w:id="369"/>
    </w:p>
    <w:p w14:paraId="22BB6408">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370" w:name="_Toc25404"/>
      <w:bookmarkStart w:id="371" w:name="_Toc4458"/>
      <w:bookmarkStart w:id="372" w:name="_Toc18157"/>
      <w:bookmarkStart w:id="373" w:name="_Toc11691"/>
      <w:bookmarkStart w:id="374" w:name="_Toc15365"/>
      <w:bookmarkStart w:id="375" w:name="_Toc3000"/>
      <w:bookmarkStart w:id="376" w:name="_Toc11538"/>
      <w:r>
        <w:rPr>
          <w:rFonts w:hint="default" w:ascii="Times New Roman" w:hAnsi="Times New Roman" w:cs="Times New Roman"/>
          <w:i w:val="0"/>
          <w:iCs w:val="0"/>
          <w:sz w:val="28"/>
          <w:szCs w:val="28"/>
        </w:rPr>
        <w:t>3.2.1 Synthesis of fatty alcohol ether</w:t>
      </w:r>
      <w:bookmarkEnd w:id="370"/>
      <w:bookmarkEnd w:id="371"/>
      <w:bookmarkEnd w:id="372"/>
      <w:bookmarkEnd w:id="373"/>
      <w:bookmarkEnd w:id="374"/>
      <w:bookmarkEnd w:id="375"/>
      <w:bookmarkEnd w:id="376"/>
    </w:p>
    <w:p w14:paraId="09F94553">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 predetermined amount of fatty alcohol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H</w:t>
      </w:r>
      <w:r>
        <w:rPr>
          <w:rFonts w:hint="default" w:ascii="Times New Roman" w:hAnsi="Times New Roman" w:cs="Times New Roman"/>
          <w:sz w:val="28"/>
          <w:szCs w:val="28"/>
          <w:vertAlign w:val="subscript"/>
        </w:rPr>
        <w:t>25</w:t>
      </w:r>
      <w:r>
        <w:rPr>
          <w:rFonts w:hint="default" w:ascii="Times New Roman" w:hAnsi="Times New Roman" w:cs="Times New Roman"/>
          <w:sz w:val="28"/>
          <w:szCs w:val="28"/>
        </w:rPr>
        <w:t>OH) and potassium hydroxide (KOH) catalyst were introduced into a stainless-steel autoclave equipped with mechanical stirring and heating systems. The mixture was stirred and heated until the fatty alcohol was completely melted. After passing the leak test, the reactor was heated to 100 ℃, and nitrogen was introduced to purge the system three times in order to remove residual air. Subsequently, a vacuum pump was applied to evacuate moisture from the reactor. The temperature was then increased to 120 ℃, and ethylene oxide (EO) and propylene oxide (PO) were sequentially fed into the reactor at a predetermined molar ratio under vacuum conditions. The ring-opening polymerization reaction was allowed to proceed until the internal pressure stabilized, indicating the completion of monomer consumption. After the reaction, the system was cooled to room temperature, and an appropriate amount of glacial acetic acid was added to the crude product under stirring to neutralize the residual KOH catalyst. Finally, the by-product water and volatile components were removed under reduced pressure using a vacuum pump, affording the fatty alcohol poly(ethylene oxide)-poly(propylene oxide) ether as the target intermediate (named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m</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n</w:t>
      </w:r>
      <w:r>
        <w:rPr>
          <w:rFonts w:hint="default" w:ascii="Times New Roman" w:hAnsi="Times New Roman" w:cs="Times New Roman"/>
          <w:sz w:val="28"/>
          <w:szCs w:val="28"/>
        </w:rPr>
        <w:t>) [70]. The structural formula of fatty alcohol ether is shown in Scheme 3</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rPr>
        <w:t>1.</w:t>
      </w:r>
    </w:p>
    <w:p w14:paraId="3AE54064">
      <w:pPr>
        <w:widowControl/>
        <w:ind w:firstLine="709" w:firstLineChars="0"/>
        <w:rPr>
          <w:rFonts w:hint="default" w:ascii="Times New Roman" w:hAnsi="Times New Roman" w:cs="Times New Roman"/>
          <w:sz w:val="28"/>
          <w:szCs w:val="28"/>
        </w:rPr>
      </w:pPr>
    </w:p>
    <w:p w14:paraId="07E421DC">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object>
          <v:shape id="_x0000_i1025" o:spt="75" type="#_x0000_t75" style="height:43pt;width:438.5pt;" o:ole="t" filled="f" o:preferrelative="t" stroked="f" coordsize="21600,21600">
            <v:path/>
            <v:fill on="f" focussize="0,0"/>
            <v:stroke on="f" joinstyle="miter"/>
            <v:imagedata r:id="rId17" o:title=""/>
            <o:lock v:ext="edit" aspectratio="t"/>
            <w10:wrap type="none"/>
            <w10:anchorlock/>
          </v:shape>
          <o:OLEObject Type="Embed" ProgID="ChemDraw.Document.6.0" ShapeID="_x0000_i1025" DrawAspect="Content" ObjectID="_1468075725" r:id="rId16">
            <o:LockedField>false</o:LockedField>
          </o:OLEObject>
        </w:object>
      </w:r>
    </w:p>
    <w:p w14:paraId="55F3AD1E">
      <w:pPr>
        <w:widowControl/>
        <w:ind w:firstLine="0" w:firstLineChars="0"/>
        <w:jc w:val="center"/>
        <w:rPr>
          <w:rFonts w:hint="default" w:ascii="Times New Roman" w:hAnsi="Times New Roman" w:eastAsia="宋体" w:cs="Times New Roman"/>
          <w:sz w:val="28"/>
          <w:szCs w:val="28"/>
          <w:vertAlign w:val="baseline"/>
          <w:lang w:val="en-US" w:eastAsia="zh-CN"/>
        </w:rPr>
      </w:pPr>
      <w:r>
        <w:rPr>
          <w:rFonts w:hint="default" w:ascii="Times New Roman" w:hAnsi="Times New Roman" w:cs="Times New Roman"/>
          <w:sz w:val="28"/>
          <w:szCs w:val="28"/>
        </w:rPr>
        <w:t>Scheme 3.1 – Structure of alcohol ether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m</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n</w:t>
      </w:r>
      <w:r>
        <w:rPr>
          <w:rFonts w:hint="default" w:ascii="Times New Roman" w:hAnsi="Times New Roman" w:cs="Times New Roman"/>
          <w:sz w:val="28"/>
          <w:szCs w:val="28"/>
          <w:vertAlign w:val="baseline"/>
          <w:lang w:val="en-US" w:eastAsia="zh-CN"/>
        </w:rPr>
        <w:t>.</w:t>
      </w:r>
    </w:p>
    <w:p w14:paraId="00453A95">
      <w:pPr>
        <w:widowControl/>
        <w:ind w:firstLine="709" w:firstLineChars="0"/>
        <w:rPr>
          <w:rFonts w:hint="default" w:ascii="Times New Roman" w:hAnsi="Times New Roman" w:cs="Times New Roman"/>
          <w:sz w:val="28"/>
          <w:szCs w:val="28"/>
        </w:rPr>
      </w:pPr>
    </w:p>
    <w:p w14:paraId="7AE52211">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377" w:name="_Toc11071"/>
      <w:bookmarkStart w:id="378" w:name="_Toc6425"/>
      <w:bookmarkStart w:id="379" w:name="_Toc27947"/>
      <w:bookmarkStart w:id="380" w:name="_Toc14548"/>
      <w:bookmarkStart w:id="381" w:name="_Toc27555"/>
      <w:bookmarkStart w:id="382" w:name="_Toc19114"/>
      <w:bookmarkStart w:id="383" w:name="_Toc25604"/>
      <w:r>
        <w:rPr>
          <w:rFonts w:hint="default" w:ascii="Times New Roman" w:hAnsi="Times New Roman" w:cs="Times New Roman"/>
          <w:i w:val="0"/>
          <w:iCs w:val="0"/>
          <w:sz w:val="28"/>
          <w:szCs w:val="28"/>
        </w:rPr>
        <w:t>3.2.2 Synthesis of chlorinated fatty alcohol polyether</w:t>
      </w:r>
      <w:bookmarkEnd w:id="377"/>
      <w:bookmarkEnd w:id="378"/>
      <w:bookmarkEnd w:id="379"/>
      <w:bookmarkEnd w:id="380"/>
      <w:bookmarkEnd w:id="381"/>
      <w:bookmarkEnd w:id="382"/>
      <w:bookmarkEnd w:id="383"/>
    </w:p>
    <w:p w14:paraId="4358F25E">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 total of 1 mol of fatty alcohol (ether) was introduced into a 250 mL three-necked round-bottom flask equipped with a mechanical stirrer, a thermometer, and a constant-pressure dropping funnel. A small amount of pyridine, corresponding to approximately 1 wt% of the total reactant mass, was added as a catalyst. Subsequently, 1.5 mol of dichlorosulfoxide was placed in the constant-pressure dropping funnel and added dropwise to the reaction system under continuous stirring. After the completion of addition, the reaction mixture was maintained at 70 °C and allowed to react for 10 h. Upon completion of the reaction, the mixture was cooled to room temperature and neutralized with a 15 wt% aqueous NaOH solution to remove residual acidic species. The resulting mixture was then washed repeatedly with hot distilled water until the aqueous phase exhibited no detectable pyridine odor. Finally, the organic phase (Chlorinated fatty alcohol ether, named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m</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n</w:t>
      </w:r>
      <w:r>
        <w:rPr>
          <w:rFonts w:hint="default" w:ascii="Times New Roman" w:hAnsi="Times New Roman" w:cs="Times New Roman"/>
          <w:sz w:val="28"/>
          <w:szCs w:val="28"/>
        </w:rPr>
        <w:t>-Cl) was separated and collected for subsequent use. The structural formula of Chlorinated fatty alcohol ether is shown in Scheme 3</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rPr>
        <w:t>2.</w:t>
      </w:r>
    </w:p>
    <w:p w14:paraId="4656E2AE">
      <w:pPr>
        <w:widowControl/>
        <w:ind w:firstLine="709" w:firstLineChars="0"/>
        <w:rPr>
          <w:rFonts w:hint="default" w:ascii="Times New Roman" w:hAnsi="Times New Roman" w:cs="Times New Roman"/>
          <w:sz w:val="28"/>
          <w:szCs w:val="28"/>
        </w:rPr>
      </w:pPr>
    </w:p>
    <w:p w14:paraId="0E430195">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5438140" cy="463550"/>
            <wp:effectExtent l="0" t="0" r="0" b="0"/>
            <wp:docPr id="3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7"/>
                    <pic:cNvPicPr>
                      <a:picLocks noChangeAspect="1"/>
                    </pic:cNvPicPr>
                  </pic:nvPicPr>
                  <pic:blipFill>
                    <a:blip r:embed="rId18"/>
                    <a:stretch>
                      <a:fillRect/>
                    </a:stretch>
                  </pic:blipFill>
                  <pic:spPr>
                    <a:xfrm>
                      <a:off x="0" y="0"/>
                      <a:ext cx="5484645" cy="467991"/>
                    </a:xfrm>
                    <a:prstGeom prst="rect">
                      <a:avLst/>
                    </a:prstGeom>
                    <a:noFill/>
                    <a:ln>
                      <a:noFill/>
                    </a:ln>
                  </pic:spPr>
                </pic:pic>
              </a:graphicData>
            </a:graphic>
          </wp:inline>
        </w:drawing>
      </w:r>
    </w:p>
    <w:p w14:paraId="3BA078D6">
      <w:pPr>
        <w:widowControl/>
        <w:ind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Scheme 3.2 – Structure of Chlorinated fatty alcohol ether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m</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n</w:t>
      </w:r>
      <w:r>
        <w:rPr>
          <w:rFonts w:hint="default" w:ascii="Times New Roman" w:hAnsi="Times New Roman" w:cs="Times New Roman"/>
          <w:sz w:val="28"/>
          <w:szCs w:val="28"/>
        </w:rPr>
        <w:t>-Cl</w:t>
      </w:r>
      <w:r>
        <w:rPr>
          <w:rFonts w:hint="default" w:ascii="Times New Roman" w:hAnsi="Times New Roman" w:cs="Times New Roman"/>
          <w:sz w:val="28"/>
          <w:szCs w:val="28"/>
          <w:lang w:val="en-US" w:eastAsia="zh-CN"/>
        </w:rPr>
        <w:t>.</w:t>
      </w:r>
    </w:p>
    <w:p w14:paraId="16487D11">
      <w:pPr>
        <w:widowControl/>
        <w:ind w:firstLine="709" w:firstLineChars="0"/>
        <w:rPr>
          <w:rFonts w:hint="default" w:ascii="Times New Roman" w:hAnsi="Times New Roman" w:cs="Times New Roman"/>
          <w:sz w:val="28"/>
          <w:szCs w:val="28"/>
        </w:rPr>
      </w:pPr>
    </w:p>
    <w:p w14:paraId="75F2A80D">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384" w:name="_Toc14594"/>
      <w:bookmarkStart w:id="385" w:name="_Toc9652"/>
      <w:bookmarkStart w:id="386" w:name="_Toc889"/>
      <w:bookmarkStart w:id="387" w:name="_Toc16711"/>
      <w:bookmarkStart w:id="388" w:name="_Toc19531"/>
      <w:bookmarkStart w:id="389" w:name="_Toc3190"/>
      <w:bookmarkStart w:id="390" w:name="_Toc28941"/>
      <w:r>
        <w:rPr>
          <w:rFonts w:hint="default" w:ascii="Times New Roman" w:hAnsi="Times New Roman" w:cs="Times New Roman"/>
          <w:i w:val="0"/>
          <w:iCs w:val="0"/>
          <w:sz w:val="28"/>
          <w:szCs w:val="28"/>
        </w:rPr>
        <w:t>3.2.3 Synthesis of fatty alcohol ether amine</w:t>
      </w:r>
      <w:bookmarkEnd w:id="384"/>
      <w:bookmarkEnd w:id="385"/>
      <w:bookmarkEnd w:id="386"/>
      <w:bookmarkEnd w:id="387"/>
      <w:bookmarkEnd w:id="388"/>
      <w:bookmarkEnd w:id="389"/>
      <w:bookmarkEnd w:id="390"/>
    </w:p>
    <w:p w14:paraId="7925E15F">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Chlorinated fatty alcohol ether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m</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n</w:t>
      </w:r>
      <w:r>
        <w:rPr>
          <w:rFonts w:hint="default" w:ascii="Times New Roman" w:hAnsi="Times New Roman" w:cs="Times New Roman"/>
          <w:sz w:val="28"/>
          <w:szCs w:val="28"/>
        </w:rPr>
        <w:t xml:space="preserve">-Cl obtained in the previous step and 3-dimethylaminopropylamine were introduced into a three-necked round-bottom flask at a molar ratio of 1:1.5. An ethanol/water mixed solvent (v/v = 2:1) was employed as the reaction medium. The mixture was heated to 95 °C and stirred continuously for 10 h to allow the nucleophilic substitution reaction to proceed. After completion of the reaction, the solution was cooled to room temperature, and the solvent as well as the excess unreacted 3-dimethylaminopropylamine were removed under reduced pressure using </w:t>
      </w:r>
      <w:r>
        <w:rPr>
          <w:rFonts w:hint="eastAsia" w:cs="Times New Roman"/>
          <w:sz w:val="28"/>
          <w:szCs w:val="28"/>
          <w:lang w:val="en-US" w:eastAsia="zh-CN"/>
        </w:rPr>
        <w:t xml:space="preserve">a </w:t>
      </w:r>
      <w:r>
        <w:rPr>
          <w:rFonts w:hint="default" w:ascii="Times New Roman" w:hAnsi="Times New Roman" w:cs="Times New Roman"/>
          <w:sz w:val="28"/>
          <w:szCs w:val="28"/>
        </w:rPr>
        <w:t>Rotary evaporator (RE-52CS-1), affording the intermediate tertiary amine product for subsequent reactions (fatty alcohol ether amine, named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m</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n</w:t>
      </w:r>
      <w:r>
        <w:rPr>
          <w:rFonts w:hint="default" w:ascii="Times New Roman" w:hAnsi="Times New Roman" w:cs="Times New Roman"/>
          <w:sz w:val="28"/>
          <w:szCs w:val="28"/>
        </w:rPr>
        <w:t>N). The structural formula of fatty alcohol ether amine is shown in Scheme 3</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rPr>
        <w:t>3.</w:t>
      </w:r>
    </w:p>
    <w:p w14:paraId="3D43F405">
      <w:pPr>
        <w:widowControl/>
        <w:ind w:firstLine="709" w:firstLineChars="0"/>
        <w:rPr>
          <w:rFonts w:hint="default" w:ascii="Times New Roman" w:hAnsi="Times New Roman" w:cs="Times New Roman"/>
          <w:sz w:val="28"/>
          <w:szCs w:val="28"/>
        </w:rPr>
      </w:pPr>
    </w:p>
    <w:p w14:paraId="72F53D0E">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object>
          <v:shape id="_x0000_i1026" o:spt="75" type="#_x0000_t75" style="height:113pt;width:307pt;" o:ole="t" filled="f" o:preferrelative="t" stroked="f" coordsize="21600,21600">
            <v:path/>
            <v:fill on="f" focussize="0,0"/>
            <v:stroke on="f" joinstyle="miter"/>
            <v:imagedata r:id="rId20" o:title=""/>
            <o:lock v:ext="edit" aspectratio="t"/>
            <w10:wrap type="none"/>
            <w10:anchorlock/>
          </v:shape>
          <o:OLEObject Type="Embed" ProgID="ChemDraw.Document.6.0" ShapeID="_x0000_i1026" DrawAspect="Content" ObjectID="_1468075726" r:id="rId19">
            <o:LockedField>false</o:LockedField>
          </o:OLEObject>
        </w:object>
      </w:r>
    </w:p>
    <w:p w14:paraId="453428BD">
      <w:pPr>
        <w:widowControl/>
        <w:ind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Scheme 3.3 – Structure of fatty alcohol ether amine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m</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n</w:t>
      </w:r>
      <w:r>
        <w:rPr>
          <w:rFonts w:hint="default" w:ascii="Times New Roman" w:hAnsi="Times New Roman" w:cs="Times New Roman"/>
          <w:sz w:val="28"/>
          <w:szCs w:val="28"/>
        </w:rPr>
        <w:t>N</w:t>
      </w:r>
      <w:r>
        <w:rPr>
          <w:rFonts w:hint="default" w:ascii="Times New Roman" w:hAnsi="Times New Roman" w:cs="Times New Roman"/>
          <w:sz w:val="28"/>
          <w:szCs w:val="28"/>
          <w:lang w:val="en-US" w:eastAsia="zh-CN"/>
        </w:rPr>
        <w:t>.</w:t>
      </w:r>
    </w:p>
    <w:p w14:paraId="11AE8A48">
      <w:pPr>
        <w:pStyle w:val="4"/>
        <w:keepNext w:val="0"/>
        <w:keepLines w:val="0"/>
        <w:widowControl/>
        <w:spacing w:line="240" w:lineRule="auto"/>
        <w:ind w:firstLine="709"/>
        <w:jc w:val="both"/>
        <w:rPr>
          <w:rFonts w:hint="default" w:ascii="Times New Roman" w:hAnsi="Times New Roman" w:cs="Times New Roman"/>
          <w:sz w:val="28"/>
          <w:szCs w:val="28"/>
        </w:rPr>
      </w:pPr>
      <w:bookmarkStart w:id="391" w:name="_Toc1097"/>
      <w:bookmarkStart w:id="392" w:name="_Toc17996"/>
      <w:bookmarkStart w:id="393" w:name="_Toc8608"/>
      <w:bookmarkStart w:id="394" w:name="_Toc12214"/>
      <w:bookmarkStart w:id="395" w:name="_Toc11184"/>
      <w:bookmarkStart w:id="396" w:name="_Toc1602"/>
    </w:p>
    <w:p w14:paraId="443DEE00">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397" w:name="_Toc32216"/>
      <w:r>
        <w:rPr>
          <w:rFonts w:hint="default" w:ascii="Times New Roman" w:hAnsi="Times New Roman" w:cs="Times New Roman"/>
          <w:i w:val="0"/>
          <w:iCs w:val="0"/>
          <w:sz w:val="28"/>
          <w:szCs w:val="28"/>
        </w:rPr>
        <w:t>3.2.4 Synthesis of extended amphoteric surfactant</w:t>
      </w:r>
      <w:bookmarkEnd w:id="391"/>
      <w:bookmarkEnd w:id="392"/>
      <w:bookmarkEnd w:id="393"/>
      <w:r>
        <w:rPr>
          <w:rFonts w:hint="default" w:ascii="Times New Roman" w:hAnsi="Times New Roman" w:cs="Times New Roman"/>
          <w:i w:val="0"/>
          <w:iCs w:val="0"/>
          <w:sz w:val="28"/>
          <w:szCs w:val="28"/>
        </w:rPr>
        <w:t>s</w:t>
      </w:r>
      <w:bookmarkEnd w:id="394"/>
      <w:bookmarkEnd w:id="395"/>
      <w:bookmarkEnd w:id="396"/>
      <w:bookmarkEnd w:id="397"/>
    </w:p>
    <w:p w14:paraId="16E055D6">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Fatty alcohol ether amine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m</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n</w:t>
      </w:r>
      <w:r>
        <w:rPr>
          <w:rFonts w:hint="default" w:ascii="Times New Roman" w:hAnsi="Times New Roman" w:cs="Times New Roman"/>
          <w:sz w:val="28"/>
          <w:szCs w:val="28"/>
        </w:rPr>
        <w:t>N and sodium bromoethyl sulfonate were introduced into a three-necked round-bottom flask at a molar ratio of 1:1.2. An ethanol/water mixed solvent with</w:t>
      </w:r>
      <w:r>
        <w:rPr>
          <w:rFonts w:hint="eastAsia" w:cs="Times New Roman"/>
          <w:sz w:val="28"/>
          <w:szCs w:val="28"/>
          <w:lang w:val="en-US" w:eastAsia="zh-CN"/>
        </w:rPr>
        <w:t xml:space="preserve"> a</w:t>
      </w:r>
      <w:r>
        <w:rPr>
          <w:rFonts w:hint="default" w:ascii="Times New Roman" w:hAnsi="Times New Roman" w:cs="Times New Roman"/>
          <w:sz w:val="28"/>
          <w:szCs w:val="28"/>
        </w:rPr>
        <w:t xml:space="preserve"> volume ratio of 1:1 was used as the reaction medium. The reaction mixture was heated to 95 ℃ and stirred continuously for 12 h to allow the quaternization reaction to proceed. After completion of the reaction, the solvent was removed under reduced pressure using </w:t>
      </w:r>
      <w:r>
        <w:rPr>
          <w:rFonts w:hint="eastAsia" w:cs="Times New Roman"/>
          <w:sz w:val="28"/>
          <w:szCs w:val="28"/>
          <w:lang w:val="en-US" w:eastAsia="zh-CN"/>
        </w:rPr>
        <w:t xml:space="preserve">a </w:t>
      </w:r>
      <w:r>
        <w:rPr>
          <w:rFonts w:hint="default" w:ascii="Times New Roman" w:hAnsi="Times New Roman" w:cs="Times New Roman"/>
          <w:sz w:val="28"/>
          <w:szCs w:val="28"/>
        </w:rPr>
        <w:t>Rotary evaporator (RE-52CS-1) to obtain the crude product. The crude product was then dissolved in anhydrous ethanol and heated to reflux for 0.5 h, followed by hot filtration to remove unreacted sodium bromoethyl sulfonate. Subsequently, ethanol was removed again by vacuum distillation, and the residue was dissolved in deionized water. The aqueous solution was extracted several times with n-hexane and petroleum ether to remove organic impurities. Finally, the aqueous phase was collected, and the solvent water was removed under reduced pressure to afford the target extended amphoteric surfactant as a yellow product (named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m</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n</w:t>
      </w:r>
      <w:r>
        <w:rPr>
          <w:rFonts w:hint="default" w:ascii="Times New Roman" w:hAnsi="Times New Roman" w:cs="Times New Roman"/>
          <w:sz w:val="28"/>
          <w:szCs w:val="28"/>
        </w:rPr>
        <w:t>NS). The structural formula of final product is shown in Scheme 3</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rPr>
        <w:t>4.</w:t>
      </w:r>
    </w:p>
    <w:p w14:paraId="3749B26F">
      <w:pPr>
        <w:widowControl/>
        <w:ind w:firstLine="709" w:firstLineChars="0"/>
        <w:rPr>
          <w:rFonts w:hint="default" w:ascii="Times New Roman" w:hAnsi="Times New Roman" w:cs="Times New Roman"/>
          <w:sz w:val="28"/>
          <w:szCs w:val="28"/>
        </w:rPr>
      </w:pPr>
    </w:p>
    <w:p w14:paraId="214F0EF0">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object>
          <v:shape id="_x0000_i1027" o:spt="75" type="#_x0000_t75" style="height:123.5pt;width:372pt;" o:ole="t" filled="f" o:preferrelative="t" stroked="f" coordsize="21600,21600">
            <v:path/>
            <v:fill on="f" focussize="0,0"/>
            <v:stroke on="f" joinstyle="miter"/>
            <v:imagedata r:id="rId22" o:title=""/>
            <o:lock v:ext="edit" aspectratio="t"/>
            <w10:wrap type="none"/>
            <w10:anchorlock/>
          </v:shape>
          <o:OLEObject Type="Embed" ProgID="ChemDraw.Document.6.0" ShapeID="_x0000_i1027" DrawAspect="Content" ObjectID="_1468075727" r:id="rId21">
            <o:LockedField>false</o:LockedField>
          </o:OLEObject>
        </w:object>
      </w:r>
    </w:p>
    <w:p w14:paraId="70FCD305">
      <w:pPr>
        <w:widowControl/>
        <w:ind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Scheme 3.4 – Structure of extended amphoteric surfactant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m</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n</w:t>
      </w:r>
      <w:r>
        <w:rPr>
          <w:rFonts w:hint="default" w:ascii="Times New Roman" w:hAnsi="Times New Roman" w:cs="Times New Roman"/>
          <w:sz w:val="28"/>
          <w:szCs w:val="28"/>
        </w:rPr>
        <w:t>NS</w:t>
      </w:r>
      <w:r>
        <w:rPr>
          <w:rFonts w:hint="default" w:ascii="Times New Roman" w:hAnsi="Times New Roman" w:cs="Times New Roman"/>
          <w:sz w:val="28"/>
          <w:szCs w:val="28"/>
          <w:lang w:val="en-US" w:eastAsia="zh-CN"/>
        </w:rPr>
        <w:t>.</w:t>
      </w:r>
    </w:p>
    <w:p w14:paraId="2E384BBF">
      <w:pPr>
        <w:widowControl/>
        <w:ind w:firstLine="709" w:firstLineChars="0"/>
        <w:rPr>
          <w:rFonts w:hint="default" w:ascii="Times New Roman" w:hAnsi="Times New Roman" w:cs="Times New Roman"/>
          <w:sz w:val="28"/>
          <w:szCs w:val="28"/>
        </w:rPr>
      </w:pPr>
    </w:p>
    <w:p w14:paraId="40BEABA3">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398" w:name="_Toc5619"/>
      <w:bookmarkStart w:id="399" w:name="_Toc31544"/>
      <w:bookmarkStart w:id="400" w:name="_Toc10464"/>
      <w:bookmarkStart w:id="401" w:name="_Toc28705"/>
      <w:bookmarkStart w:id="402" w:name="_Toc16785"/>
      <w:bookmarkStart w:id="403" w:name="_Toc18334"/>
      <w:bookmarkStart w:id="404" w:name="_Toc9620"/>
      <w:r>
        <w:rPr>
          <w:rFonts w:hint="default" w:ascii="Times New Roman" w:hAnsi="Times New Roman" w:cs="Times New Roman"/>
          <w:i w:val="0"/>
          <w:iCs w:val="0"/>
          <w:sz w:val="28"/>
          <w:szCs w:val="28"/>
        </w:rPr>
        <w:t>3.2.5 Determination of surfactant content</w:t>
      </w:r>
      <w:bookmarkEnd w:id="398"/>
      <w:bookmarkEnd w:id="399"/>
      <w:bookmarkEnd w:id="400"/>
      <w:bookmarkEnd w:id="401"/>
      <w:bookmarkEnd w:id="402"/>
      <w:bookmarkEnd w:id="403"/>
      <w:bookmarkEnd w:id="404"/>
    </w:p>
    <w:p w14:paraId="6DCB7077">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Betaine surfactants exhibit cationic behavior under acidic conditions due to protonation of the tertiary amine groups. Therefore, their active matter content can be determined using methods similar to those for cationic surfactants. In this study, a two-phase titration method was employed using a mixed acidic indicator and standardized Hyamine as the titrant. In a water–chloroform system, sodium dodecyl sulfate (SDS) and the mixed indicator form a complex that dissolves in chloroform, giving the lower layer a pink to red color. During titration, Hyamine reacts with SDS. Once all SDS is consumed, excess Hyamine displaces the dye, causing it to transfer to the aqueous phase and the chloroform layer to fade. With a slight excess of Hyamine, a new complex forms and the chloroform layer changes from pink to blue-gray, indicating the endpoint.</w:t>
      </w:r>
    </w:p>
    <w:p w14:paraId="30A686C8">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detailed experimental procedures are summarized as follows [71,72]. First, the mixed acidic indicator was prepared by dissolving 0.2 g of dimidium bromide and 0.1 g of disulfine blue in 10 wt% aqueous ethanol solution under heating, followed by dilution to 100 mL in a volumetric flask to obtain the stock indicator solution. Subsequently, 10 mL of the stock solution was transferred into a 250 mL volumetric flask, to which approximately 150 mL of deionized water and 10 mL of 5 mol·L</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H₂SO₄ were added, and the mixture was diluted to volume with water to afford the working mixed acidic indicator solution, which was stored in the dark prior to use. Second, the Hyamine standard solution was standardized using SDS as the primary standard. A 2×10</w:t>
      </w:r>
      <w:r>
        <w:rPr>
          <w:rFonts w:hint="default" w:ascii="Times New Roman" w:hAnsi="Times New Roman" w:cs="Times New Roman"/>
          <w:sz w:val="28"/>
          <w:szCs w:val="28"/>
          <w:vertAlign w:val="superscript"/>
        </w:rPr>
        <w:t>-3</w:t>
      </w:r>
      <w:r>
        <w:rPr>
          <w:rFonts w:hint="default" w:ascii="Times New Roman" w:hAnsi="Times New Roman" w:cs="Times New Roman"/>
          <w:sz w:val="28"/>
          <w:szCs w:val="28"/>
        </w:rPr>
        <w:t xml:space="preserve"> mol·L</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SDS standard solution and a nominal 2×10</w:t>
      </w:r>
      <w:r>
        <w:rPr>
          <w:rFonts w:hint="default" w:ascii="Times New Roman" w:hAnsi="Times New Roman" w:cs="Times New Roman"/>
          <w:sz w:val="28"/>
          <w:szCs w:val="28"/>
          <w:vertAlign w:val="superscript"/>
        </w:rPr>
        <w:t>-3</w:t>
      </w:r>
      <w:r>
        <w:rPr>
          <w:rFonts w:hint="default" w:ascii="Times New Roman" w:hAnsi="Times New Roman" w:cs="Times New Roman"/>
          <w:sz w:val="28"/>
          <w:szCs w:val="28"/>
        </w:rPr>
        <w:t xml:space="preserve"> mol·L</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Hyamine solution were prepared. For standardization, 7.5 mL of chloroform, 5 mL of water, 5 mL of mixed acidic indicator, and 10 g of SDS standard solution were sequentially added into a 50 mL stoppered graduated cylinder. The mixture was titrated with the Hyamine solution until the chloroform layer changed from pink to blue-gray, which was taken as the endpoint. The exact concentration of the Hyamine solution was calculated based on a 1:1 molar stoichiometry between SDS and Hyamine. Third, for the determination of the active matter content of the betaine surfactant, 0.15 g of the sample (accurate to 0.001 g) was dissolved in deionized water and diluted to 100 mL in a volumetric flask. Then, 7.5 mL of chloroform, 5 mL of water, 5 mL of mixed acidic indicator, and 3 mL of 3 mol·L</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H</w:t>
      </w:r>
      <w:r>
        <w:rPr>
          <w:rFonts w:hint="default" w:ascii="Times New Roman" w:hAnsi="Times New Roman" w:cs="Times New Roman"/>
          <w:sz w:val="28"/>
          <w:szCs w:val="28"/>
          <w:vertAlign w:val="subscript"/>
        </w:rPr>
        <w:t>2</w:t>
      </w:r>
      <w:r>
        <w:rPr>
          <w:rFonts w:hint="default" w:ascii="Times New Roman" w:hAnsi="Times New Roman" w:cs="Times New Roman"/>
          <w:sz w:val="28"/>
          <w:szCs w:val="28"/>
        </w:rPr>
        <w:t>SO</w:t>
      </w:r>
      <w:r>
        <w:rPr>
          <w:rFonts w:hint="default" w:ascii="Times New Roman" w:hAnsi="Times New Roman" w:cs="Times New Roman"/>
          <w:sz w:val="28"/>
          <w:szCs w:val="28"/>
          <w:vertAlign w:val="subscript"/>
        </w:rPr>
        <w:t>4</w:t>
      </w:r>
      <w:r>
        <w:rPr>
          <w:rFonts w:hint="default" w:ascii="Times New Roman" w:hAnsi="Times New Roman" w:cs="Times New Roman"/>
          <w:sz w:val="28"/>
          <w:szCs w:val="28"/>
        </w:rPr>
        <w:t xml:space="preserve"> solution were added into a 50 mL stoppered graduated cylinder, followed by the addition of 5 g of the prepared betaine surfactant solution and 10 g of SDS standard solution. The mixture was titrated with the standardized Hyamine solution until the chloroform layer turned blue-gray, which was regarded as the titration endpoint. The active matter content of the betaine surfactant sample was calculated according to the following equation:</w:t>
      </w:r>
    </w:p>
    <w:p w14:paraId="24CA9CEA">
      <w:pPr>
        <w:widowControl/>
        <w:tabs>
          <w:tab w:val="left" w:pos="8400"/>
        </w:tabs>
        <w:ind w:firstLine="0" w:firstLineChars="0"/>
        <w:jc w:val="right"/>
        <w:rPr>
          <w:rFonts w:hint="default" w:ascii="Times New Roman" w:hAnsi="Times New Roman" w:cs="Times New Roman"/>
          <w:sz w:val="28"/>
          <w:szCs w:val="28"/>
        </w:rPr>
      </w:pPr>
      <m:oMath>
        <m:r>
          <m:rPr>
            <m:nor/>
            <m:sty m:val="p"/>
          </m:rPr>
          <w:rPr>
            <w:rFonts w:hint="default" w:ascii="Times New Roman" w:hAnsi="Times New Roman" w:eastAsia="Cambria Math" w:cs="Times New Roman"/>
            <w:b w:val="0"/>
            <w:i w:val="0"/>
            <w:sz w:val="28"/>
            <w:szCs w:val="28"/>
          </w:rPr>
          <m:t xml:space="preserve">                           </m:t>
        </m:r>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x</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Betain surfactant</m:t>
            </m:r>
            <m:ctrlPr>
              <w:rPr>
                <w:rFonts w:hint="default" w:ascii="Cambria Math" w:hAnsi="Cambria Math" w:cs="Times New Roman"/>
                <w:i/>
                <w:sz w:val="28"/>
                <w:szCs w:val="28"/>
              </w:rPr>
            </m:ctrlPr>
          </m:sub>
        </m:sSub>
        <m:r>
          <m:rPr>
            <m:nor/>
            <m:sty m:val="p"/>
          </m:rPr>
          <w:rPr>
            <w:rFonts w:hint="default" w:ascii="Times New Roman" w:hAnsi="Times New Roman" w:cs="Times New Roman"/>
            <w:b w:val="0"/>
            <w:i w:val="0"/>
            <w:sz w:val="28"/>
            <w:szCs w:val="28"/>
          </w:rPr>
          <m:t>=</m:t>
        </m:r>
        <m:f>
          <m:fPr>
            <m:ctrlPr>
              <w:rPr>
                <w:rFonts w:hint="default" w:ascii="Cambria Math" w:hAnsi="Cambria Math" w:cs="Times New Roman"/>
                <w:i/>
                <w:sz w:val="28"/>
                <w:szCs w:val="28"/>
              </w:rPr>
            </m:ctrlPr>
          </m:fPr>
          <m:num>
            <m:r>
              <m:rPr>
                <m:nor/>
                <m:sty m:val="p"/>
              </m:rPr>
              <w:rPr>
                <w:rFonts w:hint="default" w:ascii="Times New Roman" w:hAnsi="Times New Roman" w:cs="Times New Roman"/>
                <w:b w:val="0"/>
                <w:i w:val="0"/>
                <w:sz w:val="28"/>
                <w:szCs w:val="28"/>
              </w:rPr>
              <m:t>20</m:t>
            </m:r>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M</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Betaine surfactant</m:t>
                </m:r>
                <m:ctrlPr>
                  <w:rPr>
                    <w:rFonts w:hint="default" w:ascii="Cambria Math" w:hAnsi="Cambria Math" w:cs="Times New Roman"/>
                    <w:i/>
                    <w:sz w:val="28"/>
                    <w:szCs w:val="28"/>
                  </w:rPr>
                </m:ctrlPr>
              </m:sub>
            </m:sSub>
            <m:d>
              <m:dPr>
                <m:ctrlPr>
                  <w:rPr>
                    <w:rFonts w:hint="default" w:ascii="Cambria Math" w:hAnsi="Cambria Math" w:cs="Times New Roman"/>
                    <w:i/>
                    <w:sz w:val="28"/>
                    <w:szCs w:val="28"/>
                  </w:rPr>
                </m:ctrlPr>
              </m:dPr>
              <m:e>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C</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Sub>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V</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Sub>
                <m:r>
                  <m:rPr>
                    <m:nor/>
                    <m:sty m:val="p"/>
                  </m:rPr>
                  <w:rPr>
                    <w:rFonts w:hint="default" w:ascii="Times New Roman" w:hAnsi="Times New Roman" w:cs="Times New Roman"/>
                    <w:b w:val="0"/>
                    <w:i w:val="0"/>
                    <w:sz w:val="28"/>
                    <w:szCs w:val="28"/>
                  </w:rPr>
                  <m:t>-</m:t>
                </m:r>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C</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2</m:t>
                    </m:r>
                    <m:ctrlPr>
                      <w:rPr>
                        <w:rFonts w:hint="default" w:ascii="Cambria Math" w:hAnsi="Cambria Math" w:cs="Times New Roman"/>
                        <w:i/>
                        <w:sz w:val="28"/>
                        <w:szCs w:val="28"/>
                      </w:rPr>
                    </m:ctrlPr>
                  </m:sub>
                </m:sSub>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V</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2</m:t>
                    </m:r>
                    <m:ctrlPr>
                      <w:rPr>
                        <w:rFonts w:hint="default" w:ascii="Cambria Math" w:hAnsi="Cambria Math" w:cs="Times New Roman"/>
                        <w:i/>
                        <w:sz w:val="28"/>
                        <w:szCs w:val="28"/>
                      </w:rPr>
                    </m:ctrlPr>
                  </m:sub>
                </m:sSub>
                <m:ctrlPr>
                  <w:rPr>
                    <w:rFonts w:hint="default" w:ascii="Cambria Math" w:hAnsi="Cambria Math" w:cs="Times New Roman"/>
                    <w:i/>
                    <w:sz w:val="28"/>
                    <w:szCs w:val="28"/>
                  </w:rPr>
                </m:ctrlPr>
              </m:e>
            </m:d>
            <m:ctrlPr>
              <w:rPr>
                <w:rFonts w:hint="default" w:ascii="Cambria Math" w:hAnsi="Cambria Math" w:cs="Times New Roman"/>
                <w:i/>
                <w:sz w:val="28"/>
                <w:szCs w:val="28"/>
              </w:rPr>
            </m:ctrlPr>
          </m:num>
          <m:den>
            <m:r>
              <m:rPr>
                <m:nor/>
              </m:rPr>
              <w:rPr>
                <w:rFonts w:hint="default" w:ascii="Times New Roman" w:hAnsi="Times New Roman" w:cs="Times New Roman"/>
                <w:i/>
                <w:sz w:val="28"/>
                <w:szCs w:val="28"/>
              </w:rPr>
              <m:t>m</m:t>
            </m:r>
            <m:r>
              <m:rPr>
                <m:nor/>
                <m:sty m:val="p"/>
              </m:rPr>
              <w:rPr>
                <w:rFonts w:hint="default" w:ascii="Times New Roman" w:hAnsi="Times New Roman" w:cs="Times New Roman"/>
                <w:b w:val="0"/>
                <w:i w:val="0"/>
                <w:sz w:val="28"/>
                <w:szCs w:val="28"/>
              </w:rPr>
              <m:t>×2000</m:t>
            </m:r>
            <m:ctrlPr>
              <w:rPr>
                <w:rFonts w:hint="default" w:ascii="Cambria Math" w:hAnsi="Cambria Math" w:cs="Times New Roman"/>
                <w:i/>
                <w:sz w:val="28"/>
                <w:szCs w:val="28"/>
              </w:rPr>
            </m:ctrlPr>
          </m:den>
        </m:f>
        <m:r>
          <m:rPr>
            <m:nor/>
            <m:sty m:val="p"/>
          </m:rPr>
          <w:rPr>
            <w:rFonts w:hint="default" w:ascii="Times New Roman" w:hAnsi="Times New Roman" w:eastAsia="Cambria Math" w:cs="Times New Roman"/>
            <w:b w:val="0"/>
            <w:i w:val="0"/>
            <w:sz w:val="28"/>
            <w:szCs w:val="28"/>
          </w:rPr>
          <w:sym w:font="Symbol" w:char="F0B4"/>
        </m:r>
        <m:r>
          <m:rPr>
            <m:nor/>
            <m:sty m:val="p"/>
          </m:rPr>
          <w:rPr>
            <w:rFonts w:hint="default" w:ascii="Times New Roman" w:hAnsi="Times New Roman" w:eastAsia="Cambria Math" w:cs="Times New Roman"/>
            <w:b w:val="0"/>
            <w:i w:val="0"/>
            <w:sz w:val="28"/>
            <w:szCs w:val="28"/>
          </w:rPr>
          <m:t xml:space="preserve">100% </m:t>
        </m:r>
      </m:oMath>
      <w:r>
        <w:rPr>
          <w:rFonts w:hint="default" w:ascii="Times New Roman" w:hAnsi="Times New Roman" w:cs="Times New Roman"/>
          <w:sz w:val="28"/>
          <w:szCs w:val="28"/>
        </w:rPr>
        <w:t xml:space="preserve">                 (</w:t>
      </w:r>
      <w:r>
        <w:rPr>
          <w:rFonts w:hint="default" w:ascii="Times New Roman" w:hAnsi="Times New Roman" w:cs="Times New Roman"/>
          <w:sz w:val="28"/>
          <w:szCs w:val="28"/>
          <w:lang w:val="en-US" w:eastAsia="zh-CN"/>
        </w:rPr>
        <w:t>3.</w:t>
      </w:r>
      <w:r>
        <w:rPr>
          <w:rFonts w:hint="default" w:ascii="Times New Roman" w:hAnsi="Times New Roman" w:cs="Times New Roman"/>
          <w:sz w:val="28"/>
          <w:szCs w:val="28"/>
        </w:rPr>
        <w:t>1)</w:t>
      </w:r>
    </w:p>
    <w:p w14:paraId="72DD95ED">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Where C</w:t>
      </w:r>
      <w:r>
        <w:rPr>
          <w:rFonts w:hint="default" w:ascii="Times New Roman" w:hAnsi="Times New Roman" w:cs="Times New Roman"/>
          <w:sz w:val="28"/>
          <w:szCs w:val="28"/>
          <w:vertAlign w:val="subscript"/>
        </w:rPr>
        <w:t>1</w:t>
      </w:r>
      <w:r>
        <w:rPr>
          <w:rFonts w:hint="default" w:ascii="Times New Roman" w:hAnsi="Times New Roman" w:cs="Times New Roman"/>
          <w:sz w:val="28"/>
          <w:szCs w:val="28"/>
        </w:rPr>
        <w:t xml:space="preserve"> and V</w:t>
      </w:r>
      <w:r>
        <w:rPr>
          <w:rFonts w:hint="default" w:ascii="Times New Roman" w:hAnsi="Times New Roman" w:cs="Times New Roman"/>
          <w:sz w:val="28"/>
          <w:szCs w:val="28"/>
          <w:vertAlign w:val="subscript"/>
        </w:rPr>
        <w:t>1</w:t>
      </w:r>
      <w:r>
        <w:rPr>
          <w:rFonts w:hint="default" w:ascii="Times New Roman" w:hAnsi="Times New Roman" w:cs="Times New Roman"/>
          <w:sz w:val="28"/>
          <w:szCs w:val="28"/>
        </w:rPr>
        <w:t xml:space="preserve"> represents the concentration (mol·L</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and volume (mL) of SDS solution, respectively, and C</w:t>
      </w:r>
      <w:r>
        <w:rPr>
          <w:rFonts w:hint="default" w:ascii="Times New Roman" w:hAnsi="Times New Roman" w:cs="Times New Roman"/>
          <w:sz w:val="28"/>
          <w:szCs w:val="28"/>
          <w:vertAlign w:val="subscript"/>
        </w:rPr>
        <w:t>2</w:t>
      </w:r>
      <w:r>
        <w:rPr>
          <w:rFonts w:hint="default" w:ascii="Times New Roman" w:hAnsi="Times New Roman" w:cs="Times New Roman"/>
          <w:sz w:val="28"/>
          <w:szCs w:val="28"/>
        </w:rPr>
        <w:t xml:space="preserve"> and V</w:t>
      </w:r>
      <w:r>
        <w:rPr>
          <w:rFonts w:hint="default" w:ascii="Times New Roman" w:hAnsi="Times New Roman" w:cs="Times New Roman"/>
          <w:sz w:val="28"/>
          <w:szCs w:val="28"/>
          <w:vertAlign w:val="subscript"/>
        </w:rPr>
        <w:t>2</w:t>
      </w:r>
      <w:r>
        <w:rPr>
          <w:rFonts w:hint="default" w:ascii="Times New Roman" w:hAnsi="Times New Roman" w:cs="Times New Roman"/>
          <w:sz w:val="28"/>
          <w:szCs w:val="28"/>
        </w:rPr>
        <w:t xml:space="preserve"> denotes the concentration of Hamming solution (mol·L</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and titration consumption volume (mL). M is relative molecular weight of the synthesized extended amphoteric surfactant(g·mol</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 corresponds to surfactant content (%) and M is the mass of betaine sample (g).</w:t>
      </w:r>
    </w:p>
    <w:p w14:paraId="39CD9C4F">
      <w:pPr>
        <w:pStyle w:val="4"/>
        <w:keepNext w:val="0"/>
        <w:keepLines w:val="0"/>
        <w:widowControl/>
        <w:spacing w:line="240" w:lineRule="auto"/>
        <w:ind w:firstLine="709"/>
        <w:jc w:val="both"/>
        <w:rPr>
          <w:rFonts w:hint="default" w:ascii="Times New Roman" w:hAnsi="Times New Roman" w:cs="Times New Roman"/>
          <w:bCs w:val="0"/>
          <w:i w:val="0"/>
          <w:iCs w:val="0"/>
          <w:sz w:val="28"/>
          <w:szCs w:val="28"/>
        </w:rPr>
      </w:pPr>
      <w:bookmarkStart w:id="405" w:name="_Toc32318"/>
      <w:bookmarkStart w:id="406" w:name="_Toc27506"/>
      <w:bookmarkStart w:id="407" w:name="_Toc6680"/>
      <w:bookmarkStart w:id="408" w:name="_Toc5429"/>
      <w:bookmarkStart w:id="409" w:name="_Toc5200"/>
      <w:bookmarkStart w:id="410" w:name="_Toc1755"/>
      <w:bookmarkStart w:id="411" w:name="_Toc12465"/>
      <w:r>
        <w:rPr>
          <w:rFonts w:hint="default" w:ascii="Times New Roman" w:hAnsi="Times New Roman" w:cs="Times New Roman"/>
          <w:bCs w:val="0"/>
          <w:i w:val="0"/>
          <w:iCs w:val="0"/>
          <w:sz w:val="28"/>
          <w:szCs w:val="28"/>
        </w:rPr>
        <w:t>3.2.6 Structural characterization</w:t>
      </w:r>
      <w:bookmarkEnd w:id="405"/>
      <w:r>
        <w:rPr>
          <w:rFonts w:hint="default" w:ascii="Times New Roman" w:hAnsi="Times New Roman" w:cs="Times New Roman"/>
          <w:bCs w:val="0"/>
          <w:i w:val="0"/>
          <w:iCs w:val="0"/>
          <w:sz w:val="28"/>
          <w:szCs w:val="28"/>
        </w:rPr>
        <w:t xml:space="preserve"> methods</w:t>
      </w:r>
      <w:bookmarkEnd w:id="406"/>
      <w:bookmarkEnd w:id="407"/>
      <w:bookmarkEnd w:id="408"/>
      <w:bookmarkEnd w:id="409"/>
      <w:bookmarkEnd w:id="410"/>
      <w:bookmarkEnd w:id="411"/>
    </w:p>
    <w:p w14:paraId="1FF25C3E">
      <w:pPr>
        <w:widowControl/>
        <w:ind w:firstLine="709" w:firstLineChars="0"/>
        <w:rPr>
          <w:rFonts w:hint="default" w:ascii="Times New Roman" w:hAnsi="Times New Roman" w:cs="Times New Roman"/>
          <w:i w:val="0"/>
          <w:iCs w:val="0"/>
          <w:sz w:val="28"/>
          <w:szCs w:val="28"/>
        </w:rPr>
      </w:pPr>
      <w:bookmarkStart w:id="412" w:name="_Toc24566"/>
      <w:bookmarkStart w:id="413" w:name="_Toc28396"/>
      <w:bookmarkStart w:id="414" w:name="_Toc9999"/>
      <w:bookmarkStart w:id="415" w:name="_Toc28601"/>
      <w:bookmarkStart w:id="416" w:name="_Toc6191"/>
      <w:r>
        <w:rPr>
          <w:rFonts w:hint="default" w:ascii="Times New Roman" w:hAnsi="Times New Roman" w:cs="Times New Roman"/>
          <w:i w:val="0"/>
          <w:iCs w:val="0"/>
          <w:sz w:val="28"/>
          <w:szCs w:val="28"/>
        </w:rPr>
        <w:t>3.2.6.1 Fourier transform infrared spectroscopy</w:t>
      </w:r>
      <w:bookmarkEnd w:id="412"/>
      <w:bookmarkEnd w:id="413"/>
      <w:bookmarkEnd w:id="414"/>
      <w:bookmarkEnd w:id="415"/>
      <w:bookmarkEnd w:id="416"/>
    </w:p>
    <w:p w14:paraId="2FC96C53">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Fourier transform infrared spectroscopy (FTIR) is a widely used technique for the identification of functional groups in organic molecules. When a substance is irradiated with infrared light, absorption occurs at frequencies that match the vibrational modes of specific functional groups, leading to an increase in the vibrational energy of the molecule and corresponding transitions between energy states. Consequently, the presence and type of functional groups in the target surfactant can be inferred from the positions of absorption peaks in the infrared spectrum, enabling a preliminary analysis of the molecular structure. For the current study, an appropriate amount of each surfactant sample was accurately weighed, dried to remove moisture, and subjected to infrared spectral analysis using the attenuated total reflection (ATR) technique. Spectra were recorded over a wavenumber range of 400–4000 cm⁻¹, which encompasses the typical vibrational frequencies of key functional groups.</w:t>
      </w:r>
    </w:p>
    <w:p w14:paraId="5D4D6FA9">
      <w:pPr>
        <w:widowControl/>
        <w:ind w:firstLine="709" w:firstLineChars="0"/>
        <w:rPr>
          <w:rFonts w:hint="default" w:ascii="Times New Roman" w:hAnsi="Times New Roman" w:cs="Times New Roman"/>
          <w:i w:val="0"/>
          <w:iCs w:val="0"/>
          <w:sz w:val="28"/>
          <w:szCs w:val="28"/>
        </w:rPr>
      </w:pPr>
      <w:bookmarkStart w:id="417" w:name="_Toc30332"/>
      <w:bookmarkStart w:id="418" w:name="_Toc23552"/>
      <w:bookmarkStart w:id="419" w:name="_Toc15643"/>
      <w:bookmarkStart w:id="420" w:name="_Toc11908"/>
      <w:bookmarkStart w:id="421" w:name="_Toc30888"/>
      <w:r>
        <w:rPr>
          <w:rFonts w:hint="default" w:ascii="Times New Roman" w:hAnsi="Times New Roman" w:cs="Times New Roman"/>
          <w:i w:val="0"/>
          <w:iCs w:val="0"/>
          <w:sz w:val="28"/>
          <w:szCs w:val="28"/>
        </w:rPr>
        <w:t xml:space="preserve">3.2.6.2 </w:t>
      </w:r>
      <w:r>
        <w:rPr>
          <w:rFonts w:hint="default" w:ascii="Times New Roman" w:hAnsi="Times New Roman" w:cs="Times New Roman"/>
          <w:i w:val="0"/>
          <w:iCs w:val="0"/>
          <w:sz w:val="28"/>
          <w:szCs w:val="28"/>
          <w:vertAlign w:val="superscript"/>
        </w:rPr>
        <w:t>1</w:t>
      </w:r>
      <w:r>
        <w:rPr>
          <w:rFonts w:hint="default" w:ascii="Times New Roman" w:hAnsi="Times New Roman" w:cs="Times New Roman"/>
          <w:i w:val="0"/>
          <w:iCs w:val="0"/>
          <w:sz w:val="28"/>
          <w:szCs w:val="28"/>
        </w:rPr>
        <w:t>H·NMR</w:t>
      </w:r>
      <w:bookmarkEnd w:id="417"/>
      <w:bookmarkEnd w:id="418"/>
      <w:bookmarkEnd w:id="419"/>
      <w:bookmarkEnd w:id="420"/>
      <w:bookmarkEnd w:id="421"/>
    </w:p>
    <w:p w14:paraId="7EC1997B">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Nuclear magnetic resonance (NMR) spectroscopy is a powerful analytical technique that provides detailed information about the molecular structure of compounds. In NMR, atomic nuclei are irradiated with electromagnetic waves of a specific frequency under a strong external magnetic field. When the energy of the incident radiation matches the energy difference between nuclear spin states, nuclei undergo a transition between these energy levels, resulting in the emission of a nuclear magnetic resonance signal. The resulting absorption spectrum, or NMR spectrum, reflects the chemical environment of the nuclei and allows for the elucidation of molecular structure. In this study, approximately 10 mg of each surfactant sample was accurately weighed and dissolved in 0.5 mL of deuterated solvent (CDCl</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 The solutions were then transferred to NMR tubes for measurement of the proton (</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H) spectra.</w:t>
      </w:r>
    </w:p>
    <w:p w14:paraId="642A03E2">
      <w:pPr>
        <w:pStyle w:val="3"/>
        <w:keepNext w:val="0"/>
        <w:keepLines w:val="0"/>
        <w:widowControl/>
        <w:spacing w:line="240" w:lineRule="auto"/>
        <w:ind w:firstLine="709"/>
        <w:jc w:val="both"/>
        <w:rPr>
          <w:rFonts w:hint="default" w:ascii="Times New Roman" w:hAnsi="Times New Roman" w:cs="Times New Roman"/>
          <w:b/>
          <w:bCs w:val="0"/>
          <w:i w:val="0"/>
          <w:iCs w:val="0"/>
          <w:sz w:val="28"/>
          <w:szCs w:val="28"/>
        </w:rPr>
      </w:pPr>
      <w:bookmarkStart w:id="422" w:name="_Toc32398"/>
      <w:bookmarkStart w:id="423" w:name="_Toc7289"/>
      <w:bookmarkStart w:id="424" w:name="_Toc26332"/>
      <w:bookmarkStart w:id="425" w:name="_Toc26798"/>
      <w:bookmarkStart w:id="426" w:name="_Toc18017"/>
      <w:bookmarkStart w:id="427" w:name="_Toc29439"/>
      <w:bookmarkStart w:id="428" w:name="_Toc10803"/>
      <w:r>
        <w:rPr>
          <w:rFonts w:hint="default" w:ascii="Times New Roman" w:hAnsi="Times New Roman" w:cs="Times New Roman"/>
          <w:b/>
          <w:bCs w:val="0"/>
          <w:i w:val="0"/>
          <w:iCs w:val="0"/>
          <w:sz w:val="28"/>
          <w:szCs w:val="28"/>
        </w:rPr>
        <w:t>3.3 Properties evaluation method</w:t>
      </w:r>
      <w:bookmarkEnd w:id="422"/>
      <w:bookmarkEnd w:id="423"/>
      <w:bookmarkEnd w:id="424"/>
      <w:r>
        <w:rPr>
          <w:rFonts w:hint="default" w:ascii="Times New Roman" w:hAnsi="Times New Roman" w:cs="Times New Roman"/>
          <w:b/>
          <w:bCs w:val="0"/>
          <w:i w:val="0"/>
          <w:iCs w:val="0"/>
          <w:sz w:val="28"/>
          <w:szCs w:val="28"/>
        </w:rPr>
        <w:t>s</w:t>
      </w:r>
      <w:bookmarkEnd w:id="425"/>
      <w:bookmarkEnd w:id="426"/>
      <w:bookmarkEnd w:id="427"/>
      <w:bookmarkEnd w:id="428"/>
    </w:p>
    <w:p w14:paraId="3AE3ED36">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429" w:name="_Toc7543"/>
      <w:bookmarkStart w:id="430" w:name="_Toc18433"/>
      <w:bookmarkStart w:id="431" w:name="_Toc60"/>
      <w:bookmarkStart w:id="432" w:name="_Toc26563"/>
      <w:bookmarkStart w:id="433" w:name="_Toc17120"/>
      <w:bookmarkStart w:id="434" w:name="_Toc26171"/>
      <w:bookmarkStart w:id="435" w:name="_Toc25008"/>
      <w:r>
        <w:rPr>
          <w:rFonts w:hint="default" w:ascii="Times New Roman" w:hAnsi="Times New Roman" w:cs="Times New Roman"/>
          <w:i w:val="0"/>
          <w:iCs w:val="0"/>
          <w:sz w:val="28"/>
          <w:szCs w:val="28"/>
        </w:rPr>
        <w:t>3.3.1 Solubility determination</w:t>
      </w:r>
      <w:bookmarkEnd w:id="429"/>
      <w:bookmarkEnd w:id="430"/>
      <w:bookmarkEnd w:id="431"/>
      <w:bookmarkEnd w:id="432"/>
      <w:bookmarkEnd w:id="433"/>
      <w:bookmarkEnd w:id="434"/>
      <w:bookmarkEnd w:id="435"/>
    </w:p>
    <w:p w14:paraId="551010F9">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Krafft point (T</w:t>
      </w:r>
      <w:r>
        <w:rPr>
          <w:rFonts w:hint="default" w:ascii="Times New Roman" w:hAnsi="Times New Roman" w:cs="Times New Roman"/>
          <w:sz w:val="28"/>
          <w:szCs w:val="28"/>
          <w:vertAlign w:val="subscript"/>
        </w:rPr>
        <w:t>k</w:t>
      </w:r>
      <w:r>
        <w:rPr>
          <w:rFonts w:hint="default" w:ascii="Times New Roman" w:hAnsi="Times New Roman" w:cs="Times New Roman"/>
          <w:sz w:val="28"/>
          <w:szCs w:val="28"/>
        </w:rPr>
        <w:t>) is a key thermodynamic parameter of ionic surfactants, defined as the minimum temperature at which surfactant solubility equals its critical micelle concentration (cmc). Only above this temperature can micelles form sufficiently, enabling full interfacial activity. Therefore, T</w:t>
      </w:r>
      <w:r>
        <w:rPr>
          <w:rFonts w:hint="default" w:ascii="Times New Roman" w:hAnsi="Times New Roman" w:cs="Times New Roman"/>
          <w:sz w:val="28"/>
          <w:szCs w:val="28"/>
          <w:vertAlign w:val="subscript"/>
        </w:rPr>
        <w:t>k</w:t>
      </w:r>
      <w:r>
        <w:rPr>
          <w:rFonts w:hint="default" w:ascii="Times New Roman" w:hAnsi="Times New Roman" w:cs="Times New Roman"/>
          <w:sz w:val="28"/>
          <w:szCs w:val="28"/>
        </w:rPr>
        <w:t xml:space="preserve"> is an important criterion for evaluating surfactant applicability under low-temperature conditions [73]. In this study, T</w:t>
      </w:r>
      <w:r>
        <w:rPr>
          <w:rFonts w:hint="default" w:ascii="Times New Roman" w:hAnsi="Times New Roman" w:cs="Times New Roman"/>
          <w:sz w:val="28"/>
          <w:szCs w:val="28"/>
          <w:vertAlign w:val="subscript"/>
        </w:rPr>
        <w:t>k</w:t>
      </w:r>
      <w:r>
        <w:rPr>
          <w:rFonts w:hint="default" w:ascii="Times New Roman" w:hAnsi="Times New Roman" w:cs="Times New Roman"/>
          <w:sz w:val="28"/>
          <w:szCs w:val="28"/>
        </w:rPr>
        <w:t xml:space="preserve"> was determined by a turbidimetric method. A 1 wt% aqueous surfactant solution was prepared, cooled in an ice–salt bath until turbidity appeared, and then slowly reheated. The temperature at which the solution became completely clear was recorded as the Krafft point. If no turbidity was observed down to −4 ℃, T</w:t>
      </w:r>
      <w:r>
        <w:rPr>
          <w:rFonts w:hint="default" w:ascii="Times New Roman" w:hAnsi="Times New Roman" w:cs="Times New Roman"/>
          <w:sz w:val="28"/>
          <w:szCs w:val="28"/>
          <w:vertAlign w:val="subscript"/>
        </w:rPr>
        <w:t>k</w:t>
      </w:r>
      <w:r>
        <w:rPr>
          <w:rFonts w:hint="default" w:ascii="Times New Roman" w:hAnsi="Times New Roman" w:cs="Times New Roman"/>
          <w:sz w:val="28"/>
          <w:szCs w:val="28"/>
        </w:rPr>
        <w:t xml:space="preserve"> was considered to be below 0 ℃. To further assess salt tolerance, surfactants were dissolved in NaCl solutions of varying concentrations and equilibrated at 25–55 ℃. Changes in solution clarity were monitored to evaluate the effects of salinity and temperature on solubility, providing insight into their applicability under reservoir conditions.</w:t>
      </w:r>
    </w:p>
    <w:p w14:paraId="646810EC">
      <w:pPr>
        <w:pStyle w:val="4"/>
        <w:keepNext w:val="0"/>
        <w:keepLines w:val="0"/>
        <w:widowControl/>
        <w:spacing w:line="240" w:lineRule="auto"/>
        <w:ind w:firstLine="709"/>
        <w:jc w:val="both"/>
        <w:rPr>
          <w:rFonts w:hint="default" w:ascii="Times New Roman" w:hAnsi="Times New Roman" w:cs="Times New Roman"/>
          <w:bCs w:val="0"/>
          <w:i w:val="0"/>
          <w:iCs w:val="0"/>
          <w:sz w:val="28"/>
          <w:szCs w:val="28"/>
        </w:rPr>
      </w:pPr>
      <w:bookmarkStart w:id="436" w:name="_Toc10312"/>
      <w:bookmarkStart w:id="437" w:name="_Toc2954"/>
      <w:bookmarkStart w:id="438" w:name="_Toc7777"/>
      <w:bookmarkStart w:id="439" w:name="_Toc17483"/>
      <w:bookmarkStart w:id="440" w:name="_Toc10737"/>
      <w:bookmarkStart w:id="441" w:name="_Toc7893"/>
      <w:bookmarkStart w:id="442" w:name="_Toc18176"/>
      <w:r>
        <w:rPr>
          <w:rFonts w:hint="default" w:ascii="Times New Roman" w:hAnsi="Times New Roman" w:cs="Times New Roman"/>
          <w:bCs w:val="0"/>
          <w:i w:val="0"/>
          <w:iCs w:val="0"/>
          <w:sz w:val="28"/>
          <w:szCs w:val="28"/>
        </w:rPr>
        <w:t>3.3.2 Surface tension measurement method</w:t>
      </w:r>
      <w:bookmarkEnd w:id="436"/>
      <w:bookmarkEnd w:id="437"/>
      <w:bookmarkEnd w:id="438"/>
      <w:bookmarkEnd w:id="439"/>
      <w:bookmarkEnd w:id="440"/>
      <w:bookmarkEnd w:id="441"/>
      <w:bookmarkEnd w:id="442"/>
    </w:p>
    <w:p w14:paraId="075E203B">
      <w:pPr>
        <w:widowControl/>
        <w:ind w:firstLine="709" w:firstLineChars="0"/>
        <w:rPr>
          <w:rFonts w:hint="default" w:ascii="Times New Roman" w:hAnsi="Times New Roman" w:cs="Times New Roman"/>
          <w:i w:val="0"/>
          <w:iCs w:val="0"/>
          <w:sz w:val="28"/>
          <w:szCs w:val="28"/>
        </w:rPr>
      </w:pPr>
      <w:r>
        <w:rPr>
          <w:rFonts w:hint="default" w:ascii="Times New Roman" w:hAnsi="Times New Roman" w:cs="Times New Roman"/>
          <w:i w:val="0"/>
          <w:iCs w:val="0"/>
          <w:sz w:val="28"/>
          <w:szCs w:val="28"/>
        </w:rPr>
        <w:t>3.3.2.1 Experimental method</w:t>
      </w:r>
    </w:p>
    <w:p w14:paraId="41071987">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Surface tension is a fundamental physicochemical property of surfactant solutions and serves as a direct indicator of surfactant surface activity and interfacial (air/water) adsorption behavior. Variations in surface tension with concentration reflect the progressive accumulation of surfactant molecules at the air–water interface [74]. In this study, the surface tension of aqueous surfactant solutions over a wide concentration range, prepared with de-ionized water, was measured using a QBZY-1 fully automatic surface tension meter based on the Wilhelmy plate method. To ensure high accuracy and reproducibility, each concentration was measured at least three times under identical experimental conditions, and the reported value corresponds to the arithmetic mean of these measurements. The experimental temperature was strictly controlled to eliminate the influence of thermal fluctuations on surface tension. The obtained surface tension data were plotted as a function of the logarithm of surfactant concentration (γ–log C), which typically exhibits a characteristic break-point corresponding to the onset of micelle formation. From this plot, the critical micelle concentration (cmc) was determined as the intersection point of the two linear regions before and after micellization, and the corresponding surface tension at the cmc (γ</w:t>
      </w:r>
      <w:r>
        <w:rPr>
          <w:rFonts w:hint="default" w:ascii="Times New Roman" w:hAnsi="Times New Roman" w:cs="Times New Roman"/>
          <w:sz w:val="28"/>
          <w:szCs w:val="28"/>
          <w:vertAlign w:val="subscript"/>
        </w:rPr>
        <w:t>cmc</w:t>
      </w:r>
      <w:r>
        <w:rPr>
          <w:rFonts w:hint="default" w:ascii="Times New Roman" w:hAnsi="Times New Roman" w:cs="Times New Roman"/>
          <w:sz w:val="28"/>
          <w:szCs w:val="28"/>
        </w:rPr>
        <w:t>) was extracted. These two parameters are widely used to evaluate the efficiency of surfactants in reducing surface tension and their tendency to self-assemble in aqueous media.</w:t>
      </w:r>
    </w:p>
    <w:p w14:paraId="486B1C52">
      <w:pPr>
        <w:widowControl/>
        <w:ind w:firstLine="709" w:firstLineChars="0"/>
        <w:rPr>
          <w:rFonts w:hint="default" w:ascii="Times New Roman" w:hAnsi="Times New Roman" w:cs="Times New Roman"/>
          <w:i w:val="0"/>
          <w:iCs w:val="0"/>
          <w:sz w:val="28"/>
          <w:szCs w:val="28"/>
        </w:rPr>
      </w:pPr>
      <w:r>
        <w:rPr>
          <w:rFonts w:hint="default" w:ascii="Times New Roman" w:hAnsi="Times New Roman" w:cs="Times New Roman"/>
          <w:i w:val="0"/>
          <w:iCs w:val="0"/>
          <w:sz w:val="28"/>
          <w:szCs w:val="28"/>
        </w:rPr>
        <w:t>3.3.2.2 Surface parameter calculation</w:t>
      </w:r>
    </w:p>
    <w:p w14:paraId="502A4C2E">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The surface adsorption behavior of surfactant molecules can be quantitatively described by the saturated adsorption capacity </w:t>
      </w:r>
      <w:r>
        <w:rPr>
          <w:rFonts w:hint="eastAsia" w:cs="Times New Roman"/>
          <w:sz w:val="28"/>
          <w:szCs w:val="28"/>
          <w:lang w:val="en-US" w:eastAsia="zh-CN"/>
        </w:rPr>
        <w:t>(</w:t>
      </w:r>
      <m:oMath>
        <m:r>
          <m:rPr>
            <m:nor/>
            <m:sty m:val="p"/>
          </m:rPr>
          <w:rPr>
            <w:rFonts w:hint="default" w:ascii="Times New Roman" w:hAnsi="Times New Roman" w:cs="Times New Roman"/>
            <w:b w:val="0"/>
            <w:i w:val="0"/>
            <w:sz w:val="28"/>
            <w:szCs w:val="28"/>
          </w:rPr>
          <m:t xml:space="preserve"> </m:t>
        </m:r>
        <m:sSub>
          <m:sSubPr>
            <m:ctrlPr>
              <w:rPr>
                <w:rFonts w:hint="default" w:ascii="Cambria Math" w:hAnsi="Cambria Math" w:cs="Times New Roman"/>
                <w:sz w:val="28"/>
                <w:szCs w:val="28"/>
              </w:rPr>
            </m:ctrlPr>
          </m:sSubPr>
          <m:e>
            <m:r>
              <m:rPr>
                <m:nor/>
              </m:rPr>
              <w:rPr>
                <w:rFonts w:hint="default" w:ascii="Times New Roman" w:hAnsi="Times New Roman" w:cs="Times New Roman"/>
                <w:i/>
                <w:iCs/>
                <w:sz w:val="28"/>
                <w:szCs w:val="28"/>
              </w:rPr>
              <m:t>Γ</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max</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which represents the maximum amount of surfactant adsorbed per unit area at the gas–liquid interface. </w:t>
      </w:r>
      <m:oMath>
        <m:r>
          <m:rPr>
            <m:nor/>
            <m:sty m:val="p"/>
          </m:rPr>
          <w:rPr>
            <w:rFonts w:hint="default" w:ascii="Times New Roman" w:hAnsi="Times New Roman" w:cs="Times New Roman"/>
            <w:b w:val="0"/>
            <w:i w:val="0"/>
            <w:sz w:val="28"/>
            <w:szCs w:val="28"/>
          </w:rPr>
          <m:t xml:space="preserve"> </m:t>
        </m:r>
        <m:sSub>
          <m:sSubPr>
            <m:ctrlPr>
              <w:rPr>
                <w:rFonts w:hint="default" w:ascii="Cambria Math" w:hAnsi="Cambria Math" w:cs="Times New Roman"/>
                <w:sz w:val="28"/>
                <w:szCs w:val="28"/>
              </w:rPr>
            </m:ctrlPr>
          </m:sSubPr>
          <m:e>
            <m:r>
              <m:rPr>
                <m:nor/>
              </m:rPr>
              <w:rPr>
                <w:rFonts w:hint="default" w:ascii="Times New Roman" w:hAnsi="Times New Roman" w:cs="Times New Roman"/>
                <w:i/>
                <w:iCs/>
                <w:sz w:val="28"/>
                <w:szCs w:val="28"/>
              </w:rPr>
              <m:t>Γ</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max</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(mol·m</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 was calculated using the Gibbs adsorption isotherm (Eq. 3</w:t>
      </w:r>
      <w:r>
        <w:rPr>
          <w:rFonts w:hint="default" w:ascii="Times New Roman" w:hAnsi="Times New Roman" w:cs="Times New Roman"/>
          <w:sz w:val="28"/>
          <w:szCs w:val="28"/>
          <w:lang w:val="en-US" w:eastAsia="zh-CN"/>
        </w:rPr>
        <w:t>.2</w:t>
      </w:r>
      <w:r>
        <w:rPr>
          <w:rFonts w:hint="default" w:ascii="Times New Roman" w:hAnsi="Times New Roman" w:cs="Times New Roman"/>
          <w:sz w:val="28"/>
          <w:szCs w:val="28"/>
        </w:rPr>
        <w:t xml:space="preserve">) based on the slope of the γ–log C curve in the linear region below the cmc. This parameter provides important information about the packing density and interfacial arrangement of surfactant molecules, and a higher </w:t>
      </w:r>
      <m:oMath>
        <m:r>
          <m:rPr>
            <m:nor/>
            <m:sty m:val="p"/>
          </m:rPr>
          <w:rPr>
            <w:rFonts w:hint="default" w:ascii="Times New Roman" w:hAnsi="Times New Roman" w:cs="Times New Roman"/>
            <w:b w:val="0"/>
            <w:i w:val="0"/>
            <w:sz w:val="28"/>
            <w:szCs w:val="28"/>
          </w:rPr>
          <m:t xml:space="preserve"> </m:t>
        </m:r>
        <m:sSub>
          <m:sSubPr>
            <m:ctrlPr>
              <w:rPr>
                <w:rFonts w:hint="default" w:ascii="Cambria Math" w:hAnsi="Cambria Math" w:cs="Times New Roman"/>
                <w:sz w:val="28"/>
                <w:szCs w:val="28"/>
              </w:rPr>
            </m:ctrlPr>
          </m:sSubPr>
          <m:e>
            <m:r>
              <m:rPr>
                <m:nor/>
              </m:rPr>
              <w:rPr>
                <w:rFonts w:hint="default" w:ascii="Times New Roman" w:hAnsi="Times New Roman" w:cs="Times New Roman"/>
                <w:b w:val="0"/>
                <w:i/>
                <w:iCs w:val="0"/>
                <w:sz w:val="28"/>
                <w:szCs w:val="28"/>
              </w:rPr>
              <m:t>Γ</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max</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value indicates a greater degree of molecular accumulation and tighter packing at the interface [75].</w:t>
      </w:r>
    </w:p>
    <w:p w14:paraId="01B96B1D">
      <w:pPr>
        <w:widowControl/>
        <w:ind w:firstLine="709" w:firstLineChars="0"/>
        <w:rPr>
          <w:rFonts w:hint="default" w:ascii="Times New Roman" w:hAnsi="Times New Roman" w:cs="Times New Roman"/>
          <w:sz w:val="28"/>
          <w:szCs w:val="28"/>
        </w:rPr>
      </w:pPr>
      <m:oMathPara>
        <m:oMathParaPr>
          <m:jc m:val="right"/>
        </m:oMathParaPr>
        <m:oMath>
          <m:r>
            <m:rPr>
              <m:nor/>
              <m:sty m:val="p"/>
            </m:rPr>
            <w:rPr>
              <w:rFonts w:hint="default" w:ascii="Times New Roman" w:hAnsi="Times New Roman" w:cs="Times New Roman"/>
              <w:b w:val="0"/>
              <w:i w:val="0"/>
              <w:sz w:val="28"/>
              <w:szCs w:val="28"/>
            </w:rPr>
            <m:t xml:space="preserve">                                           </m:t>
          </m:r>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iCs w:val="0"/>
                  <w:sz w:val="28"/>
                  <w:szCs w:val="28"/>
                </w:rPr>
                <m:t>Γ</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max</m:t>
              </m:r>
              <m:ctrlPr>
                <w:rPr>
                  <w:rFonts w:hint="default" w:ascii="Cambria Math" w:hAnsi="Cambria Math" w:cs="Times New Roman"/>
                  <w:sz w:val="28"/>
                  <w:szCs w:val="28"/>
                </w:rPr>
              </m:ctrlPr>
            </m:sub>
          </m:sSub>
          <m:r>
            <m:rPr>
              <m:nor/>
              <m:sty m:val="p"/>
            </m:rPr>
            <w:rPr>
              <w:rFonts w:hint="default" w:ascii="Times New Roman" w:hAnsi="Times New Roman" w:cs="Times New Roman"/>
              <w:b w:val="0"/>
              <w:i w:val="0"/>
              <w:sz w:val="28"/>
              <w:szCs w:val="28"/>
            </w:rPr>
            <m:t>=-</m:t>
          </m:r>
          <m:f>
            <m:fPr>
              <m:ctrlPr>
                <w:rPr>
                  <w:rFonts w:hint="default" w:ascii="Cambria Math" w:hAnsi="Cambria Math" w:cs="Times New Roman"/>
                  <w:i/>
                  <w:sz w:val="28"/>
                  <w:szCs w:val="28"/>
                </w:rPr>
              </m:ctrlPr>
            </m:fPr>
            <m:num>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num>
            <m:den>
              <m:r>
                <m:rPr>
                  <m:nor/>
                  <m:sty m:val="p"/>
                </m:rPr>
                <w:rPr>
                  <w:rFonts w:hint="default" w:ascii="Times New Roman" w:hAnsi="Times New Roman" w:cs="Times New Roman"/>
                  <w:b w:val="0"/>
                  <w:i w:val="0"/>
                  <w:sz w:val="28"/>
                  <w:szCs w:val="28"/>
                </w:rPr>
                <m:t>2.303</m:t>
              </m:r>
              <m:r>
                <m:rPr>
                  <m:nor/>
                </m:rPr>
                <w:rPr>
                  <w:rFonts w:hint="default" w:ascii="Times New Roman" w:hAnsi="Times New Roman" w:cs="Times New Roman"/>
                  <w:i/>
                  <w:sz w:val="28"/>
                  <w:szCs w:val="28"/>
                </w:rPr>
                <m:t>nRT</m:t>
              </m:r>
              <m:ctrlPr>
                <w:rPr>
                  <w:rFonts w:hint="default" w:ascii="Cambria Math" w:hAnsi="Cambria Math" w:cs="Times New Roman"/>
                  <w:i/>
                  <w:sz w:val="28"/>
                  <w:szCs w:val="28"/>
                </w:rPr>
              </m:ctrlPr>
            </m:den>
          </m:f>
          <m:d>
            <m:dPr>
              <m:ctrlPr>
                <w:rPr>
                  <w:rFonts w:hint="default" w:ascii="Cambria Math" w:hAnsi="Cambria Math" w:cs="Times New Roman"/>
                  <w:i/>
                  <w:sz w:val="28"/>
                  <w:szCs w:val="28"/>
                </w:rPr>
              </m:ctrlPr>
            </m:dPr>
            <m:e>
              <m:f>
                <m:fPr>
                  <m:ctrlPr>
                    <w:rPr>
                      <w:rFonts w:hint="default" w:ascii="Cambria Math" w:hAnsi="Cambria Math" w:cs="Times New Roman"/>
                      <w:i/>
                      <w:sz w:val="28"/>
                      <w:szCs w:val="28"/>
                    </w:rPr>
                  </m:ctrlPr>
                </m:fPr>
                <m:num>
                  <m:r>
                    <m:rPr>
                      <m:nor/>
                    </m:rPr>
                    <w:rPr>
                      <w:rFonts w:hint="default" w:ascii="Times New Roman" w:hAnsi="Times New Roman" w:cs="Times New Roman"/>
                      <w:i/>
                      <w:sz w:val="28"/>
                      <w:szCs w:val="28"/>
                    </w:rPr>
                    <m:t>dγ</m:t>
                  </m:r>
                  <m:ctrlPr>
                    <w:rPr>
                      <w:rFonts w:hint="default" w:ascii="Cambria Math" w:hAnsi="Cambria Math" w:cs="Times New Roman"/>
                      <w:i/>
                      <w:sz w:val="28"/>
                      <w:szCs w:val="28"/>
                    </w:rPr>
                  </m:ctrlPr>
                </m:num>
                <m:den>
                  <m:r>
                    <m:rPr>
                      <m:nor/>
                    </m:rPr>
                    <w:rPr>
                      <w:rFonts w:hint="default" w:ascii="Times New Roman" w:hAnsi="Times New Roman" w:cs="Times New Roman"/>
                      <w:i/>
                      <w:sz w:val="28"/>
                      <w:szCs w:val="28"/>
                    </w:rPr>
                    <m:t>dlogC</m:t>
                  </m:r>
                  <m:ctrlPr>
                    <w:rPr>
                      <w:rFonts w:hint="default" w:ascii="Cambria Math" w:hAnsi="Cambria Math" w:cs="Times New Roman"/>
                      <w:i/>
                      <w:sz w:val="28"/>
                      <w:szCs w:val="28"/>
                    </w:rPr>
                  </m:ctrlPr>
                </m:den>
              </m:f>
              <m:ctrlPr>
                <w:rPr>
                  <w:rFonts w:hint="default" w:ascii="Cambria Math" w:hAnsi="Cambria Math" w:cs="Times New Roman"/>
                  <w:i/>
                  <w:sz w:val="28"/>
                  <w:szCs w:val="28"/>
                </w:rPr>
              </m:ctrlPr>
            </m:e>
          </m:d>
          <m:r>
            <m:rPr>
              <m:nor/>
              <m:sty m:val="p"/>
            </m:rPr>
            <w:rPr>
              <w:rFonts w:hint="default" w:ascii="Times New Roman" w:hAnsi="Times New Roman" w:cs="Times New Roman"/>
              <w:b w:val="0"/>
              <w:i w:val="0"/>
              <w:sz w:val="28"/>
              <w:szCs w:val="28"/>
            </w:rPr>
            <m:t xml:space="preserve">                                       (3</m:t>
          </m:r>
          <m:r>
            <m:rPr>
              <m:nor/>
              <m:sty m:val="p"/>
            </m:rPr>
            <w:rPr>
              <w:rFonts w:hint="default" w:ascii="Times New Roman" w:hAnsi="Times New Roman" w:cs="Times New Roman"/>
              <w:b w:val="0"/>
              <w:i w:val="0"/>
              <w:sz w:val="28"/>
              <w:szCs w:val="28"/>
              <w:lang w:val="en-US" w:eastAsia="zh-CN"/>
            </w:rPr>
            <m:t>.2</m:t>
          </m:r>
          <m:r>
            <m:rPr>
              <m:nor/>
              <m:sty m:val="p"/>
            </m:rPr>
            <w:rPr>
              <w:rFonts w:hint="default" w:ascii="Times New Roman" w:hAnsi="Times New Roman" w:cs="Times New Roman"/>
              <w:b w:val="0"/>
              <w:i w:val="0"/>
              <w:sz w:val="28"/>
              <w:szCs w:val="28"/>
            </w:rPr>
            <m:t>)</m:t>
          </m:r>
        </m:oMath>
      </m:oMathPara>
    </w:p>
    <w:p w14:paraId="414EE850">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Where </w:t>
      </w:r>
      <m:oMath>
        <m:r>
          <m:rPr>
            <m:nor/>
            <m:sty m:val="p"/>
          </m:rPr>
          <w:rPr>
            <w:rFonts w:hint="default" w:ascii="Times New Roman" w:hAnsi="Times New Roman" w:cs="Times New Roman"/>
            <w:b w:val="0"/>
            <w:i w:val="0"/>
            <w:sz w:val="28"/>
            <w:szCs w:val="28"/>
          </w:rPr>
          <m:t xml:space="preserve"> </m:t>
        </m:r>
        <m:sSub>
          <m:sSubPr>
            <m:ctrlPr>
              <w:rPr>
                <w:rFonts w:hint="default" w:ascii="Cambria Math" w:hAnsi="Cambria Math" w:cs="Times New Roman"/>
                <w:sz w:val="28"/>
                <w:szCs w:val="28"/>
              </w:rPr>
            </m:ctrlPr>
          </m:sSubPr>
          <m:e>
            <m:r>
              <m:rPr>
                <m:nor/>
              </m:rPr>
              <w:rPr>
                <w:rFonts w:hint="default" w:ascii="Times New Roman" w:hAnsi="Times New Roman" w:cs="Times New Roman"/>
                <w:b w:val="0"/>
                <w:i/>
                <w:iCs w:val="0"/>
                <w:sz w:val="28"/>
                <w:szCs w:val="28"/>
              </w:rPr>
              <m:t>Γ</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max</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is the excess concentration of surfactant surface adsorption (mol·m</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 xml:space="preserve">). </w:t>
      </w:r>
      <w:r>
        <w:rPr>
          <w:rFonts w:hint="default" w:ascii="Times New Roman" w:hAnsi="Times New Roman" w:cs="Times New Roman"/>
          <w:i/>
          <w:iCs/>
          <w:sz w:val="28"/>
          <w:szCs w:val="28"/>
        </w:rPr>
        <w:t>T</w:t>
      </w:r>
      <w:r>
        <w:rPr>
          <w:rFonts w:hint="default" w:ascii="Times New Roman" w:hAnsi="Times New Roman" w:cs="Times New Roman"/>
          <w:sz w:val="28"/>
          <w:szCs w:val="28"/>
        </w:rPr>
        <w:t xml:space="preserve"> denotes the temperature (K). γ represents the surface tension of the surfactant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n is the coefficient (for salt free systems, n is taken as 1 for synthesized betaine surfactants). </w:t>
      </w:r>
      <w:r>
        <w:rPr>
          <w:rFonts w:hint="default" w:ascii="Times New Roman" w:hAnsi="Times New Roman" w:cs="Times New Roman"/>
          <w:i/>
          <w:iCs/>
          <w:sz w:val="28"/>
          <w:szCs w:val="28"/>
        </w:rPr>
        <w:t>C</w:t>
      </w:r>
      <w:r>
        <w:rPr>
          <w:rFonts w:hint="default" w:ascii="Times New Roman" w:hAnsi="Times New Roman" w:cs="Times New Roman"/>
          <w:sz w:val="28"/>
          <w:szCs w:val="28"/>
        </w:rPr>
        <w:t xml:space="preserve"> represents the concentration of surfactant (mol·L</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R is the gas constant (R=8.314 J∙(mol∙K)</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dγ/dlogC is the slope of the logarithmic [concentration] curve of surface tension under surfactant cmc.</w:t>
      </w:r>
    </w:p>
    <w:p w14:paraId="0B33286C">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The minimum area </w:t>
      </w:r>
      <m:oMath>
        <m:r>
          <m:rPr>
            <m:nor/>
            <m:sty m:val="p"/>
          </m:rPr>
          <w:rPr>
            <w:rFonts w:hint="default" w:ascii="Times New Roman" w:hAnsi="Times New Roman" w:cs="Times New Roman"/>
            <w:b w:val="0"/>
            <w:i w:val="0"/>
            <w:sz w:val="28"/>
            <w:szCs w:val="28"/>
          </w:rPr>
          <m:t xml:space="preserve"> </m:t>
        </m:r>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A</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min</m:t>
            </m:r>
            <m:ctrlPr>
              <w:rPr>
                <w:rFonts w:hint="default" w:ascii="Cambria Math" w:hAnsi="Cambria Math" w:cs="Times New Roman"/>
                <w:i/>
                <w:sz w:val="28"/>
                <w:szCs w:val="28"/>
              </w:rPr>
            </m:ctrlPr>
          </m:sub>
        </m:sSub>
        <m:r>
          <m:rPr/>
          <w:rPr>
            <w:rFonts w:hint="default" w:ascii="Cambria Math" w:hAnsi="Cambria Math" w:cs="Times New Roman"/>
            <w:sz w:val="28"/>
            <w:szCs w:val="28"/>
            <w:lang w:val="en-US" w:eastAsia="zh-CN"/>
          </w:rPr>
          <m:t xml:space="preserve"> </m:t>
        </m:r>
      </m:oMath>
      <w:r>
        <w:rPr>
          <w:rFonts w:hint="default" w:ascii="Times New Roman" w:hAnsi="Times New Roman" w:cs="Times New Roman"/>
          <w:sz w:val="28"/>
          <w:szCs w:val="28"/>
        </w:rPr>
        <w:t xml:space="preserve"> (nm</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 occupied by surfactant molecules at the gas/liquid interface can be obtained from equation (3</w:t>
      </w:r>
      <w:r>
        <w:rPr>
          <w:rFonts w:hint="default" w:ascii="Times New Roman" w:hAnsi="Times New Roman" w:cs="Times New Roman"/>
          <w:sz w:val="28"/>
          <w:szCs w:val="28"/>
          <w:lang w:val="en-US" w:eastAsia="zh-CN"/>
        </w:rPr>
        <w:t>.3</w:t>
      </w:r>
      <w:r>
        <w:rPr>
          <w:rFonts w:hint="default" w:ascii="Times New Roman" w:hAnsi="Times New Roman" w:cs="Times New Roman"/>
          <w:sz w:val="28"/>
          <w:szCs w:val="28"/>
        </w:rPr>
        <w:t>).</w:t>
      </w:r>
    </w:p>
    <w:p w14:paraId="6026027F">
      <w:pPr>
        <w:widowControl/>
        <w:ind w:firstLine="709" w:firstLineChars="0"/>
        <w:jc w:val="right"/>
        <w:rPr>
          <w:rFonts w:hint="default" w:ascii="Times New Roman" w:hAnsi="Times New Roman" w:cs="Times New Roman"/>
          <w:sz w:val="28"/>
          <w:szCs w:val="28"/>
          <w:lang w:val="pt-BR"/>
        </w:rPr>
      </w:pPr>
      <m:oMath>
        <m:r>
          <m:rPr>
            <m:nor/>
            <m:sty m:val="p"/>
          </m:rPr>
          <w:rPr>
            <w:rFonts w:hint="default" w:ascii="Times New Roman" w:hAnsi="Times New Roman" w:cs="Times New Roman"/>
            <w:b w:val="0"/>
            <w:i w:val="0"/>
            <w:sz w:val="28"/>
            <w:szCs w:val="28"/>
          </w:rPr>
          <m:t xml:space="preserve">  </m:t>
        </m:r>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lang w:val="pt-BR"/>
              </w:rPr>
              <m:t>A</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lang w:val="pt-BR"/>
              </w:rPr>
              <m:t>min</m:t>
            </m:r>
            <m:ctrlPr>
              <w:rPr>
                <w:rFonts w:hint="default" w:ascii="Cambria Math" w:hAnsi="Cambria Math" w:cs="Times New Roman"/>
                <w:i/>
                <w:sz w:val="28"/>
                <w:szCs w:val="28"/>
              </w:rPr>
            </m:ctrlPr>
          </m:sub>
        </m:sSub>
        <m:r>
          <m:rPr>
            <m:nor/>
            <m:sty m:val="p"/>
          </m:rPr>
          <w:rPr>
            <w:rFonts w:hint="default" w:ascii="Times New Roman" w:hAnsi="Times New Roman" w:cs="Times New Roman"/>
            <w:b w:val="0"/>
            <w:i w:val="0"/>
            <w:sz w:val="28"/>
            <w:szCs w:val="28"/>
            <w:lang w:val="pt-BR"/>
          </w:rPr>
          <m:t>=</m:t>
        </m:r>
        <m:f>
          <m:fPr>
            <m:ctrlPr>
              <w:rPr>
                <w:rFonts w:hint="default" w:ascii="Cambria Math" w:hAnsi="Cambria Math" w:cs="Times New Roman"/>
                <w:i/>
                <w:sz w:val="28"/>
                <w:szCs w:val="28"/>
              </w:rPr>
            </m:ctrlPr>
          </m:fPr>
          <m:num>
            <m:r>
              <m:rPr>
                <m:nor/>
                <m:sty m:val="p"/>
              </m:rPr>
              <w:rPr>
                <w:rFonts w:hint="default" w:ascii="Times New Roman" w:hAnsi="Times New Roman" w:cs="Times New Roman"/>
                <w:b w:val="0"/>
                <w:i w:val="0"/>
                <w:sz w:val="28"/>
                <w:szCs w:val="28"/>
                <w:lang w:val="pt-BR"/>
              </w:rPr>
              <m:t>1</m:t>
            </m:r>
            <m:ctrlPr>
              <w:rPr>
                <w:rFonts w:hint="default" w:ascii="Cambria Math" w:hAnsi="Cambria Math" w:cs="Times New Roman"/>
                <w:i/>
                <w:sz w:val="28"/>
                <w:szCs w:val="28"/>
              </w:rPr>
            </m:ctrlPr>
          </m:num>
          <m:den>
            <m:sSub>
              <m:sSubPr>
                <m:ctrlPr>
                  <w:rPr>
                    <w:rFonts w:hint="default" w:ascii="Cambria Math" w:hAnsi="Cambria Math" w:cs="Times New Roman"/>
                    <w:i/>
                    <w:sz w:val="28"/>
                    <w:szCs w:val="28"/>
                  </w:rPr>
                </m:ctrlPr>
              </m:sSubPr>
              <m:e>
                <m:r>
                  <m:rPr>
                    <m:nor/>
                    <m:sty m:val="p"/>
                  </m:rPr>
                  <w:rPr>
                    <w:rFonts w:hint="default" w:ascii="Times New Roman" w:hAnsi="Times New Roman" w:cs="Times New Roman"/>
                    <w:b w:val="0"/>
                    <w:i w:val="0"/>
                    <w:iCs/>
                    <w:sz w:val="28"/>
                    <w:szCs w:val="28"/>
                  </w:rPr>
                  <m:t>Γ</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lang w:val="pt-BR"/>
                  </w:rPr>
                  <m:t>max</m:t>
                </m:r>
                <m:ctrlPr>
                  <w:rPr>
                    <w:rFonts w:hint="default" w:ascii="Cambria Math" w:hAnsi="Cambria Math" w:cs="Times New Roman"/>
                    <w:i/>
                    <w:sz w:val="28"/>
                    <w:szCs w:val="28"/>
                  </w:rPr>
                </m:ctrlPr>
              </m:sub>
            </m:sSub>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lang w:val="pt-BR"/>
                  </w:rPr>
                  <m:t>N</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lang w:val="pt-BR"/>
                  </w:rPr>
                  <m:t>A</m:t>
                </m:r>
                <m:ctrlPr>
                  <w:rPr>
                    <w:rFonts w:hint="default" w:ascii="Cambria Math" w:hAnsi="Cambria Math" w:cs="Times New Roman"/>
                    <w:i/>
                    <w:sz w:val="28"/>
                    <w:szCs w:val="28"/>
                  </w:rPr>
                </m:ctrlPr>
              </m:sub>
            </m:sSub>
            <m:ctrlPr>
              <w:rPr>
                <w:rFonts w:hint="default" w:ascii="Cambria Math" w:hAnsi="Cambria Math" w:cs="Times New Roman"/>
                <w:i/>
                <w:sz w:val="28"/>
                <w:szCs w:val="28"/>
              </w:rPr>
            </m:ctrlPr>
          </m:den>
        </m:f>
        <m:r>
          <m:rPr>
            <m:nor/>
            <m:sty m:val="p"/>
          </m:rPr>
          <w:rPr>
            <w:rFonts w:hint="default" w:ascii="Times New Roman" w:hAnsi="Times New Roman" w:cs="Times New Roman"/>
            <w:b w:val="0"/>
            <w:i w:val="0"/>
            <w:sz w:val="28"/>
            <w:szCs w:val="28"/>
            <w:lang w:val="pt-BR"/>
          </w:rPr>
          <m:t xml:space="preserve"> </m:t>
        </m:r>
      </m:oMath>
      <w:r>
        <w:rPr>
          <w:rFonts w:hint="default" w:ascii="Times New Roman" w:hAnsi="Times New Roman" w:cs="Times New Roman"/>
          <w:sz w:val="28"/>
          <w:szCs w:val="28"/>
          <w:lang w:val="pt-BR"/>
        </w:rPr>
        <w:t xml:space="preserve">                                                  (3.</w:t>
      </w:r>
      <w:r>
        <w:rPr>
          <w:rFonts w:hint="default" w:ascii="Times New Roman" w:hAnsi="Times New Roman" w:cs="Times New Roman"/>
          <w:sz w:val="28"/>
          <w:szCs w:val="28"/>
          <w:lang w:val="en-US" w:eastAsia="zh-CN"/>
        </w:rPr>
        <w:t>3</w:t>
      </w:r>
      <w:r>
        <w:rPr>
          <w:rFonts w:hint="default" w:ascii="Times New Roman" w:hAnsi="Times New Roman" w:cs="Times New Roman"/>
          <w:sz w:val="28"/>
          <w:szCs w:val="28"/>
          <w:lang w:val="pt-BR"/>
        </w:rPr>
        <w:t>)</w:t>
      </w:r>
    </w:p>
    <w:p w14:paraId="28825BA8">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Where N</w:t>
      </w:r>
      <w:r>
        <w:rPr>
          <w:rFonts w:hint="default" w:ascii="Times New Roman" w:hAnsi="Times New Roman" w:cs="Times New Roman"/>
          <w:sz w:val="28"/>
          <w:szCs w:val="28"/>
          <w:vertAlign w:val="subscript"/>
        </w:rPr>
        <w:t>A</w:t>
      </w:r>
      <w:r>
        <w:rPr>
          <w:rFonts w:hint="default" w:ascii="Times New Roman" w:hAnsi="Times New Roman" w:cs="Times New Roman"/>
          <w:sz w:val="28"/>
          <w:szCs w:val="28"/>
        </w:rPr>
        <w:t xml:space="preserve"> is the Avogadro constant.</w:t>
      </w:r>
    </w:p>
    <w:p w14:paraId="2C03144C">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The surface performance of surfactants in aqueous solutions is evaluated by surface efficiency </w:t>
      </w:r>
      <m:oMath>
        <m:r>
          <m:rPr>
            <m:nor/>
            <m:sty m:val="p"/>
          </m:rPr>
          <w:rPr>
            <w:rFonts w:hint="default" w:ascii="Times New Roman" w:hAnsi="Times New Roman" w:cs="Times New Roman"/>
            <w:b w:val="0"/>
            <w:i w:val="0"/>
            <w:sz w:val="28"/>
            <w:szCs w:val="28"/>
          </w:rPr>
          <m:t xml:space="preserve"> </m:t>
        </m:r>
        <m:sSub>
          <m:sSubPr>
            <m:ctrlPr>
              <w:rPr>
                <w:rFonts w:hint="default" w:ascii="Cambria Math" w:hAnsi="Cambria Math" w:cs="Times New Roman"/>
                <w:i/>
                <w:sz w:val="28"/>
                <w:szCs w:val="28"/>
              </w:rPr>
            </m:ctrlPr>
          </m:sSubPr>
          <m:e>
            <m:r>
              <m:rPr>
                <m:nor/>
              </m:rPr>
              <w:rPr>
                <w:rFonts w:hint="default" w:ascii="Times New Roman" w:hAnsi="Times New Roman" w:cs="Times New Roman"/>
                <w:b w:val="0"/>
                <w:i/>
                <w:iCs/>
                <w:sz w:val="28"/>
                <w:szCs w:val="28"/>
              </w:rPr>
              <m:t>Π</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cmc</m:t>
            </m:r>
            <m:ctrlPr>
              <w:rPr>
                <w:rFonts w:hint="default" w:ascii="Cambria Math" w:hAnsi="Cambria Math" w:cs="Times New Roman"/>
                <w:i/>
                <w:sz w:val="28"/>
                <w:szCs w:val="28"/>
              </w:rPr>
            </m:ctrlPr>
          </m:sub>
        </m:sSub>
      </m:oMath>
      <w:r>
        <w:rPr>
          <w:rFonts w:hint="default" w:ascii="Times New Roman" w:hAnsi="Times New Roman" w:cs="Times New Roman"/>
          <w:sz w:val="28"/>
          <w:szCs w:val="28"/>
        </w:rPr>
        <w:t xml:space="preserve"> and adsorption efficiency </w:t>
      </w:r>
      <m:oMath>
        <m:r>
          <m:rPr>
            <m:nor/>
            <m:sty m:val="p"/>
          </m:rPr>
          <w:rPr>
            <w:rFonts w:hint="default" w:ascii="Times New Roman" w:hAnsi="Times New Roman" w:cs="Times New Roman"/>
            <w:b w:val="0"/>
            <w:i w:val="0"/>
            <w:sz w:val="28"/>
            <w:szCs w:val="28"/>
          </w:rPr>
          <m:t xml:space="preserve">  </m:t>
        </m:r>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pC</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20</m:t>
            </m:r>
            <m:ctrlPr>
              <w:rPr>
                <w:rFonts w:hint="default" w:ascii="Cambria Math" w:hAnsi="Cambria Math" w:cs="Times New Roman"/>
                <w:i/>
                <w:sz w:val="28"/>
                <w:szCs w:val="28"/>
              </w:rPr>
            </m:ctrlPr>
          </m:sub>
        </m:sSub>
      </m:oMath>
      <w:r>
        <w:rPr>
          <w:rFonts w:hint="default" w:ascii="Times New Roman" w:hAnsi="Times New Roman" w:cs="Times New Roman"/>
          <w:sz w:val="28"/>
          <w:szCs w:val="28"/>
        </w:rPr>
        <w:t>, calculated by Eqs. (3</w:t>
      </w:r>
      <w:r>
        <w:rPr>
          <w:rFonts w:hint="default" w:ascii="Times New Roman" w:hAnsi="Times New Roman" w:cs="Times New Roman"/>
          <w:sz w:val="28"/>
          <w:szCs w:val="28"/>
          <w:lang w:val="en-US" w:eastAsia="zh-CN"/>
        </w:rPr>
        <w:t>.4</w:t>
      </w:r>
      <w:r>
        <w:rPr>
          <w:rFonts w:hint="default" w:ascii="Times New Roman" w:hAnsi="Times New Roman" w:cs="Times New Roman"/>
          <w:sz w:val="28"/>
          <w:szCs w:val="28"/>
        </w:rPr>
        <w:t>) and (3</w:t>
      </w:r>
      <w:r>
        <w:rPr>
          <w:rFonts w:hint="default" w:ascii="Times New Roman" w:hAnsi="Times New Roman" w:cs="Times New Roman"/>
          <w:sz w:val="28"/>
          <w:szCs w:val="28"/>
          <w:lang w:val="en-US" w:eastAsia="zh-CN"/>
        </w:rPr>
        <w:t>.5</w:t>
      </w:r>
      <w:r>
        <w:rPr>
          <w:rFonts w:hint="default" w:ascii="Times New Roman" w:hAnsi="Times New Roman" w:cs="Times New Roman"/>
          <w:sz w:val="28"/>
          <w:szCs w:val="28"/>
        </w:rPr>
        <w:t>):</w:t>
      </w:r>
    </w:p>
    <w:p w14:paraId="0D2E8067">
      <w:pPr>
        <w:widowControl/>
        <w:ind w:firstLine="709" w:firstLineChars="0"/>
        <w:rPr>
          <w:rFonts w:hint="default" w:ascii="Times New Roman" w:hAnsi="Times New Roman" w:cs="Times New Roman"/>
          <w:sz w:val="28"/>
          <w:szCs w:val="28"/>
        </w:rPr>
      </w:pPr>
      <m:oMathPara>
        <m:oMathParaPr>
          <m:jc m:val="right"/>
        </m:oMathParaPr>
        <m:oMath>
          <m:sSub>
            <m:sSubPr>
              <m:ctrlPr>
                <w:rPr>
                  <w:rFonts w:hint="default" w:ascii="Cambria Math" w:hAnsi="Cambria Math" w:cs="Times New Roman"/>
                  <w:i/>
                  <w:sz w:val="28"/>
                  <w:szCs w:val="28"/>
                </w:rPr>
              </m:ctrlPr>
            </m:sSubPr>
            <m:e>
              <m:r>
                <m:rPr>
                  <m:nor/>
                </m:rPr>
                <w:rPr>
                  <w:rFonts w:hint="default" w:ascii="Times New Roman" w:hAnsi="Times New Roman" w:cs="Times New Roman"/>
                  <w:b w:val="0"/>
                  <w:i/>
                  <w:iCs/>
                  <w:sz w:val="28"/>
                  <w:szCs w:val="28"/>
                </w:rPr>
                <m:t>Π</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cmc</m:t>
              </m:r>
              <m:ctrlPr>
                <w:rPr>
                  <w:rFonts w:hint="default" w:ascii="Cambria Math" w:hAnsi="Cambria Math" w:cs="Times New Roman"/>
                  <w:i/>
                  <w:sz w:val="28"/>
                  <w:szCs w:val="28"/>
                </w:rPr>
              </m:ctrlPr>
            </m:sub>
          </m:sSub>
          <m:r>
            <m:rPr>
              <m:nor/>
              <m:sty m:val="p"/>
            </m:rPr>
            <w:rPr>
              <w:rFonts w:hint="default" w:ascii="Times New Roman" w:hAnsi="Times New Roman" w:cs="Times New Roman"/>
              <w:b w:val="0"/>
              <w:i w:val="0"/>
              <w:sz w:val="28"/>
              <w:szCs w:val="28"/>
            </w:rPr>
            <m:t>=</m:t>
          </m:r>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γ</m:t>
              </m:r>
              <m:ctrlPr>
                <w:rPr>
                  <w:rFonts w:hint="default" w:ascii="Cambria Math" w:hAnsi="Cambria Math" w:cs="Times New Roman"/>
                  <w:i/>
                  <w:sz w:val="28"/>
                  <w:szCs w:val="28"/>
                </w:rPr>
              </m:ctrlPr>
            </m:e>
            <m:sub>
              <m:r>
                <m:rPr>
                  <m:nor/>
                </m:rPr>
                <w:rPr>
                  <w:rFonts w:hint="default" w:ascii="Times New Roman" w:hAnsi="Times New Roman" w:cs="Times New Roman"/>
                  <w:i/>
                  <w:sz w:val="28"/>
                  <w:szCs w:val="28"/>
                </w:rPr>
                <m:t>O</m:t>
              </m:r>
              <m:ctrlPr>
                <w:rPr>
                  <w:rFonts w:hint="default" w:ascii="Cambria Math" w:hAnsi="Cambria Math" w:cs="Times New Roman"/>
                  <w:i/>
                  <w:sz w:val="28"/>
                  <w:szCs w:val="28"/>
                </w:rPr>
              </m:ctrlPr>
            </m:sub>
          </m:sSub>
          <m:r>
            <m:rPr>
              <m:nor/>
              <m:sty m:val="p"/>
            </m:rPr>
            <w:rPr>
              <w:rFonts w:hint="default" w:ascii="Times New Roman" w:hAnsi="Times New Roman" w:cs="Times New Roman"/>
              <w:b w:val="0"/>
              <w:i w:val="0"/>
              <w:sz w:val="28"/>
              <w:szCs w:val="28"/>
            </w:rPr>
            <m:t>-</m:t>
          </m:r>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γ</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cmc</m:t>
              </m:r>
              <m:ctrlPr>
                <w:rPr>
                  <w:rFonts w:hint="default" w:ascii="Cambria Math" w:hAnsi="Cambria Math" w:cs="Times New Roman"/>
                  <w:i/>
                  <w:sz w:val="28"/>
                  <w:szCs w:val="28"/>
                </w:rPr>
              </m:ctrlPr>
            </m:sub>
          </m:sSub>
          <m:r>
            <m:rPr>
              <m:nor/>
              <m:sty m:val="p"/>
            </m:rPr>
            <w:rPr>
              <w:rFonts w:hint="default" w:ascii="Times New Roman" w:hAnsi="Times New Roman" w:cs="Times New Roman"/>
              <w:b w:val="0"/>
              <w:i w:val="0"/>
              <w:sz w:val="28"/>
              <w:szCs w:val="28"/>
            </w:rPr>
            <m:t xml:space="preserve">                                                        (3</m:t>
          </m:r>
          <m:r>
            <m:rPr>
              <m:nor/>
              <m:sty m:val="p"/>
            </m:rPr>
            <w:rPr>
              <w:rFonts w:hint="default" w:ascii="Times New Roman" w:hAnsi="Times New Roman" w:cs="Times New Roman"/>
              <w:b w:val="0"/>
              <w:i w:val="0"/>
              <w:sz w:val="28"/>
              <w:szCs w:val="28"/>
              <w:lang w:val="en-US" w:eastAsia="zh-CN"/>
            </w:rPr>
            <m:t>.4</m:t>
          </m:r>
          <m:r>
            <m:rPr>
              <m:nor/>
              <m:sty m:val="p"/>
            </m:rPr>
            <w:rPr>
              <w:rFonts w:hint="default" w:ascii="Times New Roman" w:hAnsi="Times New Roman" w:cs="Times New Roman"/>
              <w:b w:val="0"/>
              <w:i w:val="0"/>
              <w:sz w:val="28"/>
              <w:szCs w:val="28"/>
            </w:rPr>
            <m:t>)</m:t>
          </m:r>
        </m:oMath>
      </m:oMathPara>
    </w:p>
    <w:p w14:paraId="713B2692">
      <w:pPr>
        <w:widowControl/>
        <w:ind w:firstLine="709" w:firstLineChars="0"/>
        <w:jc w:val="right"/>
        <w:rPr>
          <w:rFonts w:hint="default" w:ascii="Times New Roman" w:hAnsi="Times New Roman" w:cs="Times New Roman"/>
          <w:sz w:val="28"/>
          <w:szCs w:val="28"/>
        </w:rPr>
      </w:pPr>
      <m:oMath>
        <m:r>
          <m:rPr>
            <m:nor/>
            <m:sty m:val="p"/>
          </m:rPr>
          <w:rPr>
            <w:rFonts w:hint="default" w:ascii="Times New Roman" w:hAnsi="Times New Roman" w:cs="Times New Roman"/>
            <w:b w:val="0"/>
            <w:i w:val="0"/>
            <w:sz w:val="28"/>
            <w:szCs w:val="28"/>
          </w:rPr>
          <m:t xml:space="preserve">   </m:t>
        </m:r>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pC</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20</m:t>
            </m:r>
            <m:ctrlPr>
              <w:rPr>
                <w:rFonts w:hint="default" w:ascii="Cambria Math" w:hAnsi="Cambria Math" w:cs="Times New Roman"/>
                <w:i/>
                <w:sz w:val="28"/>
                <w:szCs w:val="28"/>
              </w:rPr>
            </m:ctrlPr>
          </m:sub>
        </m:sSub>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sz w:val="28"/>
            <w:szCs w:val="28"/>
          </w:rPr>
          <m:t>log</m:t>
        </m:r>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C</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20</m:t>
            </m:r>
            <m:ctrlPr>
              <w:rPr>
                <w:rFonts w:hint="default" w:ascii="Cambria Math" w:hAnsi="Cambria Math" w:cs="Times New Roman"/>
                <w:i/>
                <w:sz w:val="28"/>
                <w:szCs w:val="28"/>
              </w:rPr>
            </m:ctrlPr>
          </m:sub>
        </m:sSub>
        <m:r>
          <m:rPr>
            <m:nor/>
            <m:sty m:val="p"/>
          </m:rPr>
          <w:rPr>
            <w:rFonts w:hint="default" w:ascii="Times New Roman" w:hAnsi="Times New Roman" w:cs="Times New Roman"/>
            <w:b w:val="0"/>
            <w:i w:val="0"/>
            <w:sz w:val="28"/>
            <w:szCs w:val="28"/>
          </w:rPr>
          <m:t xml:space="preserve">   </m:t>
        </m:r>
      </m:oMath>
      <w:r>
        <w:rPr>
          <w:rFonts w:hint="default" w:ascii="Times New Roman" w:hAnsi="Times New Roman" w:cs="Times New Roman"/>
          <w:sz w:val="28"/>
          <w:szCs w:val="28"/>
        </w:rPr>
        <w:t xml:space="preserve">                                                   (3.</w:t>
      </w:r>
      <w:r>
        <w:rPr>
          <w:rFonts w:hint="default" w:ascii="Times New Roman" w:hAnsi="Times New Roman" w:cs="Times New Roman"/>
          <w:sz w:val="28"/>
          <w:szCs w:val="28"/>
          <w:lang w:val="en-US" w:eastAsia="zh-CN"/>
        </w:rPr>
        <w:t>5</w:t>
      </w:r>
      <w:r>
        <w:rPr>
          <w:rFonts w:hint="default" w:ascii="Times New Roman" w:hAnsi="Times New Roman" w:cs="Times New Roman"/>
          <w:sz w:val="28"/>
          <w:szCs w:val="28"/>
        </w:rPr>
        <w:t>)</w:t>
      </w:r>
    </w:p>
    <w:p w14:paraId="50DD4CB2">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Where γ</w:t>
      </w:r>
      <w:r>
        <w:rPr>
          <w:rFonts w:hint="default" w:ascii="Times New Roman" w:hAnsi="Times New Roman" w:cs="Times New Roman"/>
          <w:sz w:val="28"/>
          <w:szCs w:val="28"/>
          <w:vertAlign w:val="subscript"/>
        </w:rPr>
        <w:t>cmc</w:t>
      </w:r>
      <w:r>
        <w:rPr>
          <w:rFonts w:hint="default" w:ascii="Times New Roman" w:hAnsi="Times New Roman" w:cs="Times New Roman"/>
          <w:sz w:val="28"/>
          <w:szCs w:val="28"/>
        </w:rPr>
        <w:t xml:space="preserve"> and γ</w:t>
      </w:r>
      <w:r>
        <w:rPr>
          <w:rFonts w:hint="default" w:ascii="Times New Roman" w:hAnsi="Times New Roman" w:cs="Times New Roman"/>
          <w:sz w:val="28"/>
          <w:szCs w:val="28"/>
          <w:vertAlign w:val="subscript"/>
        </w:rPr>
        <w:t>O</w:t>
      </w:r>
      <w:r>
        <w:rPr>
          <w:rFonts w:hint="default" w:ascii="Times New Roman" w:hAnsi="Times New Roman" w:cs="Times New Roman"/>
          <w:sz w:val="28"/>
          <w:szCs w:val="28"/>
        </w:rPr>
        <w:t xml:space="preserve"> are the surface tensions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of surfactants at critical micelle concentrations and pure solvents (water), respectively, and </w:t>
      </w:r>
      <w:r>
        <w:rPr>
          <w:rFonts w:hint="default" w:ascii="Times New Roman" w:hAnsi="Times New Roman" w:cs="Times New Roman"/>
          <w:i/>
          <w:iCs/>
          <w:sz w:val="28"/>
          <w:szCs w:val="28"/>
        </w:rPr>
        <w:t>pC</w:t>
      </w:r>
      <w:r>
        <w:rPr>
          <w:rFonts w:hint="default" w:ascii="Times New Roman" w:hAnsi="Times New Roman" w:cs="Times New Roman"/>
          <w:sz w:val="28"/>
          <w:szCs w:val="28"/>
          <w:vertAlign w:val="subscript"/>
        </w:rPr>
        <w:t>20</w:t>
      </w:r>
      <w:r>
        <w:rPr>
          <w:rFonts w:hint="default" w:ascii="Times New Roman" w:hAnsi="Times New Roman" w:cs="Times New Roman"/>
          <w:sz w:val="28"/>
          <w:szCs w:val="28"/>
        </w:rPr>
        <w:t xml:space="preserve"> is the negative logarithm of the concentration that reduces the surface tension of pure solvents by 20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w:t>
      </w:r>
    </w:p>
    <w:p w14:paraId="54D43802">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micellization behavior of surfactants in aqueous solution can be determined by calculating the corresponding thermodynamic parameters including the Gibbs free energy change (</w:t>
      </w:r>
      <m:oMath>
        <m:r>
          <m:rPr>
            <m:nor/>
            <m:sty m:val="p"/>
          </m:rPr>
          <w:rPr>
            <w:rFonts w:hint="default" w:ascii="Times New Roman" w:hAnsi="Times New Roman" w:cs="Times New Roman"/>
            <w:b w:val="0"/>
            <w:i w:val="0"/>
            <w:sz w:val="28"/>
            <w:szCs w:val="28"/>
          </w:rPr>
          <m:t>Δ</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enthalpy change (</w:t>
      </w:r>
      <m:oMath>
        <m:r>
          <m:rPr>
            <m:nor/>
            <m:sty m:val="p"/>
          </m:rPr>
          <w:rPr>
            <w:rFonts w:hint="default" w:ascii="Times New Roman" w:hAnsi="Times New Roman" w:cs="Times New Roman"/>
            <w:b w:val="0"/>
            <w:i w:val="0"/>
            <w:sz w:val="28"/>
            <w:szCs w:val="28"/>
          </w:rPr>
          <m:t>Δ</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H</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and entropy change (</w:t>
      </w:r>
      <m:oMath>
        <m:r>
          <m:rPr>
            <m:nor/>
            <m:sty m:val="p"/>
          </m:rPr>
          <w:rPr>
            <w:rFonts w:hint="default" w:ascii="Times New Roman" w:hAnsi="Times New Roman" w:cs="Times New Roman"/>
            <w:b w:val="0"/>
            <w:i w:val="0"/>
            <w:sz w:val="28"/>
            <w:szCs w:val="28"/>
          </w:rPr>
          <m:t>Δ</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S</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utilizing Eqs. (3</w:t>
      </w:r>
      <w:r>
        <w:rPr>
          <w:rFonts w:hint="default" w:ascii="Times New Roman" w:hAnsi="Times New Roman" w:cs="Times New Roman"/>
          <w:sz w:val="28"/>
          <w:szCs w:val="28"/>
          <w:lang w:val="en-US" w:eastAsia="zh-CN"/>
        </w:rPr>
        <w:t>.6</w:t>
      </w:r>
      <w:r>
        <w:rPr>
          <w:rFonts w:hint="default" w:ascii="Times New Roman" w:hAnsi="Times New Roman" w:cs="Times New Roman"/>
          <w:sz w:val="28"/>
          <w:szCs w:val="28"/>
        </w:rPr>
        <w:t>) - (3</w:t>
      </w:r>
      <w:r>
        <w:rPr>
          <w:rFonts w:hint="default" w:ascii="Times New Roman" w:hAnsi="Times New Roman" w:cs="Times New Roman"/>
          <w:sz w:val="28"/>
          <w:szCs w:val="28"/>
          <w:lang w:val="en-US" w:eastAsia="zh-CN"/>
        </w:rPr>
        <w:t>.8</w:t>
      </w:r>
      <w:r>
        <w:rPr>
          <w:rFonts w:hint="default" w:ascii="Times New Roman" w:hAnsi="Times New Roman" w:cs="Times New Roman"/>
          <w:sz w:val="28"/>
          <w:szCs w:val="28"/>
        </w:rPr>
        <w:t>) [76].</w:t>
      </w:r>
    </w:p>
    <w:p w14:paraId="6C757B6B">
      <w:pPr>
        <w:keepNext w:val="0"/>
        <w:keepLines w:val="0"/>
        <w:pageBreakBefore w:val="0"/>
        <w:widowControl/>
        <w:kinsoku/>
        <w:wordWrap/>
        <w:overflowPunct/>
        <w:topLinePunct w:val="0"/>
        <w:autoSpaceDE/>
        <w:autoSpaceDN/>
        <w:bidi w:val="0"/>
        <w:adjustRightInd/>
        <w:snapToGrid w:val="0"/>
        <w:ind w:firstLine="709" w:firstLineChars="0"/>
        <w:jc w:val="right"/>
        <w:textAlignment w:val="auto"/>
        <w:rPr>
          <w:rFonts w:hint="default" w:ascii="Times New Roman" w:hAnsi="Times New Roman" w:cs="Times New Roman"/>
          <w:i/>
          <w:iCs/>
          <w:sz w:val="28"/>
          <w:szCs w:val="28"/>
        </w:rPr>
      </w:pPr>
      <m:oMath>
        <m:r>
          <m:rPr>
            <m:nor/>
            <m:sty m:val="p"/>
          </m:rPr>
          <w:rPr>
            <w:rFonts w:hint="default" w:ascii="Times New Roman" w:hAnsi="Times New Roman" w:cs="Times New Roman"/>
            <w:b w:val="0"/>
            <w:i w:val="0"/>
            <w:sz w:val="28"/>
            <w:szCs w:val="28"/>
          </w:rPr>
          <m:t>Δ</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sz w:val="28"/>
            <w:szCs w:val="28"/>
          </w:rPr>
          <m:t>RT</m:t>
        </m:r>
        <m:r>
          <m:rPr>
            <m:nor/>
            <m:sty m:val="p"/>
          </m:rPr>
          <w:rPr>
            <w:rFonts w:hint="default" w:ascii="Times New Roman" w:hAnsi="Times New Roman" w:cs="Times New Roman"/>
            <w:b w:val="0"/>
            <w:i w:val="0"/>
            <w:sz w:val="28"/>
            <w:szCs w:val="28"/>
          </w:rPr>
          <m:t>ln(</m:t>
        </m:r>
        <m:sSub>
          <m:sSubPr>
            <m:ctrlPr>
              <w:rPr>
                <w:rFonts w:hint="default" w:ascii="Cambria Math" w:hAnsi="Cambria Math" w:cs="Times New Roman"/>
                <w:i/>
                <w:iCs/>
                <w:sz w:val="28"/>
                <w:szCs w:val="28"/>
              </w:rPr>
            </m:ctrlPr>
          </m:sSubPr>
          <m:e>
            <m:r>
              <m:rPr>
                <m:nor/>
              </m:rPr>
              <w:rPr>
                <w:rFonts w:hint="default" w:ascii="Times New Roman" w:hAnsi="Times New Roman" w:cs="Times New Roman"/>
                <w:i/>
                <w:sz w:val="28"/>
                <w:szCs w:val="28"/>
              </w:rPr>
              <m:t>X</m:t>
            </m:r>
            <m:ctrlPr>
              <w:rPr>
                <w:rFonts w:hint="default" w:ascii="Cambria Math" w:hAnsi="Cambria Math" w:cs="Times New Roman"/>
                <w:i/>
                <w:iCs/>
                <w:sz w:val="28"/>
                <w:szCs w:val="28"/>
              </w:rPr>
            </m:ctrlPr>
          </m:e>
          <m:sub>
            <m:r>
              <m:rPr>
                <m:nor/>
                <m:sty m:val="p"/>
              </m:rPr>
              <w:rPr>
                <w:rFonts w:hint="default" w:ascii="Times New Roman" w:hAnsi="Times New Roman" w:cs="Times New Roman"/>
                <w:b w:val="0"/>
                <w:i w:val="0"/>
                <w:sz w:val="28"/>
                <w:szCs w:val="28"/>
              </w:rPr>
              <m:t>cmc</m:t>
            </m:r>
            <m:ctrlPr>
              <w:rPr>
                <w:rFonts w:hint="default" w:ascii="Cambria Math" w:hAnsi="Cambria Math" w:cs="Times New Roman"/>
                <w:i/>
                <w:iCs/>
                <w:sz w:val="28"/>
                <w:szCs w:val="28"/>
              </w:rPr>
            </m:ctrlPr>
          </m:sub>
        </m:sSub>
        <m:r>
          <m:rPr>
            <m:nor/>
            <m:sty m:val="p"/>
          </m:rPr>
          <w:rPr>
            <w:rFonts w:hint="default" w:ascii="Times New Roman" w:hAnsi="Times New Roman" w:cs="Times New Roman"/>
            <w:b w:val="0"/>
            <w:i w:val="0"/>
            <w:sz w:val="28"/>
            <w:szCs w:val="28"/>
          </w:rPr>
          <m:t>)</m:t>
        </m:r>
      </m:oMath>
      <w:r>
        <w:rPr>
          <w:rFonts w:hint="default" w:ascii="Times New Roman" w:hAnsi="Times New Roman" w:cs="Times New Roman"/>
          <w:i/>
          <w:sz w:val="28"/>
          <w:szCs w:val="28"/>
        </w:rPr>
        <w:t xml:space="preserve">                                                    </w:t>
      </w:r>
      <w:r>
        <w:rPr>
          <w:rFonts w:hint="default" w:ascii="Times New Roman" w:hAnsi="Times New Roman" w:cs="Times New Roman"/>
          <w:iCs/>
          <w:sz w:val="28"/>
          <w:szCs w:val="28"/>
        </w:rPr>
        <w:t>(3</w:t>
      </w:r>
      <w:r>
        <w:rPr>
          <w:rFonts w:hint="default" w:ascii="Times New Roman" w:hAnsi="Times New Roman" w:cs="Times New Roman"/>
          <w:iCs/>
          <w:sz w:val="28"/>
          <w:szCs w:val="28"/>
          <w:lang w:val="en-US" w:eastAsia="zh-CN"/>
        </w:rPr>
        <w:t>.6</w:t>
      </w:r>
      <w:r>
        <w:rPr>
          <w:rFonts w:hint="default" w:ascii="Times New Roman" w:hAnsi="Times New Roman" w:cs="Times New Roman"/>
          <w:iCs/>
          <w:sz w:val="28"/>
          <w:szCs w:val="28"/>
        </w:rPr>
        <w:t>)</w:t>
      </w:r>
    </w:p>
    <w:p w14:paraId="720C97C7">
      <w:pPr>
        <w:keepNext w:val="0"/>
        <w:keepLines w:val="0"/>
        <w:pageBreakBefore w:val="0"/>
        <w:widowControl/>
        <w:kinsoku/>
        <w:wordWrap/>
        <w:overflowPunct/>
        <w:topLinePunct w:val="0"/>
        <w:autoSpaceDE/>
        <w:autoSpaceDN/>
        <w:bidi w:val="0"/>
        <w:adjustRightInd/>
        <w:snapToGrid w:val="0"/>
        <w:ind w:firstLine="709" w:firstLineChars="0"/>
        <w:jc w:val="right"/>
        <w:textAlignment w:val="auto"/>
        <w:rPr>
          <w:rFonts w:hint="default" w:ascii="Times New Roman" w:hAnsi="Times New Roman" w:cs="Times New Roman"/>
          <w:sz w:val="28"/>
          <w:szCs w:val="28"/>
        </w:rPr>
      </w:pPr>
      <m:oMath>
        <m:r>
          <m:rPr>
            <m:nor/>
            <m:sty m:val="p"/>
          </m:rPr>
          <w:rPr>
            <w:rFonts w:hint="default" w:ascii="Times New Roman" w:hAnsi="Times New Roman" w:cs="Times New Roman"/>
            <w:b w:val="0"/>
            <w:i w:val="0"/>
            <w:sz w:val="28"/>
            <w:szCs w:val="28"/>
          </w:rPr>
          <m:t>Δ</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H</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r>
          <m:rPr>
            <m:nor/>
            <m:sty m:val="p"/>
          </m:rPr>
          <w:rPr>
            <w:rFonts w:hint="default" w:ascii="Times New Roman" w:hAnsi="Times New Roman" w:cs="Times New Roman"/>
            <w:b w:val="0"/>
            <w:i w:val="0"/>
            <w:sz w:val="28"/>
            <w:szCs w:val="28"/>
          </w:rPr>
          <m:t>=-R</m:t>
        </m:r>
        <m:sSup>
          <m:sSupPr>
            <m:ctrlPr>
              <w:rPr>
                <w:rFonts w:hint="default" w:ascii="Cambria Math" w:hAnsi="Cambria Math" w:cs="Times New Roman"/>
                <w:i/>
                <w:iCs/>
                <w:sz w:val="28"/>
                <w:szCs w:val="28"/>
              </w:rPr>
            </m:ctrlPr>
          </m:sSupPr>
          <m:e>
            <m:r>
              <m:rPr>
                <m:nor/>
              </m:rPr>
              <w:rPr>
                <w:rFonts w:hint="default" w:ascii="Times New Roman" w:hAnsi="Times New Roman" w:cs="Times New Roman"/>
                <w:i/>
                <w:sz w:val="28"/>
                <w:szCs w:val="28"/>
              </w:rPr>
              <m:t>T</m:t>
            </m:r>
            <m:ctrlPr>
              <w:rPr>
                <w:rFonts w:hint="default" w:ascii="Cambria Math" w:hAnsi="Cambria Math" w:cs="Times New Roman"/>
                <w:i/>
                <w:iCs/>
                <w:sz w:val="28"/>
                <w:szCs w:val="28"/>
              </w:rPr>
            </m:ctrlPr>
          </m:e>
          <m:sup>
            <m:r>
              <m:rPr>
                <m:nor/>
                <m:sty m:val="p"/>
              </m:rPr>
              <w:rPr>
                <w:rFonts w:hint="default" w:ascii="Times New Roman" w:hAnsi="Times New Roman" w:cs="Times New Roman"/>
                <w:b w:val="0"/>
                <w:i w:val="0"/>
                <w:sz w:val="28"/>
                <w:szCs w:val="28"/>
              </w:rPr>
              <m:t>2</m:t>
            </m:r>
            <m:ctrlPr>
              <w:rPr>
                <w:rFonts w:hint="default" w:ascii="Cambria Math" w:hAnsi="Cambria Math" w:cs="Times New Roman"/>
                <w:i/>
                <w:iCs/>
                <w:sz w:val="28"/>
                <w:szCs w:val="28"/>
              </w:rPr>
            </m:ctrlPr>
          </m:sup>
        </m:sSup>
        <m:f>
          <m:fPr>
            <m:ctrlPr>
              <w:rPr>
                <w:rFonts w:hint="default" w:ascii="Cambria Math" w:hAnsi="Cambria Math" w:cs="Times New Roman"/>
                <w:sz w:val="28"/>
                <w:szCs w:val="28"/>
              </w:rPr>
            </m:ctrlPr>
          </m:fPr>
          <m:num>
            <m:r>
              <m:rPr>
                <m:nor/>
                <m:sty m:val="p"/>
              </m:rPr>
              <w:rPr>
                <w:rFonts w:hint="default" w:ascii="Times New Roman" w:hAnsi="Times New Roman" w:cs="Times New Roman"/>
                <w:b w:val="0"/>
                <w:i w:val="0"/>
                <w:sz w:val="28"/>
                <w:szCs w:val="28"/>
              </w:rPr>
              <m:t>δ(ln</m:t>
            </m:r>
            <m:sSub>
              <m:sSubPr>
                <m:ctrlPr>
                  <w:rPr>
                    <w:rFonts w:hint="default" w:ascii="Cambria Math" w:hAnsi="Cambria Math" w:cs="Times New Roman"/>
                    <w:sz w:val="28"/>
                    <w:szCs w:val="28"/>
                  </w:rPr>
                </m:ctrlPr>
              </m:sSubPr>
              <m:e>
                <m:r>
                  <m:rPr>
                    <m:nor/>
                  </m:rPr>
                  <w:rPr>
                    <w:rFonts w:hint="default" w:ascii="Times New Roman" w:hAnsi="Times New Roman" w:cs="Times New Roman"/>
                    <w:i/>
                    <w:sz w:val="28"/>
                    <w:szCs w:val="28"/>
                  </w:rPr>
                  <m:t>X</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cmc</m:t>
                </m:r>
                <m:ctrlPr>
                  <w:rPr>
                    <w:rFonts w:hint="default" w:ascii="Cambria Math" w:hAnsi="Cambria Math" w:cs="Times New Roman"/>
                    <w:sz w:val="28"/>
                    <w:szCs w:val="28"/>
                  </w:rPr>
                </m:ctrlPr>
              </m:sub>
            </m:sSub>
            <m:r>
              <m:rPr>
                <m:nor/>
                <m:sty m:val="p"/>
              </m:rPr>
              <w:rPr>
                <w:rFonts w:hint="default" w:ascii="Times New Roman" w:hAnsi="Times New Roman" w:cs="Times New Roman"/>
                <w:b w:val="0"/>
                <w:i w:val="0"/>
                <w:sz w:val="28"/>
                <w:szCs w:val="28"/>
              </w:rPr>
              <m:t>)</m:t>
            </m:r>
            <m:ctrlPr>
              <w:rPr>
                <w:rFonts w:hint="default" w:ascii="Cambria Math" w:hAnsi="Cambria Math" w:cs="Times New Roman"/>
                <w:sz w:val="28"/>
                <w:szCs w:val="28"/>
              </w:rPr>
            </m:ctrlPr>
          </m:num>
          <m:den>
            <m:r>
              <m:rPr>
                <m:nor/>
                <m:sty m:val="p"/>
              </m:rPr>
              <w:rPr>
                <w:rFonts w:hint="default" w:ascii="Times New Roman" w:hAnsi="Times New Roman" w:cs="Times New Roman"/>
                <w:b w:val="0"/>
                <w:i w:val="0"/>
                <w:sz w:val="28"/>
                <w:szCs w:val="28"/>
              </w:rPr>
              <m:t>δ</m:t>
            </m:r>
            <m:r>
              <m:rPr>
                <m:nor/>
              </m:rPr>
              <w:rPr>
                <w:rFonts w:hint="default" w:ascii="Times New Roman" w:hAnsi="Times New Roman" w:cs="Times New Roman"/>
                <w:i/>
                <w:sz w:val="28"/>
                <w:szCs w:val="28"/>
              </w:rPr>
              <m:t>T</m:t>
            </m:r>
            <m:ctrlPr>
              <w:rPr>
                <w:rFonts w:hint="default" w:ascii="Cambria Math" w:hAnsi="Cambria Math" w:cs="Times New Roman"/>
                <w:sz w:val="28"/>
                <w:szCs w:val="28"/>
              </w:rPr>
            </m:ctrlPr>
          </m:den>
        </m:f>
      </m:oMath>
      <w:r>
        <w:rPr>
          <w:rFonts w:hint="default" w:ascii="Times New Roman" w:hAnsi="Times New Roman" w:cs="Times New Roman"/>
          <w:sz w:val="28"/>
          <w:szCs w:val="28"/>
        </w:rPr>
        <w:t xml:space="preserve">                                                   (3</w:t>
      </w:r>
      <w:r>
        <w:rPr>
          <w:rFonts w:hint="default" w:ascii="Times New Roman" w:hAnsi="Times New Roman" w:cs="Times New Roman"/>
          <w:sz w:val="28"/>
          <w:szCs w:val="28"/>
          <w:lang w:val="en-US" w:eastAsia="zh-CN"/>
        </w:rPr>
        <w:t>.7</w:t>
      </w:r>
      <w:r>
        <w:rPr>
          <w:rFonts w:hint="default" w:ascii="Times New Roman" w:hAnsi="Times New Roman" w:cs="Times New Roman"/>
          <w:sz w:val="28"/>
          <w:szCs w:val="28"/>
        </w:rPr>
        <w:t>)</w:t>
      </w:r>
    </w:p>
    <w:p w14:paraId="68279A50">
      <w:pPr>
        <w:keepNext w:val="0"/>
        <w:keepLines w:val="0"/>
        <w:pageBreakBefore w:val="0"/>
        <w:widowControl/>
        <w:kinsoku/>
        <w:wordWrap/>
        <w:overflowPunct/>
        <w:topLinePunct w:val="0"/>
        <w:autoSpaceDE/>
        <w:autoSpaceDN/>
        <w:bidi w:val="0"/>
        <w:adjustRightInd/>
        <w:snapToGrid w:val="0"/>
        <w:ind w:firstLine="709" w:firstLineChars="0"/>
        <w:jc w:val="right"/>
        <w:textAlignment w:val="auto"/>
        <w:rPr>
          <w:rFonts w:hint="default" w:ascii="Times New Roman" w:hAnsi="Times New Roman" w:cs="Times New Roman"/>
          <w:sz w:val="28"/>
          <w:szCs w:val="28"/>
        </w:rPr>
      </w:pPr>
      <m:oMath>
        <m:r>
          <m:rPr>
            <m:nor/>
            <m:sty m:val="p"/>
          </m:rPr>
          <w:rPr>
            <w:rFonts w:hint="default" w:ascii="Times New Roman" w:hAnsi="Times New Roman" w:cs="Times New Roman"/>
            <w:b w:val="0"/>
            <w:i w:val="0"/>
            <w:sz w:val="28"/>
            <w:szCs w:val="28"/>
          </w:rPr>
          <m:t>Δ</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S</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r>
          <m:rPr>
            <m:nor/>
            <m:sty m:val="p"/>
          </m:rPr>
          <w:rPr>
            <w:rFonts w:hint="default" w:ascii="Times New Roman" w:hAnsi="Times New Roman" w:cs="Times New Roman"/>
            <w:b w:val="0"/>
            <w:i w:val="0"/>
            <w:sz w:val="28"/>
            <w:szCs w:val="28"/>
          </w:rPr>
          <m:t>=</m:t>
        </m:r>
        <m:f>
          <m:fPr>
            <m:ctrlPr>
              <w:rPr>
                <w:rFonts w:hint="default" w:ascii="Cambria Math" w:hAnsi="Cambria Math" w:cs="Times New Roman"/>
                <w:sz w:val="28"/>
                <w:szCs w:val="28"/>
              </w:rPr>
            </m:ctrlPr>
          </m:fPr>
          <m:num>
            <m:r>
              <m:rPr>
                <m:nor/>
                <m:sty m:val="p"/>
              </m:rPr>
              <w:rPr>
                <w:rFonts w:hint="default" w:ascii="Times New Roman" w:hAnsi="Times New Roman" w:cs="Times New Roman"/>
                <w:b w:val="0"/>
                <w:i w:val="0"/>
                <w:sz w:val="28"/>
                <w:szCs w:val="28"/>
              </w:rPr>
              <m:t>Δ</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H</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r>
              <m:rPr>
                <m:nor/>
                <m:sty m:val="p"/>
              </m:rPr>
              <w:rPr>
                <w:rFonts w:hint="default" w:ascii="Times New Roman" w:hAnsi="Times New Roman" w:cs="Times New Roman"/>
                <w:b w:val="0"/>
                <w:i w:val="0"/>
                <w:sz w:val="28"/>
                <w:szCs w:val="28"/>
              </w:rPr>
              <m:t>-Δ</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ctrlPr>
              <w:rPr>
                <w:rFonts w:hint="default" w:ascii="Cambria Math" w:hAnsi="Cambria Math" w:cs="Times New Roman"/>
                <w:sz w:val="28"/>
                <w:szCs w:val="28"/>
              </w:rPr>
            </m:ctrlPr>
          </m:num>
          <m:den>
            <m:r>
              <m:rPr>
                <m:nor/>
              </m:rPr>
              <w:rPr>
                <w:rFonts w:hint="default" w:ascii="Times New Roman" w:hAnsi="Times New Roman" w:cs="Times New Roman"/>
                <w:i/>
                <w:sz w:val="28"/>
                <w:szCs w:val="28"/>
              </w:rPr>
              <m:t>T</m:t>
            </m:r>
            <m:ctrlPr>
              <w:rPr>
                <w:rFonts w:hint="default" w:ascii="Cambria Math" w:hAnsi="Cambria Math" w:cs="Times New Roman"/>
                <w:sz w:val="28"/>
                <w:szCs w:val="28"/>
              </w:rPr>
            </m:ctrlPr>
          </m:den>
        </m:f>
      </m:oMath>
      <w:r>
        <w:rPr>
          <w:rFonts w:hint="default" w:ascii="Times New Roman" w:hAnsi="Times New Roman" w:cs="Times New Roman"/>
          <w:sz w:val="28"/>
          <w:szCs w:val="28"/>
        </w:rPr>
        <w:t xml:space="preserve">                                                     (3</w:t>
      </w:r>
      <w:r>
        <w:rPr>
          <w:rFonts w:hint="default" w:ascii="Times New Roman" w:hAnsi="Times New Roman" w:cs="Times New Roman"/>
          <w:sz w:val="28"/>
          <w:szCs w:val="28"/>
          <w:lang w:val="en-US" w:eastAsia="zh-CN"/>
        </w:rPr>
        <w:t>.8</w:t>
      </w:r>
      <w:r>
        <w:rPr>
          <w:rFonts w:hint="default" w:ascii="Times New Roman" w:hAnsi="Times New Roman" w:cs="Times New Roman"/>
          <w:sz w:val="28"/>
          <w:szCs w:val="28"/>
        </w:rPr>
        <w:t>)</w:t>
      </w:r>
    </w:p>
    <w:p w14:paraId="5257D3FD">
      <w:pPr>
        <w:keepNext w:val="0"/>
        <w:keepLines w:val="0"/>
        <w:pageBreakBefore w:val="0"/>
        <w:widowControl/>
        <w:kinsoku/>
        <w:wordWrap/>
        <w:overflowPunct/>
        <w:topLinePunct w:val="0"/>
        <w:autoSpaceDE/>
        <w:autoSpaceDN/>
        <w:bidi w:val="0"/>
        <w:adjustRightInd/>
        <w:snapToGrid w:val="0"/>
        <w:ind w:firstLine="709" w:firstLineChars="0"/>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Where </w:t>
      </w:r>
      <m:oMath>
        <m:sSub>
          <m:sSubPr>
            <m:ctrlPr>
              <w:rPr>
                <w:rFonts w:hint="default" w:ascii="Cambria Math" w:hAnsi="Cambria Math" w:cs="Times New Roman"/>
                <w:i/>
                <w:iCs/>
                <w:sz w:val="28"/>
                <w:szCs w:val="28"/>
              </w:rPr>
            </m:ctrlPr>
          </m:sSubPr>
          <m:e>
            <m:r>
              <m:rPr>
                <m:nor/>
              </m:rPr>
              <w:rPr>
                <w:rFonts w:hint="default" w:ascii="Times New Roman" w:hAnsi="Times New Roman" w:cs="Times New Roman"/>
                <w:i/>
                <w:sz w:val="28"/>
                <w:szCs w:val="28"/>
              </w:rPr>
              <m:t>X</m:t>
            </m:r>
            <m:ctrlPr>
              <w:rPr>
                <w:rFonts w:hint="default" w:ascii="Cambria Math" w:hAnsi="Cambria Math" w:cs="Times New Roman"/>
                <w:i/>
                <w:iCs/>
                <w:sz w:val="28"/>
                <w:szCs w:val="28"/>
              </w:rPr>
            </m:ctrlPr>
          </m:e>
          <m:sub>
            <m:r>
              <m:rPr>
                <m:nor/>
                <m:sty m:val="p"/>
              </m:rPr>
              <w:rPr>
                <w:rFonts w:hint="default" w:ascii="Times New Roman" w:hAnsi="Times New Roman" w:cs="Times New Roman"/>
                <w:b w:val="0"/>
                <w:i w:val="0"/>
                <w:sz w:val="28"/>
                <w:szCs w:val="28"/>
              </w:rPr>
              <m:t>cmc</m:t>
            </m:r>
            <m:ctrlPr>
              <w:rPr>
                <w:rFonts w:hint="default" w:ascii="Cambria Math" w:hAnsi="Cambria Math" w:cs="Times New Roman"/>
                <w:i/>
                <w:iCs/>
                <w:sz w:val="28"/>
                <w:szCs w:val="28"/>
              </w:rPr>
            </m:ctrlPr>
          </m:sub>
        </m:sSub>
      </m:oMath>
      <w:r>
        <w:rPr>
          <w:rFonts w:hint="default" w:ascii="Times New Roman" w:hAnsi="Times New Roman" w:cs="Times New Roman"/>
          <w:iCs/>
          <w:sz w:val="28"/>
          <w:szCs w:val="28"/>
        </w:rPr>
        <w:t xml:space="preserve"> </w:t>
      </w:r>
      <w:r>
        <w:rPr>
          <w:rFonts w:hint="default" w:ascii="Times New Roman" w:hAnsi="Times New Roman" w:cs="Times New Roman"/>
          <w:sz w:val="28"/>
          <w:szCs w:val="28"/>
        </w:rPr>
        <w:t>corresponds to the cmc expressed in terms of a molar fraction (</w:t>
      </w:r>
      <m:oMath>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X</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cmc</m:t>
            </m:r>
            <m:ctrlPr>
              <w:rPr>
                <w:rFonts w:hint="default" w:ascii="Cambria Math" w:hAnsi="Cambria Math" w:cs="Times New Roman"/>
                <w:i/>
                <w:sz w:val="28"/>
                <w:szCs w:val="28"/>
              </w:rPr>
            </m:ctrlPr>
          </m:sub>
        </m:sSub>
        <m:r>
          <m:rPr>
            <m:nor/>
            <m:sty m:val="p"/>
          </m:rPr>
          <w:rPr>
            <w:rFonts w:hint="default" w:ascii="Times New Roman" w:hAnsi="Times New Roman" w:cs="Times New Roman"/>
            <w:b w:val="0"/>
            <w:i w:val="0"/>
            <w:sz w:val="28"/>
            <w:szCs w:val="28"/>
          </w:rPr>
          <m:t>=</m:t>
        </m:r>
        <m:f>
          <m:fPr>
            <m:ctrlPr>
              <w:rPr>
                <w:rFonts w:hint="default" w:ascii="Cambria Math" w:hAnsi="Cambria Math" w:cs="Times New Roman"/>
                <w:iCs/>
                <w:sz w:val="28"/>
                <w:szCs w:val="28"/>
              </w:rPr>
            </m:ctrlPr>
          </m:fPr>
          <m:num>
            <m:r>
              <m:rPr>
                <m:nor/>
                <m:sty m:val="p"/>
              </m:rPr>
              <w:rPr>
                <w:rFonts w:hint="default" w:ascii="Times New Roman" w:hAnsi="Times New Roman" w:cs="Times New Roman"/>
                <w:b w:val="0"/>
                <w:i w:val="0"/>
                <w:sz w:val="28"/>
                <w:szCs w:val="28"/>
              </w:rPr>
              <m:t>cmc</m:t>
            </m:r>
            <m:ctrlPr>
              <w:rPr>
                <w:rFonts w:hint="default" w:ascii="Cambria Math" w:hAnsi="Cambria Math" w:cs="Times New Roman"/>
                <w:iCs/>
                <w:sz w:val="28"/>
                <w:szCs w:val="28"/>
              </w:rPr>
            </m:ctrlPr>
          </m:num>
          <m:den>
            <m:r>
              <m:rPr>
                <m:nor/>
                <m:sty m:val="p"/>
              </m:rPr>
              <w:rPr>
                <w:rFonts w:hint="default" w:ascii="Times New Roman" w:hAnsi="Times New Roman" w:cs="Times New Roman"/>
                <w:b w:val="0"/>
                <w:i w:val="0"/>
                <w:sz w:val="28"/>
                <w:szCs w:val="28"/>
              </w:rPr>
              <m:t>55.5</m:t>
            </m:r>
            <m:ctrlPr>
              <w:rPr>
                <w:rFonts w:hint="default" w:ascii="Cambria Math" w:hAnsi="Cambria Math" w:cs="Times New Roman"/>
                <w:iCs/>
                <w:sz w:val="28"/>
                <w:szCs w:val="28"/>
              </w:rPr>
            </m:ctrlPr>
          </m:den>
        </m:f>
      </m:oMath>
      <w:r>
        <w:rPr>
          <w:rFonts w:hint="default" w:ascii="Times New Roman" w:hAnsi="Times New Roman" w:cs="Times New Roman"/>
          <w:sz w:val="28"/>
          <w:szCs w:val="28"/>
        </w:rPr>
        <w:t>).</w:t>
      </w:r>
    </w:p>
    <w:p w14:paraId="0E6C8474">
      <w:pPr>
        <w:keepNext w:val="0"/>
        <w:keepLines w:val="0"/>
        <w:pageBreakBefore w:val="0"/>
        <w:widowControl/>
        <w:kinsoku/>
        <w:wordWrap/>
        <w:overflowPunct/>
        <w:topLinePunct w:val="0"/>
        <w:autoSpaceDE/>
        <w:autoSpaceDN/>
        <w:bidi w:val="0"/>
        <w:adjustRightInd/>
        <w:snapToGrid w:val="0"/>
        <w:ind w:firstLine="709" w:firstLineChars="0"/>
        <w:textAlignment w:val="auto"/>
        <w:rPr>
          <w:rFonts w:hint="default" w:ascii="Times New Roman" w:hAnsi="Times New Roman" w:cs="Times New Roman"/>
          <w:sz w:val="28"/>
          <w:szCs w:val="28"/>
        </w:rPr>
      </w:pPr>
      <w:r>
        <w:rPr>
          <w:rFonts w:hint="default" w:ascii="Times New Roman" w:hAnsi="Times New Roman" w:cs="Times New Roman"/>
          <w:sz w:val="28"/>
          <w:szCs w:val="28"/>
        </w:rPr>
        <w:t>The Gibbs free energy change (</w:t>
      </w:r>
      <m:oMath>
        <m:r>
          <m:rPr>
            <m:nor/>
            <m:sty m:val="p"/>
          </m:rPr>
          <w:rPr>
            <w:rFonts w:hint="default" w:ascii="Times New Roman" w:hAnsi="Times New Roman" w:cs="Times New Roman"/>
            <w:b w:val="0"/>
            <w:i w:val="0"/>
            <w:sz w:val="28"/>
            <w:szCs w:val="28"/>
          </w:rPr>
          <m:t>Δ</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ads</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of surfactant adsorption can be obtained according to Eq. (3</w:t>
      </w:r>
      <w:r>
        <w:rPr>
          <w:rFonts w:hint="default" w:ascii="Times New Roman" w:hAnsi="Times New Roman" w:cs="Times New Roman"/>
          <w:sz w:val="28"/>
          <w:szCs w:val="28"/>
          <w:lang w:val="en-US" w:eastAsia="zh-CN"/>
        </w:rPr>
        <w:t>.9</w:t>
      </w:r>
      <w:r>
        <w:rPr>
          <w:rFonts w:hint="default" w:ascii="Times New Roman" w:hAnsi="Times New Roman" w:cs="Times New Roman"/>
          <w:sz w:val="28"/>
          <w:szCs w:val="28"/>
        </w:rPr>
        <w:t>) [76].</w:t>
      </w:r>
    </w:p>
    <w:p w14:paraId="74220D0F">
      <w:pPr>
        <w:keepNext w:val="0"/>
        <w:keepLines w:val="0"/>
        <w:pageBreakBefore w:val="0"/>
        <w:widowControl/>
        <w:kinsoku/>
        <w:wordWrap/>
        <w:overflowPunct/>
        <w:topLinePunct w:val="0"/>
        <w:autoSpaceDE/>
        <w:autoSpaceDN/>
        <w:bidi w:val="0"/>
        <w:adjustRightInd/>
        <w:snapToGrid w:val="0"/>
        <w:ind w:firstLine="709" w:firstLineChars="0"/>
        <w:jc w:val="right"/>
        <w:textAlignment w:val="auto"/>
        <w:rPr>
          <w:rFonts w:hint="default" w:ascii="Times New Roman" w:hAnsi="Times New Roman" w:cs="Times New Roman"/>
          <w:sz w:val="28"/>
          <w:szCs w:val="28"/>
        </w:rPr>
      </w:pPr>
      <m:oMath>
        <m:r>
          <m:rPr>
            <m:nor/>
            <m:sty m:val="p"/>
          </m:rPr>
          <w:rPr>
            <w:rFonts w:hint="default" w:ascii="Times New Roman" w:hAnsi="Times New Roman" w:cs="Times New Roman"/>
            <w:b w:val="0"/>
            <w:i w:val="0"/>
            <w:sz w:val="28"/>
            <w:szCs w:val="28"/>
          </w:rPr>
          <m:t>Δ</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ads</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r>
          <m:rPr>
            <m:nor/>
            <m:sty m:val="p"/>
          </m:rPr>
          <w:rPr>
            <w:rFonts w:hint="default" w:ascii="Times New Roman" w:hAnsi="Times New Roman" w:cs="Times New Roman"/>
            <w:b w:val="0"/>
            <w:i w:val="0"/>
            <w:sz w:val="28"/>
            <w:szCs w:val="28"/>
          </w:rPr>
          <m:t>=Δ</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r>
          <m:rPr>
            <m:nor/>
            <m:sty m:val="p"/>
          </m:rPr>
          <w:rPr>
            <w:rFonts w:hint="default" w:ascii="Times New Roman" w:hAnsi="Times New Roman" w:cs="Times New Roman"/>
            <w:b w:val="0"/>
            <w:i w:val="0"/>
            <w:sz w:val="28"/>
            <w:szCs w:val="28"/>
          </w:rPr>
          <m:t>-</m:t>
        </m:r>
        <m:f>
          <m:fPr>
            <m:ctrlPr>
              <w:rPr>
                <w:rFonts w:hint="default" w:ascii="Cambria Math" w:hAnsi="Cambria Math" w:cs="Times New Roman"/>
                <w:sz w:val="28"/>
                <w:szCs w:val="28"/>
              </w:rPr>
            </m:ctrlPr>
          </m:fPr>
          <m:num>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iCs/>
                    <w:sz w:val="28"/>
                    <w:szCs w:val="28"/>
                  </w:rPr>
                  <m:t>Π</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cmc</m:t>
                </m:r>
                <m:ctrlPr>
                  <w:rPr>
                    <w:rFonts w:hint="default" w:ascii="Cambria Math" w:hAnsi="Cambria Math" w:cs="Times New Roman"/>
                    <w:sz w:val="28"/>
                    <w:szCs w:val="28"/>
                  </w:rPr>
                </m:ctrlPr>
              </m:sub>
            </m:sSub>
            <m:ctrlPr>
              <w:rPr>
                <w:rFonts w:hint="default" w:ascii="Cambria Math" w:hAnsi="Cambria Math" w:cs="Times New Roman"/>
                <w:sz w:val="28"/>
                <w:szCs w:val="28"/>
              </w:rPr>
            </m:ctrlPr>
          </m:num>
          <m:den>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iCs/>
                    <w:sz w:val="28"/>
                    <w:szCs w:val="28"/>
                  </w:rPr>
                  <m:t>Γ</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max</m:t>
                </m:r>
                <m:ctrlPr>
                  <w:rPr>
                    <w:rFonts w:hint="default" w:ascii="Cambria Math" w:hAnsi="Cambria Math" w:cs="Times New Roman"/>
                    <w:sz w:val="28"/>
                    <w:szCs w:val="28"/>
                  </w:rPr>
                </m:ctrlPr>
              </m:sub>
            </m:sSub>
            <m:ctrlPr>
              <w:rPr>
                <w:rFonts w:hint="default" w:ascii="Cambria Math" w:hAnsi="Cambria Math" w:cs="Times New Roman"/>
                <w:sz w:val="28"/>
                <w:szCs w:val="28"/>
              </w:rPr>
            </m:ctrlPr>
          </m:den>
        </m:f>
      </m:oMath>
      <w:r>
        <w:rPr>
          <w:rFonts w:hint="default" w:ascii="Times New Roman" w:hAnsi="Times New Roman" w:cs="Times New Roman"/>
          <w:sz w:val="28"/>
          <w:szCs w:val="28"/>
        </w:rPr>
        <w:t xml:space="preserve">                                                    (3</w:t>
      </w:r>
      <w:r>
        <w:rPr>
          <w:rFonts w:hint="default" w:ascii="Times New Roman" w:hAnsi="Times New Roman" w:cs="Times New Roman"/>
          <w:sz w:val="28"/>
          <w:szCs w:val="28"/>
          <w:lang w:val="en-US" w:eastAsia="zh-CN"/>
        </w:rPr>
        <w:t>.9</w:t>
      </w:r>
      <w:r>
        <w:rPr>
          <w:rFonts w:hint="default" w:ascii="Times New Roman" w:hAnsi="Times New Roman" w:cs="Times New Roman"/>
          <w:sz w:val="28"/>
          <w:szCs w:val="28"/>
        </w:rPr>
        <w:t>)</w:t>
      </w:r>
    </w:p>
    <w:p w14:paraId="595BFE1F">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443" w:name="_Toc6229"/>
      <w:bookmarkStart w:id="444" w:name="_Toc27018"/>
      <w:bookmarkStart w:id="445" w:name="_Toc17361"/>
      <w:bookmarkStart w:id="446" w:name="_Toc15775"/>
      <w:bookmarkStart w:id="447" w:name="_Toc17954"/>
      <w:bookmarkStart w:id="448" w:name="_Toc1861"/>
      <w:bookmarkStart w:id="449" w:name="_Toc6107"/>
      <w:r>
        <w:rPr>
          <w:rFonts w:hint="default" w:ascii="Times New Roman" w:hAnsi="Times New Roman" w:cs="Times New Roman"/>
          <w:i w:val="0"/>
          <w:iCs w:val="0"/>
          <w:sz w:val="28"/>
          <w:szCs w:val="28"/>
        </w:rPr>
        <w:t>3.3.3 Interfacial tension determination</w:t>
      </w:r>
      <w:bookmarkEnd w:id="443"/>
      <w:bookmarkEnd w:id="444"/>
      <w:bookmarkEnd w:id="445"/>
      <w:bookmarkEnd w:id="446"/>
      <w:bookmarkEnd w:id="447"/>
      <w:bookmarkEnd w:id="448"/>
      <w:bookmarkEnd w:id="449"/>
    </w:p>
    <w:p w14:paraId="3930C6E6">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In this study, the dynamic interfacial tension between oil and water was measured at 60 °C using a TX-500C spinning drop interfacial tension meter. The oil phase used in the experiments was crude oil Z27, kerosene</w:t>
      </w:r>
      <w:r>
        <w:rPr>
          <w:rFonts w:hint="eastAsia" w:cs="Times New Roman"/>
          <w:sz w:val="28"/>
          <w:szCs w:val="28"/>
          <w:lang w:val="en-US" w:eastAsia="zh-CN"/>
        </w:rPr>
        <w:t>,</w:t>
      </w:r>
      <w:r>
        <w:rPr>
          <w:rFonts w:hint="default" w:ascii="Times New Roman" w:hAnsi="Times New Roman" w:cs="Times New Roman"/>
          <w:sz w:val="28"/>
          <w:szCs w:val="28"/>
        </w:rPr>
        <w:t xml:space="preserve"> and n-alkanes. The interfacial tension was determined based on the deformation of an oil droplet in an aqueous surfactant solution under high-speed rotation, which allows accurate measurement of ultra-low interfacial tensions. Prior to each measurement, the TX-500C instrument was preheated at 60 °C for at least 30 min to ensure thermal equilibrium and minimize temperature-induced fluctuations in interfacial tension. A known volume of the surfactant solution was first injected into the glass capillary tube using a precision syringe, followed by the introduction of a small oil droplet with an appropriate size to ensure stable droplet deformation during rotation. The tube was then carefully filled with the aqueous phase to eliminate air bubbles and sealed to prevent evaporation and contamination. After mounting the tube in the instrument, the rotational speed was set to 5000 r min⁻¹, allowing the oil droplet to reach a stable elongated shape under centrifugal force. Interfacial tension values were continuously recorded as a function of time until a steady value was achieved, providing information on both the dynamic and equilibrium interfacial behavior of the surfactant system. This measurement protocol ensures high reproducibility and accuracy, enabling reliable evaluation of the ability of the synthesized surfactants to reduce oil–water interfacial tension under controlled temperature and shear conditions relevant to enhanced oil recovery applications [77].</w:t>
      </w:r>
    </w:p>
    <w:p w14:paraId="1F4B4504">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450" w:name="_Toc7444"/>
      <w:bookmarkStart w:id="451" w:name="_Toc24210"/>
      <w:bookmarkStart w:id="452" w:name="_Toc29982"/>
      <w:bookmarkStart w:id="453" w:name="_Toc29367"/>
      <w:bookmarkStart w:id="454" w:name="_Toc27032"/>
      <w:bookmarkStart w:id="455" w:name="_Toc2664"/>
      <w:bookmarkStart w:id="456" w:name="_Toc12896"/>
      <w:r>
        <w:rPr>
          <w:rFonts w:hint="default" w:ascii="Times New Roman" w:hAnsi="Times New Roman" w:cs="Times New Roman"/>
          <w:i w:val="0"/>
          <w:iCs w:val="0"/>
          <w:sz w:val="28"/>
          <w:szCs w:val="28"/>
        </w:rPr>
        <w:t>3.3.4 Emulsification performance determination</w:t>
      </w:r>
      <w:bookmarkEnd w:id="450"/>
      <w:bookmarkEnd w:id="451"/>
      <w:bookmarkEnd w:id="452"/>
      <w:bookmarkEnd w:id="453"/>
      <w:bookmarkEnd w:id="454"/>
      <w:bookmarkEnd w:id="455"/>
      <w:bookmarkEnd w:id="456"/>
    </w:p>
    <w:p w14:paraId="25A36DAA">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oil-in-water emulsion was prepared by mixing the compounded surfactant aqueous solution (0.2 wt%) with kerosene at a volume ratio of 1:1 using an ultrasonic cell disruptor (Ningbo Scientz Biotechnology Co., Ltd., China), as illustrated in Figure 3.1(a). Ultrasonic emulsification was carried out for 10 min at a constant power to ensure sufficient dispersion and homogenization of the oil phase within the aqueous phase. After emulsification, the obtained emulsions were immediately transferred into graduated glass tubes and placed in a stationary water bath maintained at 60 °C to evaluate their thermal stability [77,78].</w:t>
      </w:r>
    </w:p>
    <w:p w14:paraId="09B2E9FA">
      <w:pPr>
        <w:widowControl/>
        <w:ind w:firstLine="709" w:firstLineChars="0"/>
        <w:rPr>
          <w:rFonts w:hint="default" w:ascii="Times New Roman" w:hAnsi="Times New Roman" w:cs="Times New Roman"/>
          <w:sz w:val="28"/>
          <w:szCs w:val="28"/>
        </w:rPr>
      </w:pPr>
    </w:p>
    <w:tbl>
      <w:tblPr>
        <w:tblStyle w:val="1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36"/>
        <w:gridCol w:w="3192"/>
      </w:tblGrid>
      <w:tr w14:paraId="0A2F6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2FC6DFC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2550160" cy="2135505"/>
                  <wp:effectExtent l="0" t="0" r="2540" b="0"/>
                  <wp:docPr id="4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6"/>
                          <pic:cNvPicPr>
                            <a:picLocks noChangeAspect="1"/>
                          </pic:cNvPicPr>
                        </pic:nvPicPr>
                        <pic:blipFill>
                          <a:blip r:embed="rId23"/>
                          <a:stretch>
                            <a:fillRect/>
                          </a:stretch>
                        </pic:blipFill>
                        <pic:spPr>
                          <a:xfrm>
                            <a:off x="0" y="0"/>
                            <a:ext cx="2568051" cy="2150777"/>
                          </a:xfrm>
                          <a:prstGeom prst="rect">
                            <a:avLst/>
                          </a:prstGeom>
                          <a:noFill/>
                          <a:ln>
                            <a:noFill/>
                          </a:ln>
                        </pic:spPr>
                      </pic:pic>
                    </a:graphicData>
                  </a:graphic>
                </wp:inline>
              </w:drawing>
            </w:r>
          </w:p>
        </w:tc>
        <w:tc>
          <w:tcPr>
            <w:tcW w:w="0" w:type="auto"/>
            <w:vAlign w:val="center"/>
          </w:tcPr>
          <w:p w14:paraId="7B83CBD4">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1889760" cy="1960245"/>
                  <wp:effectExtent l="0" t="0" r="0" b="1905"/>
                  <wp:docPr id="4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5"/>
                          <pic:cNvPicPr>
                            <a:picLocks noChangeAspect="1"/>
                          </pic:cNvPicPr>
                        </pic:nvPicPr>
                        <pic:blipFill>
                          <a:blip r:embed="rId24"/>
                          <a:stretch>
                            <a:fillRect/>
                          </a:stretch>
                        </pic:blipFill>
                        <pic:spPr>
                          <a:xfrm>
                            <a:off x="0" y="0"/>
                            <a:ext cx="1904812" cy="1975908"/>
                          </a:xfrm>
                          <a:prstGeom prst="rect">
                            <a:avLst/>
                          </a:prstGeom>
                          <a:noFill/>
                          <a:ln>
                            <a:noFill/>
                          </a:ln>
                        </pic:spPr>
                      </pic:pic>
                    </a:graphicData>
                  </a:graphic>
                </wp:inline>
              </w:drawing>
            </w:r>
          </w:p>
        </w:tc>
      </w:tr>
    </w:tbl>
    <w:p w14:paraId="583B94C4">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Figure 3.1 – Figure of ultrasonic cell crusher (a) and BM1800 Biological Microscope (b)</w:t>
      </w:r>
    </w:p>
    <w:p w14:paraId="00C714CC">
      <w:pPr>
        <w:widowControl/>
        <w:ind w:firstLine="709" w:firstLineChars="0"/>
        <w:rPr>
          <w:rFonts w:hint="default" w:ascii="Times New Roman" w:hAnsi="Times New Roman" w:cs="Times New Roman"/>
          <w:sz w:val="28"/>
          <w:szCs w:val="28"/>
        </w:rPr>
      </w:pPr>
    </w:p>
    <w:p w14:paraId="707597AB">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size and distribution of emulsion droplets were observed and recorded using a BM1800 biological microscope (Nanjing Jiangnan Novel Optics Co., Ltd., China), as shown in Figure 3.1(b), providing direct information on the microstructural characteristics and stability of the emulsions [78,79].</w:t>
      </w:r>
    </w:p>
    <w:p w14:paraId="6A4878DA">
      <w:pPr>
        <w:pStyle w:val="3"/>
        <w:keepNext w:val="0"/>
        <w:keepLines w:val="0"/>
        <w:widowControl/>
        <w:spacing w:line="240" w:lineRule="auto"/>
        <w:ind w:firstLine="709"/>
        <w:jc w:val="both"/>
        <w:rPr>
          <w:rFonts w:hint="default" w:ascii="Times New Roman" w:hAnsi="Times New Roman" w:cs="Times New Roman"/>
          <w:b/>
          <w:bCs/>
          <w:i w:val="0"/>
          <w:iCs w:val="0"/>
          <w:sz w:val="28"/>
          <w:szCs w:val="28"/>
        </w:rPr>
      </w:pPr>
      <w:bookmarkStart w:id="457" w:name="_Toc19696"/>
      <w:bookmarkStart w:id="458" w:name="_Toc3545"/>
      <w:bookmarkStart w:id="459" w:name="_Toc4068"/>
      <w:bookmarkStart w:id="460" w:name="_Toc7360"/>
      <w:bookmarkStart w:id="461" w:name="_Toc30784"/>
      <w:bookmarkStart w:id="462" w:name="_Toc3088"/>
      <w:bookmarkStart w:id="463" w:name="_Toc30255"/>
      <w:r>
        <w:rPr>
          <w:rFonts w:hint="default" w:ascii="Times New Roman" w:hAnsi="Times New Roman" w:cs="Times New Roman"/>
          <w:b/>
          <w:bCs/>
          <w:i w:val="0"/>
          <w:iCs w:val="0"/>
          <w:sz w:val="28"/>
          <w:szCs w:val="28"/>
        </w:rPr>
        <w:t>3.4 Results and discussion</w:t>
      </w:r>
      <w:bookmarkEnd w:id="457"/>
      <w:bookmarkEnd w:id="458"/>
      <w:bookmarkEnd w:id="459"/>
      <w:bookmarkEnd w:id="460"/>
      <w:bookmarkEnd w:id="461"/>
      <w:bookmarkEnd w:id="462"/>
      <w:bookmarkEnd w:id="463"/>
    </w:p>
    <w:p w14:paraId="795120A1">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To establish a clear structure–property–performance relationship, the synthesized extended amphoteric surfactants were systematically analyzed from molecular structure, physicochemical properties, aggregation behavior, interfacial activity to macroscopic emulsification performance.</w:t>
      </w:r>
    </w:p>
    <w:p w14:paraId="385DADBC">
      <w:pPr>
        <w:pStyle w:val="4"/>
        <w:keepNext w:val="0"/>
        <w:keepLines w:val="0"/>
        <w:widowControl/>
        <w:spacing w:line="240" w:lineRule="auto"/>
        <w:ind w:firstLine="709"/>
        <w:jc w:val="both"/>
        <w:rPr>
          <w:rFonts w:hint="default" w:ascii="Times New Roman" w:hAnsi="Times New Roman" w:cs="Times New Roman"/>
          <w:bCs w:val="0"/>
          <w:i w:val="0"/>
          <w:iCs w:val="0"/>
          <w:sz w:val="28"/>
          <w:szCs w:val="28"/>
        </w:rPr>
      </w:pPr>
      <w:bookmarkStart w:id="464" w:name="_Toc131344056"/>
      <w:bookmarkStart w:id="465" w:name="_Toc3518"/>
      <w:bookmarkStart w:id="466" w:name="_Toc6152"/>
      <w:bookmarkStart w:id="467" w:name="_Toc24413"/>
      <w:bookmarkStart w:id="468" w:name="_Toc13662"/>
      <w:bookmarkStart w:id="469" w:name="_Toc5630"/>
      <w:bookmarkStart w:id="470" w:name="_Toc11540"/>
      <w:bookmarkStart w:id="471" w:name="_Toc9480"/>
      <w:r>
        <w:rPr>
          <w:rFonts w:hint="default" w:ascii="Times New Roman" w:hAnsi="Times New Roman" w:cs="Times New Roman"/>
          <w:bCs w:val="0"/>
          <w:i w:val="0"/>
          <w:iCs w:val="0"/>
          <w:sz w:val="28"/>
          <w:szCs w:val="28"/>
        </w:rPr>
        <w:t>3.</w:t>
      </w:r>
      <w:bookmarkEnd w:id="464"/>
      <w:r>
        <w:rPr>
          <w:rFonts w:hint="default" w:ascii="Times New Roman" w:hAnsi="Times New Roman" w:cs="Times New Roman"/>
          <w:bCs w:val="0"/>
          <w:i w:val="0"/>
          <w:iCs w:val="0"/>
          <w:sz w:val="28"/>
          <w:szCs w:val="28"/>
        </w:rPr>
        <w:t>4.1 Purity and structural characterization</w:t>
      </w:r>
      <w:bookmarkEnd w:id="465"/>
      <w:bookmarkEnd w:id="466"/>
      <w:bookmarkEnd w:id="467"/>
      <w:bookmarkEnd w:id="468"/>
      <w:bookmarkEnd w:id="469"/>
      <w:r>
        <w:rPr>
          <w:rFonts w:hint="default" w:ascii="Times New Roman" w:hAnsi="Times New Roman" w:cs="Times New Roman"/>
          <w:bCs w:val="0"/>
          <w:i w:val="0"/>
          <w:iCs w:val="0"/>
          <w:sz w:val="28"/>
          <w:szCs w:val="28"/>
        </w:rPr>
        <w:t xml:space="preserve"> analysis</w:t>
      </w:r>
      <w:bookmarkEnd w:id="470"/>
      <w:bookmarkEnd w:id="471"/>
    </w:p>
    <w:p w14:paraId="7CDED8D7">
      <w:pPr>
        <w:widowControl/>
        <w:ind w:firstLine="709" w:firstLineChars="0"/>
        <w:rPr>
          <w:rFonts w:hint="default" w:ascii="Times New Roman" w:hAnsi="Times New Roman" w:cs="Times New Roman"/>
          <w:i w:val="0"/>
          <w:iCs w:val="0"/>
          <w:sz w:val="28"/>
          <w:szCs w:val="28"/>
        </w:rPr>
      </w:pPr>
      <w:r>
        <w:rPr>
          <w:rFonts w:hint="default" w:ascii="Times New Roman" w:hAnsi="Times New Roman" w:cs="Times New Roman"/>
          <w:i w:val="0"/>
          <w:iCs w:val="0"/>
          <w:sz w:val="28"/>
          <w:szCs w:val="28"/>
        </w:rPr>
        <w:t>3.</w:t>
      </w:r>
      <w:r>
        <w:rPr>
          <w:rFonts w:hint="default" w:ascii="Times New Roman" w:hAnsi="Times New Roman" w:cs="Times New Roman"/>
          <w:i w:val="0"/>
          <w:iCs w:val="0"/>
          <w:sz w:val="28"/>
          <w:szCs w:val="28"/>
          <w:lang w:val="en-US" w:eastAsia="zh-CN"/>
        </w:rPr>
        <w:t>4.</w:t>
      </w:r>
      <w:r>
        <w:rPr>
          <w:rFonts w:hint="default" w:ascii="Times New Roman" w:hAnsi="Times New Roman" w:cs="Times New Roman"/>
          <w:i w:val="0"/>
          <w:iCs w:val="0"/>
          <w:sz w:val="28"/>
          <w:szCs w:val="28"/>
        </w:rPr>
        <w:t>1.1 Purity</w:t>
      </w:r>
    </w:p>
    <w:p w14:paraId="0C319E41">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According to two-phase titration, the purity of three obtained products can be obtained as shown in Table 3.2.</w:t>
      </w:r>
    </w:p>
    <w:p w14:paraId="6690D7B0">
      <w:pPr>
        <w:widowControl/>
        <w:ind w:firstLine="709" w:firstLineChars="0"/>
        <w:rPr>
          <w:rFonts w:hint="default" w:ascii="Times New Roman" w:hAnsi="Times New Roman" w:cs="Times New Roman"/>
          <w:sz w:val="28"/>
          <w:szCs w:val="28"/>
        </w:rPr>
      </w:pPr>
    </w:p>
    <w:p w14:paraId="5DAF5DFE">
      <w:pPr>
        <w:widowControl/>
        <w:ind w:left="0" w:leftChars="0" w:firstLine="0" w:firstLineChars="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 xml:space="preserve">Table 3.2 – The purity of </w:t>
      </w:r>
      <w:r>
        <w:rPr>
          <w:rFonts w:hint="default" w:ascii="Times New Roman" w:hAnsi="Times New Roman" w:cs="Times New Roman"/>
          <w:sz w:val="28"/>
          <w:szCs w:val="28"/>
          <w:lang w:val="en-US" w:eastAsia="zh-CN"/>
        </w:rPr>
        <w:t>three</w:t>
      </w:r>
      <w:r>
        <w:rPr>
          <w:rFonts w:hint="default" w:ascii="Times New Roman" w:hAnsi="Times New Roman" w:cs="Times New Roman"/>
          <w:sz w:val="28"/>
          <w:szCs w:val="28"/>
        </w:rPr>
        <w:t xml:space="preserve"> surfactants</w:t>
      </w:r>
      <w:r>
        <w:rPr>
          <w:rFonts w:hint="default" w:ascii="Times New Roman" w:hAnsi="Times New Roman" w:cs="Times New Roman"/>
          <w:sz w:val="28"/>
          <w:szCs w:val="28"/>
          <w:lang w:val="en-US" w:eastAsia="zh-CN"/>
        </w:rPr>
        <w:t>.</w:t>
      </w:r>
    </w:p>
    <w:tbl>
      <w:tblPr>
        <w:tblStyle w:val="17"/>
        <w:tblW w:w="4998" w:type="pct"/>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461"/>
        <w:gridCol w:w="2463"/>
        <w:gridCol w:w="2463"/>
        <w:gridCol w:w="2463"/>
      </w:tblGrid>
      <w:tr w14:paraId="4A569AA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249" w:type="pct"/>
            <w:tcBorders>
              <w:top w:val="single" w:color="auto" w:sz="12" w:space="0"/>
              <w:bottom w:val="single" w:color="auto" w:sz="6" w:space="0"/>
            </w:tcBorders>
          </w:tcPr>
          <w:p w14:paraId="2BB5B80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Surfactant</w:t>
            </w:r>
          </w:p>
        </w:tc>
        <w:tc>
          <w:tcPr>
            <w:tcW w:w="1250" w:type="pct"/>
            <w:tcBorders>
              <w:top w:val="single" w:color="auto" w:sz="12" w:space="0"/>
              <w:bottom w:val="single" w:color="auto" w:sz="6" w:space="0"/>
            </w:tcBorders>
          </w:tcPr>
          <w:p w14:paraId="7562E8AB">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NS</w:t>
            </w:r>
          </w:p>
        </w:tc>
        <w:tc>
          <w:tcPr>
            <w:tcW w:w="1250" w:type="pct"/>
            <w:tcBorders>
              <w:top w:val="single" w:color="auto" w:sz="12" w:space="0"/>
              <w:bottom w:val="single" w:color="auto" w:sz="6" w:space="0"/>
            </w:tcBorders>
          </w:tcPr>
          <w:p w14:paraId="6E84E46D">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w:t>
            </w:r>
          </w:p>
        </w:tc>
        <w:tc>
          <w:tcPr>
            <w:tcW w:w="1250" w:type="pct"/>
            <w:tcBorders>
              <w:top w:val="single" w:color="auto" w:sz="12" w:space="0"/>
              <w:bottom w:val="single" w:color="auto" w:sz="6" w:space="0"/>
            </w:tcBorders>
          </w:tcPr>
          <w:p w14:paraId="7B3C109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w:t>
            </w:r>
          </w:p>
        </w:tc>
      </w:tr>
      <w:tr w14:paraId="4A82676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249" w:type="pct"/>
            <w:tcBorders>
              <w:top w:val="single" w:color="auto" w:sz="6" w:space="0"/>
              <w:bottom w:val="single" w:color="auto" w:sz="12" w:space="0"/>
            </w:tcBorders>
          </w:tcPr>
          <w:p w14:paraId="77789C83">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Content (%)</w:t>
            </w:r>
          </w:p>
        </w:tc>
        <w:tc>
          <w:tcPr>
            <w:tcW w:w="1250" w:type="pct"/>
            <w:tcBorders>
              <w:top w:val="single" w:color="auto" w:sz="6" w:space="0"/>
              <w:bottom w:val="single" w:color="auto" w:sz="12" w:space="0"/>
            </w:tcBorders>
          </w:tcPr>
          <w:p w14:paraId="69193A3C">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93.1</w:t>
            </w:r>
          </w:p>
        </w:tc>
        <w:tc>
          <w:tcPr>
            <w:tcW w:w="1250" w:type="pct"/>
            <w:tcBorders>
              <w:top w:val="single" w:color="auto" w:sz="6" w:space="0"/>
              <w:bottom w:val="single" w:color="auto" w:sz="12" w:space="0"/>
            </w:tcBorders>
          </w:tcPr>
          <w:p w14:paraId="07DBF853">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92.5</w:t>
            </w:r>
          </w:p>
        </w:tc>
        <w:tc>
          <w:tcPr>
            <w:tcW w:w="1250" w:type="pct"/>
            <w:tcBorders>
              <w:top w:val="single" w:color="auto" w:sz="6" w:space="0"/>
              <w:bottom w:val="single" w:color="auto" w:sz="12" w:space="0"/>
            </w:tcBorders>
          </w:tcPr>
          <w:p w14:paraId="1CD24A8B">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90.2</w:t>
            </w:r>
          </w:p>
        </w:tc>
      </w:tr>
    </w:tbl>
    <w:p w14:paraId="07C68B88">
      <w:pPr>
        <w:widowControl/>
        <w:ind w:firstLine="709" w:firstLineChars="0"/>
        <w:rPr>
          <w:rFonts w:hint="default" w:ascii="Times New Roman" w:hAnsi="Times New Roman" w:cs="Times New Roman"/>
          <w:sz w:val="28"/>
          <w:szCs w:val="28"/>
        </w:rPr>
      </w:pPr>
    </w:p>
    <w:p w14:paraId="66E38618">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purities of the three surfactants used in this study were 93.1%, 92.5%, and 90.2%, respectively, indicating that the observed interfacial and thermodynamic behaviors can be reliably attributed to the intrinsic properties of the surfactants rather than to impurity effects.</w:t>
      </w:r>
    </w:p>
    <w:p w14:paraId="419C2E92">
      <w:pPr>
        <w:widowControl/>
        <w:ind w:firstLine="709" w:firstLineChars="0"/>
        <w:rPr>
          <w:rFonts w:hint="default" w:ascii="Times New Roman" w:hAnsi="Times New Roman" w:cs="Times New Roman"/>
          <w:i w:val="0"/>
          <w:iCs w:val="0"/>
          <w:sz w:val="28"/>
          <w:szCs w:val="28"/>
        </w:rPr>
      </w:pPr>
      <w:r>
        <w:rPr>
          <w:rFonts w:hint="default" w:ascii="Times New Roman" w:hAnsi="Times New Roman" w:cs="Times New Roman"/>
          <w:i w:val="0"/>
          <w:iCs w:val="0"/>
          <w:sz w:val="28"/>
          <w:szCs w:val="28"/>
        </w:rPr>
        <w:t>3.4.1.2 FTIR analysis</w:t>
      </w:r>
    </w:p>
    <w:p w14:paraId="1FB36770">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The molecular structure of the synthesized surfactant was determined by Fourier transform infrared spectroscopy (FTIR) which was used to analyze the characteristic absorption bands of functional groups. The resulting infrared spectra of the synthesized surfactants are presented in Figure 3.2 and the analysis results </w:t>
      </w:r>
      <w:r>
        <w:rPr>
          <w:rFonts w:hint="eastAsia" w:cs="Times New Roman"/>
          <w:sz w:val="28"/>
          <w:szCs w:val="28"/>
          <w:lang w:val="en-US" w:eastAsia="zh-CN"/>
        </w:rPr>
        <w:t>a</w:t>
      </w:r>
      <w:r>
        <w:rPr>
          <w:rFonts w:hint="default" w:ascii="Times New Roman" w:hAnsi="Times New Roman" w:cs="Times New Roman"/>
          <w:sz w:val="28"/>
          <w:szCs w:val="28"/>
        </w:rPr>
        <w:t>re listed in Table 3.3, which reveal the characteristic absorption bands corresponding to the functional groups in each product and confirm the structural features of the target molecules.</w:t>
      </w:r>
    </w:p>
    <w:p w14:paraId="409409B5">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Figure 3.2 exhibits the FTIR spectra of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NS with details displayed in Table 3.3. The absorption peaks at 2915.88 cm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and 2854.17 cm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represent the antisymmetric stretching vibration of –CH</w:t>
      </w:r>
      <w:r>
        <w:rPr>
          <w:rFonts w:hint="default" w:ascii="Times New Roman" w:hAnsi="Times New Roman" w:cs="Times New Roman"/>
          <w:sz w:val="28"/>
          <w:szCs w:val="28"/>
          <w:vertAlign w:val="subscript"/>
        </w:rPr>
        <w:t>2</w:t>
      </w:r>
      <w:r>
        <w:rPr>
          <w:rFonts w:hint="default" w:ascii="Times New Roman" w:hAnsi="Times New Roman" w:cs="Times New Roman"/>
          <w:sz w:val="28"/>
          <w:szCs w:val="28"/>
        </w:rPr>
        <w:t>-. The shear vibration peak at 1467.59 cm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w:t>
      </w:r>
      <w:r>
        <w:rPr>
          <w:rFonts w:hint="eastAsia" w:cs="Times New Roman"/>
          <w:sz w:val="28"/>
          <w:szCs w:val="28"/>
          <w:lang w:val="en-US" w:eastAsia="zh-CN"/>
        </w:rPr>
        <w:t>is</w:t>
      </w:r>
      <w:r>
        <w:rPr>
          <w:rFonts w:hint="default" w:ascii="Times New Roman" w:hAnsi="Times New Roman" w:cs="Times New Roman"/>
          <w:sz w:val="28"/>
          <w:szCs w:val="28"/>
        </w:rPr>
        <w:t xml:space="preserve"> caused by the vibration of the –CH</w:t>
      </w:r>
      <w:r>
        <w:rPr>
          <w:rFonts w:hint="default" w:ascii="Times New Roman" w:hAnsi="Times New Roman" w:cs="Times New Roman"/>
          <w:sz w:val="28"/>
          <w:szCs w:val="28"/>
          <w:vertAlign w:val="subscript"/>
        </w:rPr>
        <w:t>2</w:t>
      </w:r>
      <w:r>
        <w:rPr>
          <w:rFonts w:hint="default" w:ascii="Times New Roman" w:hAnsi="Times New Roman" w:cs="Times New Roman"/>
          <w:sz w:val="28"/>
          <w:szCs w:val="28"/>
        </w:rPr>
        <w:t>-. The absorption peak at 1353.81 cm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correspond</w:t>
      </w:r>
      <w:r>
        <w:rPr>
          <w:rFonts w:hint="eastAsia" w:cs="Times New Roman"/>
          <w:sz w:val="28"/>
          <w:szCs w:val="28"/>
          <w:lang w:val="en-US" w:eastAsia="zh-CN"/>
        </w:rPr>
        <w:t>s</w:t>
      </w:r>
      <w:r>
        <w:rPr>
          <w:rFonts w:hint="default" w:ascii="Times New Roman" w:hAnsi="Times New Roman" w:cs="Times New Roman"/>
          <w:sz w:val="28"/>
          <w:szCs w:val="28"/>
        </w:rPr>
        <w:t xml:space="preserve"> to the symmetry deformation vibration peak of –CH</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 The bond observed at 1108.89 cm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is assigned to the stretching vibration peak of S=O. The bond at 1035.60 cm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is the stretching vibration peak of C-N. The plane rocking vibration peak at 696.18 cm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signifies −(CH</w:t>
      </w:r>
      <w:r>
        <w:rPr>
          <w:rFonts w:hint="default" w:ascii="Times New Roman" w:hAnsi="Times New Roman" w:cs="Times New Roman"/>
          <w:sz w:val="28"/>
          <w:szCs w:val="28"/>
          <w:vertAlign w:val="subscript"/>
        </w:rPr>
        <w:t>2</w:t>
      </w:r>
      <w:r>
        <w:rPr>
          <w:rFonts w:hint="default" w:ascii="Times New Roman" w:hAnsi="Times New Roman" w:cs="Times New Roman"/>
          <w:sz w:val="28"/>
          <w:szCs w:val="28"/>
        </w:rPr>
        <w:t>)</w:t>
      </w:r>
      <w:r>
        <w:rPr>
          <w:rFonts w:hint="default" w:ascii="Times New Roman" w:hAnsi="Times New Roman" w:cs="Times New Roman"/>
          <w:sz w:val="28"/>
          <w:szCs w:val="28"/>
          <w:vertAlign w:val="subscript"/>
        </w:rPr>
        <w:t>n</w:t>
      </w:r>
      <w:r>
        <w:rPr>
          <w:rFonts w:hint="default" w:ascii="Times New Roman" w:hAnsi="Times New Roman" w:cs="Times New Roman"/>
          <w:sz w:val="28"/>
          <w:szCs w:val="28"/>
        </w:rPr>
        <w:t>-(n &gt; 4).</w:t>
      </w:r>
    </w:p>
    <w:p w14:paraId="0A452C50">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Figure 3.2 exhibits the FTIR spectra of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with details displayed in Table 3.3. The absorption peaks at 2973.74 cm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and 2883.10 cm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represent the antisymmetric stretching vibration of –CH</w:t>
      </w:r>
      <w:r>
        <w:rPr>
          <w:rFonts w:hint="default" w:ascii="Times New Roman" w:hAnsi="Times New Roman" w:cs="Times New Roman"/>
          <w:sz w:val="28"/>
          <w:szCs w:val="28"/>
          <w:vertAlign w:val="subscript"/>
        </w:rPr>
        <w:t>2</w:t>
      </w:r>
      <w:r>
        <w:rPr>
          <w:rFonts w:hint="default" w:ascii="Times New Roman" w:hAnsi="Times New Roman" w:cs="Times New Roman"/>
          <w:sz w:val="28"/>
          <w:szCs w:val="28"/>
        </w:rPr>
        <w:t>-. The shear vibration peak at 1480.50 cm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w:t>
      </w:r>
      <w:r>
        <w:rPr>
          <w:rFonts w:hint="eastAsia" w:cs="Times New Roman"/>
          <w:sz w:val="28"/>
          <w:szCs w:val="28"/>
          <w:lang w:val="en-US" w:eastAsia="zh-CN"/>
        </w:rPr>
        <w:t>is</w:t>
      </w:r>
      <w:r>
        <w:rPr>
          <w:rFonts w:hint="default" w:ascii="Times New Roman" w:hAnsi="Times New Roman" w:cs="Times New Roman"/>
          <w:sz w:val="28"/>
          <w:szCs w:val="28"/>
        </w:rPr>
        <w:t xml:space="preserve"> caused by the vibration of the –CH</w:t>
      </w:r>
      <w:r>
        <w:rPr>
          <w:rFonts w:hint="default" w:ascii="Times New Roman" w:hAnsi="Times New Roman" w:cs="Times New Roman"/>
          <w:sz w:val="28"/>
          <w:szCs w:val="28"/>
          <w:vertAlign w:val="subscript"/>
        </w:rPr>
        <w:t>2</w:t>
      </w:r>
      <w:r>
        <w:rPr>
          <w:rFonts w:hint="default" w:ascii="Times New Roman" w:hAnsi="Times New Roman" w:cs="Times New Roman"/>
          <w:sz w:val="28"/>
          <w:szCs w:val="28"/>
        </w:rPr>
        <w:t>-. The absorption peak at 1373.51 cm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correspond</w:t>
      </w:r>
      <w:r>
        <w:rPr>
          <w:rFonts w:hint="eastAsia" w:cs="Times New Roman"/>
          <w:sz w:val="28"/>
          <w:szCs w:val="28"/>
          <w:lang w:val="en-US" w:eastAsia="zh-CN"/>
        </w:rPr>
        <w:t>s</w:t>
      </w:r>
      <w:r>
        <w:rPr>
          <w:rFonts w:hint="default" w:ascii="Times New Roman" w:hAnsi="Times New Roman" w:cs="Times New Roman"/>
          <w:sz w:val="28"/>
          <w:szCs w:val="28"/>
        </w:rPr>
        <w:t xml:space="preserve"> to the symmetry deformation vibration peak of –CH</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 The bond observed at 1186.64 cm−1 is assigned to the stretching vibration peak of S=O. The bond observed at 1104.71 cm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w:t>
      </w:r>
      <w:r>
        <w:rPr>
          <w:rFonts w:hint="eastAsia" w:cs="Times New Roman"/>
          <w:sz w:val="28"/>
          <w:szCs w:val="28"/>
          <w:lang w:val="en-US" w:eastAsia="zh-CN"/>
        </w:rPr>
        <w:t>is</w:t>
      </w:r>
      <w:r>
        <w:rPr>
          <w:rFonts w:hint="default" w:ascii="Times New Roman" w:hAnsi="Times New Roman" w:cs="Times New Roman"/>
          <w:sz w:val="28"/>
          <w:szCs w:val="28"/>
        </w:rPr>
        <w:t xml:space="preserve"> attributed to the characteristic peak of C-O-C. The bond at 1037.92 cm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is the stretching vibration peak of C-N. The plane rocking vibration peak at 700.04 cm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signifies −(CH</w:t>
      </w:r>
      <w:r>
        <w:rPr>
          <w:rFonts w:hint="default" w:ascii="Times New Roman" w:hAnsi="Times New Roman" w:cs="Times New Roman"/>
          <w:sz w:val="28"/>
          <w:szCs w:val="28"/>
          <w:vertAlign w:val="subscript"/>
        </w:rPr>
        <w:t>2</w:t>
      </w:r>
      <w:r>
        <w:rPr>
          <w:rFonts w:hint="default" w:ascii="Times New Roman" w:hAnsi="Times New Roman" w:cs="Times New Roman"/>
          <w:sz w:val="28"/>
          <w:szCs w:val="28"/>
        </w:rPr>
        <w:t>)</w:t>
      </w:r>
      <w:r>
        <w:rPr>
          <w:rFonts w:hint="default" w:ascii="Times New Roman" w:hAnsi="Times New Roman" w:cs="Times New Roman"/>
          <w:sz w:val="28"/>
          <w:szCs w:val="28"/>
          <w:vertAlign w:val="subscript"/>
        </w:rPr>
        <w:t>n</w:t>
      </w:r>
      <w:r>
        <w:rPr>
          <w:rFonts w:hint="default" w:ascii="Times New Roman" w:hAnsi="Times New Roman" w:cs="Times New Roman"/>
          <w:sz w:val="28"/>
          <w:szCs w:val="28"/>
        </w:rPr>
        <w:t>-(n &gt; 4).</w:t>
      </w:r>
    </w:p>
    <w:p w14:paraId="1AC1BE73">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Figure 3.2 exhibits the FTIR spectra of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with details displayed in Table 3.3. The absorption peaks at 2925.60 cm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and 2856.81 cm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represent the antisymmetric stretching vibration of –CH</w:t>
      </w:r>
      <w:r>
        <w:rPr>
          <w:rFonts w:hint="default" w:ascii="Times New Roman" w:hAnsi="Times New Roman" w:cs="Times New Roman"/>
          <w:sz w:val="28"/>
          <w:szCs w:val="28"/>
          <w:vertAlign w:val="subscript"/>
        </w:rPr>
        <w:t>2</w:t>
      </w:r>
      <w:r>
        <w:rPr>
          <w:rFonts w:hint="default" w:ascii="Times New Roman" w:hAnsi="Times New Roman" w:cs="Times New Roman"/>
          <w:sz w:val="28"/>
          <w:szCs w:val="28"/>
        </w:rPr>
        <w:t>-. The shear vibration peak at 1480.50 cm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w:t>
      </w:r>
      <w:r>
        <w:rPr>
          <w:rFonts w:hint="eastAsia" w:cs="Times New Roman"/>
          <w:sz w:val="28"/>
          <w:szCs w:val="28"/>
          <w:lang w:val="en-US" w:eastAsia="zh-CN"/>
        </w:rPr>
        <w:t>is</w:t>
      </w:r>
      <w:r>
        <w:rPr>
          <w:rFonts w:hint="default" w:ascii="Times New Roman" w:hAnsi="Times New Roman" w:cs="Times New Roman"/>
          <w:sz w:val="28"/>
          <w:szCs w:val="28"/>
        </w:rPr>
        <w:t xml:space="preserve"> caused by the vibration of the –CH</w:t>
      </w:r>
      <w:r>
        <w:rPr>
          <w:rFonts w:hint="default" w:ascii="Times New Roman" w:hAnsi="Times New Roman" w:cs="Times New Roman"/>
          <w:sz w:val="28"/>
          <w:szCs w:val="28"/>
          <w:vertAlign w:val="subscript"/>
        </w:rPr>
        <w:t>2</w:t>
      </w:r>
      <w:r>
        <w:rPr>
          <w:rFonts w:hint="default" w:ascii="Times New Roman" w:hAnsi="Times New Roman" w:cs="Times New Roman"/>
          <w:sz w:val="28"/>
          <w:szCs w:val="28"/>
        </w:rPr>
        <w:t>-. The absorption peak at 1373.51 cm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correspond</w:t>
      </w:r>
      <w:r>
        <w:rPr>
          <w:rFonts w:hint="eastAsia" w:cs="Times New Roman"/>
          <w:sz w:val="28"/>
          <w:szCs w:val="28"/>
          <w:lang w:val="en-US" w:eastAsia="zh-CN"/>
        </w:rPr>
        <w:t>s</w:t>
      </w:r>
      <w:r>
        <w:rPr>
          <w:rFonts w:hint="default" w:ascii="Times New Roman" w:hAnsi="Times New Roman" w:cs="Times New Roman"/>
          <w:sz w:val="28"/>
          <w:szCs w:val="28"/>
        </w:rPr>
        <w:t xml:space="preserve"> to the symmetry deformation vibration peak of –CH</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 The bond observed at 1106.96 cm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is assigned to the stretching vibration peak of S=O. The bond observed at 1064.53 cm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w:t>
      </w:r>
      <w:r>
        <w:rPr>
          <w:rFonts w:hint="eastAsia" w:cs="Times New Roman"/>
          <w:sz w:val="28"/>
          <w:szCs w:val="28"/>
          <w:lang w:val="en-US" w:eastAsia="zh-CN"/>
        </w:rPr>
        <w:t xml:space="preserve">is </w:t>
      </w:r>
      <w:r>
        <w:rPr>
          <w:rFonts w:hint="default" w:ascii="Times New Roman" w:hAnsi="Times New Roman" w:cs="Times New Roman"/>
          <w:sz w:val="28"/>
          <w:szCs w:val="28"/>
        </w:rPr>
        <w:t>attributed to the characteristic peak of C-O-C. The bond at 1025.96 cm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is the stretching vibration peak of C-N. The plane rocking vibration peak at 725.12 cm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signifies −(CH</w:t>
      </w:r>
      <w:r>
        <w:rPr>
          <w:rFonts w:hint="default" w:ascii="Times New Roman" w:hAnsi="Times New Roman" w:cs="Times New Roman"/>
          <w:sz w:val="28"/>
          <w:szCs w:val="28"/>
          <w:vertAlign w:val="subscript"/>
        </w:rPr>
        <w:t>2</w:t>
      </w:r>
      <w:r>
        <w:rPr>
          <w:rFonts w:hint="default" w:ascii="Times New Roman" w:hAnsi="Times New Roman" w:cs="Times New Roman"/>
          <w:sz w:val="28"/>
          <w:szCs w:val="28"/>
        </w:rPr>
        <w:t>)</w:t>
      </w:r>
      <w:r>
        <w:rPr>
          <w:rFonts w:hint="default" w:ascii="Times New Roman" w:hAnsi="Times New Roman" w:cs="Times New Roman"/>
          <w:sz w:val="28"/>
          <w:szCs w:val="28"/>
          <w:vertAlign w:val="subscript"/>
        </w:rPr>
        <w:t>n</w:t>
      </w:r>
      <w:r>
        <w:rPr>
          <w:rFonts w:hint="default" w:ascii="Times New Roman" w:hAnsi="Times New Roman" w:cs="Times New Roman"/>
          <w:sz w:val="28"/>
          <w:szCs w:val="28"/>
        </w:rPr>
        <w:t>-(n &gt; 4).</w:t>
      </w:r>
    </w:p>
    <w:p w14:paraId="6BFEF0F3">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FTIR spectra of the three synthesized extended amphoteric surfactants exhibit the expected characteristic absorption peaks, confirming that their molecular structures are consistent with the target structure. Comparative analysis shows that the introduction of PO and EO segments results in the appearance of characteristic C–O–C peaks and a slight shift in the S=O stretching vibration. These results verify the successful structural extension and the enhanced molecular flexibility of the surfactants.</w:t>
      </w:r>
    </w:p>
    <w:p w14:paraId="305BEC73">
      <w:pPr>
        <w:widowControl/>
        <w:ind w:firstLine="709" w:firstLineChars="0"/>
        <w:rPr>
          <w:rFonts w:hint="default" w:ascii="Times New Roman" w:hAnsi="Times New Roman" w:cs="Times New Roman"/>
          <w:sz w:val="28"/>
          <w:szCs w:val="28"/>
        </w:rPr>
      </w:pPr>
    </w:p>
    <w:p w14:paraId="480D9011">
      <w:pPr>
        <w:widowControl/>
        <w:ind w:left="0" w:leftChars="0" w:firstLine="0" w:firstLineChars="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Table 3.3 – FTIR of synthesized extended amphoteric surfactants</w:t>
      </w:r>
      <w:r>
        <w:rPr>
          <w:rFonts w:hint="default" w:ascii="Times New Roman" w:hAnsi="Times New Roman" w:cs="Times New Roman"/>
          <w:sz w:val="28"/>
          <w:szCs w:val="28"/>
          <w:lang w:val="en-US" w:eastAsia="zh-CN"/>
        </w:rPr>
        <w:t>.</w:t>
      </w:r>
    </w:p>
    <w:tbl>
      <w:tblPr>
        <w:tblStyle w:val="17"/>
        <w:tblW w:w="4998" w:type="pct"/>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89"/>
        <w:gridCol w:w="1705"/>
        <w:gridCol w:w="1126"/>
        <w:gridCol w:w="1435"/>
        <w:gridCol w:w="1248"/>
        <w:gridCol w:w="1599"/>
        <w:gridCol w:w="1248"/>
      </w:tblGrid>
      <w:tr w14:paraId="6DA4873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56" w:type="pct"/>
            <w:tcBorders>
              <w:bottom w:val="single" w:color="auto" w:sz="4" w:space="0"/>
            </w:tcBorders>
            <w:vAlign w:val="center"/>
          </w:tcPr>
          <w:p w14:paraId="78426E5D">
            <w:pPr>
              <w:pStyle w:val="13"/>
              <w:spacing w:before="0" w:beforeAutospacing="0" w:after="0" w:afterAutospacing="0"/>
              <w:jc w:val="center"/>
              <w:rPr>
                <w:rFonts w:hint="default" w:ascii="Times New Roman" w:hAnsi="Times New Roman" w:cs="Times New Roman"/>
                <w:sz w:val="24"/>
                <w:szCs w:val="24"/>
              </w:rPr>
            </w:pPr>
            <w:r>
              <w:rPr>
                <w:rFonts w:hint="default" w:ascii="Times New Roman" w:hAnsi="Times New Roman" w:cs="Times New Roman"/>
                <w:sz w:val="24"/>
                <w:szCs w:val="24"/>
              </w:rPr>
              <w:t>Surfactant</w:t>
            </w:r>
          </w:p>
        </w:tc>
        <w:tc>
          <w:tcPr>
            <w:tcW w:w="865" w:type="pct"/>
            <w:tcBorders>
              <w:bottom w:val="single" w:color="auto" w:sz="4" w:space="0"/>
            </w:tcBorders>
            <w:vAlign w:val="center"/>
          </w:tcPr>
          <w:p w14:paraId="490FECFD">
            <w:pPr>
              <w:pStyle w:val="13"/>
              <w:spacing w:before="0" w:beforeAutospacing="0" w:after="0" w:afterAutospacing="0"/>
              <w:jc w:val="center"/>
              <w:rPr>
                <w:rFonts w:hint="default" w:ascii="Times New Roman" w:hAnsi="Times New Roman" w:cs="Times New Roman"/>
                <w:sz w:val="24"/>
                <w:szCs w:val="24"/>
              </w:rPr>
            </w:pPr>
            <w:r>
              <w:rPr>
                <w:rFonts w:hint="default" w:ascii="Times New Roman" w:hAnsi="Times New Roman" w:cs="Times New Roman"/>
                <w:sz w:val="24"/>
                <w:szCs w:val="24"/>
              </w:rPr>
              <w:t>Antisymmetric stretching vibration peaks of –CH</w:t>
            </w:r>
            <w:r>
              <w:rPr>
                <w:rFonts w:hint="default" w:ascii="Times New Roman" w:hAnsi="Times New Roman" w:cs="Times New Roman"/>
                <w:sz w:val="24"/>
                <w:szCs w:val="24"/>
                <w:vertAlign w:val="subscript"/>
              </w:rPr>
              <w:t>2</w:t>
            </w:r>
            <w:r>
              <w:rPr>
                <w:rFonts w:hint="default" w:ascii="Times New Roman" w:hAnsi="Times New Roman" w:cs="Times New Roman"/>
                <w:sz w:val="24"/>
                <w:szCs w:val="24"/>
              </w:rPr>
              <w:t>-</w:t>
            </w:r>
          </w:p>
        </w:tc>
        <w:tc>
          <w:tcPr>
            <w:tcW w:w="571" w:type="pct"/>
            <w:tcBorders>
              <w:bottom w:val="single" w:color="auto" w:sz="4" w:space="0"/>
            </w:tcBorders>
            <w:vAlign w:val="center"/>
          </w:tcPr>
          <w:p w14:paraId="72BB3488">
            <w:pPr>
              <w:pStyle w:val="13"/>
              <w:spacing w:before="0" w:beforeAutospacing="0" w:after="0" w:afterAutospacing="0"/>
              <w:jc w:val="center"/>
              <w:rPr>
                <w:rFonts w:hint="default" w:ascii="Times New Roman" w:hAnsi="Times New Roman" w:cs="Times New Roman"/>
                <w:sz w:val="24"/>
                <w:szCs w:val="24"/>
              </w:rPr>
            </w:pPr>
            <w:r>
              <w:rPr>
                <w:rFonts w:hint="default" w:ascii="Times New Roman" w:hAnsi="Times New Roman" w:cs="Times New Roman"/>
                <w:sz w:val="24"/>
                <w:szCs w:val="24"/>
              </w:rPr>
              <w:t>Shear vibration peaks of -CH</w:t>
            </w:r>
            <w:r>
              <w:rPr>
                <w:rFonts w:hint="default" w:ascii="Times New Roman" w:hAnsi="Times New Roman" w:cs="Times New Roman"/>
                <w:sz w:val="24"/>
                <w:szCs w:val="24"/>
                <w:vertAlign w:val="subscript"/>
              </w:rPr>
              <w:t>2</w:t>
            </w:r>
            <w:r>
              <w:rPr>
                <w:rFonts w:hint="default" w:ascii="Times New Roman" w:hAnsi="Times New Roman" w:cs="Times New Roman"/>
                <w:sz w:val="24"/>
                <w:szCs w:val="24"/>
              </w:rPr>
              <w:t>-</w:t>
            </w:r>
          </w:p>
        </w:tc>
        <w:tc>
          <w:tcPr>
            <w:tcW w:w="728" w:type="pct"/>
            <w:tcBorders>
              <w:bottom w:val="single" w:color="auto" w:sz="4" w:space="0"/>
            </w:tcBorders>
            <w:vAlign w:val="center"/>
          </w:tcPr>
          <w:p w14:paraId="37D687C9">
            <w:pPr>
              <w:pStyle w:val="13"/>
              <w:spacing w:before="0" w:beforeAutospacing="0" w:after="0" w:afterAutospacing="0"/>
              <w:jc w:val="center"/>
              <w:rPr>
                <w:rFonts w:hint="default" w:ascii="Times New Roman" w:hAnsi="Times New Roman" w:cs="Times New Roman"/>
                <w:sz w:val="24"/>
                <w:szCs w:val="24"/>
              </w:rPr>
            </w:pPr>
            <w:r>
              <w:rPr>
                <w:rFonts w:hint="default" w:ascii="Times New Roman" w:hAnsi="Times New Roman" w:cs="Times New Roman"/>
                <w:sz w:val="24"/>
                <w:szCs w:val="24"/>
              </w:rPr>
              <w:t>Symmetry deformation vibration peak of -CH</w:t>
            </w:r>
            <w:r>
              <w:rPr>
                <w:rFonts w:hint="default" w:ascii="Times New Roman" w:hAnsi="Times New Roman" w:cs="Times New Roman"/>
                <w:sz w:val="24"/>
                <w:szCs w:val="24"/>
                <w:vertAlign w:val="subscript"/>
              </w:rPr>
              <w:t>3</w:t>
            </w:r>
          </w:p>
        </w:tc>
        <w:tc>
          <w:tcPr>
            <w:tcW w:w="633" w:type="pct"/>
            <w:tcBorders>
              <w:bottom w:val="single" w:color="auto" w:sz="4" w:space="0"/>
            </w:tcBorders>
            <w:vAlign w:val="center"/>
          </w:tcPr>
          <w:p w14:paraId="7553FCB1">
            <w:pPr>
              <w:pStyle w:val="13"/>
              <w:spacing w:before="0" w:beforeAutospacing="0" w:after="0" w:afterAutospacing="0"/>
              <w:jc w:val="center"/>
              <w:rPr>
                <w:rFonts w:hint="default" w:ascii="Times New Roman" w:hAnsi="Times New Roman" w:cs="Times New Roman"/>
                <w:sz w:val="24"/>
                <w:szCs w:val="24"/>
              </w:rPr>
            </w:pPr>
            <w:r>
              <w:rPr>
                <w:rFonts w:hint="default" w:ascii="Times New Roman" w:hAnsi="Times New Roman" w:cs="Times New Roman"/>
                <w:sz w:val="24"/>
                <w:szCs w:val="24"/>
              </w:rPr>
              <w:t>Stretching vibration peak of S=O</w:t>
            </w:r>
          </w:p>
        </w:tc>
        <w:tc>
          <w:tcPr>
            <w:tcW w:w="811" w:type="pct"/>
            <w:tcBorders>
              <w:bottom w:val="single" w:color="auto" w:sz="4" w:space="0"/>
            </w:tcBorders>
            <w:vAlign w:val="center"/>
          </w:tcPr>
          <w:p w14:paraId="1E01742A">
            <w:pPr>
              <w:pStyle w:val="13"/>
              <w:spacing w:before="0" w:beforeAutospacing="0" w:after="0" w:afterAutospacing="0"/>
              <w:jc w:val="center"/>
              <w:rPr>
                <w:rFonts w:hint="default" w:ascii="Times New Roman" w:hAnsi="Times New Roman" w:cs="Times New Roman"/>
                <w:sz w:val="24"/>
                <w:szCs w:val="24"/>
              </w:rPr>
            </w:pPr>
            <w:r>
              <w:rPr>
                <w:rFonts w:hint="default" w:ascii="Times New Roman" w:hAnsi="Times New Roman" w:cs="Times New Roman"/>
                <w:sz w:val="24"/>
                <w:szCs w:val="24"/>
              </w:rPr>
              <w:t>Characteristic peak of C-O-C</w:t>
            </w:r>
          </w:p>
        </w:tc>
        <w:tc>
          <w:tcPr>
            <w:tcW w:w="633" w:type="pct"/>
            <w:tcBorders>
              <w:bottom w:val="single" w:color="auto" w:sz="4" w:space="0"/>
            </w:tcBorders>
            <w:vAlign w:val="center"/>
          </w:tcPr>
          <w:p w14:paraId="33F21AB6">
            <w:pPr>
              <w:pStyle w:val="13"/>
              <w:spacing w:before="0" w:beforeAutospacing="0" w:after="0" w:afterAutospacing="0"/>
              <w:jc w:val="center"/>
              <w:rPr>
                <w:rFonts w:hint="default" w:ascii="Times New Roman" w:hAnsi="Times New Roman" w:cs="Times New Roman"/>
                <w:sz w:val="24"/>
                <w:szCs w:val="24"/>
              </w:rPr>
            </w:pPr>
            <w:r>
              <w:rPr>
                <w:rFonts w:hint="default" w:ascii="Times New Roman" w:hAnsi="Times New Roman" w:cs="Times New Roman"/>
                <w:sz w:val="24"/>
                <w:szCs w:val="24"/>
              </w:rPr>
              <w:t>Stretching vibration peak of C-N</w:t>
            </w:r>
          </w:p>
        </w:tc>
      </w:tr>
      <w:tr w14:paraId="17C00AF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56" w:type="pct"/>
            <w:tcBorders>
              <w:top w:val="single" w:color="auto" w:sz="4" w:space="0"/>
            </w:tcBorders>
            <w:vAlign w:val="center"/>
          </w:tcPr>
          <w:p w14:paraId="47443A51">
            <w:pPr>
              <w:pStyle w:val="13"/>
              <w:spacing w:before="0" w:beforeAutospacing="0" w:after="0" w:afterAutospacing="0"/>
              <w:jc w:val="center"/>
              <w:rPr>
                <w:rFonts w:hint="default" w:ascii="Times New Roman" w:hAnsi="Times New Roman" w:cs="Times New Roman"/>
                <w:sz w:val="24"/>
                <w:szCs w:val="24"/>
              </w:rPr>
            </w:pPr>
            <w:r>
              <w:rPr>
                <w:rFonts w:hint="default" w:ascii="Times New Roman" w:hAnsi="Times New Roman" w:cs="Times New Roman"/>
                <w:sz w:val="24"/>
                <w:szCs w:val="24"/>
              </w:rPr>
              <w:t>C</w:t>
            </w:r>
            <w:r>
              <w:rPr>
                <w:rFonts w:hint="default" w:ascii="Times New Roman" w:hAnsi="Times New Roman" w:cs="Times New Roman"/>
                <w:sz w:val="24"/>
                <w:szCs w:val="24"/>
                <w:vertAlign w:val="subscript"/>
              </w:rPr>
              <w:t>12</w:t>
            </w:r>
            <w:r>
              <w:rPr>
                <w:rFonts w:hint="default" w:ascii="Times New Roman" w:hAnsi="Times New Roman" w:cs="Times New Roman"/>
                <w:sz w:val="24"/>
                <w:szCs w:val="24"/>
              </w:rPr>
              <w:t>NS</w:t>
            </w:r>
          </w:p>
        </w:tc>
        <w:tc>
          <w:tcPr>
            <w:tcW w:w="865" w:type="pct"/>
            <w:tcBorders>
              <w:top w:val="single" w:color="auto" w:sz="4" w:space="0"/>
            </w:tcBorders>
            <w:vAlign w:val="center"/>
          </w:tcPr>
          <w:p w14:paraId="133E62AF">
            <w:pPr>
              <w:pStyle w:val="13"/>
              <w:spacing w:before="0" w:beforeAutospacing="0" w:after="0" w:afterAutospacing="0"/>
              <w:jc w:val="center"/>
              <w:rPr>
                <w:rFonts w:hint="default" w:ascii="Times New Roman" w:hAnsi="Times New Roman" w:cs="Times New Roman"/>
                <w:sz w:val="24"/>
                <w:szCs w:val="24"/>
              </w:rPr>
            </w:pPr>
            <w:r>
              <w:rPr>
                <w:rFonts w:hint="default" w:ascii="Times New Roman" w:hAnsi="Times New Roman" w:cs="Times New Roman"/>
                <w:sz w:val="24"/>
                <w:szCs w:val="24"/>
              </w:rPr>
              <w:t>2915.88, 2854.17</w:t>
            </w:r>
          </w:p>
        </w:tc>
        <w:tc>
          <w:tcPr>
            <w:tcW w:w="571" w:type="pct"/>
            <w:tcBorders>
              <w:top w:val="single" w:color="auto" w:sz="4" w:space="0"/>
            </w:tcBorders>
            <w:vAlign w:val="center"/>
          </w:tcPr>
          <w:p w14:paraId="56AA2CA2">
            <w:pPr>
              <w:pStyle w:val="13"/>
              <w:spacing w:before="0" w:beforeAutospacing="0" w:after="0" w:afterAutospacing="0"/>
              <w:jc w:val="center"/>
              <w:rPr>
                <w:rFonts w:hint="default" w:ascii="Times New Roman" w:hAnsi="Times New Roman" w:cs="Times New Roman"/>
                <w:sz w:val="24"/>
                <w:szCs w:val="24"/>
              </w:rPr>
            </w:pPr>
            <w:r>
              <w:rPr>
                <w:rFonts w:hint="default" w:ascii="Times New Roman" w:hAnsi="Times New Roman" w:cs="Times New Roman"/>
                <w:sz w:val="24"/>
                <w:szCs w:val="24"/>
              </w:rPr>
              <w:t>1467.59</w:t>
            </w:r>
          </w:p>
        </w:tc>
        <w:tc>
          <w:tcPr>
            <w:tcW w:w="728" w:type="pct"/>
            <w:tcBorders>
              <w:top w:val="single" w:color="auto" w:sz="4" w:space="0"/>
            </w:tcBorders>
            <w:vAlign w:val="center"/>
          </w:tcPr>
          <w:p w14:paraId="0A4B33EF">
            <w:pPr>
              <w:pStyle w:val="13"/>
              <w:spacing w:before="0" w:beforeAutospacing="0" w:after="0" w:afterAutospacing="0"/>
              <w:jc w:val="center"/>
              <w:rPr>
                <w:rFonts w:hint="default" w:ascii="Times New Roman" w:hAnsi="Times New Roman" w:cs="Times New Roman"/>
                <w:sz w:val="24"/>
                <w:szCs w:val="24"/>
              </w:rPr>
            </w:pPr>
            <w:r>
              <w:rPr>
                <w:rFonts w:hint="default" w:ascii="Times New Roman" w:hAnsi="Times New Roman" w:cs="Times New Roman"/>
                <w:sz w:val="24"/>
                <w:szCs w:val="24"/>
              </w:rPr>
              <w:t>1353.81</w:t>
            </w:r>
          </w:p>
        </w:tc>
        <w:tc>
          <w:tcPr>
            <w:tcW w:w="633" w:type="pct"/>
            <w:tcBorders>
              <w:top w:val="single" w:color="auto" w:sz="4" w:space="0"/>
            </w:tcBorders>
            <w:vAlign w:val="center"/>
          </w:tcPr>
          <w:p w14:paraId="3C6A2BE8">
            <w:pPr>
              <w:pStyle w:val="13"/>
              <w:spacing w:before="0" w:beforeAutospacing="0" w:after="0" w:afterAutospacing="0"/>
              <w:jc w:val="center"/>
              <w:rPr>
                <w:rFonts w:hint="default" w:ascii="Times New Roman" w:hAnsi="Times New Roman" w:cs="Times New Roman"/>
                <w:sz w:val="24"/>
                <w:szCs w:val="24"/>
              </w:rPr>
            </w:pPr>
            <w:r>
              <w:rPr>
                <w:rFonts w:hint="default" w:ascii="Times New Roman" w:hAnsi="Times New Roman" w:cs="Times New Roman"/>
                <w:sz w:val="24"/>
                <w:szCs w:val="24"/>
              </w:rPr>
              <w:t>1108.89</w:t>
            </w:r>
          </w:p>
        </w:tc>
        <w:tc>
          <w:tcPr>
            <w:tcW w:w="811" w:type="pct"/>
            <w:tcBorders>
              <w:top w:val="single" w:color="auto" w:sz="4" w:space="0"/>
            </w:tcBorders>
            <w:vAlign w:val="center"/>
          </w:tcPr>
          <w:p w14:paraId="737EA70C">
            <w:pPr>
              <w:pStyle w:val="13"/>
              <w:spacing w:before="0" w:beforeAutospacing="0" w:after="0" w:afterAutospacing="0"/>
              <w:jc w:val="center"/>
              <w:rPr>
                <w:rFonts w:hint="default" w:ascii="Times New Roman" w:hAnsi="Times New Roman" w:cs="Times New Roman"/>
                <w:sz w:val="24"/>
                <w:szCs w:val="24"/>
              </w:rPr>
            </w:pPr>
            <w:r>
              <w:rPr>
                <w:rFonts w:hint="default" w:ascii="Times New Roman" w:hAnsi="Times New Roman" w:cs="Times New Roman"/>
                <w:sz w:val="24"/>
                <w:szCs w:val="24"/>
              </w:rPr>
              <w:t>/</w:t>
            </w:r>
          </w:p>
        </w:tc>
        <w:tc>
          <w:tcPr>
            <w:tcW w:w="633" w:type="pct"/>
            <w:tcBorders>
              <w:top w:val="single" w:color="auto" w:sz="4" w:space="0"/>
            </w:tcBorders>
            <w:vAlign w:val="center"/>
          </w:tcPr>
          <w:p w14:paraId="1F3D9FA7">
            <w:pPr>
              <w:pStyle w:val="13"/>
              <w:spacing w:before="0" w:beforeAutospacing="0" w:after="0" w:afterAutospacing="0"/>
              <w:jc w:val="center"/>
              <w:rPr>
                <w:rFonts w:hint="default" w:ascii="Times New Roman" w:hAnsi="Times New Roman" w:cs="Times New Roman"/>
                <w:sz w:val="24"/>
                <w:szCs w:val="24"/>
              </w:rPr>
            </w:pPr>
            <w:r>
              <w:rPr>
                <w:rFonts w:hint="default" w:ascii="Times New Roman" w:hAnsi="Times New Roman" w:cs="Times New Roman"/>
                <w:sz w:val="24"/>
                <w:szCs w:val="24"/>
              </w:rPr>
              <w:t>1035.60</w:t>
            </w:r>
          </w:p>
        </w:tc>
      </w:tr>
      <w:tr w14:paraId="63A4115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56" w:type="pct"/>
            <w:vAlign w:val="center"/>
          </w:tcPr>
          <w:p w14:paraId="1A3E86EF">
            <w:pPr>
              <w:pStyle w:val="13"/>
              <w:spacing w:before="0" w:beforeAutospacing="0" w:after="0" w:afterAutospacing="0"/>
              <w:jc w:val="center"/>
              <w:rPr>
                <w:rFonts w:hint="default" w:ascii="Times New Roman" w:hAnsi="Times New Roman" w:cs="Times New Roman"/>
                <w:sz w:val="24"/>
                <w:szCs w:val="24"/>
              </w:rPr>
            </w:pPr>
            <w:r>
              <w:rPr>
                <w:rFonts w:hint="default" w:ascii="Times New Roman" w:hAnsi="Times New Roman" w:cs="Times New Roman"/>
                <w:sz w:val="24"/>
                <w:szCs w:val="24"/>
              </w:rPr>
              <w:t>C</w:t>
            </w:r>
            <w:r>
              <w:rPr>
                <w:rFonts w:hint="default" w:ascii="Times New Roman" w:hAnsi="Times New Roman" w:cs="Times New Roman"/>
                <w:sz w:val="24"/>
                <w:szCs w:val="24"/>
                <w:vertAlign w:val="subscript"/>
              </w:rPr>
              <w:t>12</w:t>
            </w:r>
            <w:r>
              <w:rPr>
                <w:rFonts w:hint="default" w:ascii="Times New Roman" w:hAnsi="Times New Roman" w:cs="Times New Roman"/>
                <w:sz w:val="24"/>
                <w:szCs w:val="24"/>
              </w:rPr>
              <w:t>P</w:t>
            </w:r>
            <w:r>
              <w:rPr>
                <w:rFonts w:hint="default" w:ascii="Times New Roman" w:hAnsi="Times New Roman" w:cs="Times New Roman"/>
                <w:sz w:val="24"/>
                <w:szCs w:val="24"/>
                <w:vertAlign w:val="subscript"/>
              </w:rPr>
              <w:t>3</w:t>
            </w:r>
            <w:r>
              <w:rPr>
                <w:rFonts w:hint="default" w:ascii="Times New Roman" w:hAnsi="Times New Roman" w:cs="Times New Roman"/>
                <w:sz w:val="24"/>
                <w:szCs w:val="24"/>
              </w:rPr>
              <w:t>NS</w:t>
            </w:r>
          </w:p>
        </w:tc>
        <w:tc>
          <w:tcPr>
            <w:tcW w:w="865" w:type="pct"/>
            <w:vAlign w:val="center"/>
          </w:tcPr>
          <w:p w14:paraId="7FE5F553">
            <w:pPr>
              <w:pStyle w:val="13"/>
              <w:spacing w:before="0" w:beforeAutospacing="0" w:after="0" w:afterAutospacing="0"/>
              <w:jc w:val="center"/>
              <w:rPr>
                <w:rFonts w:hint="default" w:ascii="Times New Roman" w:hAnsi="Times New Roman" w:cs="Times New Roman"/>
                <w:sz w:val="24"/>
                <w:szCs w:val="24"/>
              </w:rPr>
            </w:pPr>
            <w:r>
              <w:rPr>
                <w:rFonts w:hint="default" w:ascii="Times New Roman" w:hAnsi="Times New Roman" w:cs="Times New Roman"/>
                <w:sz w:val="24"/>
                <w:szCs w:val="24"/>
              </w:rPr>
              <w:t>2973.74, 2883.10</w:t>
            </w:r>
          </w:p>
        </w:tc>
        <w:tc>
          <w:tcPr>
            <w:tcW w:w="571" w:type="pct"/>
            <w:vAlign w:val="center"/>
          </w:tcPr>
          <w:p w14:paraId="4F81B4A3">
            <w:pPr>
              <w:pStyle w:val="13"/>
              <w:spacing w:before="0" w:beforeAutospacing="0" w:after="0" w:afterAutospacing="0"/>
              <w:jc w:val="center"/>
              <w:rPr>
                <w:rFonts w:hint="default" w:ascii="Times New Roman" w:hAnsi="Times New Roman" w:cs="Times New Roman"/>
                <w:sz w:val="24"/>
                <w:szCs w:val="24"/>
              </w:rPr>
            </w:pPr>
            <w:r>
              <w:rPr>
                <w:rFonts w:hint="default" w:ascii="Times New Roman" w:hAnsi="Times New Roman" w:cs="Times New Roman"/>
                <w:sz w:val="24"/>
                <w:szCs w:val="24"/>
              </w:rPr>
              <w:t>1425.16</w:t>
            </w:r>
          </w:p>
        </w:tc>
        <w:tc>
          <w:tcPr>
            <w:tcW w:w="728" w:type="pct"/>
            <w:vAlign w:val="center"/>
          </w:tcPr>
          <w:p w14:paraId="2D42E2FE">
            <w:pPr>
              <w:pStyle w:val="13"/>
              <w:spacing w:before="0" w:beforeAutospacing="0" w:after="0" w:afterAutospacing="0"/>
              <w:jc w:val="center"/>
              <w:rPr>
                <w:rFonts w:hint="default" w:ascii="Times New Roman" w:hAnsi="Times New Roman" w:cs="Times New Roman"/>
                <w:sz w:val="24"/>
                <w:szCs w:val="24"/>
              </w:rPr>
            </w:pPr>
            <w:r>
              <w:rPr>
                <w:rFonts w:hint="default" w:ascii="Times New Roman" w:hAnsi="Times New Roman" w:cs="Times New Roman"/>
                <w:sz w:val="24"/>
                <w:szCs w:val="24"/>
              </w:rPr>
              <w:t>1382.73</w:t>
            </w:r>
          </w:p>
        </w:tc>
        <w:tc>
          <w:tcPr>
            <w:tcW w:w="633" w:type="pct"/>
            <w:vAlign w:val="center"/>
          </w:tcPr>
          <w:p w14:paraId="6A7CC69C">
            <w:pPr>
              <w:pStyle w:val="13"/>
              <w:spacing w:before="0" w:beforeAutospacing="0" w:after="0" w:afterAutospacing="0"/>
              <w:jc w:val="center"/>
              <w:rPr>
                <w:rFonts w:hint="default" w:ascii="Times New Roman" w:hAnsi="Times New Roman" w:cs="Times New Roman"/>
                <w:sz w:val="24"/>
                <w:szCs w:val="24"/>
              </w:rPr>
            </w:pPr>
            <w:r>
              <w:rPr>
                <w:rFonts w:hint="default" w:ascii="Times New Roman" w:hAnsi="Times New Roman" w:cs="Times New Roman"/>
                <w:sz w:val="24"/>
                <w:szCs w:val="24"/>
              </w:rPr>
              <w:t>1089.60</w:t>
            </w:r>
          </w:p>
        </w:tc>
        <w:tc>
          <w:tcPr>
            <w:tcW w:w="811" w:type="pct"/>
            <w:vAlign w:val="center"/>
          </w:tcPr>
          <w:p w14:paraId="05D638C0">
            <w:pPr>
              <w:pStyle w:val="13"/>
              <w:spacing w:before="0" w:beforeAutospacing="0" w:after="0" w:afterAutospacing="0"/>
              <w:jc w:val="center"/>
              <w:rPr>
                <w:rFonts w:hint="default" w:ascii="Times New Roman" w:hAnsi="Times New Roman" w:cs="Times New Roman"/>
                <w:sz w:val="24"/>
                <w:szCs w:val="24"/>
              </w:rPr>
            </w:pPr>
            <w:r>
              <w:rPr>
                <w:rFonts w:hint="default" w:ascii="Times New Roman" w:hAnsi="Times New Roman" w:cs="Times New Roman"/>
                <w:sz w:val="24"/>
                <w:szCs w:val="24"/>
              </w:rPr>
              <w:t>1049.10</w:t>
            </w:r>
          </w:p>
        </w:tc>
        <w:tc>
          <w:tcPr>
            <w:tcW w:w="633" w:type="pct"/>
            <w:vAlign w:val="center"/>
          </w:tcPr>
          <w:p w14:paraId="3EC2B990">
            <w:pPr>
              <w:pStyle w:val="13"/>
              <w:spacing w:before="0" w:beforeAutospacing="0" w:after="0" w:afterAutospacing="0"/>
              <w:jc w:val="center"/>
              <w:rPr>
                <w:rFonts w:hint="default" w:ascii="Times New Roman" w:hAnsi="Times New Roman" w:cs="Times New Roman"/>
                <w:sz w:val="24"/>
                <w:szCs w:val="24"/>
              </w:rPr>
            </w:pPr>
            <w:r>
              <w:rPr>
                <w:rFonts w:hint="default" w:ascii="Times New Roman" w:hAnsi="Times New Roman" w:cs="Times New Roman"/>
                <w:sz w:val="24"/>
                <w:szCs w:val="24"/>
              </w:rPr>
              <w:t>1027.89</w:t>
            </w:r>
          </w:p>
        </w:tc>
      </w:tr>
      <w:tr w14:paraId="12D5B0C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56" w:type="pct"/>
            <w:vAlign w:val="center"/>
          </w:tcPr>
          <w:p w14:paraId="30F846EC">
            <w:pPr>
              <w:pStyle w:val="13"/>
              <w:spacing w:before="0" w:beforeAutospacing="0" w:after="0" w:afterAutospacing="0"/>
              <w:jc w:val="center"/>
              <w:rPr>
                <w:rFonts w:hint="default" w:ascii="Times New Roman" w:hAnsi="Times New Roman" w:cs="Times New Roman"/>
                <w:sz w:val="24"/>
                <w:szCs w:val="24"/>
              </w:rPr>
            </w:pPr>
            <w:r>
              <w:rPr>
                <w:rFonts w:hint="default" w:ascii="Times New Roman" w:hAnsi="Times New Roman" w:cs="Times New Roman"/>
                <w:sz w:val="24"/>
                <w:szCs w:val="24"/>
              </w:rPr>
              <w:t>C</w:t>
            </w:r>
            <w:r>
              <w:rPr>
                <w:rFonts w:hint="default" w:ascii="Times New Roman" w:hAnsi="Times New Roman" w:cs="Times New Roman"/>
                <w:sz w:val="24"/>
                <w:szCs w:val="24"/>
                <w:vertAlign w:val="subscript"/>
              </w:rPr>
              <w:t>12</w:t>
            </w:r>
            <w:r>
              <w:rPr>
                <w:rFonts w:hint="default" w:ascii="Times New Roman" w:hAnsi="Times New Roman" w:cs="Times New Roman"/>
                <w:sz w:val="24"/>
                <w:szCs w:val="24"/>
              </w:rPr>
              <w:t>P</w:t>
            </w:r>
            <w:r>
              <w:rPr>
                <w:rFonts w:hint="default" w:ascii="Times New Roman" w:hAnsi="Times New Roman" w:cs="Times New Roman"/>
                <w:sz w:val="24"/>
                <w:szCs w:val="24"/>
                <w:vertAlign w:val="subscript"/>
              </w:rPr>
              <w:t>3</w:t>
            </w:r>
            <w:r>
              <w:rPr>
                <w:rFonts w:hint="default" w:ascii="Times New Roman" w:hAnsi="Times New Roman" w:cs="Times New Roman"/>
                <w:sz w:val="24"/>
                <w:szCs w:val="24"/>
              </w:rPr>
              <w:t>E</w:t>
            </w:r>
            <w:r>
              <w:rPr>
                <w:rFonts w:hint="default" w:ascii="Times New Roman" w:hAnsi="Times New Roman" w:cs="Times New Roman"/>
                <w:sz w:val="24"/>
                <w:szCs w:val="24"/>
                <w:vertAlign w:val="subscript"/>
              </w:rPr>
              <w:t>3</w:t>
            </w:r>
            <w:r>
              <w:rPr>
                <w:rFonts w:hint="default" w:ascii="Times New Roman" w:hAnsi="Times New Roman" w:cs="Times New Roman"/>
                <w:sz w:val="24"/>
                <w:szCs w:val="24"/>
              </w:rPr>
              <w:t>NS</w:t>
            </w:r>
          </w:p>
        </w:tc>
        <w:tc>
          <w:tcPr>
            <w:tcW w:w="865" w:type="pct"/>
            <w:vAlign w:val="center"/>
          </w:tcPr>
          <w:p w14:paraId="1BDFDE08">
            <w:pPr>
              <w:pStyle w:val="13"/>
              <w:spacing w:before="0" w:beforeAutospacing="0" w:after="0" w:afterAutospacing="0"/>
              <w:jc w:val="center"/>
              <w:rPr>
                <w:rFonts w:hint="default" w:ascii="Times New Roman" w:hAnsi="Times New Roman" w:cs="Times New Roman"/>
                <w:sz w:val="24"/>
                <w:szCs w:val="24"/>
              </w:rPr>
            </w:pPr>
            <w:r>
              <w:rPr>
                <w:rFonts w:hint="default" w:ascii="Times New Roman" w:hAnsi="Times New Roman" w:cs="Times New Roman"/>
                <w:sz w:val="24"/>
                <w:szCs w:val="24"/>
              </w:rPr>
              <w:t>2925.60, 2856.81</w:t>
            </w:r>
          </w:p>
        </w:tc>
        <w:tc>
          <w:tcPr>
            <w:tcW w:w="571" w:type="pct"/>
            <w:vAlign w:val="center"/>
          </w:tcPr>
          <w:p w14:paraId="02D1DD1D">
            <w:pPr>
              <w:pStyle w:val="13"/>
              <w:spacing w:before="0" w:beforeAutospacing="0" w:after="0" w:afterAutospacing="0"/>
              <w:jc w:val="center"/>
              <w:rPr>
                <w:rFonts w:hint="default" w:ascii="Times New Roman" w:hAnsi="Times New Roman" w:cs="Times New Roman"/>
                <w:sz w:val="24"/>
                <w:szCs w:val="24"/>
              </w:rPr>
            </w:pPr>
            <w:r>
              <w:rPr>
                <w:rFonts w:hint="default" w:ascii="Times New Roman" w:hAnsi="Times New Roman" w:cs="Times New Roman"/>
                <w:sz w:val="24"/>
                <w:szCs w:val="24"/>
              </w:rPr>
              <w:t>1480.50</w:t>
            </w:r>
          </w:p>
        </w:tc>
        <w:tc>
          <w:tcPr>
            <w:tcW w:w="728" w:type="pct"/>
            <w:vAlign w:val="center"/>
          </w:tcPr>
          <w:p w14:paraId="65F80617">
            <w:pPr>
              <w:pStyle w:val="13"/>
              <w:spacing w:before="0" w:beforeAutospacing="0" w:after="0" w:afterAutospacing="0"/>
              <w:jc w:val="center"/>
              <w:rPr>
                <w:rFonts w:hint="default" w:ascii="Times New Roman" w:hAnsi="Times New Roman" w:cs="Times New Roman"/>
                <w:sz w:val="24"/>
                <w:szCs w:val="24"/>
              </w:rPr>
            </w:pPr>
            <w:r>
              <w:rPr>
                <w:rFonts w:hint="default" w:ascii="Times New Roman" w:hAnsi="Times New Roman" w:cs="Times New Roman"/>
                <w:sz w:val="24"/>
                <w:szCs w:val="24"/>
              </w:rPr>
              <w:t>1373.51</w:t>
            </w:r>
          </w:p>
        </w:tc>
        <w:tc>
          <w:tcPr>
            <w:tcW w:w="633" w:type="pct"/>
            <w:vAlign w:val="center"/>
          </w:tcPr>
          <w:p w14:paraId="43B00707">
            <w:pPr>
              <w:pStyle w:val="13"/>
              <w:spacing w:before="0" w:beforeAutospacing="0" w:after="0" w:afterAutospacing="0"/>
              <w:jc w:val="center"/>
              <w:rPr>
                <w:rFonts w:hint="default" w:ascii="Times New Roman" w:hAnsi="Times New Roman" w:cs="Times New Roman"/>
                <w:sz w:val="24"/>
                <w:szCs w:val="24"/>
              </w:rPr>
            </w:pPr>
            <w:r>
              <w:rPr>
                <w:rFonts w:hint="default" w:ascii="Times New Roman" w:hAnsi="Times New Roman" w:cs="Times New Roman"/>
                <w:sz w:val="24"/>
                <w:szCs w:val="24"/>
              </w:rPr>
              <w:t>1106.96</w:t>
            </w:r>
          </w:p>
        </w:tc>
        <w:tc>
          <w:tcPr>
            <w:tcW w:w="811" w:type="pct"/>
            <w:vAlign w:val="center"/>
          </w:tcPr>
          <w:p w14:paraId="695A2C71">
            <w:pPr>
              <w:pStyle w:val="13"/>
              <w:spacing w:before="0" w:beforeAutospacing="0" w:after="0" w:afterAutospacing="0"/>
              <w:jc w:val="center"/>
              <w:rPr>
                <w:rFonts w:hint="default" w:ascii="Times New Roman" w:hAnsi="Times New Roman" w:cs="Times New Roman"/>
                <w:sz w:val="24"/>
                <w:szCs w:val="24"/>
              </w:rPr>
            </w:pPr>
            <w:r>
              <w:rPr>
                <w:rFonts w:hint="default" w:ascii="Times New Roman" w:hAnsi="Times New Roman" w:cs="Times New Roman"/>
                <w:sz w:val="24"/>
                <w:szCs w:val="24"/>
              </w:rPr>
              <w:t>1064.53</w:t>
            </w:r>
          </w:p>
        </w:tc>
        <w:tc>
          <w:tcPr>
            <w:tcW w:w="633" w:type="pct"/>
            <w:vAlign w:val="center"/>
          </w:tcPr>
          <w:p w14:paraId="037484E9">
            <w:pPr>
              <w:pStyle w:val="13"/>
              <w:spacing w:before="0" w:beforeAutospacing="0" w:after="0" w:afterAutospacing="0"/>
              <w:jc w:val="center"/>
              <w:rPr>
                <w:rFonts w:hint="default" w:ascii="Times New Roman" w:hAnsi="Times New Roman" w:cs="Times New Roman"/>
                <w:sz w:val="24"/>
                <w:szCs w:val="24"/>
              </w:rPr>
            </w:pPr>
            <w:r>
              <w:rPr>
                <w:rFonts w:hint="default" w:ascii="Times New Roman" w:hAnsi="Times New Roman" w:cs="Times New Roman"/>
                <w:sz w:val="24"/>
                <w:szCs w:val="24"/>
              </w:rPr>
              <w:t>1025.96</w:t>
            </w:r>
          </w:p>
        </w:tc>
      </w:tr>
    </w:tbl>
    <w:p w14:paraId="34BA2FEC">
      <w:pPr>
        <w:widowControl/>
        <w:ind w:firstLine="0" w:firstLineChars="0"/>
        <w:jc w:val="both"/>
        <w:rPr>
          <w:rFonts w:hint="default" w:ascii="Times New Roman" w:hAnsi="Times New Roman" w:cs="Times New Roman"/>
          <w:sz w:val="28"/>
          <w:szCs w:val="28"/>
        </w:rPr>
      </w:pPr>
    </w:p>
    <w:p w14:paraId="34F9C31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4645660" cy="3781425"/>
            <wp:effectExtent l="0" t="0" r="2540" b="0"/>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25"/>
                    <a:stretch>
                      <a:fillRect/>
                    </a:stretch>
                  </pic:blipFill>
                  <pic:spPr>
                    <a:xfrm>
                      <a:off x="0" y="0"/>
                      <a:ext cx="4663422" cy="3795373"/>
                    </a:xfrm>
                    <a:prstGeom prst="rect">
                      <a:avLst/>
                    </a:prstGeom>
                  </pic:spPr>
                </pic:pic>
              </a:graphicData>
            </a:graphic>
          </wp:inline>
        </w:drawing>
      </w:r>
    </w:p>
    <w:p w14:paraId="6CBE4AC1">
      <w:pPr>
        <w:widowControl/>
        <w:ind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Figure 3.2 – FTIR of synthesized extended amphoteric surfactants</w:t>
      </w:r>
      <w:r>
        <w:rPr>
          <w:rFonts w:hint="default" w:ascii="Times New Roman" w:hAnsi="Times New Roman" w:cs="Times New Roman"/>
          <w:sz w:val="28"/>
          <w:szCs w:val="28"/>
          <w:lang w:val="en-US" w:eastAsia="zh-CN"/>
        </w:rPr>
        <w:t>.</w:t>
      </w:r>
    </w:p>
    <w:p w14:paraId="5E3DDAFE">
      <w:pPr>
        <w:widowControl/>
        <w:ind w:firstLine="709" w:firstLineChars="0"/>
        <w:rPr>
          <w:rFonts w:hint="default" w:ascii="Times New Roman" w:hAnsi="Times New Roman" w:cs="Times New Roman"/>
          <w:sz w:val="28"/>
          <w:szCs w:val="28"/>
        </w:rPr>
      </w:pPr>
    </w:p>
    <w:p w14:paraId="5E68E12F">
      <w:pPr>
        <w:widowControl/>
        <w:ind w:firstLine="709" w:firstLineChars="0"/>
        <w:rPr>
          <w:rFonts w:hint="default" w:ascii="Times New Roman" w:hAnsi="Times New Roman" w:cs="Times New Roman"/>
          <w:i w:val="0"/>
          <w:iCs w:val="0"/>
          <w:sz w:val="28"/>
          <w:szCs w:val="28"/>
        </w:rPr>
      </w:pPr>
      <w:r>
        <w:rPr>
          <w:rFonts w:hint="default" w:ascii="Times New Roman" w:hAnsi="Times New Roman" w:cs="Times New Roman"/>
          <w:i w:val="0"/>
          <w:iCs w:val="0"/>
          <w:sz w:val="28"/>
          <w:szCs w:val="28"/>
        </w:rPr>
        <w:t xml:space="preserve">3.4.2.2 </w:t>
      </w:r>
      <w:r>
        <w:rPr>
          <w:rFonts w:hint="default" w:ascii="Times New Roman" w:hAnsi="Times New Roman" w:cs="Times New Roman"/>
          <w:i w:val="0"/>
          <w:iCs w:val="0"/>
          <w:sz w:val="28"/>
          <w:szCs w:val="28"/>
          <w:vertAlign w:val="superscript"/>
        </w:rPr>
        <w:t>1</w:t>
      </w:r>
      <w:r>
        <w:rPr>
          <w:rFonts w:hint="default" w:ascii="Times New Roman" w:hAnsi="Times New Roman" w:cs="Times New Roman"/>
          <w:i w:val="0"/>
          <w:iCs w:val="0"/>
          <w:sz w:val="28"/>
          <w:szCs w:val="28"/>
        </w:rPr>
        <w:t>H·NMR analysis</w:t>
      </w:r>
    </w:p>
    <w:p w14:paraId="78939FD0">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The </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H·NMR spectra of the three synthesized surfactant samples are presented in Fig 3</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rPr>
        <w:t xml:space="preserve">3. The spectra exhibit characteristic chemical shifts and splitting patterns corresponding to the hydrogen atoms in different functional groups, thereby providing critical structural information and confirming the successful synthesis of the target surfactants. The </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H·NMR spectra analysis of synthesized extended amphoteric surfactants were displayed in Table 3.4.</w:t>
      </w:r>
    </w:p>
    <w:p w14:paraId="4A613F0B">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As shown in Table 3</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rPr>
        <w:t xml:space="preserve">4, </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H·NMR analysis of the synthesized extended amphoteric surfactants confirms that their molecular structures match the expected design, demonstrating successful preparation of the target products. The increased proton signals corresponding to the spacer groups further verify the effective incorporation of PO and EO chains, which are expected to affect molecular packing and interfacial behavior.</w:t>
      </w:r>
    </w:p>
    <w:p w14:paraId="1AE3A105">
      <w:pPr>
        <w:widowControl/>
        <w:ind w:firstLine="709" w:firstLineChars="0"/>
        <w:rPr>
          <w:rFonts w:hint="default" w:ascii="Times New Roman" w:hAnsi="Times New Roman" w:cs="Times New Roman"/>
          <w:sz w:val="28"/>
          <w:szCs w:val="28"/>
        </w:rPr>
      </w:pPr>
    </w:p>
    <w:p w14:paraId="699035CB">
      <w:pPr>
        <w:widowControl/>
        <w:ind w:left="0" w:leftChars="0" w:firstLine="0" w:firstLineChars="0"/>
        <w:jc w:val="left"/>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 xml:space="preserve">Table 3.4 – </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H·NMR spectra analysis of synthesized extended amphoteric surfactants</w:t>
      </w:r>
      <w:r>
        <w:rPr>
          <w:rFonts w:hint="default" w:ascii="Times New Roman" w:hAnsi="Times New Roman" w:cs="Times New Roman"/>
          <w:sz w:val="28"/>
          <w:szCs w:val="28"/>
          <w:lang w:val="en-US" w:eastAsia="zh-CN"/>
        </w:rPr>
        <w:t>.</w:t>
      </w:r>
    </w:p>
    <w:tbl>
      <w:tblPr>
        <w:tblStyle w:val="16"/>
        <w:tblW w:w="4997" w:type="pct"/>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053"/>
        <w:gridCol w:w="655"/>
        <w:gridCol w:w="677"/>
        <w:gridCol w:w="634"/>
        <w:gridCol w:w="677"/>
        <w:gridCol w:w="634"/>
        <w:gridCol w:w="592"/>
        <w:gridCol w:w="656"/>
        <w:gridCol w:w="677"/>
        <w:gridCol w:w="569"/>
        <w:gridCol w:w="592"/>
        <w:gridCol w:w="677"/>
        <w:gridCol w:w="569"/>
      </w:tblGrid>
      <w:tr w14:paraId="4495236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rPr>
          <w:trHeight w:val="240" w:hRule="atLeast"/>
          <w:jc w:val="center"/>
        </w:trPr>
        <w:tc>
          <w:tcPr>
            <w:tcW w:w="1062" w:type="pct"/>
            <w:tcBorders>
              <w:bottom w:val="single" w:color="auto" w:sz="4" w:space="0"/>
            </w:tcBorders>
            <w:tcMar>
              <w:top w:w="15" w:type="dxa"/>
              <w:left w:w="15" w:type="dxa"/>
              <w:right w:w="15" w:type="dxa"/>
            </w:tcMar>
            <w:vAlign w:val="center"/>
          </w:tcPr>
          <w:p w14:paraId="7EBE1C0E">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Surfactant</w:t>
            </w:r>
          </w:p>
        </w:tc>
        <w:tc>
          <w:tcPr>
            <w:tcW w:w="339" w:type="pct"/>
            <w:tcBorders>
              <w:bottom w:val="single" w:color="auto" w:sz="4" w:space="0"/>
            </w:tcBorders>
            <w:tcMar>
              <w:top w:w="15" w:type="dxa"/>
              <w:left w:w="15" w:type="dxa"/>
              <w:right w:w="15" w:type="dxa"/>
            </w:tcMar>
            <w:vAlign w:val="center"/>
          </w:tcPr>
          <w:p w14:paraId="0227F9C8">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a-H</w:t>
            </w:r>
          </w:p>
        </w:tc>
        <w:tc>
          <w:tcPr>
            <w:tcW w:w="350" w:type="pct"/>
            <w:tcBorders>
              <w:bottom w:val="single" w:color="auto" w:sz="4" w:space="0"/>
            </w:tcBorders>
            <w:tcMar>
              <w:top w:w="15" w:type="dxa"/>
              <w:left w:w="15" w:type="dxa"/>
              <w:right w:w="15" w:type="dxa"/>
            </w:tcMar>
            <w:vAlign w:val="center"/>
          </w:tcPr>
          <w:p w14:paraId="7D431711">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b-H</w:t>
            </w:r>
          </w:p>
        </w:tc>
        <w:tc>
          <w:tcPr>
            <w:tcW w:w="328" w:type="pct"/>
            <w:tcBorders>
              <w:bottom w:val="single" w:color="auto" w:sz="4" w:space="0"/>
            </w:tcBorders>
            <w:tcMar>
              <w:top w:w="15" w:type="dxa"/>
              <w:left w:w="15" w:type="dxa"/>
              <w:right w:w="15" w:type="dxa"/>
            </w:tcMar>
            <w:vAlign w:val="center"/>
          </w:tcPr>
          <w:p w14:paraId="6D23284E">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c-H</w:t>
            </w:r>
          </w:p>
        </w:tc>
        <w:tc>
          <w:tcPr>
            <w:tcW w:w="350" w:type="pct"/>
            <w:tcBorders>
              <w:bottom w:val="single" w:color="auto" w:sz="4" w:space="0"/>
            </w:tcBorders>
            <w:tcMar>
              <w:top w:w="15" w:type="dxa"/>
              <w:left w:w="15" w:type="dxa"/>
              <w:right w:w="15" w:type="dxa"/>
            </w:tcMar>
            <w:vAlign w:val="center"/>
          </w:tcPr>
          <w:p w14:paraId="736335D4">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d-H</w:t>
            </w:r>
          </w:p>
        </w:tc>
        <w:tc>
          <w:tcPr>
            <w:tcW w:w="328" w:type="pct"/>
            <w:tcBorders>
              <w:bottom w:val="single" w:color="auto" w:sz="4" w:space="0"/>
            </w:tcBorders>
            <w:tcMar>
              <w:top w:w="15" w:type="dxa"/>
              <w:left w:w="15" w:type="dxa"/>
              <w:right w:w="15" w:type="dxa"/>
            </w:tcMar>
            <w:vAlign w:val="center"/>
          </w:tcPr>
          <w:p w14:paraId="08FC5904">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e-H</w:t>
            </w:r>
          </w:p>
        </w:tc>
        <w:tc>
          <w:tcPr>
            <w:tcW w:w="306" w:type="pct"/>
            <w:tcBorders>
              <w:bottom w:val="single" w:color="auto" w:sz="4" w:space="0"/>
            </w:tcBorders>
            <w:tcMar>
              <w:top w:w="15" w:type="dxa"/>
              <w:left w:w="15" w:type="dxa"/>
              <w:right w:w="15" w:type="dxa"/>
            </w:tcMar>
            <w:vAlign w:val="center"/>
          </w:tcPr>
          <w:p w14:paraId="16CDB1DF">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f-H</w:t>
            </w:r>
          </w:p>
        </w:tc>
        <w:tc>
          <w:tcPr>
            <w:tcW w:w="339" w:type="pct"/>
            <w:tcBorders>
              <w:bottom w:val="single" w:color="auto" w:sz="4" w:space="0"/>
            </w:tcBorders>
            <w:tcMar>
              <w:top w:w="15" w:type="dxa"/>
              <w:left w:w="15" w:type="dxa"/>
              <w:right w:w="15" w:type="dxa"/>
            </w:tcMar>
            <w:vAlign w:val="center"/>
          </w:tcPr>
          <w:p w14:paraId="7256310D">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g-H</w:t>
            </w:r>
          </w:p>
        </w:tc>
        <w:tc>
          <w:tcPr>
            <w:tcW w:w="350" w:type="pct"/>
            <w:tcBorders>
              <w:bottom w:val="single" w:color="auto" w:sz="4" w:space="0"/>
            </w:tcBorders>
            <w:tcMar>
              <w:top w:w="15" w:type="dxa"/>
              <w:left w:w="15" w:type="dxa"/>
              <w:right w:w="15" w:type="dxa"/>
            </w:tcMar>
            <w:vAlign w:val="center"/>
          </w:tcPr>
          <w:p w14:paraId="20A3219A">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h-H</w:t>
            </w:r>
          </w:p>
        </w:tc>
        <w:tc>
          <w:tcPr>
            <w:tcW w:w="294" w:type="pct"/>
            <w:tcBorders>
              <w:bottom w:val="single" w:color="auto" w:sz="4" w:space="0"/>
            </w:tcBorders>
            <w:tcMar>
              <w:top w:w="15" w:type="dxa"/>
              <w:left w:w="15" w:type="dxa"/>
              <w:right w:w="15" w:type="dxa"/>
            </w:tcMar>
            <w:vAlign w:val="center"/>
          </w:tcPr>
          <w:p w14:paraId="19DACBDC">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i-H</w:t>
            </w:r>
          </w:p>
        </w:tc>
        <w:tc>
          <w:tcPr>
            <w:tcW w:w="306" w:type="pct"/>
            <w:tcBorders>
              <w:bottom w:val="single" w:color="auto" w:sz="4" w:space="0"/>
            </w:tcBorders>
            <w:tcMar>
              <w:top w:w="15" w:type="dxa"/>
              <w:left w:w="15" w:type="dxa"/>
              <w:right w:w="15" w:type="dxa"/>
            </w:tcMar>
            <w:vAlign w:val="center"/>
          </w:tcPr>
          <w:p w14:paraId="0895759E">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j-H</w:t>
            </w:r>
          </w:p>
        </w:tc>
        <w:tc>
          <w:tcPr>
            <w:tcW w:w="350" w:type="pct"/>
            <w:tcBorders>
              <w:bottom w:val="single" w:color="auto" w:sz="4" w:space="0"/>
            </w:tcBorders>
            <w:tcMar>
              <w:top w:w="15" w:type="dxa"/>
              <w:left w:w="15" w:type="dxa"/>
              <w:right w:w="15" w:type="dxa"/>
            </w:tcMar>
            <w:vAlign w:val="center"/>
          </w:tcPr>
          <w:p w14:paraId="73629F65">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k-H</w:t>
            </w:r>
          </w:p>
        </w:tc>
        <w:tc>
          <w:tcPr>
            <w:tcW w:w="294" w:type="pct"/>
            <w:tcBorders>
              <w:bottom w:val="single" w:color="auto" w:sz="4" w:space="0"/>
            </w:tcBorders>
            <w:tcMar>
              <w:top w:w="15" w:type="dxa"/>
              <w:left w:w="15" w:type="dxa"/>
              <w:right w:w="15" w:type="dxa"/>
            </w:tcMar>
            <w:vAlign w:val="center"/>
          </w:tcPr>
          <w:p w14:paraId="7857FDA1">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l-H</w:t>
            </w:r>
          </w:p>
        </w:tc>
      </w:tr>
      <w:tr w14:paraId="7A9CB8A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rPr>
          <w:trHeight w:val="240" w:hRule="atLeast"/>
          <w:jc w:val="center"/>
        </w:trPr>
        <w:tc>
          <w:tcPr>
            <w:tcW w:w="1062" w:type="pct"/>
            <w:tcBorders>
              <w:top w:val="single" w:color="auto" w:sz="4" w:space="0"/>
            </w:tcBorders>
            <w:tcMar>
              <w:top w:w="15" w:type="dxa"/>
              <w:left w:w="15" w:type="dxa"/>
              <w:right w:w="15" w:type="dxa"/>
            </w:tcMar>
            <w:vAlign w:val="center"/>
          </w:tcPr>
          <w:p w14:paraId="17D834CA">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NS</w:t>
            </w:r>
          </w:p>
        </w:tc>
        <w:tc>
          <w:tcPr>
            <w:tcW w:w="339" w:type="pct"/>
            <w:tcBorders>
              <w:top w:val="single" w:color="auto" w:sz="4" w:space="0"/>
            </w:tcBorders>
            <w:tcMar>
              <w:top w:w="15" w:type="dxa"/>
              <w:left w:w="15" w:type="dxa"/>
              <w:right w:w="15" w:type="dxa"/>
            </w:tcMar>
            <w:vAlign w:val="center"/>
          </w:tcPr>
          <w:p w14:paraId="6FC844E1">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3</w:t>
            </w:r>
          </w:p>
        </w:tc>
        <w:tc>
          <w:tcPr>
            <w:tcW w:w="350" w:type="pct"/>
            <w:tcBorders>
              <w:top w:val="single" w:color="auto" w:sz="4" w:space="0"/>
            </w:tcBorders>
            <w:tcMar>
              <w:top w:w="15" w:type="dxa"/>
              <w:left w:w="15" w:type="dxa"/>
              <w:right w:w="15" w:type="dxa"/>
            </w:tcMar>
            <w:vAlign w:val="center"/>
          </w:tcPr>
          <w:p w14:paraId="7A086DEC">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20</w:t>
            </w:r>
          </w:p>
        </w:tc>
        <w:tc>
          <w:tcPr>
            <w:tcW w:w="328" w:type="pct"/>
            <w:tcBorders>
              <w:top w:val="single" w:color="auto" w:sz="4" w:space="0"/>
            </w:tcBorders>
            <w:tcMar>
              <w:top w:w="15" w:type="dxa"/>
              <w:left w:w="15" w:type="dxa"/>
              <w:right w:w="15" w:type="dxa"/>
            </w:tcMar>
            <w:vAlign w:val="center"/>
          </w:tcPr>
          <w:p w14:paraId="7E38390E">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2</w:t>
            </w:r>
          </w:p>
        </w:tc>
        <w:tc>
          <w:tcPr>
            <w:tcW w:w="350" w:type="pct"/>
            <w:tcBorders>
              <w:top w:val="single" w:color="auto" w:sz="4" w:space="0"/>
            </w:tcBorders>
            <w:tcMar>
              <w:top w:w="15" w:type="dxa"/>
              <w:left w:w="15" w:type="dxa"/>
              <w:right w:w="15" w:type="dxa"/>
            </w:tcMar>
            <w:vAlign w:val="center"/>
          </w:tcPr>
          <w:p w14:paraId="5362C6AE">
            <w:pPr>
              <w:pStyle w:val="13"/>
              <w:spacing w:before="0" w:beforeAutospacing="0" w:after="0" w:afterAutospacing="0"/>
              <w:jc w:val="center"/>
              <w:rPr>
                <w:rFonts w:hint="default" w:ascii="Times New Roman" w:hAnsi="Times New Roman" w:cs="Times New Roman"/>
                <w:sz w:val="28"/>
                <w:szCs w:val="28"/>
              </w:rPr>
            </w:pPr>
          </w:p>
        </w:tc>
        <w:tc>
          <w:tcPr>
            <w:tcW w:w="328" w:type="pct"/>
            <w:tcBorders>
              <w:top w:val="single" w:color="auto" w:sz="4" w:space="0"/>
            </w:tcBorders>
            <w:tcMar>
              <w:top w:w="15" w:type="dxa"/>
              <w:left w:w="15" w:type="dxa"/>
              <w:right w:w="15" w:type="dxa"/>
            </w:tcMar>
            <w:vAlign w:val="center"/>
          </w:tcPr>
          <w:p w14:paraId="39A2FEBD">
            <w:pPr>
              <w:pStyle w:val="13"/>
              <w:spacing w:before="0" w:beforeAutospacing="0" w:after="0" w:afterAutospacing="0"/>
              <w:jc w:val="center"/>
              <w:rPr>
                <w:rFonts w:hint="default" w:ascii="Times New Roman" w:hAnsi="Times New Roman" w:cs="Times New Roman"/>
                <w:sz w:val="28"/>
                <w:szCs w:val="28"/>
              </w:rPr>
            </w:pPr>
          </w:p>
        </w:tc>
        <w:tc>
          <w:tcPr>
            <w:tcW w:w="306" w:type="pct"/>
            <w:tcBorders>
              <w:top w:val="single" w:color="auto" w:sz="4" w:space="0"/>
            </w:tcBorders>
            <w:tcMar>
              <w:top w:w="15" w:type="dxa"/>
              <w:left w:w="15" w:type="dxa"/>
              <w:right w:w="15" w:type="dxa"/>
            </w:tcMar>
            <w:vAlign w:val="center"/>
          </w:tcPr>
          <w:p w14:paraId="2CAF2FFC">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1</w:t>
            </w:r>
          </w:p>
        </w:tc>
        <w:tc>
          <w:tcPr>
            <w:tcW w:w="339" w:type="pct"/>
            <w:tcBorders>
              <w:top w:val="single" w:color="auto" w:sz="4" w:space="0"/>
            </w:tcBorders>
            <w:tcMar>
              <w:top w:w="15" w:type="dxa"/>
              <w:left w:w="15" w:type="dxa"/>
              <w:right w:w="15" w:type="dxa"/>
            </w:tcMar>
            <w:vAlign w:val="center"/>
          </w:tcPr>
          <w:p w14:paraId="2CF02789">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2</w:t>
            </w:r>
          </w:p>
        </w:tc>
        <w:tc>
          <w:tcPr>
            <w:tcW w:w="350" w:type="pct"/>
            <w:tcBorders>
              <w:top w:val="single" w:color="auto" w:sz="4" w:space="0"/>
            </w:tcBorders>
            <w:tcMar>
              <w:top w:w="15" w:type="dxa"/>
              <w:left w:w="15" w:type="dxa"/>
              <w:right w:w="15" w:type="dxa"/>
            </w:tcMar>
            <w:vAlign w:val="center"/>
          </w:tcPr>
          <w:p w14:paraId="0A28E929">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2</w:t>
            </w:r>
          </w:p>
        </w:tc>
        <w:tc>
          <w:tcPr>
            <w:tcW w:w="294" w:type="pct"/>
            <w:tcBorders>
              <w:top w:val="single" w:color="auto" w:sz="4" w:space="0"/>
            </w:tcBorders>
            <w:tcMar>
              <w:top w:w="15" w:type="dxa"/>
              <w:left w:w="15" w:type="dxa"/>
              <w:right w:w="15" w:type="dxa"/>
            </w:tcMar>
            <w:vAlign w:val="center"/>
          </w:tcPr>
          <w:p w14:paraId="7FAC2758">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2</w:t>
            </w:r>
          </w:p>
        </w:tc>
        <w:tc>
          <w:tcPr>
            <w:tcW w:w="306" w:type="pct"/>
            <w:tcBorders>
              <w:top w:val="single" w:color="auto" w:sz="4" w:space="0"/>
            </w:tcBorders>
            <w:tcMar>
              <w:top w:w="15" w:type="dxa"/>
              <w:left w:w="15" w:type="dxa"/>
              <w:right w:w="15" w:type="dxa"/>
            </w:tcMar>
            <w:vAlign w:val="center"/>
          </w:tcPr>
          <w:p w14:paraId="40903D0E">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6</w:t>
            </w:r>
          </w:p>
        </w:tc>
        <w:tc>
          <w:tcPr>
            <w:tcW w:w="350" w:type="pct"/>
            <w:tcBorders>
              <w:top w:val="single" w:color="auto" w:sz="4" w:space="0"/>
            </w:tcBorders>
            <w:tcMar>
              <w:top w:w="15" w:type="dxa"/>
              <w:left w:w="15" w:type="dxa"/>
              <w:right w:w="15" w:type="dxa"/>
            </w:tcMar>
            <w:vAlign w:val="center"/>
          </w:tcPr>
          <w:p w14:paraId="156FE9B0">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2</w:t>
            </w:r>
          </w:p>
        </w:tc>
        <w:tc>
          <w:tcPr>
            <w:tcW w:w="294" w:type="pct"/>
            <w:tcBorders>
              <w:top w:val="single" w:color="auto" w:sz="4" w:space="0"/>
            </w:tcBorders>
            <w:tcMar>
              <w:top w:w="15" w:type="dxa"/>
              <w:left w:w="15" w:type="dxa"/>
              <w:right w:w="15" w:type="dxa"/>
            </w:tcMar>
            <w:vAlign w:val="center"/>
          </w:tcPr>
          <w:p w14:paraId="17928F34">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2</w:t>
            </w:r>
          </w:p>
        </w:tc>
      </w:tr>
      <w:tr w14:paraId="141CFA3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rPr>
          <w:trHeight w:val="240" w:hRule="atLeast"/>
          <w:jc w:val="center"/>
        </w:trPr>
        <w:tc>
          <w:tcPr>
            <w:tcW w:w="1062" w:type="pct"/>
            <w:tcMar>
              <w:top w:w="15" w:type="dxa"/>
              <w:left w:w="15" w:type="dxa"/>
              <w:right w:w="15" w:type="dxa"/>
            </w:tcMar>
            <w:vAlign w:val="center"/>
          </w:tcPr>
          <w:p w14:paraId="1A31474E">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w:t>
            </w:r>
          </w:p>
        </w:tc>
        <w:tc>
          <w:tcPr>
            <w:tcW w:w="339" w:type="pct"/>
            <w:tcMar>
              <w:top w:w="15" w:type="dxa"/>
              <w:left w:w="15" w:type="dxa"/>
              <w:right w:w="15" w:type="dxa"/>
            </w:tcMar>
            <w:vAlign w:val="center"/>
          </w:tcPr>
          <w:p w14:paraId="4660B677">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3</w:t>
            </w:r>
          </w:p>
        </w:tc>
        <w:tc>
          <w:tcPr>
            <w:tcW w:w="350" w:type="pct"/>
            <w:tcMar>
              <w:top w:w="15" w:type="dxa"/>
              <w:left w:w="15" w:type="dxa"/>
              <w:right w:w="15" w:type="dxa"/>
            </w:tcMar>
            <w:vAlign w:val="center"/>
          </w:tcPr>
          <w:p w14:paraId="5D6E72CB">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20</w:t>
            </w:r>
          </w:p>
        </w:tc>
        <w:tc>
          <w:tcPr>
            <w:tcW w:w="328" w:type="pct"/>
            <w:tcMar>
              <w:top w:w="15" w:type="dxa"/>
              <w:left w:w="15" w:type="dxa"/>
              <w:right w:w="15" w:type="dxa"/>
            </w:tcMar>
            <w:vAlign w:val="center"/>
          </w:tcPr>
          <w:p w14:paraId="2E86F1F3">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2</w:t>
            </w:r>
          </w:p>
        </w:tc>
        <w:tc>
          <w:tcPr>
            <w:tcW w:w="350" w:type="pct"/>
            <w:tcMar>
              <w:top w:w="15" w:type="dxa"/>
              <w:left w:w="15" w:type="dxa"/>
              <w:right w:w="15" w:type="dxa"/>
            </w:tcMar>
            <w:vAlign w:val="center"/>
          </w:tcPr>
          <w:p w14:paraId="084DF580">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9</w:t>
            </w:r>
          </w:p>
        </w:tc>
        <w:tc>
          <w:tcPr>
            <w:tcW w:w="328" w:type="pct"/>
            <w:tcMar>
              <w:top w:w="15" w:type="dxa"/>
              <w:left w:w="15" w:type="dxa"/>
              <w:right w:w="15" w:type="dxa"/>
            </w:tcMar>
            <w:vAlign w:val="center"/>
          </w:tcPr>
          <w:p w14:paraId="73C82356">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9</w:t>
            </w:r>
          </w:p>
        </w:tc>
        <w:tc>
          <w:tcPr>
            <w:tcW w:w="306" w:type="pct"/>
            <w:tcMar>
              <w:top w:w="15" w:type="dxa"/>
              <w:left w:w="15" w:type="dxa"/>
              <w:right w:w="15" w:type="dxa"/>
            </w:tcMar>
            <w:vAlign w:val="center"/>
          </w:tcPr>
          <w:p w14:paraId="7D331093">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1</w:t>
            </w:r>
          </w:p>
        </w:tc>
        <w:tc>
          <w:tcPr>
            <w:tcW w:w="339" w:type="pct"/>
            <w:tcMar>
              <w:top w:w="15" w:type="dxa"/>
              <w:left w:w="15" w:type="dxa"/>
              <w:right w:w="15" w:type="dxa"/>
            </w:tcMar>
            <w:vAlign w:val="center"/>
          </w:tcPr>
          <w:p w14:paraId="319337BC">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2</w:t>
            </w:r>
          </w:p>
        </w:tc>
        <w:tc>
          <w:tcPr>
            <w:tcW w:w="350" w:type="pct"/>
            <w:tcMar>
              <w:top w:w="15" w:type="dxa"/>
              <w:left w:w="15" w:type="dxa"/>
              <w:right w:w="15" w:type="dxa"/>
            </w:tcMar>
            <w:vAlign w:val="center"/>
          </w:tcPr>
          <w:p w14:paraId="0425D668">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2</w:t>
            </w:r>
          </w:p>
        </w:tc>
        <w:tc>
          <w:tcPr>
            <w:tcW w:w="294" w:type="pct"/>
            <w:tcMar>
              <w:top w:w="15" w:type="dxa"/>
              <w:left w:w="15" w:type="dxa"/>
              <w:right w:w="15" w:type="dxa"/>
            </w:tcMar>
            <w:vAlign w:val="center"/>
          </w:tcPr>
          <w:p w14:paraId="338260E4">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2</w:t>
            </w:r>
          </w:p>
        </w:tc>
        <w:tc>
          <w:tcPr>
            <w:tcW w:w="306" w:type="pct"/>
            <w:tcMar>
              <w:top w:w="15" w:type="dxa"/>
              <w:left w:w="15" w:type="dxa"/>
              <w:right w:w="15" w:type="dxa"/>
            </w:tcMar>
            <w:vAlign w:val="center"/>
          </w:tcPr>
          <w:p w14:paraId="3983F23D">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6</w:t>
            </w:r>
          </w:p>
        </w:tc>
        <w:tc>
          <w:tcPr>
            <w:tcW w:w="350" w:type="pct"/>
            <w:tcMar>
              <w:top w:w="15" w:type="dxa"/>
              <w:left w:w="15" w:type="dxa"/>
              <w:right w:w="15" w:type="dxa"/>
            </w:tcMar>
            <w:vAlign w:val="center"/>
          </w:tcPr>
          <w:p w14:paraId="30365598">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2</w:t>
            </w:r>
          </w:p>
        </w:tc>
        <w:tc>
          <w:tcPr>
            <w:tcW w:w="294" w:type="pct"/>
            <w:tcMar>
              <w:top w:w="15" w:type="dxa"/>
              <w:left w:w="15" w:type="dxa"/>
              <w:right w:w="15" w:type="dxa"/>
            </w:tcMar>
            <w:vAlign w:val="center"/>
          </w:tcPr>
          <w:p w14:paraId="0A6A9C1C">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2</w:t>
            </w:r>
          </w:p>
        </w:tc>
      </w:tr>
      <w:tr w14:paraId="6A4650B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rPr>
          <w:trHeight w:val="240" w:hRule="atLeast"/>
          <w:jc w:val="center"/>
        </w:trPr>
        <w:tc>
          <w:tcPr>
            <w:tcW w:w="1062" w:type="pct"/>
            <w:tcMar>
              <w:top w:w="15" w:type="dxa"/>
              <w:left w:w="15" w:type="dxa"/>
              <w:right w:w="15" w:type="dxa"/>
            </w:tcMar>
            <w:vAlign w:val="center"/>
          </w:tcPr>
          <w:p w14:paraId="57185CCF">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w:t>
            </w:r>
          </w:p>
        </w:tc>
        <w:tc>
          <w:tcPr>
            <w:tcW w:w="339" w:type="pct"/>
            <w:tcMar>
              <w:top w:w="15" w:type="dxa"/>
              <w:left w:w="15" w:type="dxa"/>
              <w:right w:w="15" w:type="dxa"/>
            </w:tcMar>
            <w:vAlign w:val="center"/>
          </w:tcPr>
          <w:p w14:paraId="3053C276">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3</w:t>
            </w:r>
          </w:p>
        </w:tc>
        <w:tc>
          <w:tcPr>
            <w:tcW w:w="350" w:type="pct"/>
            <w:tcMar>
              <w:top w:w="15" w:type="dxa"/>
              <w:left w:w="15" w:type="dxa"/>
              <w:right w:w="15" w:type="dxa"/>
            </w:tcMar>
            <w:vAlign w:val="center"/>
          </w:tcPr>
          <w:p w14:paraId="43BF4B70">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20</w:t>
            </w:r>
          </w:p>
        </w:tc>
        <w:tc>
          <w:tcPr>
            <w:tcW w:w="328" w:type="pct"/>
            <w:tcMar>
              <w:top w:w="15" w:type="dxa"/>
              <w:left w:w="15" w:type="dxa"/>
              <w:right w:w="15" w:type="dxa"/>
            </w:tcMar>
            <w:vAlign w:val="center"/>
          </w:tcPr>
          <w:p w14:paraId="3A7D4598">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2</w:t>
            </w:r>
          </w:p>
        </w:tc>
        <w:tc>
          <w:tcPr>
            <w:tcW w:w="350" w:type="pct"/>
            <w:tcMar>
              <w:top w:w="15" w:type="dxa"/>
              <w:left w:w="15" w:type="dxa"/>
              <w:right w:w="15" w:type="dxa"/>
            </w:tcMar>
            <w:vAlign w:val="center"/>
          </w:tcPr>
          <w:p w14:paraId="7AC76AC9">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21</w:t>
            </w:r>
          </w:p>
        </w:tc>
        <w:tc>
          <w:tcPr>
            <w:tcW w:w="328" w:type="pct"/>
            <w:tcMar>
              <w:top w:w="15" w:type="dxa"/>
              <w:left w:w="15" w:type="dxa"/>
              <w:right w:w="15" w:type="dxa"/>
            </w:tcMar>
            <w:vAlign w:val="center"/>
          </w:tcPr>
          <w:p w14:paraId="0E70BA5E">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9</w:t>
            </w:r>
          </w:p>
        </w:tc>
        <w:tc>
          <w:tcPr>
            <w:tcW w:w="306" w:type="pct"/>
            <w:tcMar>
              <w:top w:w="15" w:type="dxa"/>
              <w:left w:w="15" w:type="dxa"/>
              <w:right w:w="15" w:type="dxa"/>
            </w:tcMar>
            <w:vAlign w:val="center"/>
          </w:tcPr>
          <w:p w14:paraId="23830A1B">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1</w:t>
            </w:r>
          </w:p>
        </w:tc>
        <w:tc>
          <w:tcPr>
            <w:tcW w:w="339" w:type="pct"/>
            <w:tcMar>
              <w:top w:w="15" w:type="dxa"/>
              <w:left w:w="15" w:type="dxa"/>
              <w:right w:w="15" w:type="dxa"/>
            </w:tcMar>
            <w:vAlign w:val="center"/>
          </w:tcPr>
          <w:p w14:paraId="7E2A58EE">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2</w:t>
            </w:r>
          </w:p>
        </w:tc>
        <w:tc>
          <w:tcPr>
            <w:tcW w:w="350" w:type="pct"/>
            <w:tcMar>
              <w:top w:w="15" w:type="dxa"/>
              <w:left w:w="15" w:type="dxa"/>
              <w:right w:w="15" w:type="dxa"/>
            </w:tcMar>
            <w:vAlign w:val="center"/>
          </w:tcPr>
          <w:p w14:paraId="7330B13B">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2</w:t>
            </w:r>
          </w:p>
        </w:tc>
        <w:tc>
          <w:tcPr>
            <w:tcW w:w="294" w:type="pct"/>
            <w:tcMar>
              <w:top w:w="15" w:type="dxa"/>
              <w:left w:w="15" w:type="dxa"/>
              <w:right w:w="15" w:type="dxa"/>
            </w:tcMar>
            <w:vAlign w:val="center"/>
          </w:tcPr>
          <w:p w14:paraId="736BC5DE">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2</w:t>
            </w:r>
          </w:p>
        </w:tc>
        <w:tc>
          <w:tcPr>
            <w:tcW w:w="306" w:type="pct"/>
            <w:tcMar>
              <w:top w:w="15" w:type="dxa"/>
              <w:left w:w="15" w:type="dxa"/>
              <w:right w:w="15" w:type="dxa"/>
            </w:tcMar>
            <w:vAlign w:val="center"/>
          </w:tcPr>
          <w:p w14:paraId="606D34F1">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6</w:t>
            </w:r>
          </w:p>
        </w:tc>
        <w:tc>
          <w:tcPr>
            <w:tcW w:w="350" w:type="pct"/>
            <w:tcMar>
              <w:top w:w="15" w:type="dxa"/>
              <w:left w:w="15" w:type="dxa"/>
              <w:right w:w="15" w:type="dxa"/>
            </w:tcMar>
            <w:vAlign w:val="center"/>
          </w:tcPr>
          <w:p w14:paraId="1D624AF8">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2</w:t>
            </w:r>
          </w:p>
        </w:tc>
        <w:tc>
          <w:tcPr>
            <w:tcW w:w="294" w:type="pct"/>
            <w:tcMar>
              <w:top w:w="15" w:type="dxa"/>
              <w:left w:w="15" w:type="dxa"/>
              <w:right w:w="15" w:type="dxa"/>
            </w:tcMar>
            <w:vAlign w:val="center"/>
          </w:tcPr>
          <w:p w14:paraId="36721283">
            <w:pPr>
              <w:pStyle w:val="13"/>
              <w:spacing w:before="0" w:beforeAutospacing="0" w:after="0" w:afterAutospacing="0"/>
              <w:jc w:val="center"/>
              <w:rPr>
                <w:rFonts w:hint="default" w:ascii="Times New Roman" w:hAnsi="Times New Roman" w:cs="Times New Roman"/>
                <w:sz w:val="28"/>
                <w:szCs w:val="28"/>
              </w:rPr>
            </w:pPr>
            <w:r>
              <w:rPr>
                <w:rFonts w:hint="default" w:ascii="Times New Roman" w:hAnsi="Times New Roman" w:cs="Times New Roman"/>
                <w:sz w:val="28"/>
                <w:szCs w:val="28"/>
              </w:rPr>
              <w:t>2</w:t>
            </w:r>
          </w:p>
        </w:tc>
      </w:tr>
    </w:tbl>
    <w:p w14:paraId="52598324">
      <w:pPr>
        <w:widowControl/>
        <w:ind w:left="0" w:leftChars="0" w:firstLine="0" w:firstLineChars="0"/>
        <w:rPr>
          <w:rFonts w:hint="default" w:ascii="Times New Roman" w:hAnsi="Times New Roman" w:cs="Times New Roman"/>
          <w:sz w:val="28"/>
          <w:szCs w:val="28"/>
        </w:rPr>
      </w:pPr>
    </w:p>
    <w:p w14:paraId="502ADAD0">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4819650" cy="3639185"/>
            <wp:effectExtent l="0" t="0" r="0" b="0"/>
            <wp:docPr id="2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2"/>
                    <pic:cNvPicPr>
                      <a:picLocks noChangeAspect="1"/>
                    </pic:cNvPicPr>
                  </pic:nvPicPr>
                  <pic:blipFill>
                    <a:blip r:embed="rId26"/>
                    <a:stretch>
                      <a:fillRect/>
                    </a:stretch>
                  </pic:blipFill>
                  <pic:spPr>
                    <a:xfrm>
                      <a:off x="0" y="0"/>
                      <a:ext cx="4830355" cy="3647428"/>
                    </a:xfrm>
                    <a:prstGeom prst="rect">
                      <a:avLst/>
                    </a:prstGeom>
                    <a:noFill/>
                    <a:ln>
                      <a:noFill/>
                    </a:ln>
                  </pic:spPr>
                </pic:pic>
              </a:graphicData>
            </a:graphic>
          </wp:inline>
        </w:drawing>
      </w:r>
    </w:p>
    <w:p w14:paraId="17192F3D">
      <w:pPr>
        <w:widowControl/>
        <w:ind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 xml:space="preserve">Figure 3.3 – </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H·NMR spectra of synthesized extended amphoteric surfactants</w:t>
      </w:r>
      <w:r>
        <w:rPr>
          <w:rFonts w:hint="default" w:ascii="Times New Roman" w:hAnsi="Times New Roman" w:cs="Times New Roman"/>
          <w:sz w:val="28"/>
          <w:szCs w:val="28"/>
          <w:lang w:val="en-US" w:eastAsia="zh-CN"/>
        </w:rPr>
        <w:t>.</w:t>
      </w:r>
    </w:p>
    <w:p w14:paraId="5CEDC6D4">
      <w:pPr>
        <w:widowControl/>
        <w:ind w:firstLine="709" w:firstLineChars="0"/>
        <w:rPr>
          <w:rFonts w:hint="default" w:ascii="Times New Roman" w:hAnsi="Times New Roman" w:cs="Times New Roman"/>
          <w:sz w:val="28"/>
          <w:szCs w:val="28"/>
        </w:rPr>
      </w:pPr>
    </w:p>
    <w:p w14:paraId="5653981E">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472" w:name="_Toc13232"/>
      <w:bookmarkStart w:id="473" w:name="_Toc19021"/>
      <w:bookmarkStart w:id="474" w:name="_Toc25810"/>
      <w:bookmarkStart w:id="475" w:name="_Toc14665"/>
      <w:bookmarkStart w:id="476" w:name="_Toc24354"/>
      <w:bookmarkStart w:id="477" w:name="_Toc16408"/>
      <w:bookmarkStart w:id="478" w:name="_Toc14555"/>
      <w:bookmarkStart w:id="479" w:name="_Toc131344058"/>
      <w:r>
        <w:rPr>
          <w:rFonts w:hint="default" w:ascii="Times New Roman" w:hAnsi="Times New Roman" w:cs="Times New Roman"/>
          <w:i w:val="0"/>
          <w:iCs w:val="0"/>
          <w:sz w:val="28"/>
          <w:szCs w:val="28"/>
        </w:rPr>
        <w:t>3.4.2 Krafft point and effect of NaCl on the solubility</w:t>
      </w:r>
      <w:bookmarkEnd w:id="472"/>
      <w:bookmarkEnd w:id="473"/>
      <w:bookmarkEnd w:id="474"/>
      <w:bookmarkEnd w:id="475"/>
      <w:bookmarkEnd w:id="476"/>
      <w:bookmarkEnd w:id="477"/>
      <w:bookmarkEnd w:id="478"/>
    </w:p>
    <w:p w14:paraId="5FFF93CF">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Krafft point is a key physicochemical parameter that reflects the solubility behavior of ionic surfactants and defines the minimum temperature at which they can form micelles and exhibit effective surface activity. Surfactant solutions below the Krafft temperature often show limited solubility and may precipitate, which restricts their practical application [83]. In this study, the effects of temperature and solution mineralization on the solubility of extended amphoteric surfactant solutions were systematically investigated by measuring their Krafft points. The measurements allowed for the identification of the temperature at which each surfactant transitioned from a solid or crystalline phase to a fully soluble state, thereby preventing precipitation under high salinity conditions. The results, summarized in Table 3.5, provide critical information for selecting suitable surfactant formulations for reservoir environments with varying temperatures and salinities, ensuring both solubility and performance during enhanced oil recovery operations.</w:t>
      </w:r>
    </w:p>
    <w:p w14:paraId="6AD64F07">
      <w:pPr>
        <w:widowControl/>
        <w:ind w:firstLine="709" w:firstLineChars="0"/>
        <w:rPr>
          <w:rFonts w:hint="default" w:ascii="Times New Roman" w:hAnsi="Times New Roman" w:cs="Times New Roman"/>
          <w:sz w:val="28"/>
          <w:szCs w:val="28"/>
        </w:rPr>
      </w:pPr>
    </w:p>
    <w:p w14:paraId="3AA2AFC9">
      <w:pPr>
        <w:widowControl/>
        <w:ind w:left="0" w:leftChars="0" w:firstLine="0" w:firstLineChars="0"/>
        <w:rPr>
          <w:rFonts w:hint="default" w:ascii="Times New Roman" w:hAnsi="Times New Roman" w:cs="Times New Roman"/>
          <w:sz w:val="28"/>
          <w:szCs w:val="28"/>
        </w:rPr>
      </w:pPr>
      <w:r>
        <w:rPr>
          <w:rFonts w:hint="default" w:ascii="Times New Roman" w:hAnsi="Times New Roman" w:cs="Times New Roman"/>
          <w:sz w:val="28"/>
          <w:szCs w:val="28"/>
        </w:rPr>
        <w:t>Table 3.5 – Basic properties of synthesized extended amphoteric surfactants.</w:t>
      </w:r>
    </w:p>
    <w:tbl>
      <w:tblPr>
        <w:tblStyle w:val="17"/>
        <w:tblW w:w="4998" w:type="pct"/>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457"/>
        <w:gridCol w:w="2467"/>
        <w:gridCol w:w="2463"/>
        <w:gridCol w:w="2463"/>
      </w:tblGrid>
      <w:tr w14:paraId="4DD5C07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72" w:hRule="atLeast"/>
          <w:jc w:val="center"/>
        </w:trPr>
        <w:tc>
          <w:tcPr>
            <w:tcW w:w="1247" w:type="pct"/>
            <w:vAlign w:val="center"/>
          </w:tcPr>
          <w:p w14:paraId="0E3E8FC2">
            <w:pPr>
              <w:widowControl/>
              <w:autoSpaceDE w:val="0"/>
              <w:autoSpaceDN w:val="0"/>
              <w:adjustRightInd w:val="0"/>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Surfactant</w:t>
            </w:r>
          </w:p>
        </w:tc>
        <w:tc>
          <w:tcPr>
            <w:tcW w:w="1252" w:type="pct"/>
            <w:vAlign w:val="center"/>
          </w:tcPr>
          <w:p w14:paraId="111DC1DF">
            <w:pPr>
              <w:widowControl/>
              <w:autoSpaceDE w:val="0"/>
              <w:autoSpaceDN w:val="0"/>
              <w:adjustRightInd w:val="0"/>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NS</w:t>
            </w:r>
          </w:p>
        </w:tc>
        <w:tc>
          <w:tcPr>
            <w:tcW w:w="1250" w:type="pct"/>
            <w:vAlign w:val="center"/>
          </w:tcPr>
          <w:p w14:paraId="3DA34AEC">
            <w:pPr>
              <w:widowControl/>
              <w:autoSpaceDE w:val="0"/>
              <w:autoSpaceDN w:val="0"/>
              <w:adjustRightInd w:val="0"/>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w:t>
            </w:r>
          </w:p>
        </w:tc>
        <w:tc>
          <w:tcPr>
            <w:tcW w:w="1250" w:type="pct"/>
            <w:vAlign w:val="center"/>
          </w:tcPr>
          <w:p w14:paraId="3C7E2171">
            <w:pPr>
              <w:widowControl/>
              <w:autoSpaceDE w:val="0"/>
              <w:autoSpaceDN w:val="0"/>
              <w:adjustRightInd w:val="0"/>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w:t>
            </w:r>
          </w:p>
        </w:tc>
      </w:tr>
      <w:tr w14:paraId="71CCC7D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72" w:hRule="atLeast"/>
          <w:jc w:val="center"/>
        </w:trPr>
        <w:tc>
          <w:tcPr>
            <w:tcW w:w="1247" w:type="pct"/>
            <w:tcBorders>
              <w:bottom w:val="nil"/>
            </w:tcBorders>
            <w:vAlign w:val="center"/>
          </w:tcPr>
          <w:p w14:paraId="1C4696D0">
            <w:pPr>
              <w:widowControl/>
              <w:autoSpaceDE w:val="0"/>
              <w:autoSpaceDN w:val="0"/>
              <w:adjustRightInd w:val="0"/>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HLB value</w:t>
            </w:r>
          </w:p>
        </w:tc>
        <w:tc>
          <w:tcPr>
            <w:tcW w:w="1252" w:type="pct"/>
            <w:tcBorders>
              <w:bottom w:val="nil"/>
            </w:tcBorders>
            <w:vAlign w:val="center"/>
          </w:tcPr>
          <w:p w14:paraId="5B1478C3">
            <w:pPr>
              <w:widowControl/>
              <w:autoSpaceDE w:val="0"/>
              <w:autoSpaceDN w:val="0"/>
              <w:adjustRightInd w:val="0"/>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27.78</w:t>
            </w:r>
          </w:p>
        </w:tc>
        <w:tc>
          <w:tcPr>
            <w:tcW w:w="1250" w:type="pct"/>
            <w:tcBorders>
              <w:bottom w:val="nil"/>
            </w:tcBorders>
            <w:vAlign w:val="center"/>
          </w:tcPr>
          <w:p w14:paraId="3B69AA74">
            <w:pPr>
              <w:widowControl/>
              <w:autoSpaceDE w:val="0"/>
              <w:autoSpaceDN w:val="0"/>
              <w:adjustRightInd w:val="0"/>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27.33</w:t>
            </w:r>
          </w:p>
        </w:tc>
        <w:tc>
          <w:tcPr>
            <w:tcW w:w="1250" w:type="pct"/>
            <w:tcBorders>
              <w:bottom w:val="nil"/>
            </w:tcBorders>
            <w:vAlign w:val="center"/>
          </w:tcPr>
          <w:p w14:paraId="5FBD0745">
            <w:pPr>
              <w:widowControl/>
              <w:autoSpaceDE w:val="0"/>
              <w:autoSpaceDN w:val="0"/>
              <w:adjustRightInd w:val="0"/>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28.32</w:t>
            </w:r>
          </w:p>
        </w:tc>
      </w:tr>
      <w:tr w14:paraId="2C64291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55" w:hRule="atLeast"/>
          <w:jc w:val="center"/>
        </w:trPr>
        <w:tc>
          <w:tcPr>
            <w:tcW w:w="1247" w:type="pct"/>
            <w:tcBorders>
              <w:top w:val="nil"/>
            </w:tcBorders>
            <w:vAlign w:val="center"/>
          </w:tcPr>
          <w:p w14:paraId="581A9064">
            <w:pPr>
              <w:widowControl/>
              <w:autoSpaceDE w:val="0"/>
              <w:autoSpaceDN w:val="0"/>
              <w:adjustRightInd w:val="0"/>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Krafft point (℃)</w:t>
            </w:r>
          </w:p>
        </w:tc>
        <w:tc>
          <w:tcPr>
            <w:tcW w:w="1252" w:type="pct"/>
            <w:tcBorders>
              <w:top w:val="nil"/>
            </w:tcBorders>
            <w:vAlign w:val="center"/>
          </w:tcPr>
          <w:p w14:paraId="0E2222B9">
            <w:pPr>
              <w:widowControl/>
              <w:autoSpaceDE w:val="0"/>
              <w:autoSpaceDN w:val="0"/>
              <w:adjustRightInd w:val="0"/>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&lt;0</w:t>
            </w:r>
          </w:p>
        </w:tc>
        <w:tc>
          <w:tcPr>
            <w:tcW w:w="1250" w:type="pct"/>
            <w:tcBorders>
              <w:top w:val="nil"/>
            </w:tcBorders>
            <w:vAlign w:val="center"/>
          </w:tcPr>
          <w:p w14:paraId="4E9AD73E">
            <w:pPr>
              <w:widowControl/>
              <w:autoSpaceDE w:val="0"/>
              <w:autoSpaceDN w:val="0"/>
              <w:adjustRightInd w:val="0"/>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&lt;0</w:t>
            </w:r>
          </w:p>
        </w:tc>
        <w:tc>
          <w:tcPr>
            <w:tcW w:w="1250" w:type="pct"/>
            <w:tcBorders>
              <w:top w:val="nil"/>
            </w:tcBorders>
            <w:vAlign w:val="center"/>
          </w:tcPr>
          <w:p w14:paraId="25403CAB">
            <w:pPr>
              <w:widowControl/>
              <w:autoSpaceDE w:val="0"/>
              <w:autoSpaceDN w:val="0"/>
              <w:adjustRightInd w:val="0"/>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&lt;0</w:t>
            </w:r>
          </w:p>
        </w:tc>
      </w:tr>
    </w:tbl>
    <w:p w14:paraId="198A11D5">
      <w:pPr>
        <w:widowControl/>
        <w:ind w:firstLine="709" w:firstLineChars="0"/>
        <w:rPr>
          <w:rFonts w:hint="default" w:ascii="Times New Roman" w:hAnsi="Times New Roman" w:cs="Times New Roman"/>
          <w:sz w:val="28"/>
          <w:szCs w:val="28"/>
        </w:rPr>
      </w:pPr>
    </w:p>
    <w:p w14:paraId="67916863">
      <w:pPr>
        <w:widowControl/>
        <w:ind w:firstLine="709" w:firstLineChars="0"/>
        <w:rPr>
          <w:rFonts w:hint="default" w:ascii="Times New Roman" w:hAnsi="Times New Roman" w:cs="Times New Roman"/>
          <w:sz w:val="28"/>
          <w:szCs w:val="28"/>
        </w:rPr>
      </w:pPr>
    </w:p>
    <w:p w14:paraId="60DAD91E">
      <w:pPr>
        <w:keepNext w:val="0"/>
        <w:keepLines w:val="0"/>
        <w:pageBreakBefore w:val="0"/>
        <w:widowControl/>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Table 3.6 – Solubility of surfactants in NaCl solutions.</w:t>
      </w:r>
    </w:p>
    <w:tbl>
      <w:tblPr>
        <w:tblStyle w:val="17"/>
        <w:tblW w:w="4999" w:type="pct"/>
        <w:jc w:val="center"/>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autofit"/>
        <w:tblCellMar>
          <w:top w:w="0" w:type="dxa"/>
          <w:left w:w="108" w:type="dxa"/>
          <w:bottom w:w="0" w:type="dxa"/>
          <w:right w:w="108" w:type="dxa"/>
        </w:tblCellMar>
      </w:tblPr>
      <w:tblGrid>
        <w:gridCol w:w="1204"/>
        <w:gridCol w:w="2456"/>
        <w:gridCol w:w="678"/>
        <w:gridCol w:w="678"/>
        <w:gridCol w:w="678"/>
        <w:gridCol w:w="706"/>
        <w:gridCol w:w="706"/>
        <w:gridCol w:w="903"/>
        <w:gridCol w:w="895"/>
        <w:gridCol w:w="948"/>
      </w:tblGrid>
      <w:tr w14:paraId="410EC1CE">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jc w:val="center"/>
        </w:trPr>
        <w:tc>
          <w:tcPr>
            <w:tcW w:w="611" w:type="pct"/>
            <w:vMerge w:val="restart"/>
            <w:tcBorders>
              <w:top w:val="single" w:color="auto" w:sz="8" w:space="0"/>
              <w:left w:val="nil"/>
            </w:tcBorders>
            <w:vAlign w:val="center"/>
          </w:tcPr>
          <w:p w14:paraId="46C82B57">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T (℃)</w:t>
            </w:r>
          </w:p>
        </w:tc>
        <w:tc>
          <w:tcPr>
            <w:tcW w:w="1246" w:type="pct"/>
            <w:vMerge w:val="restart"/>
            <w:tcBorders>
              <w:top w:val="single" w:color="auto" w:sz="8" w:space="0"/>
            </w:tcBorders>
            <w:vAlign w:val="center"/>
          </w:tcPr>
          <w:p w14:paraId="0833817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Surfactant</w:t>
            </w:r>
          </w:p>
        </w:tc>
        <w:tc>
          <w:tcPr>
            <w:tcW w:w="3141" w:type="pct"/>
            <w:gridSpan w:val="8"/>
            <w:tcBorders>
              <w:top w:val="single" w:color="auto" w:sz="8" w:space="0"/>
              <w:right w:val="nil"/>
            </w:tcBorders>
          </w:tcPr>
          <w:p w14:paraId="3AFAC2C5">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W(NaCl) (%)</w:t>
            </w:r>
          </w:p>
        </w:tc>
      </w:tr>
      <w:tr w14:paraId="6E914888">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jc w:val="center"/>
        </w:trPr>
        <w:tc>
          <w:tcPr>
            <w:tcW w:w="611" w:type="pct"/>
            <w:vMerge w:val="continue"/>
            <w:tcBorders>
              <w:left w:val="nil"/>
              <w:bottom w:val="single" w:color="auto" w:sz="4" w:space="0"/>
            </w:tcBorders>
          </w:tcPr>
          <w:p w14:paraId="6E2DC530">
            <w:pPr>
              <w:widowControl/>
              <w:ind w:firstLine="0" w:firstLineChars="0"/>
              <w:jc w:val="center"/>
              <w:rPr>
                <w:rFonts w:hint="default" w:ascii="Times New Roman" w:hAnsi="Times New Roman" w:cs="Times New Roman"/>
                <w:sz w:val="28"/>
                <w:szCs w:val="28"/>
              </w:rPr>
            </w:pPr>
          </w:p>
        </w:tc>
        <w:tc>
          <w:tcPr>
            <w:tcW w:w="1246" w:type="pct"/>
            <w:vMerge w:val="continue"/>
            <w:tcBorders>
              <w:bottom w:val="single" w:color="auto" w:sz="4" w:space="0"/>
            </w:tcBorders>
          </w:tcPr>
          <w:p w14:paraId="6CF2BBF8">
            <w:pPr>
              <w:widowControl/>
              <w:ind w:firstLine="0" w:firstLineChars="0"/>
              <w:jc w:val="center"/>
              <w:rPr>
                <w:rFonts w:hint="default" w:ascii="Times New Roman" w:hAnsi="Times New Roman" w:cs="Times New Roman"/>
                <w:sz w:val="28"/>
                <w:szCs w:val="28"/>
              </w:rPr>
            </w:pPr>
          </w:p>
        </w:tc>
        <w:tc>
          <w:tcPr>
            <w:tcW w:w="344" w:type="pct"/>
            <w:tcBorders>
              <w:bottom w:val="single" w:color="auto" w:sz="4" w:space="0"/>
            </w:tcBorders>
          </w:tcPr>
          <w:p w14:paraId="37220AE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w:t>
            </w:r>
          </w:p>
        </w:tc>
        <w:tc>
          <w:tcPr>
            <w:tcW w:w="344" w:type="pct"/>
            <w:tcBorders>
              <w:bottom w:val="single" w:color="auto" w:sz="4" w:space="0"/>
            </w:tcBorders>
          </w:tcPr>
          <w:p w14:paraId="30096330">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1</w:t>
            </w:r>
          </w:p>
        </w:tc>
        <w:tc>
          <w:tcPr>
            <w:tcW w:w="344" w:type="pct"/>
            <w:tcBorders>
              <w:bottom w:val="single" w:color="auto" w:sz="4" w:space="0"/>
            </w:tcBorders>
          </w:tcPr>
          <w:p w14:paraId="732EFA6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3</w:t>
            </w:r>
          </w:p>
        </w:tc>
        <w:tc>
          <w:tcPr>
            <w:tcW w:w="358" w:type="pct"/>
            <w:tcBorders>
              <w:bottom w:val="single" w:color="auto" w:sz="4" w:space="0"/>
            </w:tcBorders>
          </w:tcPr>
          <w:p w14:paraId="6C495D0B">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5</w:t>
            </w:r>
          </w:p>
        </w:tc>
        <w:tc>
          <w:tcPr>
            <w:tcW w:w="358" w:type="pct"/>
            <w:tcBorders>
              <w:bottom w:val="single" w:color="auto" w:sz="4" w:space="0"/>
            </w:tcBorders>
          </w:tcPr>
          <w:p w14:paraId="5583532D">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7</w:t>
            </w:r>
          </w:p>
        </w:tc>
        <w:tc>
          <w:tcPr>
            <w:tcW w:w="458" w:type="pct"/>
            <w:tcBorders>
              <w:bottom w:val="single" w:color="auto" w:sz="4" w:space="0"/>
              <w:right w:val="nil"/>
            </w:tcBorders>
          </w:tcPr>
          <w:p w14:paraId="2A1AB9A5">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10</w:t>
            </w:r>
          </w:p>
        </w:tc>
        <w:tc>
          <w:tcPr>
            <w:tcW w:w="454" w:type="pct"/>
            <w:tcBorders>
              <w:bottom w:val="single" w:color="auto" w:sz="4" w:space="0"/>
              <w:right w:val="nil"/>
            </w:tcBorders>
          </w:tcPr>
          <w:p w14:paraId="5E50AFAE">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15</w:t>
            </w:r>
          </w:p>
        </w:tc>
        <w:tc>
          <w:tcPr>
            <w:tcW w:w="476" w:type="pct"/>
            <w:tcBorders>
              <w:bottom w:val="single" w:color="auto" w:sz="4" w:space="0"/>
              <w:right w:val="nil"/>
            </w:tcBorders>
          </w:tcPr>
          <w:p w14:paraId="58707DA7">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20</w:t>
            </w:r>
          </w:p>
        </w:tc>
      </w:tr>
      <w:tr w14:paraId="0356647F">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jc w:val="center"/>
        </w:trPr>
        <w:tc>
          <w:tcPr>
            <w:tcW w:w="611" w:type="pct"/>
            <w:vMerge w:val="restart"/>
            <w:tcBorders>
              <w:left w:val="nil"/>
            </w:tcBorders>
            <w:vAlign w:val="center"/>
          </w:tcPr>
          <w:p w14:paraId="56987394">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30</w:t>
            </w:r>
          </w:p>
        </w:tc>
        <w:tc>
          <w:tcPr>
            <w:tcW w:w="1246" w:type="pct"/>
            <w:tcBorders>
              <w:bottom w:val="nil"/>
            </w:tcBorders>
            <w:vAlign w:val="center"/>
          </w:tcPr>
          <w:p w14:paraId="3196DD7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NS</w:t>
            </w:r>
          </w:p>
        </w:tc>
        <w:tc>
          <w:tcPr>
            <w:tcW w:w="344" w:type="pct"/>
            <w:tcBorders>
              <w:bottom w:val="nil"/>
            </w:tcBorders>
            <w:vAlign w:val="center"/>
          </w:tcPr>
          <w:p w14:paraId="03BA086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44" w:type="pct"/>
            <w:tcBorders>
              <w:bottom w:val="nil"/>
            </w:tcBorders>
            <w:vAlign w:val="center"/>
          </w:tcPr>
          <w:p w14:paraId="12E019ED">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44" w:type="pct"/>
            <w:tcBorders>
              <w:bottom w:val="nil"/>
            </w:tcBorders>
            <w:vAlign w:val="center"/>
          </w:tcPr>
          <w:p w14:paraId="3A4F64C7">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58" w:type="pct"/>
            <w:tcBorders>
              <w:bottom w:val="nil"/>
            </w:tcBorders>
            <w:vAlign w:val="center"/>
          </w:tcPr>
          <w:p w14:paraId="12D9EB4E">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58" w:type="pct"/>
            <w:tcBorders>
              <w:bottom w:val="nil"/>
            </w:tcBorders>
            <w:vAlign w:val="center"/>
          </w:tcPr>
          <w:p w14:paraId="4D24CDFA">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58" w:type="pct"/>
            <w:tcBorders>
              <w:bottom w:val="nil"/>
              <w:right w:val="nil"/>
            </w:tcBorders>
            <w:vAlign w:val="center"/>
          </w:tcPr>
          <w:p w14:paraId="17FEC3F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54" w:type="pct"/>
            <w:tcBorders>
              <w:bottom w:val="nil"/>
              <w:right w:val="nil"/>
            </w:tcBorders>
            <w:vAlign w:val="center"/>
          </w:tcPr>
          <w:p w14:paraId="23B0B3E6">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76" w:type="pct"/>
            <w:tcBorders>
              <w:bottom w:val="nil"/>
              <w:right w:val="nil"/>
            </w:tcBorders>
            <w:vAlign w:val="center"/>
          </w:tcPr>
          <w:p w14:paraId="4CF237E0">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r>
      <w:tr w14:paraId="22830FE0">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jc w:val="center"/>
        </w:trPr>
        <w:tc>
          <w:tcPr>
            <w:tcW w:w="611" w:type="pct"/>
            <w:vMerge w:val="continue"/>
            <w:tcBorders>
              <w:left w:val="nil"/>
            </w:tcBorders>
          </w:tcPr>
          <w:p w14:paraId="245A00A1">
            <w:pPr>
              <w:widowControl/>
              <w:ind w:firstLine="0" w:firstLineChars="0"/>
              <w:jc w:val="center"/>
              <w:rPr>
                <w:rFonts w:hint="default" w:ascii="Times New Roman" w:hAnsi="Times New Roman" w:cs="Times New Roman"/>
                <w:sz w:val="28"/>
                <w:szCs w:val="28"/>
              </w:rPr>
            </w:pPr>
          </w:p>
        </w:tc>
        <w:tc>
          <w:tcPr>
            <w:tcW w:w="1246" w:type="pct"/>
            <w:tcBorders>
              <w:top w:val="nil"/>
              <w:bottom w:val="nil"/>
            </w:tcBorders>
            <w:vAlign w:val="center"/>
          </w:tcPr>
          <w:p w14:paraId="2BD6E593">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w:t>
            </w:r>
          </w:p>
        </w:tc>
        <w:tc>
          <w:tcPr>
            <w:tcW w:w="344" w:type="pct"/>
            <w:tcBorders>
              <w:top w:val="nil"/>
              <w:bottom w:val="nil"/>
            </w:tcBorders>
            <w:vAlign w:val="center"/>
          </w:tcPr>
          <w:p w14:paraId="6E31FE02">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44" w:type="pct"/>
            <w:tcBorders>
              <w:top w:val="nil"/>
              <w:bottom w:val="nil"/>
            </w:tcBorders>
            <w:vAlign w:val="center"/>
          </w:tcPr>
          <w:p w14:paraId="0EEA891E">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44" w:type="pct"/>
            <w:tcBorders>
              <w:top w:val="nil"/>
              <w:bottom w:val="nil"/>
            </w:tcBorders>
            <w:vAlign w:val="center"/>
          </w:tcPr>
          <w:p w14:paraId="569AF713">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58" w:type="pct"/>
            <w:tcBorders>
              <w:top w:val="nil"/>
              <w:bottom w:val="nil"/>
            </w:tcBorders>
            <w:vAlign w:val="center"/>
          </w:tcPr>
          <w:p w14:paraId="1205701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58" w:type="pct"/>
            <w:tcBorders>
              <w:top w:val="nil"/>
              <w:bottom w:val="nil"/>
            </w:tcBorders>
            <w:vAlign w:val="center"/>
          </w:tcPr>
          <w:p w14:paraId="75A8FFA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58" w:type="pct"/>
            <w:tcBorders>
              <w:top w:val="nil"/>
              <w:bottom w:val="nil"/>
              <w:right w:val="nil"/>
            </w:tcBorders>
            <w:vAlign w:val="center"/>
          </w:tcPr>
          <w:p w14:paraId="6F65CFA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54" w:type="pct"/>
            <w:tcBorders>
              <w:top w:val="nil"/>
              <w:bottom w:val="nil"/>
              <w:right w:val="nil"/>
            </w:tcBorders>
            <w:vAlign w:val="center"/>
          </w:tcPr>
          <w:p w14:paraId="2FDC869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76" w:type="pct"/>
            <w:tcBorders>
              <w:top w:val="nil"/>
              <w:bottom w:val="nil"/>
              <w:right w:val="nil"/>
            </w:tcBorders>
            <w:vAlign w:val="center"/>
          </w:tcPr>
          <w:p w14:paraId="3A246D54">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r>
      <w:tr w14:paraId="4E43216A">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jc w:val="center"/>
        </w:trPr>
        <w:tc>
          <w:tcPr>
            <w:tcW w:w="611" w:type="pct"/>
            <w:vMerge w:val="continue"/>
            <w:tcBorders>
              <w:left w:val="nil"/>
            </w:tcBorders>
          </w:tcPr>
          <w:p w14:paraId="1904CE7B">
            <w:pPr>
              <w:widowControl/>
              <w:ind w:firstLine="0" w:firstLineChars="0"/>
              <w:jc w:val="center"/>
              <w:rPr>
                <w:rFonts w:hint="default" w:ascii="Times New Roman" w:hAnsi="Times New Roman" w:cs="Times New Roman"/>
                <w:sz w:val="28"/>
                <w:szCs w:val="28"/>
              </w:rPr>
            </w:pPr>
          </w:p>
        </w:tc>
        <w:tc>
          <w:tcPr>
            <w:tcW w:w="1246" w:type="pct"/>
            <w:tcBorders>
              <w:top w:val="nil"/>
              <w:bottom w:val="nil"/>
            </w:tcBorders>
            <w:vAlign w:val="center"/>
          </w:tcPr>
          <w:p w14:paraId="687210C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w:t>
            </w:r>
          </w:p>
        </w:tc>
        <w:tc>
          <w:tcPr>
            <w:tcW w:w="344" w:type="pct"/>
            <w:tcBorders>
              <w:top w:val="nil"/>
              <w:bottom w:val="nil"/>
            </w:tcBorders>
            <w:vAlign w:val="center"/>
          </w:tcPr>
          <w:p w14:paraId="7AFBC404">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44" w:type="pct"/>
            <w:tcBorders>
              <w:top w:val="nil"/>
              <w:bottom w:val="nil"/>
            </w:tcBorders>
            <w:vAlign w:val="center"/>
          </w:tcPr>
          <w:p w14:paraId="279BC01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44" w:type="pct"/>
            <w:tcBorders>
              <w:top w:val="nil"/>
              <w:bottom w:val="nil"/>
            </w:tcBorders>
            <w:vAlign w:val="center"/>
          </w:tcPr>
          <w:p w14:paraId="1D252F43">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58" w:type="pct"/>
            <w:tcBorders>
              <w:top w:val="nil"/>
              <w:bottom w:val="nil"/>
            </w:tcBorders>
            <w:vAlign w:val="center"/>
          </w:tcPr>
          <w:p w14:paraId="3692EF50">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58" w:type="pct"/>
            <w:tcBorders>
              <w:top w:val="nil"/>
              <w:bottom w:val="nil"/>
            </w:tcBorders>
            <w:vAlign w:val="center"/>
          </w:tcPr>
          <w:p w14:paraId="3DF39EF6">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58" w:type="pct"/>
            <w:tcBorders>
              <w:top w:val="nil"/>
              <w:bottom w:val="nil"/>
              <w:right w:val="nil"/>
            </w:tcBorders>
            <w:vAlign w:val="center"/>
          </w:tcPr>
          <w:p w14:paraId="4626277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54" w:type="pct"/>
            <w:tcBorders>
              <w:top w:val="nil"/>
              <w:bottom w:val="nil"/>
              <w:right w:val="nil"/>
            </w:tcBorders>
            <w:vAlign w:val="center"/>
          </w:tcPr>
          <w:p w14:paraId="40C51A35">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76" w:type="pct"/>
            <w:tcBorders>
              <w:top w:val="nil"/>
              <w:bottom w:val="nil"/>
              <w:right w:val="nil"/>
            </w:tcBorders>
            <w:vAlign w:val="center"/>
          </w:tcPr>
          <w:p w14:paraId="648B4782">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r>
      <w:tr w14:paraId="72959C0C">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jc w:val="center"/>
        </w:trPr>
        <w:tc>
          <w:tcPr>
            <w:tcW w:w="611" w:type="pct"/>
            <w:vMerge w:val="restart"/>
            <w:tcBorders>
              <w:left w:val="nil"/>
            </w:tcBorders>
            <w:vAlign w:val="center"/>
          </w:tcPr>
          <w:p w14:paraId="0065BB86">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40</w:t>
            </w:r>
          </w:p>
        </w:tc>
        <w:tc>
          <w:tcPr>
            <w:tcW w:w="1246" w:type="pct"/>
            <w:tcBorders>
              <w:bottom w:val="nil"/>
            </w:tcBorders>
            <w:vAlign w:val="center"/>
          </w:tcPr>
          <w:p w14:paraId="59D7B94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NS</w:t>
            </w:r>
          </w:p>
        </w:tc>
        <w:tc>
          <w:tcPr>
            <w:tcW w:w="344" w:type="pct"/>
            <w:tcBorders>
              <w:bottom w:val="nil"/>
            </w:tcBorders>
            <w:vAlign w:val="center"/>
          </w:tcPr>
          <w:p w14:paraId="43EAC795">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44" w:type="pct"/>
            <w:tcBorders>
              <w:bottom w:val="nil"/>
            </w:tcBorders>
            <w:vAlign w:val="center"/>
          </w:tcPr>
          <w:p w14:paraId="20F7869B">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44" w:type="pct"/>
            <w:tcBorders>
              <w:bottom w:val="nil"/>
            </w:tcBorders>
            <w:vAlign w:val="center"/>
          </w:tcPr>
          <w:p w14:paraId="52F3BC3A">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58" w:type="pct"/>
            <w:tcBorders>
              <w:bottom w:val="nil"/>
            </w:tcBorders>
            <w:vAlign w:val="center"/>
          </w:tcPr>
          <w:p w14:paraId="6B88E7B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58" w:type="pct"/>
            <w:tcBorders>
              <w:bottom w:val="nil"/>
            </w:tcBorders>
            <w:vAlign w:val="center"/>
          </w:tcPr>
          <w:p w14:paraId="7E2D5D5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58" w:type="pct"/>
            <w:tcBorders>
              <w:bottom w:val="nil"/>
              <w:right w:val="nil"/>
            </w:tcBorders>
            <w:vAlign w:val="center"/>
          </w:tcPr>
          <w:p w14:paraId="2D62F67A">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54" w:type="pct"/>
            <w:tcBorders>
              <w:bottom w:val="nil"/>
              <w:right w:val="nil"/>
            </w:tcBorders>
            <w:vAlign w:val="center"/>
          </w:tcPr>
          <w:p w14:paraId="48966363">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76" w:type="pct"/>
            <w:tcBorders>
              <w:bottom w:val="nil"/>
              <w:right w:val="nil"/>
            </w:tcBorders>
            <w:vAlign w:val="center"/>
          </w:tcPr>
          <w:p w14:paraId="4C6FA83A">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r>
      <w:tr w14:paraId="487F6615">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jc w:val="center"/>
        </w:trPr>
        <w:tc>
          <w:tcPr>
            <w:tcW w:w="611" w:type="pct"/>
            <w:vMerge w:val="continue"/>
            <w:tcBorders>
              <w:left w:val="nil"/>
            </w:tcBorders>
          </w:tcPr>
          <w:p w14:paraId="70907689">
            <w:pPr>
              <w:widowControl/>
              <w:ind w:firstLine="0" w:firstLineChars="0"/>
              <w:jc w:val="center"/>
              <w:rPr>
                <w:rFonts w:hint="default" w:ascii="Times New Roman" w:hAnsi="Times New Roman" w:cs="Times New Roman"/>
                <w:sz w:val="28"/>
                <w:szCs w:val="28"/>
              </w:rPr>
            </w:pPr>
          </w:p>
        </w:tc>
        <w:tc>
          <w:tcPr>
            <w:tcW w:w="1246" w:type="pct"/>
            <w:tcBorders>
              <w:top w:val="nil"/>
              <w:bottom w:val="nil"/>
            </w:tcBorders>
            <w:vAlign w:val="center"/>
          </w:tcPr>
          <w:p w14:paraId="7120617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w:t>
            </w:r>
          </w:p>
        </w:tc>
        <w:tc>
          <w:tcPr>
            <w:tcW w:w="344" w:type="pct"/>
            <w:tcBorders>
              <w:top w:val="nil"/>
              <w:bottom w:val="nil"/>
            </w:tcBorders>
            <w:vAlign w:val="center"/>
          </w:tcPr>
          <w:p w14:paraId="02485AF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44" w:type="pct"/>
            <w:tcBorders>
              <w:top w:val="nil"/>
              <w:bottom w:val="nil"/>
            </w:tcBorders>
            <w:vAlign w:val="center"/>
          </w:tcPr>
          <w:p w14:paraId="2CD680E3">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44" w:type="pct"/>
            <w:tcBorders>
              <w:top w:val="nil"/>
              <w:bottom w:val="nil"/>
            </w:tcBorders>
            <w:vAlign w:val="center"/>
          </w:tcPr>
          <w:p w14:paraId="3C1B3F10">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58" w:type="pct"/>
            <w:tcBorders>
              <w:top w:val="nil"/>
              <w:bottom w:val="nil"/>
            </w:tcBorders>
            <w:vAlign w:val="center"/>
          </w:tcPr>
          <w:p w14:paraId="7C4F14F0">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58" w:type="pct"/>
            <w:tcBorders>
              <w:top w:val="nil"/>
              <w:bottom w:val="nil"/>
            </w:tcBorders>
            <w:vAlign w:val="center"/>
          </w:tcPr>
          <w:p w14:paraId="00E32A03">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58" w:type="pct"/>
            <w:tcBorders>
              <w:top w:val="nil"/>
              <w:bottom w:val="nil"/>
              <w:right w:val="nil"/>
            </w:tcBorders>
            <w:vAlign w:val="center"/>
          </w:tcPr>
          <w:p w14:paraId="25CF5B15">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54" w:type="pct"/>
            <w:tcBorders>
              <w:top w:val="nil"/>
              <w:bottom w:val="nil"/>
              <w:right w:val="nil"/>
            </w:tcBorders>
            <w:vAlign w:val="center"/>
          </w:tcPr>
          <w:p w14:paraId="1EE5EBA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76" w:type="pct"/>
            <w:tcBorders>
              <w:top w:val="nil"/>
              <w:bottom w:val="nil"/>
              <w:right w:val="nil"/>
            </w:tcBorders>
            <w:vAlign w:val="center"/>
          </w:tcPr>
          <w:p w14:paraId="758D4AE7">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r>
      <w:tr w14:paraId="2CCD9F96">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jc w:val="center"/>
        </w:trPr>
        <w:tc>
          <w:tcPr>
            <w:tcW w:w="611" w:type="pct"/>
            <w:vMerge w:val="continue"/>
            <w:tcBorders>
              <w:left w:val="nil"/>
            </w:tcBorders>
          </w:tcPr>
          <w:p w14:paraId="5A7C13E9">
            <w:pPr>
              <w:widowControl/>
              <w:ind w:firstLine="0" w:firstLineChars="0"/>
              <w:jc w:val="center"/>
              <w:rPr>
                <w:rFonts w:hint="default" w:ascii="Times New Roman" w:hAnsi="Times New Roman" w:cs="Times New Roman"/>
                <w:sz w:val="28"/>
                <w:szCs w:val="28"/>
              </w:rPr>
            </w:pPr>
          </w:p>
        </w:tc>
        <w:tc>
          <w:tcPr>
            <w:tcW w:w="1246" w:type="pct"/>
            <w:tcBorders>
              <w:top w:val="nil"/>
              <w:bottom w:val="nil"/>
            </w:tcBorders>
            <w:vAlign w:val="center"/>
          </w:tcPr>
          <w:p w14:paraId="6514BB24">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w:t>
            </w:r>
          </w:p>
        </w:tc>
        <w:tc>
          <w:tcPr>
            <w:tcW w:w="344" w:type="pct"/>
            <w:tcBorders>
              <w:top w:val="nil"/>
              <w:bottom w:val="nil"/>
            </w:tcBorders>
            <w:vAlign w:val="center"/>
          </w:tcPr>
          <w:p w14:paraId="675C4AB0">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44" w:type="pct"/>
            <w:tcBorders>
              <w:top w:val="nil"/>
              <w:bottom w:val="nil"/>
            </w:tcBorders>
            <w:vAlign w:val="center"/>
          </w:tcPr>
          <w:p w14:paraId="5AAA306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44" w:type="pct"/>
            <w:tcBorders>
              <w:top w:val="nil"/>
              <w:bottom w:val="nil"/>
            </w:tcBorders>
            <w:vAlign w:val="center"/>
          </w:tcPr>
          <w:p w14:paraId="4E0EEF66">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58" w:type="pct"/>
            <w:tcBorders>
              <w:top w:val="nil"/>
              <w:bottom w:val="nil"/>
            </w:tcBorders>
            <w:vAlign w:val="center"/>
          </w:tcPr>
          <w:p w14:paraId="2E03070E">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58" w:type="pct"/>
            <w:tcBorders>
              <w:top w:val="nil"/>
              <w:bottom w:val="nil"/>
            </w:tcBorders>
            <w:vAlign w:val="center"/>
          </w:tcPr>
          <w:p w14:paraId="4532663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58" w:type="pct"/>
            <w:tcBorders>
              <w:top w:val="nil"/>
              <w:bottom w:val="nil"/>
              <w:right w:val="nil"/>
            </w:tcBorders>
            <w:vAlign w:val="center"/>
          </w:tcPr>
          <w:p w14:paraId="398967A3">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54" w:type="pct"/>
            <w:tcBorders>
              <w:top w:val="nil"/>
              <w:bottom w:val="nil"/>
              <w:right w:val="nil"/>
            </w:tcBorders>
            <w:vAlign w:val="center"/>
          </w:tcPr>
          <w:p w14:paraId="6759AF8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76" w:type="pct"/>
            <w:tcBorders>
              <w:top w:val="nil"/>
              <w:bottom w:val="nil"/>
              <w:right w:val="nil"/>
            </w:tcBorders>
            <w:vAlign w:val="center"/>
          </w:tcPr>
          <w:p w14:paraId="76AED927">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r>
      <w:tr w14:paraId="66EA9281">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jc w:val="center"/>
        </w:trPr>
        <w:tc>
          <w:tcPr>
            <w:tcW w:w="611" w:type="pct"/>
            <w:vMerge w:val="restart"/>
            <w:tcBorders>
              <w:left w:val="nil"/>
            </w:tcBorders>
            <w:vAlign w:val="center"/>
          </w:tcPr>
          <w:p w14:paraId="676FFF0D">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50</w:t>
            </w:r>
          </w:p>
        </w:tc>
        <w:tc>
          <w:tcPr>
            <w:tcW w:w="1246" w:type="pct"/>
            <w:tcBorders>
              <w:bottom w:val="nil"/>
            </w:tcBorders>
            <w:vAlign w:val="center"/>
          </w:tcPr>
          <w:p w14:paraId="4E989374">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NS</w:t>
            </w:r>
          </w:p>
        </w:tc>
        <w:tc>
          <w:tcPr>
            <w:tcW w:w="344" w:type="pct"/>
            <w:tcBorders>
              <w:bottom w:val="nil"/>
            </w:tcBorders>
            <w:vAlign w:val="center"/>
          </w:tcPr>
          <w:p w14:paraId="4E5D9B0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44" w:type="pct"/>
            <w:tcBorders>
              <w:bottom w:val="nil"/>
            </w:tcBorders>
            <w:vAlign w:val="center"/>
          </w:tcPr>
          <w:p w14:paraId="78119690">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44" w:type="pct"/>
            <w:tcBorders>
              <w:bottom w:val="nil"/>
            </w:tcBorders>
            <w:vAlign w:val="center"/>
          </w:tcPr>
          <w:p w14:paraId="55C9FA8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58" w:type="pct"/>
            <w:tcBorders>
              <w:bottom w:val="nil"/>
            </w:tcBorders>
            <w:vAlign w:val="center"/>
          </w:tcPr>
          <w:p w14:paraId="409D4D16">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58" w:type="pct"/>
            <w:tcBorders>
              <w:bottom w:val="nil"/>
            </w:tcBorders>
            <w:vAlign w:val="center"/>
          </w:tcPr>
          <w:p w14:paraId="6DA30D5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58" w:type="pct"/>
            <w:tcBorders>
              <w:bottom w:val="nil"/>
              <w:right w:val="nil"/>
            </w:tcBorders>
            <w:vAlign w:val="center"/>
          </w:tcPr>
          <w:p w14:paraId="2344E130">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54" w:type="pct"/>
            <w:tcBorders>
              <w:bottom w:val="nil"/>
              <w:right w:val="nil"/>
            </w:tcBorders>
            <w:vAlign w:val="center"/>
          </w:tcPr>
          <w:p w14:paraId="247FA2AA">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76" w:type="pct"/>
            <w:tcBorders>
              <w:bottom w:val="nil"/>
              <w:right w:val="nil"/>
            </w:tcBorders>
            <w:vAlign w:val="center"/>
          </w:tcPr>
          <w:p w14:paraId="4F901E63">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r>
      <w:tr w14:paraId="6650A9E7">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jc w:val="center"/>
        </w:trPr>
        <w:tc>
          <w:tcPr>
            <w:tcW w:w="611" w:type="pct"/>
            <w:vMerge w:val="continue"/>
            <w:tcBorders>
              <w:left w:val="nil"/>
            </w:tcBorders>
          </w:tcPr>
          <w:p w14:paraId="50035733">
            <w:pPr>
              <w:widowControl/>
              <w:ind w:firstLine="0" w:firstLineChars="0"/>
              <w:jc w:val="center"/>
              <w:rPr>
                <w:rFonts w:hint="default" w:ascii="Times New Roman" w:hAnsi="Times New Roman" w:cs="Times New Roman"/>
                <w:sz w:val="28"/>
                <w:szCs w:val="28"/>
              </w:rPr>
            </w:pPr>
          </w:p>
        </w:tc>
        <w:tc>
          <w:tcPr>
            <w:tcW w:w="1246" w:type="pct"/>
            <w:tcBorders>
              <w:top w:val="nil"/>
              <w:bottom w:val="nil"/>
            </w:tcBorders>
            <w:vAlign w:val="center"/>
          </w:tcPr>
          <w:p w14:paraId="2B350E6E">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w:t>
            </w:r>
          </w:p>
        </w:tc>
        <w:tc>
          <w:tcPr>
            <w:tcW w:w="344" w:type="pct"/>
            <w:tcBorders>
              <w:top w:val="nil"/>
              <w:bottom w:val="nil"/>
            </w:tcBorders>
            <w:vAlign w:val="center"/>
          </w:tcPr>
          <w:p w14:paraId="2D774FB4">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44" w:type="pct"/>
            <w:tcBorders>
              <w:top w:val="nil"/>
              <w:bottom w:val="nil"/>
            </w:tcBorders>
            <w:vAlign w:val="center"/>
          </w:tcPr>
          <w:p w14:paraId="553979A4">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44" w:type="pct"/>
            <w:tcBorders>
              <w:top w:val="nil"/>
              <w:bottom w:val="nil"/>
            </w:tcBorders>
            <w:vAlign w:val="center"/>
          </w:tcPr>
          <w:p w14:paraId="18FC6CD6">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58" w:type="pct"/>
            <w:tcBorders>
              <w:top w:val="nil"/>
              <w:bottom w:val="nil"/>
            </w:tcBorders>
            <w:vAlign w:val="center"/>
          </w:tcPr>
          <w:p w14:paraId="26E80292">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58" w:type="pct"/>
            <w:tcBorders>
              <w:top w:val="nil"/>
              <w:bottom w:val="nil"/>
            </w:tcBorders>
            <w:vAlign w:val="center"/>
          </w:tcPr>
          <w:p w14:paraId="2DB750B0">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58" w:type="pct"/>
            <w:tcBorders>
              <w:top w:val="nil"/>
              <w:bottom w:val="nil"/>
              <w:right w:val="nil"/>
            </w:tcBorders>
            <w:vAlign w:val="center"/>
          </w:tcPr>
          <w:p w14:paraId="6C9F4BD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54" w:type="pct"/>
            <w:tcBorders>
              <w:top w:val="nil"/>
              <w:bottom w:val="nil"/>
              <w:right w:val="nil"/>
            </w:tcBorders>
            <w:vAlign w:val="center"/>
          </w:tcPr>
          <w:p w14:paraId="362EA55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76" w:type="pct"/>
            <w:tcBorders>
              <w:top w:val="nil"/>
              <w:bottom w:val="nil"/>
              <w:right w:val="nil"/>
            </w:tcBorders>
            <w:vAlign w:val="center"/>
          </w:tcPr>
          <w:p w14:paraId="3689FA36">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r>
      <w:tr w14:paraId="560F23FA">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jc w:val="center"/>
        </w:trPr>
        <w:tc>
          <w:tcPr>
            <w:tcW w:w="611" w:type="pct"/>
            <w:vMerge w:val="continue"/>
            <w:tcBorders>
              <w:left w:val="nil"/>
            </w:tcBorders>
          </w:tcPr>
          <w:p w14:paraId="3F92FD47">
            <w:pPr>
              <w:widowControl/>
              <w:ind w:firstLine="0" w:firstLineChars="0"/>
              <w:jc w:val="center"/>
              <w:rPr>
                <w:rFonts w:hint="default" w:ascii="Times New Roman" w:hAnsi="Times New Roman" w:cs="Times New Roman"/>
                <w:sz w:val="28"/>
                <w:szCs w:val="28"/>
              </w:rPr>
            </w:pPr>
          </w:p>
        </w:tc>
        <w:tc>
          <w:tcPr>
            <w:tcW w:w="1246" w:type="pct"/>
            <w:tcBorders>
              <w:top w:val="nil"/>
              <w:bottom w:val="nil"/>
            </w:tcBorders>
            <w:vAlign w:val="center"/>
          </w:tcPr>
          <w:p w14:paraId="050B5806">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w:t>
            </w:r>
          </w:p>
        </w:tc>
        <w:tc>
          <w:tcPr>
            <w:tcW w:w="344" w:type="pct"/>
            <w:tcBorders>
              <w:top w:val="nil"/>
              <w:bottom w:val="nil"/>
            </w:tcBorders>
            <w:vAlign w:val="center"/>
          </w:tcPr>
          <w:p w14:paraId="1F3C9FB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44" w:type="pct"/>
            <w:tcBorders>
              <w:top w:val="nil"/>
              <w:bottom w:val="nil"/>
            </w:tcBorders>
            <w:vAlign w:val="center"/>
          </w:tcPr>
          <w:p w14:paraId="73C91363">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44" w:type="pct"/>
            <w:tcBorders>
              <w:top w:val="nil"/>
              <w:bottom w:val="nil"/>
            </w:tcBorders>
            <w:vAlign w:val="center"/>
          </w:tcPr>
          <w:p w14:paraId="03F9B53B">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58" w:type="pct"/>
            <w:tcBorders>
              <w:top w:val="nil"/>
              <w:bottom w:val="nil"/>
            </w:tcBorders>
            <w:vAlign w:val="center"/>
          </w:tcPr>
          <w:p w14:paraId="1DAA3A14">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58" w:type="pct"/>
            <w:tcBorders>
              <w:top w:val="nil"/>
              <w:bottom w:val="nil"/>
            </w:tcBorders>
            <w:vAlign w:val="center"/>
          </w:tcPr>
          <w:p w14:paraId="2682DA1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58" w:type="pct"/>
            <w:tcBorders>
              <w:top w:val="nil"/>
              <w:bottom w:val="nil"/>
              <w:right w:val="nil"/>
            </w:tcBorders>
            <w:vAlign w:val="center"/>
          </w:tcPr>
          <w:p w14:paraId="04F5B9D7">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54" w:type="pct"/>
            <w:tcBorders>
              <w:top w:val="nil"/>
              <w:bottom w:val="nil"/>
              <w:right w:val="nil"/>
            </w:tcBorders>
            <w:vAlign w:val="center"/>
          </w:tcPr>
          <w:p w14:paraId="61E72EE4">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76" w:type="pct"/>
            <w:tcBorders>
              <w:top w:val="nil"/>
              <w:bottom w:val="nil"/>
              <w:right w:val="nil"/>
            </w:tcBorders>
            <w:vAlign w:val="center"/>
          </w:tcPr>
          <w:p w14:paraId="7CFECD1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r>
      <w:tr w14:paraId="078C12EE">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jc w:val="center"/>
        </w:trPr>
        <w:tc>
          <w:tcPr>
            <w:tcW w:w="611" w:type="pct"/>
            <w:vMerge w:val="restart"/>
            <w:tcBorders>
              <w:left w:val="nil"/>
            </w:tcBorders>
            <w:vAlign w:val="center"/>
          </w:tcPr>
          <w:p w14:paraId="1DE41D3E">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60</w:t>
            </w:r>
          </w:p>
        </w:tc>
        <w:tc>
          <w:tcPr>
            <w:tcW w:w="1246" w:type="pct"/>
            <w:tcBorders>
              <w:bottom w:val="nil"/>
            </w:tcBorders>
            <w:vAlign w:val="center"/>
          </w:tcPr>
          <w:p w14:paraId="53428AD2">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NS</w:t>
            </w:r>
          </w:p>
        </w:tc>
        <w:tc>
          <w:tcPr>
            <w:tcW w:w="344" w:type="pct"/>
            <w:tcBorders>
              <w:bottom w:val="nil"/>
            </w:tcBorders>
            <w:vAlign w:val="center"/>
          </w:tcPr>
          <w:p w14:paraId="3AD47614">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44" w:type="pct"/>
            <w:tcBorders>
              <w:bottom w:val="nil"/>
            </w:tcBorders>
            <w:vAlign w:val="center"/>
          </w:tcPr>
          <w:p w14:paraId="03C2A44D">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44" w:type="pct"/>
            <w:tcBorders>
              <w:bottom w:val="nil"/>
            </w:tcBorders>
            <w:vAlign w:val="center"/>
          </w:tcPr>
          <w:p w14:paraId="5D25D8F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58" w:type="pct"/>
            <w:tcBorders>
              <w:bottom w:val="nil"/>
            </w:tcBorders>
            <w:vAlign w:val="center"/>
          </w:tcPr>
          <w:p w14:paraId="10006D85">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58" w:type="pct"/>
            <w:tcBorders>
              <w:bottom w:val="nil"/>
            </w:tcBorders>
            <w:vAlign w:val="center"/>
          </w:tcPr>
          <w:p w14:paraId="7B76443B">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58" w:type="pct"/>
            <w:tcBorders>
              <w:bottom w:val="nil"/>
              <w:right w:val="nil"/>
            </w:tcBorders>
            <w:vAlign w:val="center"/>
          </w:tcPr>
          <w:p w14:paraId="03247F20">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54" w:type="pct"/>
            <w:tcBorders>
              <w:bottom w:val="nil"/>
              <w:right w:val="nil"/>
            </w:tcBorders>
            <w:vAlign w:val="center"/>
          </w:tcPr>
          <w:p w14:paraId="2A2DB37C">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76" w:type="pct"/>
            <w:tcBorders>
              <w:bottom w:val="nil"/>
              <w:right w:val="nil"/>
            </w:tcBorders>
            <w:vAlign w:val="center"/>
          </w:tcPr>
          <w:p w14:paraId="364B731E">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r>
      <w:tr w14:paraId="643513B4">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jc w:val="center"/>
        </w:trPr>
        <w:tc>
          <w:tcPr>
            <w:tcW w:w="611" w:type="pct"/>
            <w:vMerge w:val="continue"/>
            <w:tcBorders>
              <w:left w:val="nil"/>
            </w:tcBorders>
          </w:tcPr>
          <w:p w14:paraId="23BEDD73">
            <w:pPr>
              <w:widowControl/>
              <w:ind w:firstLine="0" w:firstLineChars="0"/>
              <w:jc w:val="center"/>
              <w:rPr>
                <w:rFonts w:hint="default" w:ascii="Times New Roman" w:hAnsi="Times New Roman" w:cs="Times New Roman"/>
                <w:sz w:val="28"/>
                <w:szCs w:val="28"/>
              </w:rPr>
            </w:pPr>
          </w:p>
        </w:tc>
        <w:tc>
          <w:tcPr>
            <w:tcW w:w="1246" w:type="pct"/>
            <w:tcBorders>
              <w:top w:val="nil"/>
              <w:bottom w:val="nil"/>
            </w:tcBorders>
            <w:vAlign w:val="center"/>
          </w:tcPr>
          <w:p w14:paraId="6C4245F6">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w:t>
            </w:r>
          </w:p>
        </w:tc>
        <w:tc>
          <w:tcPr>
            <w:tcW w:w="344" w:type="pct"/>
            <w:tcBorders>
              <w:top w:val="nil"/>
              <w:bottom w:val="nil"/>
            </w:tcBorders>
            <w:vAlign w:val="center"/>
          </w:tcPr>
          <w:p w14:paraId="4582EF9E">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44" w:type="pct"/>
            <w:tcBorders>
              <w:top w:val="nil"/>
              <w:bottom w:val="nil"/>
            </w:tcBorders>
            <w:vAlign w:val="center"/>
          </w:tcPr>
          <w:p w14:paraId="4B2F66FA">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44" w:type="pct"/>
            <w:tcBorders>
              <w:top w:val="nil"/>
              <w:bottom w:val="nil"/>
            </w:tcBorders>
            <w:vAlign w:val="center"/>
          </w:tcPr>
          <w:p w14:paraId="748E51D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58" w:type="pct"/>
            <w:tcBorders>
              <w:top w:val="nil"/>
              <w:bottom w:val="nil"/>
            </w:tcBorders>
            <w:vAlign w:val="center"/>
          </w:tcPr>
          <w:p w14:paraId="12E6C12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58" w:type="pct"/>
            <w:tcBorders>
              <w:top w:val="nil"/>
              <w:bottom w:val="nil"/>
            </w:tcBorders>
            <w:vAlign w:val="center"/>
          </w:tcPr>
          <w:p w14:paraId="398DE956">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58" w:type="pct"/>
            <w:tcBorders>
              <w:top w:val="nil"/>
              <w:bottom w:val="nil"/>
              <w:right w:val="nil"/>
            </w:tcBorders>
            <w:vAlign w:val="center"/>
          </w:tcPr>
          <w:p w14:paraId="143D6A1A">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54" w:type="pct"/>
            <w:tcBorders>
              <w:top w:val="nil"/>
              <w:bottom w:val="nil"/>
              <w:right w:val="nil"/>
            </w:tcBorders>
            <w:vAlign w:val="center"/>
          </w:tcPr>
          <w:p w14:paraId="131C2377">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76" w:type="pct"/>
            <w:tcBorders>
              <w:top w:val="nil"/>
              <w:bottom w:val="nil"/>
              <w:right w:val="nil"/>
            </w:tcBorders>
            <w:vAlign w:val="center"/>
          </w:tcPr>
          <w:p w14:paraId="398952AA">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r>
      <w:tr w14:paraId="42A3F796">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jc w:val="center"/>
        </w:trPr>
        <w:tc>
          <w:tcPr>
            <w:tcW w:w="611" w:type="pct"/>
            <w:vMerge w:val="continue"/>
            <w:tcBorders>
              <w:left w:val="nil"/>
              <w:bottom w:val="single" w:color="auto" w:sz="4" w:space="0"/>
            </w:tcBorders>
          </w:tcPr>
          <w:p w14:paraId="6341D953">
            <w:pPr>
              <w:widowControl/>
              <w:ind w:firstLine="0" w:firstLineChars="0"/>
              <w:jc w:val="center"/>
              <w:rPr>
                <w:rFonts w:hint="default" w:ascii="Times New Roman" w:hAnsi="Times New Roman" w:cs="Times New Roman"/>
                <w:sz w:val="28"/>
                <w:szCs w:val="28"/>
              </w:rPr>
            </w:pPr>
          </w:p>
        </w:tc>
        <w:tc>
          <w:tcPr>
            <w:tcW w:w="1246" w:type="pct"/>
            <w:tcBorders>
              <w:top w:val="nil"/>
              <w:bottom w:val="single" w:color="auto" w:sz="4" w:space="0"/>
            </w:tcBorders>
            <w:vAlign w:val="center"/>
          </w:tcPr>
          <w:p w14:paraId="703B256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w:t>
            </w:r>
          </w:p>
        </w:tc>
        <w:tc>
          <w:tcPr>
            <w:tcW w:w="344" w:type="pct"/>
            <w:tcBorders>
              <w:top w:val="nil"/>
              <w:bottom w:val="single" w:color="auto" w:sz="4" w:space="0"/>
            </w:tcBorders>
            <w:vAlign w:val="center"/>
          </w:tcPr>
          <w:p w14:paraId="2817FCD3">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44" w:type="pct"/>
            <w:tcBorders>
              <w:top w:val="nil"/>
              <w:bottom w:val="single" w:color="auto" w:sz="4" w:space="0"/>
            </w:tcBorders>
            <w:vAlign w:val="center"/>
          </w:tcPr>
          <w:p w14:paraId="3B4AFAE7">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44" w:type="pct"/>
            <w:tcBorders>
              <w:top w:val="nil"/>
              <w:bottom w:val="single" w:color="auto" w:sz="4" w:space="0"/>
            </w:tcBorders>
            <w:vAlign w:val="center"/>
          </w:tcPr>
          <w:p w14:paraId="46883800">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58" w:type="pct"/>
            <w:tcBorders>
              <w:top w:val="nil"/>
              <w:bottom w:val="single" w:color="auto" w:sz="4" w:space="0"/>
            </w:tcBorders>
            <w:vAlign w:val="center"/>
          </w:tcPr>
          <w:p w14:paraId="72D927CC">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358" w:type="pct"/>
            <w:tcBorders>
              <w:top w:val="nil"/>
              <w:bottom w:val="single" w:color="auto" w:sz="4" w:space="0"/>
            </w:tcBorders>
            <w:vAlign w:val="center"/>
          </w:tcPr>
          <w:p w14:paraId="0FD8A81C">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58" w:type="pct"/>
            <w:tcBorders>
              <w:top w:val="nil"/>
              <w:bottom w:val="single" w:color="auto" w:sz="4" w:space="0"/>
              <w:right w:val="nil"/>
            </w:tcBorders>
            <w:vAlign w:val="center"/>
          </w:tcPr>
          <w:p w14:paraId="05B5FC56">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54" w:type="pct"/>
            <w:tcBorders>
              <w:top w:val="nil"/>
              <w:bottom w:val="single" w:color="auto" w:sz="4" w:space="0"/>
              <w:right w:val="nil"/>
            </w:tcBorders>
            <w:vAlign w:val="center"/>
          </w:tcPr>
          <w:p w14:paraId="319E31A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76" w:type="pct"/>
            <w:tcBorders>
              <w:top w:val="nil"/>
              <w:bottom w:val="single" w:color="auto" w:sz="4" w:space="0"/>
              <w:right w:val="nil"/>
            </w:tcBorders>
            <w:vAlign w:val="center"/>
          </w:tcPr>
          <w:p w14:paraId="1CE2C4C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r>
    </w:tbl>
    <w:p w14:paraId="275E018C">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Tips: W(surfacant)=1 %      -: solution clear, +: cloudy</w:t>
      </w:r>
    </w:p>
    <w:p w14:paraId="5C6E1958">
      <w:pPr>
        <w:widowControl/>
        <w:ind w:firstLine="709" w:firstLineChars="0"/>
        <w:rPr>
          <w:rFonts w:hint="default" w:ascii="Times New Roman" w:hAnsi="Times New Roman" w:cs="Times New Roman"/>
          <w:sz w:val="28"/>
          <w:szCs w:val="28"/>
        </w:rPr>
      </w:pPr>
    </w:p>
    <w:p w14:paraId="06CF3BBC">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As shown in Table 3.5, three obtained extended amphoteric surfactants all exhibit better solubility as the T</w:t>
      </w:r>
      <w:r>
        <w:rPr>
          <w:rFonts w:hint="default" w:ascii="Times New Roman" w:hAnsi="Times New Roman" w:cs="Times New Roman"/>
          <w:sz w:val="28"/>
          <w:szCs w:val="28"/>
          <w:vertAlign w:val="subscript"/>
        </w:rPr>
        <w:t>k</w:t>
      </w:r>
      <w:r>
        <w:rPr>
          <w:rFonts w:hint="default" w:ascii="Times New Roman" w:hAnsi="Times New Roman" w:cs="Times New Roman"/>
          <w:sz w:val="28"/>
          <w:szCs w:val="28"/>
        </w:rPr>
        <w:t xml:space="preserve"> </w:t>
      </w:r>
      <w:r>
        <w:rPr>
          <w:rFonts w:hint="eastAsia" w:cs="Times New Roman"/>
          <w:sz w:val="28"/>
          <w:szCs w:val="28"/>
          <w:lang w:val="en-US" w:eastAsia="zh-CN"/>
        </w:rPr>
        <w:t>are all</w:t>
      </w:r>
      <w:r>
        <w:rPr>
          <w:rFonts w:hint="default" w:ascii="Times New Roman" w:hAnsi="Times New Roman" w:cs="Times New Roman"/>
          <w:sz w:val="28"/>
          <w:szCs w:val="28"/>
        </w:rPr>
        <w:t xml:space="preserve"> below 0 ℃. And the solubility of the alcohol ether sulfobetaine surfactants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NS and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is relatively high, with their aqueous solutions remaining clear even at a NaCl concentration of 10 wt%. In contrast,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exhibits slightly lower solubility under the same conditions. At lower temperatures (30 ℃ and 40 ℃), turbidity occurs when the NaCl concentration reaches 10 wt%, whereas at higher temperatures (50  ℃ and 60 ℃), turbidity is observed only when the NaCl content is higher than 15 wt%. Furthermore, the solubility of all three surfactants increases with rising temperature. This behavior is mainly attributed to the weakening of hydrogen bonding and enhanced molecular mobility at elevated temperatures, which improves the dispersion of surfactant molecules and increases salt tolerance [80-82].</w:t>
      </w:r>
    </w:p>
    <w:p w14:paraId="57334AF3">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Moreover, the hydrophilic–lipophilic balance (HLB) value is also a critical parameter for evaluating the solubility and interfacial behavior of surfactants, providing insight into their suitability as wetting and emulsifying agents [83-85]. The HLB values of the prepared extended amphoteric surfactants, summarized in Table 3.6, indicate that these surfactants exhibit favorable water solubility, which is consistent with the Krafft point measurements presented in Table 3.5. The variation of HLB values reflects the influence of structural modifications on hydrophilicity: The introduction of PO groups leads to a decrease in HLB, indicating reduced hydrophilicity, whereas the incorporation of EO groups increases the HLB, enhancing the hydrophilic character of the molecules.</w:t>
      </w:r>
    </w:p>
    <w:p w14:paraId="65CF3A32">
      <w:pPr>
        <w:pStyle w:val="4"/>
        <w:keepNext w:val="0"/>
        <w:keepLines w:val="0"/>
        <w:widowControl/>
        <w:spacing w:line="240" w:lineRule="auto"/>
        <w:ind w:firstLine="709"/>
        <w:jc w:val="both"/>
        <w:rPr>
          <w:rFonts w:hint="default" w:ascii="Times New Roman" w:hAnsi="Times New Roman" w:cs="Times New Roman"/>
          <w:bCs w:val="0"/>
          <w:i w:val="0"/>
          <w:iCs w:val="0"/>
          <w:sz w:val="28"/>
          <w:szCs w:val="28"/>
        </w:rPr>
      </w:pPr>
      <w:bookmarkStart w:id="480" w:name="_Toc23570"/>
      <w:bookmarkStart w:id="481" w:name="_Toc23417"/>
      <w:bookmarkStart w:id="482" w:name="_Toc25846"/>
      <w:bookmarkStart w:id="483" w:name="_Toc18365"/>
      <w:bookmarkStart w:id="484" w:name="_Toc21997"/>
      <w:bookmarkStart w:id="485" w:name="_Toc10830"/>
      <w:bookmarkStart w:id="486" w:name="_Toc6312"/>
      <w:r>
        <w:rPr>
          <w:rFonts w:hint="default" w:ascii="Times New Roman" w:hAnsi="Times New Roman" w:cs="Times New Roman"/>
          <w:bCs w:val="0"/>
          <w:i w:val="0"/>
          <w:iCs w:val="0"/>
          <w:sz w:val="28"/>
          <w:szCs w:val="28"/>
        </w:rPr>
        <w:t>3.4.3 Surface properties</w:t>
      </w:r>
      <w:bookmarkEnd w:id="480"/>
      <w:bookmarkEnd w:id="481"/>
      <w:bookmarkEnd w:id="482"/>
      <w:bookmarkEnd w:id="483"/>
      <w:bookmarkEnd w:id="484"/>
      <w:bookmarkEnd w:id="485"/>
      <w:bookmarkEnd w:id="486"/>
    </w:p>
    <w:p w14:paraId="59F87BE9">
      <w:pPr>
        <w:widowControl/>
        <w:ind w:firstLine="709" w:firstLineChars="0"/>
        <w:rPr>
          <w:rFonts w:hint="default" w:ascii="Times New Roman" w:hAnsi="Times New Roman" w:cs="Times New Roman"/>
          <w:i w:val="0"/>
          <w:iCs w:val="0"/>
          <w:sz w:val="28"/>
          <w:szCs w:val="28"/>
        </w:rPr>
      </w:pPr>
      <w:r>
        <w:rPr>
          <w:rFonts w:hint="default" w:ascii="Times New Roman" w:hAnsi="Times New Roman" w:cs="Times New Roman"/>
          <w:i w:val="0"/>
          <w:iCs w:val="0"/>
          <w:sz w:val="28"/>
          <w:szCs w:val="28"/>
        </w:rPr>
        <w:t>3.4.4.1 Surface properties of extended amphoteric surfactants</w:t>
      </w:r>
    </w:p>
    <w:p w14:paraId="2CB67B21">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 series of extended amphoteric surfactant solutions were prepared with concentrations ranging from 2 mmol L</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to 0.001 mmol·L</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The surface tension (γ) of each surfactant solution was measured at 25 °C using Wilhelmy plate method. Based on the experimental data, the relationship between surface tension and the logarithm of surfactant concentration (γ–logC) was established and plotted, as shown in Figure 3.4 [83,86].</w:t>
      </w:r>
    </w:p>
    <w:p w14:paraId="21455B14">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As shown in Figure 3.4, the surface tension of surfactant solutions decreases progressively with increasing surfactant concentration, which can be attributed to the adsorption of surfactant molecules at the air–water interface [83,87]. At low concentrations, surfactant molecules preferentially migrate to and accumulate at the interface, thereby reducing the free energy of the system and leading to a significant decrease in surface tension as shown in Figure 3.5. As the concentration approaches the critical micelle concentration (cmc), the air–water interface becomes saturated with surfactant molecules. Beyond the cmc, further increases in surfactant concentration do not result in a significant change in surface tension. This behavior is attributed to that additional surfactant molecules tend to aggregate within the bulk solution to form micelles rather than adsorb at the already saturated interface. The formation of micelles represents a thermodynamically favorable process that minimizes the overall surface energy of the system. Consequently, the surface tension remains nearly constant above the cmc, reflecting the transition from interfacial adsorption to bulk aggregation of surfactant molecules [83,88].</w:t>
      </w:r>
    </w:p>
    <w:p w14:paraId="6F9E6086">
      <w:pPr>
        <w:widowControl/>
        <w:ind w:firstLine="709" w:firstLineChars="0"/>
        <w:rPr>
          <w:rFonts w:hint="default" w:ascii="Times New Roman" w:hAnsi="Times New Roman" w:cs="Times New Roman"/>
          <w:sz w:val="28"/>
          <w:szCs w:val="28"/>
        </w:rPr>
      </w:pPr>
    </w:p>
    <w:p w14:paraId="29E9F615">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4652010" cy="3543300"/>
            <wp:effectExtent l="0" t="0" r="0" b="0"/>
            <wp:docPr id="1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7"/>
                    <pic:cNvPicPr>
                      <a:picLocks noChangeAspect="1"/>
                    </pic:cNvPicPr>
                  </pic:nvPicPr>
                  <pic:blipFill>
                    <a:blip r:embed="rId27"/>
                    <a:stretch>
                      <a:fillRect/>
                    </a:stretch>
                  </pic:blipFill>
                  <pic:spPr>
                    <a:xfrm>
                      <a:off x="0" y="0"/>
                      <a:ext cx="4660656" cy="3549544"/>
                    </a:xfrm>
                    <a:prstGeom prst="rect">
                      <a:avLst/>
                    </a:prstGeom>
                    <a:noFill/>
                    <a:ln>
                      <a:noFill/>
                    </a:ln>
                  </pic:spPr>
                </pic:pic>
              </a:graphicData>
            </a:graphic>
          </wp:inline>
        </w:drawing>
      </w:r>
    </w:p>
    <w:p w14:paraId="0F9251C8">
      <w:pPr>
        <w:widowControl/>
        <w:ind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Figure 3.4 – Variation of surface tension with the mixed surfactant concentrations</w:t>
      </w:r>
      <w:r>
        <w:rPr>
          <w:rFonts w:hint="default" w:ascii="Times New Roman" w:hAnsi="Times New Roman" w:cs="Times New Roman"/>
          <w:sz w:val="28"/>
          <w:szCs w:val="28"/>
          <w:lang w:val="en-US" w:eastAsia="zh-CN"/>
        </w:rPr>
        <w:t>.</w:t>
      </w:r>
    </w:p>
    <w:p w14:paraId="2475EF64">
      <w:pPr>
        <w:widowControl/>
        <w:ind w:firstLine="709" w:firstLineChars="0"/>
        <w:rPr>
          <w:rFonts w:hint="default" w:ascii="Times New Roman" w:hAnsi="Times New Roman" w:cs="Times New Roman"/>
          <w:sz w:val="28"/>
          <w:szCs w:val="28"/>
        </w:rPr>
      </w:pPr>
    </w:p>
    <w:p w14:paraId="5B6D87F9">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drawing>
          <wp:inline distT="0" distB="0" distL="114300" distR="114300">
            <wp:extent cx="5656580" cy="3339465"/>
            <wp:effectExtent l="0" t="0" r="0" b="0"/>
            <wp:docPr id="2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0"/>
                    <pic:cNvPicPr>
                      <a:picLocks noChangeAspect="1"/>
                    </pic:cNvPicPr>
                  </pic:nvPicPr>
                  <pic:blipFill>
                    <a:blip r:embed="rId28"/>
                    <a:stretch>
                      <a:fillRect/>
                    </a:stretch>
                  </pic:blipFill>
                  <pic:spPr>
                    <a:xfrm>
                      <a:off x="0" y="0"/>
                      <a:ext cx="5676130" cy="3350968"/>
                    </a:xfrm>
                    <a:prstGeom prst="rect">
                      <a:avLst/>
                    </a:prstGeom>
                    <a:noFill/>
                    <a:ln>
                      <a:noFill/>
                    </a:ln>
                  </pic:spPr>
                </pic:pic>
              </a:graphicData>
            </a:graphic>
          </wp:inline>
        </w:drawing>
      </w:r>
    </w:p>
    <w:p w14:paraId="14064FF9">
      <w:pPr>
        <w:widowControl/>
        <w:ind w:firstLine="0" w:firstLineChars="0"/>
        <w:jc w:val="center"/>
        <w:rPr>
          <w:rFonts w:hint="default" w:ascii="Times New Roman" w:hAnsi="Times New Roman" w:cs="Times New Roman" w:eastAsiaTheme="minorEastAsia"/>
          <w:sz w:val="28"/>
          <w:szCs w:val="28"/>
          <w:lang w:val="en-US" w:eastAsia="zh-CN"/>
        </w:rPr>
      </w:pPr>
      <w:r>
        <w:rPr>
          <w:rFonts w:hint="default" w:ascii="Times New Roman" w:hAnsi="Times New Roman" w:cs="Times New Roman" w:eastAsiaTheme="minorEastAsia"/>
          <w:sz w:val="28"/>
          <w:szCs w:val="28"/>
        </w:rPr>
        <w:t xml:space="preserve">Figure 3.5 </w:t>
      </w:r>
      <w:r>
        <w:rPr>
          <w:rFonts w:hint="default" w:ascii="Times New Roman" w:hAnsi="Times New Roman" w:cs="Times New Roman"/>
          <w:sz w:val="28"/>
          <w:szCs w:val="28"/>
        </w:rPr>
        <w:t>–</w:t>
      </w:r>
      <w:r>
        <w:rPr>
          <w:rFonts w:hint="default" w:ascii="Times New Roman" w:hAnsi="Times New Roman" w:cs="Times New Roman" w:eastAsiaTheme="minorEastAsia"/>
          <w:sz w:val="28"/>
          <w:szCs w:val="28"/>
        </w:rPr>
        <w:t xml:space="preserve"> Schematic illustration of the arrangement of three prepared surfactants at the surface</w:t>
      </w:r>
      <w:r>
        <w:rPr>
          <w:rFonts w:hint="default" w:ascii="Times New Roman" w:hAnsi="Times New Roman" w:cs="Times New Roman" w:eastAsiaTheme="minorEastAsia"/>
          <w:sz w:val="28"/>
          <w:szCs w:val="28"/>
          <w:lang w:val="en-US" w:eastAsia="zh-CN"/>
        </w:rPr>
        <w:t>.</w:t>
      </w:r>
    </w:p>
    <w:p w14:paraId="437881E8">
      <w:pPr>
        <w:widowControl/>
        <w:ind w:firstLine="709" w:firstLineChars="0"/>
        <w:rPr>
          <w:rFonts w:hint="default" w:ascii="Times New Roman" w:hAnsi="Times New Roman" w:cs="Times New Roman"/>
          <w:sz w:val="28"/>
          <w:szCs w:val="28"/>
        </w:rPr>
      </w:pPr>
    </w:p>
    <w:p w14:paraId="3DACC29F">
      <w:pPr>
        <w:widowControl/>
        <w:ind w:left="0" w:leftChars="0" w:firstLine="0" w:firstLineChars="0"/>
        <w:rPr>
          <w:rFonts w:hint="default" w:ascii="Times New Roman" w:hAnsi="Times New Roman" w:cs="Times New Roman"/>
          <w:sz w:val="28"/>
          <w:szCs w:val="28"/>
        </w:rPr>
      </w:pPr>
      <w:r>
        <w:rPr>
          <w:rFonts w:hint="default" w:ascii="Times New Roman" w:hAnsi="Times New Roman" w:cs="Times New Roman"/>
          <w:sz w:val="28"/>
          <w:szCs w:val="28"/>
        </w:rPr>
        <w:t>Table 3.7 – Surface activity parameters of three surfactants at 25 ℃.</w:t>
      </w:r>
    </w:p>
    <w:tbl>
      <w:tblPr>
        <w:tblStyle w:val="17"/>
        <w:tblW w:w="4998" w:type="pct"/>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89"/>
        <w:gridCol w:w="2172"/>
        <w:gridCol w:w="1910"/>
        <w:gridCol w:w="1977"/>
        <w:gridCol w:w="1370"/>
        <w:gridCol w:w="832"/>
      </w:tblGrid>
      <w:tr w14:paraId="31B7D40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7" w:type="pct"/>
            <w:tcBorders>
              <w:top w:val="single" w:color="auto" w:sz="12" w:space="0"/>
              <w:bottom w:val="single" w:color="auto" w:sz="6" w:space="0"/>
            </w:tcBorders>
            <w:vAlign w:val="center"/>
          </w:tcPr>
          <w:p w14:paraId="27B32E45">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Surfactant</w:t>
            </w:r>
          </w:p>
        </w:tc>
        <w:tc>
          <w:tcPr>
            <w:tcW w:w="1102" w:type="pct"/>
            <w:tcBorders>
              <w:top w:val="single" w:color="auto" w:sz="12" w:space="0"/>
              <w:bottom w:val="single" w:color="auto" w:sz="6" w:space="0"/>
            </w:tcBorders>
            <w:vAlign w:val="center"/>
          </w:tcPr>
          <w:p w14:paraId="2002E51C">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cmc (mmol·L</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w:t>
            </w:r>
          </w:p>
        </w:tc>
        <w:tc>
          <w:tcPr>
            <w:tcW w:w="969" w:type="pct"/>
            <w:tcBorders>
              <w:top w:val="single" w:color="auto" w:sz="12" w:space="0"/>
              <w:bottom w:val="single" w:color="auto" w:sz="6" w:space="0"/>
            </w:tcBorders>
            <w:vAlign w:val="center"/>
          </w:tcPr>
          <w:p w14:paraId="2A1C270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γ</w:t>
            </w:r>
            <w:r>
              <w:rPr>
                <w:rFonts w:hint="default" w:ascii="Times New Roman" w:hAnsi="Times New Roman" w:cs="Times New Roman"/>
                <w:sz w:val="28"/>
                <w:szCs w:val="28"/>
                <w:vertAlign w:val="subscript"/>
              </w:rPr>
              <w:t xml:space="preserve">cmc </w:t>
            </w:r>
            <w:r>
              <w:rPr>
                <w:rFonts w:hint="default" w:ascii="Times New Roman" w:hAnsi="Times New Roman" w:cs="Times New Roman"/>
                <w:sz w:val="28"/>
                <w:szCs w:val="28"/>
              </w:rPr>
              <w:t>(mN·m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w:t>
            </w:r>
          </w:p>
        </w:tc>
        <w:tc>
          <w:tcPr>
            <w:tcW w:w="1003" w:type="pct"/>
            <w:tcBorders>
              <w:top w:val="single" w:color="auto" w:sz="12" w:space="0"/>
              <w:bottom w:val="single" w:color="auto" w:sz="6" w:space="0"/>
            </w:tcBorders>
            <w:vAlign w:val="center"/>
          </w:tcPr>
          <w:p w14:paraId="151333A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i/>
                <w:iCs/>
                <w:sz w:val="28"/>
                <w:szCs w:val="28"/>
              </w:rPr>
              <w:t>ℾ</w:t>
            </w:r>
            <w:r>
              <w:rPr>
                <w:rFonts w:hint="default" w:ascii="Times New Roman" w:hAnsi="Times New Roman" w:cs="Times New Roman"/>
                <w:sz w:val="28"/>
                <w:szCs w:val="28"/>
                <w:vertAlign w:val="subscript"/>
              </w:rPr>
              <w:t xml:space="preserve">max </w:t>
            </w:r>
            <w:r>
              <w:rPr>
                <w:rFonts w:hint="default" w:ascii="Times New Roman" w:hAnsi="Times New Roman" w:cs="Times New Roman"/>
                <w:sz w:val="28"/>
                <w:szCs w:val="28"/>
              </w:rPr>
              <w:t>(mol·m</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w:t>
            </w:r>
          </w:p>
        </w:tc>
        <w:tc>
          <w:tcPr>
            <w:tcW w:w="695" w:type="pct"/>
            <w:tcBorders>
              <w:top w:val="single" w:color="auto" w:sz="12" w:space="0"/>
              <w:bottom w:val="single" w:color="auto" w:sz="6" w:space="0"/>
            </w:tcBorders>
            <w:vAlign w:val="center"/>
          </w:tcPr>
          <w:p w14:paraId="1CB17944">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i/>
                <w:iCs/>
                <w:sz w:val="28"/>
                <w:szCs w:val="28"/>
              </w:rPr>
              <w:t>A</w:t>
            </w:r>
            <w:r>
              <w:rPr>
                <w:rFonts w:hint="default" w:ascii="Times New Roman" w:hAnsi="Times New Roman" w:cs="Times New Roman"/>
                <w:sz w:val="28"/>
                <w:szCs w:val="28"/>
                <w:vertAlign w:val="subscript"/>
              </w:rPr>
              <w:t xml:space="preserve">min </w:t>
            </w:r>
            <w:r>
              <w:rPr>
                <w:rFonts w:hint="default" w:ascii="Times New Roman" w:hAnsi="Times New Roman" w:cs="Times New Roman"/>
                <w:sz w:val="28"/>
                <w:szCs w:val="28"/>
              </w:rPr>
              <w:t>(nm</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w:t>
            </w:r>
          </w:p>
        </w:tc>
        <w:tc>
          <w:tcPr>
            <w:tcW w:w="422" w:type="pct"/>
            <w:tcBorders>
              <w:top w:val="single" w:color="auto" w:sz="12" w:space="0"/>
              <w:bottom w:val="single" w:color="auto" w:sz="6" w:space="0"/>
            </w:tcBorders>
            <w:vAlign w:val="center"/>
          </w:tcPr>
          <w:p w14:paraId="5F85F93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i/>
                <w:iCs/>
                <w:sz w:val="28"/>
                <w:szCs w:val="28"/>
              </w:rPr>
              <w:t>pC</w:t>
            </w:r>
            <w:r>
              <w:rPr>
                <w:rFonts w:hint="default" w:ascii="Times New Roman" w:hAnsi="Times New Roman" w:cs="Times New Roman"/>
                <w:sz w:val="28"/>
                <w:szCs w:val="28"/>
                <w:vertAlign w:val="subscript"/>
              </w:rPr>
              <w:t>20</w:t>
            </w:r>
          </w:p>
        </w:tc>
      </w:tr>
      <w:tr w14:paraId="42176BC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7" w:type="pct"/>
            <w:tcBorders>
              <w:top w:val="single" w:color="auto" w:sz="6" w:space="0"/>
            </w:tcBorders>
            <w:vAlign w:val="center"/>
          </w:tcPr>
          <w:p w14:paraId="744E113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NS</w:t>
            </w:r>
          </w:p>
        </w:tc>
        <w:tc>
          <w:tcPr>
            <w:tcW w:w="1102" w:type="pct"/>
            <w:tcBorders>
              <w:top w:val="single" w:color="auto" w:sz="6" w:space="0"/>
            </w:tcBorders>
            <w:vAlign w:val="center"/>
          </w:tcPr>
          <w:p w14:paraId="71F6804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0.740</w:t>
            </w:r>
          </w:p>
        </w:tc>
        <w:tc>
          <w:tcPr>
            <w:tcW w:w="969" w:type="pct"/>
            <w:tcBorders>
              <w:top w:val="single" w:color="auto" w:sz="6" w:space="0"/>
            </w:tcBorders>
            <w:vAlign w:val="center"/>
          </w:tcPr>
          <w:p w14:paraId="18A4312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29.55</w:t>
            </w:r>
          </w:p>
        </w:tc>
        <w:tc>
          <w:tcPr>
            <w:tcW w:w="1003" w:type="pct"/>
            <w:tcBorders>
              <w:top w:val="single" w:color="auto" w:sz="6" w:space="0"/>
            </w:tcBorders>
            <w:vAlign w:val="center"/>
          </w:tcPr>
          <w:p w14:paraId="6DFFA89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6.79</w:t>
            </w:r>
          </w:p>
        </w:tc>
        <w:tc>
          <w:tcPr>
            <w:tcW w:w="695" w:type="pct"/>
            <w:tcBorders>
              <w:top w:val="single" w:color="auto" w:sz="6" w:space="0"/>
            </w:tcBorders>
            <w:vAlign w:val="center"/>
          </w:tcPr>
          <w:p w14:paraId="03F4BFB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0.24</w:t>
            </w:r>
          </w:p>
        </w:tc>
        <w:tc>
          <w:tcPr>
            <w:tcW w:w="422" w:type="pct"/>
            <w:tcBorders>
              <w:top w:val="single" w:color="auto" w:sz="6" w:space="0"/>
            </w:tcBorders>
            <w:vAlign w:val="center"/>
          </w:tcPr>
          <w:p w14:paraId="5F6BB54E">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3.71</w:t>
            </w:r>
          </w:p>
        </w:tc>
      </w:tr>
      <w:tr w14:paraId="4F59D7B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7" w:type="pct"/>
            <w:vAlign w:val="center"/>
          </w:tcPr>
          <w:p w14:paraId="178E36C4">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w:t>
            </w:r>
          </w:p>
        </w:tc>
        <w:tc>
          <w:tcPr>
            <w:tcW w:w="1102" w:type="pct"/>
            <w:vAlign w:val="center"/>
          </w:tcPr>
          <w:p w14:paraId="45D7BAA5">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0.100</w:t>
            </w:r>
          </w:p>
        </w:tc>
        <w:tc>
          <w:tcPr>
            <w:tcW w:w="969" w:type="pct"/>
            <w:vAlign w:val="center"/>
          </w:tcPr>
          <w:p w14:paraId="002023B0">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31.49</w:t>
            </w:r>
          </w:p>
        </w:tc>
        <w:tc>
          <w:tcPr>
            <w:tcW w:w="1003" w:type="pct"/>
            <w:vAlign w:val="center"/>
          </w:tcPr>
          <w:p w14:paraId="6C05BEF2">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6.18</w:t>
            </w:r>
          </w:p>
        </w:tc>
        <w:tc>
          <w:tcPr>
            <w:tcW w:w="695" w:type="pct"/>
            <w:vAlign w:val="center"/>
          </w:tcPr>
          <w:p w14:paraId="337B49F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0.26</w:t>
            </w:r>
          </w:p>
        </w:tc>
        <w:tc>
          <w:tcPr>
            <w:tcW w:w="422" w:type="pct"/>
            <w:vAlign w:val="center"/>
          </w:tcPr>
          <w:p w14:paraId="1BD1814B">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4.65</w:t>
            </w:r>
          </w:p>
        </w:tc>
      </w:tr>
      <w:tr w14:paraId="0F6EFB5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7" w:type="pct"/>
            <w:vAlign w:val="center"/>
          </w:tcPr>
          <w:p w14:paraId="44B452AE">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w:t>
            </w:r>
          </w:p>
        </w:tc>
        <w:tc>
          <w:tcPr>
            <w:tcW w:w="1102" w:type="pct"/>
          </w:tcPr>
          <w:p w14:paraId="54D4AB96">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0.082</w:t>
            </w:r>
          </w:p>
        </w:tc>
        <w:tc>
          <w:tcPr>
            <w:tcW w:w="969" w:type="pct"/>
            <w:vAlign w:val="center"/>
          </w:tcPr>
          <w:p w14:paraId="7DC7732E">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29.01</w:t>
            </w:r>
          </w:p>
        </w:tc>
        <w:tc>
          <w:tcPr>
            <w:tcW w:w="1003" w:type="pct"/>
            <w:vAlign w:val="center"/>
          </w:tcPr>
          <w:p w14:paraId="679A95C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3.34</w:t>
            </w:r>
          </w:p>
        </w:tc>
        <w:tc>
          <w:tcPr>
            <w:tcW w:w="695" w:type="pct"/>
            <w:vAlign w:val="center"/>
          </w:tcPr>
          <w:p w14:paraId="307207D5">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0.48</w:t>
            </w:r>
          </w:p>
        </w:tc>
        <w:tc>
          <w:tcPr>
            <w:tcW w:w="422" w:type="pct"/>
            <w:vAlign w:val="center"/>
          </w:tcPr>
          <w:p w14:paraId="21A343DB">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5.09</w:t>
            </w:r>
          </w:p>
        </w:tc>
      </w:tr>
    </w:tbl>
    <w:p w14:paraId="2FADA0E2">
      <w:pPr>
        <w:widowControl/>
        <w:ind w:firstLine="709" w:firstLineChars="0"/>
        <w:rPr>
          <w:rFonts w:hint="default" w:ascii="Times New Roman" w:hAnsi="Times New Roman" w:cs="Times New Roman"/>
          <w:sz w:val="28"/>
          <w:szCs w:val="28"/>
        </w:rPr>
      </w:pPr>
    </w:p>
    <w:p w14:paraId="3301DB3D">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cmc and the corresponding surface tensions at the cmc (γ</w:t>
      </w:r>
      <w:r>
        <w:rPr>
          <w:rFonts w:hint="default" w:ascii="Times New Roman" w:hAnsi="Times New Roman" w:cs="Times New Roman"/>
          <w:sz w:val="28"/>
          <w:szCs w:val="28"/>
          <w:vertAlign w:val="subscript"/>
        </w:rPr>
        <w:t>cmc</w:t>
      </w:r>
      <w:r>
        <w:rPr>
          <w:rFonts w:hint="default" w:ascii="Times New Roman" w:hAnsi="Times New Roman" w:cs="Times New Roman"/>
          <w:sz w:val="28"/>
          <w:szCs w:val="28"/>
        </w:rPr>
        <w:t>) of the three surfactants were determined from the γ–log C curves shown in Figure 3.4 and are summarized in Table 3.7. The cmc values were obtained from the inflection points of the curves, where the surface tension transitions from a rapid decrease to a plateau, indicating the onset of micelle formation. The γ</w:t>
      </w:r>
      <w:r>
        <w:rPr>
          <w:rFonts w:hint="default" w:ascii="Times New Roman" w:hAnsi="Times New Roman" w:cs="Times New Roman"/>
          <w:sz w:val="28"/>
          <w:szCs w:val="28"/>
          <w:vertAlign w:val="subscript"/>
        </w:rPr>
        <w:t>cmc</w:t>
      </w:r>
      <w:r>
        <w:rPr>
          <w:rFonts w:hint="default" w:ascii="Times New Roman" w:hAnsi="Times New Roman" w:cs="Times New Roman"/>
          <w:sz w:val="28"/>
          <w:szCs w:val="28"/>
        </w:rPr>
        <w:t xml:space="preserve"> values serve as an important indicator of surface activity. These parameters enable a quantitative comparison of the surface-active performance of three prepared surfactants and provide fundamental data for evaluating their potential applications in interfacial processes, particularly in enhanced oil recovery systems [83].</w:t>
      </w:r>
    </w:p>
    <w:p w14:paraId="69448488">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From Table 3.7, the introduction of PO and EO groups plays a crucial role in regulating the micellization behavior of the synthesized surfactants, as evidenced by the pronounced decrease in their cmc. The incorporation of PO units leads to a significant reduction in cmc primarily because PO groups increase the overall hydrophobicity of the surfactant molecules while simultaneously enlarging the effective volume of the hydrophobic core within the micelles</w:t>
      </w:r>
      <w:r>
        <w:rPr>
          <w:rFonts w:hint="eastAsia" w:cs="Times New Roman"/>
          <w:sz w:val="28"/>
          <w:szCs w:val="28"/>
          <w:lang w:val="en-US" w:eastAsia="zh-CN"/>
        </w:rPr>
        <w:t xml:space="preserve"> </w:t>
      </w:r>
      <w:r>
        <w:rPr>
          <w:rFonts w:hint="default" w:ascii="Times New Roman" w:hAnsi="Times New Roman" w:cs="Times New Roman"/>
          <w:sz w:val="28"/>
          <w:szCs w:val="28"/>
        </w:rPr>
        <w:t>[83]. Moreover, the bulky PO segments contribute to a lower surface charge density at the micellar interface, which weakens electrostatic repulsion between adjacent head groups and favors closer packing of surfactant molecules [83]. These combined effects markedly enhance intermolecular hydrophobic interactions, thereby promoting spontaneous aggregation and micelle formation at lower surfactant concentrations [83,88,89]. In contrast, the decrease in cmc induced by the introduction of EO groups is mainly governed by their unique chain conformational behavior in aqueous environments. EO chains possess high flexibility and can undergo chain curling and folding due to strong hydration and hydrogen-bonding interactions with water molecules. This conformational adaptability allows EO segments to adjust their spatial arrangement within the interfacial layer, enabling more efficient packing of surfactant molecules in the micellar shell. As a result, the steric hindrance between head groups is reduced, and the free energy barrier for micellization decreases, leading to a lower cmc value [76,83]. The decrease in cmc by nearly one order of magnitude highlights the effectiveness of PO/EO modification in promoting micellization. Overall, the synergistic incorporation of PO and EO groups effectively enhances micellization efficiency by simultaneously strengthening hydrophobic driving forces and optimizing molecular packing at the micellar interface. This structural modulation provides an effective strategy for tailoring the aggregation behavior and interfacial performance of surfactants designed for high-salinity and high-temperature applications, such as enhanced oil recovery systems.</w:t>
      </w:r>
    </w:p>
    <w:p w14:paraId="049D394A">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Furthermore, according to Eqs. (3</w:t>
      </w:r>
      <w:r>
        <w:rPr>
          <w:rFonts w:hint="default" w:ascii="Times New Roman" w:hAnsi="Times New Roman" w:cs="Times New Roman"/>
          <w:sz w:val="28"/>
          <w:szCs w:val="28"/>
          <w:lang w:val="en-US" w:eastAsia="zh-CN"/>
        </w:rPr>
        <w:t>.2</w:t>
      </w:r>
      <w:r>
        <w:rPr>
          <w:rFonts w:hint="default" w:ascii="Times New Roman" w:hAnsi="Times New Roman" w:cs="Times New Roman"/>
          <w:sz w:val="28"/>
          <w:szCs w:val="28"/>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t>(3</w:t>
      </w:r>
      <w:r>
        <w:rPr>
          <w:rFonts w:hint="default" w:ascii="Times New Roman" w:hAnsi="Times New Roman" w:cs="Times New Roman"/>
          <w:sz w:val="28"/>
          <w:szCs w:val="28"/>
          <w:lang w:val="en-US" w:eastAsia="zh-CN"/>
        </w:rPr>
        <w:t>.5</w:t>
      </w:r>
      <w:r>
        <w:rPr>
          <w:rFonts w:hint="default" w:ascii="Times New Roman" w:hAnsi="Times New Roman" w:cs="Times New Roman"/>
          <w:sz w:val="28"/>
          <w:szCs w:val="28"/>
        </w:rPr>
        <w:t xml:space="preserve">), the interfacial adsorption parameters of the three extended amphoteric surfactants at 25 ℃ were calculated and summarized in Table 3.7. It can be clearly observed that the introduction of PO and EO groups induces a decreasing trend in the maximum saturated adsorption capacity </w:t>
      </w:r>
      <w:r>
        <w:rPr>
          <w:rFonts w:hint="default" w:ascii="Times New Roman" w:hAnsi="Times New Roman" w:cs="Times New Roman"/>
          <w:i/>
          <w:iCs/>
          <w:sz w:val="28"/>
          <w:szCs w:val="28"/>
        </w:rPr>
        <w:t>(ℾ</w:t>
      </w:r>
      <w:r>
        <w:rPr>
          <w:rFonts w:hint="default" w:ascii="Times New Roman" w:hAnsi="Times New Roman" w:cs="Times New Roman"/>
          <w:sz w:val="28"/>
          <w:szCs w:val="28"/>
          <w:vertAlign w:val="subscript"/>
        </w:rPr>
        <w:t>max</w:t>
      </w:r>
      <w:r>
        <w:rPr>
          <w:rFonts w:hint="default" w:ascii="Times New Roman" w:hAnsi="Times New Roman" w:cs="Times New Roman"/>
          <w:sz w:val="28"/>
          <w:szCs w:val="28"/>
        </w:rPr>
        <w:t>) accompanied by a corresponding increase in the minimum molecular area (</w:t>
      </w:r>
      <w:r>
        <w:rPr>
          <w:rFonts w:hint="default" w:ascii="Times New Roman" w:hAnsi="Times New Roman" w:cs="Times New Roman"/>
          <w:i/>
          <w:iCs/>
          <w:sz w:val="28"/>
          <w:szCs w:val="28"/>
        </w:rPr>
        <w:t>A</w:t>
      </w:r>
      <w:r>
        <w:rPr>
          <w:rFonts w:hint="default" w:ascii="Times New Roman" w:hAnsi="Times New Roman" w:cs="Times New Roman"/>
          <w:sz w:val="28"/>
          <w:szCs w:val="28"/>
          <w:vertAlign w:val="subscript"/>
        </w:rPr>
        <w:t>min</w:t>
      </w:r>
      <w:r>
        <w:rPr>
          <w:rFonts w:hint="default" w:ascii="Times New Roman" w:hAnsi="Times New Roman" w:cs="Times New Roman"/>
          <w:sz w:val="28"/>
          <w:szCs w:val="28"/>
        </w:rPr>
        <w:t>). This inverse relationship reflects the progressive enlargement of the effective molecular size at the air–water interface</w:t>
      </w:r>
      <w:r>
        <w:rPr>
          <w:rFonts w:hint="eastAsia" w:cs="Times New Roman"/>
          <w:sz w:val="28"/>
          <w:szCs w:val="28"/>
          <w:lang w:val="en-US" w:eastAsia="zh-CN"/>
        </w:rPr>
        <w:t xml:space="preserve"> </w:t>
      </w:r>
      <w:r>
        <w:rPr>
          <w:rFonts w:hint="default" w:ascii="Times New Roman" w:hAnsi="Times New Roman" w:cs="Times New Roman"/>
          <w:sz w:val="28"/>
          <w:szCs w:val="28"/>
        </w:rPr>
        <w:t xml:space="preserve">[83]. For PO-containing surfactants, the bulky and conformationally disordered PO segments significantly increase the molecular cross-sectional area, thereby reducing the number of surfactant molecules that can be accommodated per unit area at the interface and leading to a lower </w:t>
      </w:r>
      <w:r>
        <w:rPr>
          <w:rFonts w:hint="default" w:ascii="Times New Roman" w:hAnsi="Times New Roman" w:cs="Times New Roman"/>
          <w:i/>
          <w:iCs/>
          <w:sz w:val="28"/>
          <w:szCs w:val="28"/>
        </w:rPr>
        <w:t>ℾ</w:t>
      </w:r>
      <w:r>
        <w:rPr>
          <w:rFonts w:hint="default" w:ascii="Times New Roman" w:hAnsi="Times New Roman" w:cs="Times New Roman"/>
          <w:sz w:val="28"/>
          <w:szCs w:val="28"/>
          <w:vertAlign w:val="subscript"/>
        </w:rPr>
        <w:t>max</w:t>
      </w:r>
      <w:r>
        <w:rPr>
          <w:rFonts w:hint="default" w:ascii="Times New Roman" w:hAnsi="Times New Roman" w:cs="Times New Roman"/>
          <w:sz w:val="28"/>
          <w:szCs w:val="28"/>
        </w:rPr>
        <w:t xml:space="preserve"> and a larger </w:t>
      </w:r>
      <w:r>
        <w:rPr>
          <w:rFonts w:hint="default" w:ascii="Times New Roman" w:hAnsi="Times New Roman" w:cs="Times New Roman"/>
          <w:i/>
          <w:iCs/>
          <w:sz w:val="28"/>
          <w:szCs w:val="28"/>
        </w:rPr>
        <w:t>A</w:t>
      </w:r>
      <w:r>
        <w:rPr>
          <w:rFonts w:hint="default" w:ascii="Times New Roman" w:hAnsi="Times New Roman" w:cs="Times New Roman"/>
          <w:sz w:val="28"/>
          <w:szCs w:val="28"/>
          <w:vertAlign w:val="subscript"/>
        </w:rPr>
        <w:t>min</w:t>
      </w:r>
      <w:r>
        <w:rPr>
          <w:rFonts w:hint="default" w:ascii="Times New Roman" w:hAnsi="Times New Roman" w:cs="Times New Roman"/>
          <w:sz w:val="28"/>
          <w:szCs w:val="28"/>
        </w:rPr>
        <w:t xml:space="preserve"> [83,89,90]. Similarly, the incorporation of EO groups produces a comparable effect. Due to the strong hydration and conformational flexibility of EO chains, these segments tend to curl and extend in aqueous solution, which further enlarges the apparent molecular size and weakens the packing density of molecules in the interfacial adsorption layer, resulting in a decrease in </w:t>
      </w:r>
      <w:r>
        <w:rPr>
          <w:rFonts w:hint="default" w:ascii="Times New Roman" w:hAnsi="Times New Roman" w:cs="Times New Roman"/>
          <w:i/>
          <w:iCs/>
          <w:sz w:val="28"/>
          <w:szCs w:val="28"/>
        </w:rPr>
        <w:t>ℾ</w:t>
      </w:r>
      <w:r>
        <w:rPr>
          <w:rFonts w:hint="default" w:ascii="Times New Roman" w:hAnsi="Times New Roman" w:cs="Times New Roman"/>
          <w:sz w:val="28"/>
          <w:szCs w:val="28"/>
          <w:vertAlign w:val="subscript"/>
        </w:rPr>
        <w:t>max</w:t>
      </w:r>
      <w:r>
        <w:rPr>
          <w:rFonts w:hint="default" w:ascii="Times New Roman" w:hAnsi="Times New Roman" w:cs="Times New Roman"/>
          <w:sz w:val="28"/>
          <w:szCs w:val="28"/>
        </w:rPr>
        <w:t xml:space="preserve"> and an increase in </w:t>
      </w:r>
      <w:r>
        <w:rPr>
          <w:rFonts w:hint="default" w:ascii="Times New Roman" w:hAnsi="Times New Roman" w:cs="Times New Roman"/>
          <w:i/>
          <w:iCs/>
          <w:sz w:val="28"/>
          <w:szCs w:val="28"/>
        </w:rPr>
        <w:t>A</w:t>
      </w:r>
      <w:r>
        <w:rPr>
          <w:rFonts w:hint="default" w:ascii="Times New Roman" w:hAnsi="Times New Roman" w:cs="Times New Roman"/>
          <w:sz w:val="28"/>
          <w:szCs w:val="28"/>
          <w:vertAlign w:val="subscript"/>
        </w:rPr>
        <w:t>min</w:t>
      </w:r>
      <w:r>
        <w:rPr>
          <w:rFonts w:hint="default" w:ascii="Times New Roman" w:hAnsi="Times New Roman" w:cs="Times New Roman"/>
          <w:sz w:val="28"/>
          <w:szCs w:val="28"/>
        </w:rPr>
        <w:t xml:space="preserve"> [73,83,91,92]. These results collectively indicate a transition from dense to loose interfacial packing with increasing molecular complexity.</w:t>
      </w:r>
    </w:p>
    <w:p w14:paraId="1EAB843B">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The adsorption efficiency of the surfactants at the air–water interface can be evaluated by the </w:t>
      </w:r>
      <w:r>
        <w:rPr>
          <w:rFonts w:hint="default" w:ascii="Times New Roman" w:hAnsi="Times New Roman" w:cs="Times New Roman"/>
          <w:i/>
          <w:iCs/>
          <w:sz w:val="28"/>
          <w:szCs w:val="28"/>
        </w:rPr>
        <w:t>pC</w:t>
      </w:r>
      <w:r>
        <w:rPr>
          <w:rFonts w:hint="default" w:ascii="Times New Roman" w:hAnsi="Times New Roman" w:cs="Times New Roman"/>
          <w:sz w:val="28"/>
          <w:szCs w:val="28"/>
          <w:vertAlign w:val="subscript"/>
        </w:rPr>
        <w:t>20</w:t>
      </w:r>
      <w:r>
        <w:rPr>
          <w:rFonts w:hint="default" w:ascii="Times New Roman" w:hAnsi="Times New Roman" w:cs="Times New Roman"/>
          <w:sz w:val="28"/>
          <w:szCs w:val="28"/>
        </w:rPr>
        <w:t xml:space="preserve"> parameter, which represents the negative logarithm of the surfactant concentration required to reduce the surface tension of water by 20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As shown in Table 3.7, the </w:t>
      </w:r>
      <w:r>
        <w:rPr>
          <w:rFonts w:hint="default" w:ascii="Times New Roman" w:hAnsi="Times New Roman" w:cs="Times New Roman"/>
          <w:i/>
          <w:iCs/>
          <w:sz w:val="28"/>
          <w:szCs w:val="28"/>
        </w:rPr>
        <w:t>pC</w:t>
      </w:r>
      <w:r>
        <w:rPr>
          <w:rFonts w:hint="default" w:ascii="Times New Roman" w:hAnsi="Times New Roman" w:cs="Times New Roman"/>
          <w:sz w:val="28"/>
          <w:szCs w:val="28"/>
          <w:vertAlign w:val="subscript"/>
        </w:rPr>
        <w:t>20</w:t>
      </w:r>
      <w:r>
        <w:rPr>
          <w:rFonts w:hint="default" w:ascii="Times New Roman" w:hAnsi="Times New Roman" w:cs="Times New Roman"/>
          <w:sz w:val="28"/>
          <w:szCs w:val="28"/>
        </w:rPr>
        <w:t xml:space="preserve"> values increase with the introduction of both PO and EO groups, following the order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&gt;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&gt;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 xml:space="preserve">NS. A higher </w:t>
      </w:r>
      <w:r>
        <w:rPr>
          <w:rFonts w:hint="default" w:ascii="Times New Roman" w:hAnsi="Times New Roman" w:cs="Times New Roman"/>
          <w:i/>
          <w:iCs/>
          <w:sz w:val="28"/>
          <w:szCs w:val="28"/>
        </w:rPr>
        <w:t>pC</w:t>
      </w:r>
      <w:r>
        <w:rPr>
          <w:rFonts w:hint="default" w:ascii="Times New Roman" w:hAnsi="Times New Roman" w:cs="Times New Roman"/>
          <w:sz w:val="28"/>
          <w:szCs w:val="28"/>
          <w:vertAlign w:val="subscript"/>
        </w:rPr>
        <w:t>20</w:t>
      </w:r>
      <w:r>
        <w:rPr>
          <w:rFonts w:hint="default" w:ascii="Times New Roman" w:hAnsi="Times New Roman" w:cs="Times New Roman"/>
          <w:sz w:val="28"/>
          <w:szCs w:val="28"/>
        </w:rPr>
        <w:t xml:space="preserve"> value indicates a stronger tendency of surfactant molecules to adsorb at the interface and a more effective ability to lower surface tension [93]. This enhancement arises from the synergistic effects of the hydrophobic PO segments, which strengthen interfacial anchoring, and the flexible EO chains, which optimize molecular rearrangement at the interface. Consequently, although the insertion of PO and EO groups reduces the surface packing density (lower </w:t>
      </w:r>
      <w:r>
        <w:rPr>
          <w:rFonts w:hint="default" w:ascii="Times New Roman" w:hAnsi="Times New Roman" w:cs="Times New Roman"/>
          <w:i/>
          <w:iCs/>
          <w:sz w:val="28"/>
          <w:szCs w:val="28"/>
        </w:rPr>
        <w:t>ℾ</w:t>
      </w:r>
      <w:r>
        <w:rPr>
          <w:rFonts w:hint="default" w:ascii="Times New Roman" w:hAnsi="Times New Roman" w:cs="Times New Roman"/>
          <w:sz w:val="28"/>
          <w:szCs w:val="28"/>
          <w:vertAlign w:val="subscript"/>
        </w:rPr>
        <w:t>max</w:t>
      </w:r>
      <w:r>
        <w:rPr>
          <w:rFonts w:hint="default" w:ascii="Times New Roman" w:hAnsi="Times New Roman" w:cs="Times New Roman"/>
          <w:sz w:val="28"/>
          <w:szCs w:val="28"/>
        </w:rPr>
        <w:t xml:space="preserve"> and higher </w:t>
      </w:r>
      <w:r>
        <w:rPr>
          <w:rFonts w:hint="default" w:ascii="Times New Roman" w:hAnsi="Times New Roman" w:cs="Times New Roman"/>
          <w:i/>
          <w:iCs/>
          <w:sz w:val="28"/>
          <w:szCs w:val="28"/>
        </w:rPr>
        <w:t>A</w:t>
      </w:r>
      <w:r>
        <w:rPr>
          <w:rFonts w:hint="default" w:ascii="Times New Roman" w:hAnsi="Times New Roman" w:cs="Times New Roman"/>
          <w:sz w:val="28"/>
          <w:szCs w:val="28"/>
          <w:vertAlign w:val="subscript"/>
        </w:rPr>
        <w:t>min</w:t>
      </w:r>
      <w:r>
        <w:rPr>
          <w:rFonts w:hint="default" w:ascii="Times New Roman" w:hAnsi="Times New Roman" w:cs="Times New Roman"/>
          <w:sz w:val="28"/>
          <w:szCs w:val="28"/>
        </w:rPr>
        <w:t>), it simultaneously promotes interfacial activity and adsorption efficiency, enabling the surfactants to achieve more efficient surface tension reduction at lower concentrations [83,89,94].</w:t>
      </w:r>
    </w:p>
    <w:p w14:paraId="34FC95B0">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3.4.4.2 Effect of temperature on the surface properties</w:t>
      </w:r>
    </w:p>
    <w:p w14:paraId="59075B00">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To investigate the effect of temperature on the surface activity of the prepared extended amphoteric surfactants, aqueous solutions with a concentration of 0.1 wt% were prepared using deionized water. The solutions were equilibrated in thermostatic water baths at 25, 35, 45, and 55 ℃ for 30 min prior to measurement. The surface tension at each temperature was then determined, and the surface tension–logarithm concentration (γ–log C) curves were constructed (Figure 3.6). Based on these curves, the cmc and γ</w:t>
      </w:r>
      <w:r>
        <w:rPr>
          <w:rFonts w:hint="default" w:ascii="Times New Roman" w:hAnsi="Times New Roman" w:cs="Times New Roman"/>
          <w:sz w:val="28"/>
          <w:szCs w:val="28"/>
          <w:vertAlign w:val="subscript"/>
        </w:rPr>
        <w:t>cmc</w:t>
      </w:r>
      <w:r>
        <w:rPr>
          <w:rFonts w:hint="default" w:ascii="Times New Roman" w:hAnsi="Times New Roman" w:cs="Times New Roman"/>
          <w:sz w:val="28"/>
          <w:szCs w:val="28"/>
        </w:rPr>
        <w:t xml:space="preserve"> of three surfactants at different temperatures were obtained, as summarized in Table 3.8.</w:t>
      </w:r>
    </w:p>
    <w:p w14:paraId="0895688B">
      <w:pPr>
        <w:widowControl/>
        <w:ind w:firstLine="709" w:firstLineChars="0"/>
        <w:rPr>
          <w:rFonts w:hint="default" w:ascii="Times New Roman" w:hAnsi="Times New Roman" w:cs="Times New Roman"/>
          <w:sz w:val="28"/>
          <w:szCs w:val="28"/>
        </w:rPr>
      </w:pPr>
    </w:p>
    <w:tbl>
      <w:tblPr>
        <w:tblStyle w:val="1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26"/>
        <w:gridCol w:w="4266"/>
      </w:tblGrid>
      <w:tr w14:paraId="3D1E0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306" w:type="dxa"/>
          </w:tcPr>
          <w:p w14:paraId="12EBFBCC">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eastAsiaTheme="minorEastAsia"/>
                <w:sz w:val="28"/>
                <w:szCs w:val="28"/>
              </w:rPr>
              <w:drawing>
                <wp:inline distT="0" distB="0" distL="114300" distR="114300">
                  <wp:extent cx="2604135" cy="1979930"/>
                  <wp:effectExtent l="0" t="0" r="5715" b="0"/>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29"/>
                          <a:stretch>
                            <a:fillRect/>
                          </a:stretch>
                        </pic:blipFill>
                        <pic:spPr>
                          <a:xfrm>
                            <a:off x="0" y="0"/>
                            <a:ext cx="2604135" cy="1979930"/>
                          </a:xfrm>
                          <a:prstGeom prst="rect">
                            <a:avLst/>
                          </a:prstGeom>
                          <a:noFill/>
                          <a:ln>
                            <a:noFill/>
                          </a:ln>
                        </pic:spPr>
                      </pic:pic>
                    </a:graphicData>
                  </a:graphic>
                </wp:inline>
              </w:drawing>
            </w:r>
          </w:p>
        </w:tc>
        <w:tc>
          <w:tcPr>
            <w:tcW w:w="4216" w:type="dxa"/>
          </w:tcPr>
          <w:p w14:paraId="02276A1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eastAsiaTheme="minorEastAsia"/>
                <w:sz w:val="28"/>
                <w:szCs w:val="28"/>
              </w:rPr>
              <w:drawing>
                <wp:inline distT="0" distB="0" distL="114300" distR="114300">
                  <wp:extent cx="2511425" cy="1979930"/>
                  <wp:effectExtent l="0" t="0" r="3175" b="0"/>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30"/>
                          <a:stretch>
                            <a:fillRect/>
                          </a:stretch>
                        </pic:blipFill>
                        <pic:spPr>
                          <a:xfrm>
                            <a:off x="0" y="0"/>
                            <a:ext cx="2511425" cy="1979930"/>
                          </a:xfrm>
                          <a:prstGeom prst="rect">
                            <a:avLst/>
                          </a:prstGeom>
                          <a:noFill/>
                          <a:ln>
                            <a:noFill/>
                          </a:ln>
                        </pic:spPr>
                      </pic:pic>
                    </a:graphicData>
                  </a:graphic>
                </wp:inline>
              </w:drawing>
            </w:r>
          </w:p>
        </w:tc>
      </w:tr>
      <w:tr w14:paraId="13AF8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306" w:type="dxa"/>
          </w:tcPr>
          <w:p w14:paraId="4349EBF5">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eastAsiaTheme="minorEastAsia"/>
                <w:sz w:val="28"/>
                <w:szCs w:val="28"/>
              </w:rPr>
              <w:drawing>
                <wp:inline distT="0" distB="0" distL="114300" distR="114300">
                  <wp:extent cx="2511425" cy="1979930"/>
                  <wp:effectExtent l="0" t="0" r="3175" b="0"/>
                  <wp:docPr id="4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8"/>
                          <pic:cNvPicPr>
                            <a:picLocks noChangeAspect="1"/>
                          </pic:cNvPicPr>
                        </pic:nvPicPr>
                        <pic:blipFill>
                          <a:blip r:embed="rId31"/>
                          <a:stretch>
                            <a:fillRect/>
                          </a:stretch>
                        </pic:blipFill>
                        <pic:spPr>
                          <a:xfrm>
                            <a:off x="0" y="0"/>
                            <a:ext cx="2511425" cy="1979930"/>
                          </a:xfrm>
                          <a:prstGeom prst="rect">
                            <a:avLst/>
                          </a:prstGeom>
                          <a:noFill/>
                          <a:ln>
                            <a:noFill/>
                          </a:ln>
                        </pic:spPr>
                      </pic:pic>
                    </a:graphicData>
                  </a:graphic>
                </wp:inline>
              </w:drawing>
            </w:r>
          </w:p>
        </w:tc>
        <w:tc>
          <w:tcPr>
            <w:tcW w:w="4216" w:type="dxa"/>
          </w:tcPr>
          <w:p w14:paraId="05EDED26">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2562225" cy="200025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32"/>
                          <a:stretch>
                            <a:fillRect/>
                          </a:stretch>
                        </pic:blipFill>
                        <pic:spPr>
                          <a:xfrm>
                            <a:off x="0" y="0"/>
                            <a:ext cx="2562225" cy="2000250"/>
                          </a:xfrm>
                          <a:prstGeom prst="rect">
                            <a:avLst/>
                          </a:prstGeom>
                          <a:noFill/>
                          <a:ln>
                            <a:noFill/>
                          </a:ln>
                        </pic:spPr>
                      </pic:pic>
                    </a:graphicData>
                  </a:graphic>
                </wp:inline>
              </w:drawing>
            </w:r>
          </w:p>
        </w:tc>
      </w:tr>
      <w:tr w14:paraId="2F806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2" w:type="dxa"/>
            <w:gridSpan w:val="2"/>
          </w:tcPr>
          <w:p w14:paraId="4FF97167">
            <w:pPr>
              <w:widowControl/>
              <w:ind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Figure 3.6 – Curves of surface tension versus logarithm of surfactant concentration at different temperatures and curves of lncmc-T</w:t>
            </w:r>
            <w:r>
              <w:rPr>
                <w:rFonts w:hint="default" w:ascii="Times New Roman" w:hAnsi="Times New Roman" w:cs="Times New Roman"/>
                <w:sz w:val="28"/>
                <w:szCs w:val="28"/>
                <w:lang w:val="en-US" w:eastAsia="zh-CN"/>
              </w:rPr>
              <w:t>.</w:t>
            </w:r>
          </w:p>
        </w:tc>
      </w:tr>
    </w:tbl>
    <w:p w14:paraId="6B76BCC1">
      <w:pPr>
        <w:widowControl/>
        <w:ind w:firstLine="709" w:firstLineChars="0"/>
        <w:rPr>
          <w:rFonts w:hint="default" w:ascii="Times New Roman" w:hAnsi="Times New Roman" w:cs="Times New Roman"/>
          <w:sz w:val="28"/>
          <w:szCs w:val="28"/>
        </w:rPr>
      </w:pPr>
    </w:p>
    <w:p w14:paraId="45343757">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It is clearly observed that both cmc and γ</w:t>
      </w:r>
      <w:r>
        <w:rPr>
          <w:rFonts w:hint="default" w:ascii="Times New Roman" w:hAnsi="Times New Roman" w:cs="Times New Roman"/>
          <w:sz w:val="28"/>
          <w:szCs w:val="28"/>
          <w:vertAlign w:val="subscript"/>
        </w:rPr>
        <w:t>cmc</w:t>
      </w:r>
      <w:r>
        <w:rPr>
          <w:rFonts w:hint="default" w:ascii="Times New Roman" w:hAnsi="Times New Roman" w:cs="Times New Roman"/>
          <w:sz w:val="28"/>
          <w:szCs w:val="28"/>
        </w:rPr>
        <w:t xml:space="preserve"> decrease monotonically with increasing temperature, demonstrating that micellization and interfacial activity are significantly enhanced under elevated thermal conditions. This temperature dependence can be primarily attributed to the gradual disruption of the structured hydration shell surrounding the hydrophobic alkyl chains, known as hydrophobic hydration [83]. At lower temperatures, water molecules form a relatively ordered cage-like structure around hydrophobic groups, which imposes a large entropic penalty on aggregation. As temperature increases, this ordered water structure becomes increasingly unstable, thereby reducing the free-energy cost of exposing hydrophobic segments to the aqueous phase and strongly favoring the self-assembly of surfactant molecules into micelles [83,95,96]. In addition, the hydration of EO and PO spacer groups weakens at higher temperatures because hydrogen-bonding interactions between these ether groups and surrounding water molecules are progressively disrupted. This dehydration effect decreases the solubility of the hydrophilic segments in water and enhances the overall amphiphilicity of the surfactant molecules, further lowering the free energy barrier for micellization and accelerating micelle formation [83]. Meanwhile, the intensified thermal motion at elevated temperatures reduces the electrostatic repulsion between charged headgroups by increasing molecular mobility and dynamic screening, allowing surfactant molecules to pack more closely within micelles as well as at the air–water interface [83]. These synergistic effects collectively lead to the observed decreases in both cmc and γ</w:t>
      </w:r>
      <w:r>
        <w:rPr>
          <w:rFonts w:hint="default" w:ascii="Times New Roman" w:hAnsi="Times New Roman" w:cs="Times New Roman"/>
          <w:sz w:val="28"/>
          <w:szCs w:val="28"/>
          <w:vertAlign w:val="subscript"/>
        </w:rPr>
        <w:t>cmc</w:t>
      </w:r>
      <w:r>
        <w:rPr>
          <w:rFonts w:hint="default" w:ascii="Times New Roman" w:hAnsi="Times New Roman" w:cs="Times New Roman"/>
          <w:sz w:val="28"/>
          <w:szCs w:val="28"/>
        </w:rPr>
        <w:t>, indicating improved micellization efficiency and stronger surface activity at higher temperatures [91]. Moreover, Figure 3.6(d) reveals an approximately linear relationship between cmc and temperature (in K), suggesting a systematic thermodynamic dependence of micellization on temperature.</w:t>
      </w:r>
    </w:p>
    <w:p w14:paraId="7F3BEEED">
      <w:pPr>
        <w:widowControl/>
        <w:ind w:firstLine="709" w:firstLineChars="0"/>
        <w:rPr>
          <w:rFonts w:hint="default" w:ascii="Times New Roman" w:hAnsi="Times New Roman" w:cs="Times New Roman"/>
          <w:sz w:val="28"/>
          <w:szCs w:val="28"/>
        </w:rPr>
      </w:pPr>
    </w:p>
    <w:p w14:paraId="3949F0A3">
      <w:pPr>
        <w:widowControl/>
        <w:ind w:left="0" w:leftChars="0" w:firstLine="0" w:firstLineChars="0"/>
        <w:rPr>
          <w:rFonts w:hint="default" w:ascii="Times New Roman" w:hAnsi="Times New Roman" w:cs="Times New Roman"/>
          <w:sz w:val="28"/>
          <w:szCs w:val="28"/>
        </w:rPr>
      </w:pPr>
      <w:r>
        <w:rPr>
          <w:rFonts w:hint="default" w:ascii="Times New Roman" w:hAnsi="Times New Roman" w:cs="Times New Roman"/>
          <w:sz w:val="28"/>
          <w:szCs w:val="28"/>
        </w:rPr>
        <w:t>Table 3.8 – Surface activity parameters of prepared surfactants at different temperatures.</w:t>
      </w:r>
    </w:p>
    <w:tbl>
      <w:tblPr>
        <w:tblStyle w:val="17"/>
        <w:tblW w:w="4876" w:type="pct"/>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32"/>
        <w:gridCol w:w="1048"/>
        <w:gridCol w:w="1546"/>
        <w:gridCol w:w="1512"/>
        <w:gridCol w:w="1527"/>
        <w:gridCol w:w="1039"/>
        <w:gridCol w:w="1006"/>
      </w:tblGrid>
      <w:tr w14:paraId="21D19B3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05" w:type="pct"/>
            <w:tcBorders>
              <w:top w:val="single" w:color="auto" w:sz="12" w:space="0"/>
              <w:bottom w:val="single" w:color="auto" w:sz="6" w:space="0"/>
            </w:tcBorders>
            <w:vAlign w:val="center"/>
          </w:tcPr>
          <w:p w14:paraId="64A15E7A">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Surfactant</w:t>
            </w:r>
          </w:p>
        </w:tc>
        <w:tc>
          <w:tcPr>
            <w:tcW w:w="545" w:type="pct"/>
            <w:tcBorders>
              <w:top w:val="single" w:color="auto" w:sz="12" w:space="0"/>
              <w:bottom w:val="single" w:color="auto" w:sz="6" w:space="0"/>
            </w:tcBorders>
            <w:vAlign w:val="center"/>
          </w:tcPr>
          <w:p w14:paraId="1DB2502E">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T</w:t>
            </w:r>
          </w:p>
          <w:p w14:paraId="5CBAB0BA">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804" w:type="pct"/>
            <w:tcBorders>
              <w:top w:val="single" w:color="auto" w:sz="12" w:space="0"/>
              <w:bottom w:val="single" w:color="auto" w:sz="6" w:space="0"/>
            </w:tcBorders>
            <w:vAlign w:val="center"/>
          </w:tcPr>
          <w:p w14:paraId="011ABC5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cmc</w:t>
            </w:r>
          </w:p>
          <w:p w14:paraId="79B9321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(mmol·L</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w:t>
            </w:r>
          </w:p>
        </w:tc>
        <w:tc>
          <w:tcPr>
            <w:tcW w:w="786" w:type="pct"/>
            <w:tcBorders>
              <w:top w:val="single" w:color="auto" w:sz="12" w:space="0"/>
              <w:bottom w:val="single" w:color="auto" w:sz="6" w:space="0"/>
            </w:tcBorders>
            <w:vAlign w:val="center"/>
          </w:tcPr>
          <w:p w14:paraId="50C3BBA7">
            <w:pPr>
              <w:widowControl/>
              <w:ind w:firstLine="0" w:firstLineChars="0"/>
              <w:jc w:val="center"/>
              <w:rPr>
                <w:rFonts w:hint="default" w:ascii="Times New Roman" w:hAnsi="Times New Roman" w:cs="Times New Roman"/>
                <w:sz w:val="28"/>
                <w:szCs w:val="28"/>
                <w:vertAlign w:val="subscript"/>
              </w:rPr>
            </w:pPr>
            <w:r>
              <w:rPr>
                <w:rFonts w:hint="default" w:ascii="Times New Roman" w:hAnsi="Times New Roman" w:cs="Times New Roman"/>
                <w:sz w:val="28"/>
                <w:szCs w:val="28"/>
              </w:rPr>
              <w:t>γ</w:t>
            </w:r>
            <w:r>
              <w:rPr>
                <w:rFonts w:hint="default" w:ascii="Times New Roman" w:hAnsi="Times New Roman" w:cs="Times New Roman"/>
                <w:sz w:val="28"/>
                <w:szCs w:val="28"/>
                <w:vertAlign w:val="subscript"/>
              </w:rPr>
              <w:t>cmc</w:t>
            </w:r>
          </w:p>
          <w:p w14:paraId="0002E17E">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w:t>
            </w:r>
          </w:p>
        </w:tc>
        <w:tc>
          <w:tcPr>
            <w:tcW w:w="794" w:type="pct"/>
            <w:tcBorders>
              <w:top w:val="single" w:color="auto" w:sz="12" w:space="0"/>
              <w:bottom w:val="single" w:color="auto" w:sz="6" w:space="0"/>
            </w:tcBorders>
            <w:vAlign w:val="center"/>
          </w:tcPr>
          <w:p w14:paraId="099160DD">
            <w:pPr>
              <w:widowControl/>
              <w:ind w:firstLine="0" w:firstLineChars="0"/>
              <w:jc w:val="center"/>
              <w:rPr>
                <w:rFonts w:hint="default" w:ascii="Times New Roman" w:hAnsi="Times New Roman" w:cs="Times New Roman"/>
                <w:sz w:val="28"/>
                <w:szCs w:val="28"/>
                <w:vertAlign w:val="subscript"/>
              </w:rPr>
            </w:pPr>
            <w:r>
              <w:rPr>
                <w:rFonts w:hint="default" w:ascii="Times New Roman" w:hAnsi="Times New Roman" w:cs="Times New Roman"/>
                <w:i/>
                <w:iCs/>
                <w:sz w:val="28"/>
                <w:szCs w:val="28"/>
              </w:rPr>
              <w:t>ℾ</w:t>
            </w:r>
            <w:r>
              <w:rPr>
                <w:rFonts w:hint="default" w:ascii="Times New Roman" w:hAnsi="Times New Roman" w:cs="Times New Roman"/>
                <w:sz w:val="28"/>
                <w:szCs w:val="28"/>
                <w:vertAlign w:val="subscript"/>
              </w:rPr>
              <w:t>max</w:t>
            </w:r>
          </w:p>
          <w:p w14:paraId="293DB9B5">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(μmol·m</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w:t>
            </w:r>
          </w:p>
        </w:tc>
        <w:tc>
          <w:tcPr>
            <w:tcW w:w="540" w:type="pct"/>
            <w:tcBorders>
              <w:top w:val="single" w:color="auto" w:sz="12" w:space="0"/>
              <w:bottom w:val="single" w:color="auto" w:sz="6" w:space="0"/>
            </w:tcBorders>
            <w:vAlign w:val="center"/>
          </w:tcPr>
          <w:p w14:paraId="400A17A3">
            <w:pPr>
              <w:widowControl/>
              <w:ind w:firstLine="0" w:firstLineChars="0"/>
              <w:jc w:val="center"/>
              <w:rPr>
                <w:rFonts w:hint="default" w:ascii="Times New Roman" w:hAnsi="Times New Roman" w:cs="Times New Roman"/>
                <w:sz w:val="28"/>
                <w:szCs w:val="28"/>
                <w:vertAlign w:val="subscript"/>
              </w:rPr>
            </w:pPr>
            <w:r>
              <w:rPr>
                <w:rFonts w:hint="default" w:ascii="Times New Roman" w:hAnsi="Times New Roman" w:cs="Times New Roman"/>
                <w:i/>
                <w:iCs/>
                <w:sz w:val="28"/>
                <w:szCs w:val="28"/>
              </w:rPr>
              <w:t>A</w:t>
            </w:r>
            <w:r>
              <w:rPr>
                <w:rFonts w:hint="default" w:ascii="Times New Roman" w:hAnsi="Times New Roman" w:cs="Times New Roman"/>
                <w:sz w:val="28"/>
                <w:szCs w:val="28"/>
                <w:vertAlign w:val="subscript"/>
              </w:rPr>
              <w:t>min</w:t>
            </w:r>
          </w:p>
          <w:p w14:paraId="5E39A280">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(nm</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w:t>
            </w:r>
          </w:p>
        </w:tc>
        <w:tc>
          <w:tcPr>
            <w:tcW w:w="523" w:type="pct"/>
            <w:tcBorders>
              <w:top w:val="single" w:color="auto" w:sz="12" w:space="0"/>
              <w:bottom w:val="single" w:color="auto" w:sz="6" w:space="0"/>
            </w:tcBorders>
            <w:vAlign w:val="center"/>
          </w:tcPr>
          <w:p w14:paraId="641C03FB">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i/>
                <w:iCs/>
                <w:sz w:val="28"/>
                <w:szCs w:val="28"/>
              </w:rPr>
              <w:t>pC</w:t>
            </w:r>
            <w:r>
              <w:rPr>
                <w:rFonts w:hint="default" w:ascii="Times New Roman" w:hAnsi="Times New Roman" w:cs="Times New Roman"/>
                <w:sz w:val="28"/>
                <w:szCs w:val="28"/>
                <w:vertAlign w:val="subscript"/>
              </w:rPr>
              <w:t>20</w:t>
            </w:r>
          </w:p>
        </w:tc>
      </w:tr>
      <w:tr w14:paraId="595FB17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05" w:type="pct"/>
            <w:vMerge w:val="restart"/>
            <w:tcBorders>
              <w:top w:val="single" w:color="auto" w:sz="6" w:space="0"/>
              <w:right w:val="nil"/>
            </w:tcBorders>
            <w:vAlign w:val="center"/>
          </w:tcPr>
          <w:p w14:paraId="013C371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NS</w:t>
            </w:r>
          </w:p>
        </w:tc>
        <w:tc>
          <w:tcPr>
            <w:tcW w:w="545" w:type="pct"/>
            <w:tcBorders>
              <w:top w:val="single" w:color="auto" w:sz="6" w:space="0"/>
              <w:left w:val="nil"/>
              <w:bottom w:val="nil"/>
              <w:right w:val="nil"/>
            </w:tcBorders>
            <w:vAlign w:val="center"/>
          </w:tcPr>
          <w:p w14:paraId="7E1A4A57">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25</w:t>
            </w:r>
          </w:p>
        </w:tc>
        <w:tc>
          <w:tcPr>
            <w:tcW w:w="1334" w:type="dxa"/>
            <w:tcBorders>
              <w:top w:val="single" w:color="auto" w:sz="6" w:space="0"/>
              <w:left w:val="nil"/>
              <w:bottom w:val="nil"/>
              <w:right w:val="nil"/>
            </w:tcBorders>
            <w:vAlign w:val="center"/>
          </w:tcPr>
          <w:p w14:paraId="51A2D56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0.740</w:t>
            </w:r>
          </w:p>
        </w:tc>
        <w:tc>
          <w:tcPr>
            <w:tcW w:w="1304" w:type="dxa"/>
            <w:tcBorders>
              <w:top w:val="single" w:color="auto" w:sz="6" w:space="0"/>
              <w:left w:val="nil"/>
              <w:bottom w:val="nil"/>
              <w:right w:val="nil"/>
            </w:tcBorders>
            <w:vAlign w:val="center"/>
          </w:tcPr>
          <w:p w14:paraId="6EE1C813">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29.55</w:t>
            </w:r>
          </w:p>
        </w:tc>
        <w:tc>
          <w:tcPr>
            <w:tcW w:w="1318" w:type="dxa"/>
            <w:tcBorders>
              <w:top w:val="single" w:color="auto" w:sz="6" w:space="0"/>
              <w:left w:val="nil"/>
              <w:bottom w:val="nil"/>
              <w:right w:val="nil"/>
            </w:tcBorders>
            <w:vAlign w:val="center"/>
          </w:tcPr>
          <w:p w14:paraId="66C5842D">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6.79</w:t>
            </w:r>
          </w:p>
        </w:tc>
        <w:tc>
          <w:tcPr>
            <w:tcW w:w="896" w:type="dxa"/>
            <w:tcBorders>
              <w:top w:val="single" w:color="auto" w:sz="6" w:space="0"/>
              <w:left w:val="nil"/>
              <w:bottom w:val="nil"/>
              <w:right w:val="nil"/>
            </w:tcBorders>
            <w:vAlign w:val="center"/>
          </w:tcPr>
          <w:p w14:paraId="426C952E">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0.24</w:t>
            </w:r>
          </w:p>
        </w:tc>
        <w:tc>
          <w:tcPr>
            <w:tcW w:w="869" w:type="dxa"/>
            <w:tcBorders>
              <w:top w:val="single" w:color="auto" w:sz="6" w:space="0"/>
              <w:left w:val="nil"/>
              <w:bottom w:val="nil"/>
            </w:tcBorders>
            <w:vAlign w:val="center"/>
          </w:tcPr>
          <w:p w14:paraId="5AA3CF97">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3.71</w:t>
            </w:r>
          </w:p>
        </w:tc>
      </w:tr>
      <w:tr w14:paraId="1418637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05" w:type="pct"/>
            <w:vMerge w:val="continue"/>
            <w:tcBorders>
              <w:right w:val="nil"/>
            </w:tcBorders>
            <w:vAlign w:val="center"/>
          </w:tcPr>
          <w:p w14:paraId="472710DF">
            <w:pPr>
              <w:widowControl/>
              <w:ind w:firstLine="0" w:firstLineChars="0"/>
              <w:jc w:val="center"/>
              <w:rPr>
                <w:rFonts w:hint="default" w:ascii="Times New Roman" w:hAnsi="Times New Roman" w:cs="Times New Roman"/>
                <w:sz w:val="28"/>
                <w:szCs w:val="28"/>
              </w:rPr>
            </w:pPr>
          </w:p>
        </w:tc>
        <w:tc>
          <w:tcPr>
            <w:tcW w:w="545" w:type="pct"/>
            <w:tcBorders>
              <w:top w:val="nil"/>
              <w:left w:val="nil"/>
              <w:bottom w:val="nil"/>
              <w:right w:val="nil"/>
            </w:tcBorders>
            <w:vAlign w:val="center"/>
          </w:tcPr>
          <w:p w14:paraId="40BF062A">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35</w:t>
            </w:r>
          </w:p>
        </w:tc>
        <w:tc>
          <w:tcPr>
            <w:tcW w:w="1334" w:type="dxa"/>
            <w:tcBorders>
              <w:top w:val="nil"/>
              <w:left w:val="nil"/>
              <w:bottom w:val="nil"/>
              <w:right w:val="nil"/>
            </w:tcBorders>
            <w:vAlign w:val="center"/>
          </w:tcPr>
          <w:p w14:paraId="7B5C5A36">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0.600</w:t>
            </w:r>
          </w:p>
        </w:tc>
        <w:tc>
          <w:tcPr>
            <w:tcW w:w="1304" w:type="dxa"/>
            <w:tcBorders>
              <w:top w:val="nil"/>
              <w:left w:val="nil"/>
              <w:bottom w:val="nil"/>
              <w:right w:val="nil"/>
            </w:tcBorders>
            <w:vAlign w:val="center"/>
          </w:tcPr>
          <w:p w14:paraId="20FDCB7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28.99</w:t>
            </w:r>
          </w:p>
        </w:tc>
        <w:tc>
          <w:tcPr>
            <w:tcW w:w="1318" w:type="dxa"/>
            <w:tcBorders>
              <w:top w:val="nil"/>
              <w:left w:val="nil"/>
              <w:bottom w:val="nil"/>
              <w:right w:val="nil"/>
            </w:tcBorders>
            <w:vAlign w:val="center"/>
          </w:tcPr>
          <w:p w14:paraId="43738C3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6.61</w:t>
            </w:r>
          </w:p>
        </w:tc>
        <w:tc>
          <w:tcPr>
            <w:tcW w:w="896" w:type="dxa"/>
            <w:tcBorders>
              <w:top w:val="nil"/>
              <w:left w:val="nil"/>
              <w:bottom w:val="nil"/>
              <w:right w:val="nil"/>
            </w:tcBorders>
            <w:vAlign w:val="center"/>
          </w:tcPr>
          <w:p w14:paraId="42D6063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0.24</w:t>
            </w:r>
          </w:p>
        </w:tc>
        <w:tc>
          <w:tcPr>
            <w:tcW w:w="869" w:type="dxa"/>
            <w:tcBorders>
              <w:top w:val="nil"/>
              <w:left w:val="nil"/>
              <w:bottom w:val="nil"/>
            </w:tcBorders>
            <w:vAlign w:val="center"/>
          </w:tcPr>
          <w:p w14:paraId="27B98B0E">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3.83</w:t>
            </w:r>
          </w:p>
        </w:tc>
      </w:tr>
      <w:tr w14:paraId="21E6237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05" w:type="pct"/>
            <w:vMerge w:val="continue"/>
            <w:tcBorders>
              <w:right w:val="nil"/>
            </w:tcBorders>
            <w:vAlign w:val="center"/>
          </w:tcPr>
          <w:p w14:paraId="06AC9BBC">
            <w:pPr>
              <w:widowControl/>
              <w:ind w:firstLine="0" w:firstLineChars="0"/>
              <w:jc w:val="center"/>
              <w:rPr>
                <w:rFonts w:hint="default" w:ascii="Times New Roman" w:hAnsi="Times New Roman" w:cs="Times New Roman"/>
                <w:sz w:val="28"/>
                <w:szCs w:val="28"/>
              </w:rPr>
            </w:pPr>
          </w:p>
        </w:tc>
        <w:tc>
          <w:tcPr>
            <w:tcW w:w="545" w:type="pct"/>
            <w:tcBorders>
              <w:top w:val="nil"/>
              <w:left w:val="nil"/>
              <w:bottom w:val="nil"/>
              <w:right w:val="nil"/>
            </w:tcBorders>
            <w:vAlign w:val="center"/>
          </w:tcPr>
          <w:p w14:paraId="26DF240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45</w:t>
            </w:r>
          </w:p>
        </w:tc>
        <w:tc>
          <w:tcPr>
            <w:tcW w:w="1334" w:type="dxa"/>
            <w:tcBorders>
              <w:top w:val="nil"/>
              <w:left w:val="nil"/>
              <w:bottom w:val="nil"/>
              <w:right w:val="nil"/>
            </w:tcBorders>
            <w:vAlign w:val="center"/>
          </w:tcPr>
          <w:p w14:paraId="5977261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0.500</w:t>
            </w:r>
          </w:p>
        </w:tc>
        <w:tc>
          <w:tcPr>
            <w:tcW w:w="1304" w:type="dxa"/>
            <w:tcBorders>
              <w:top w:val="nil"/>
              <w:left w:val="nil"/>
              <w:bottom w:val="nil"/>
              <w:right w:val="nil"/>
            </w:tcBorders>
            <w:vAlign w:val="center"/>
          </w:tcPr>
          <w:p w14:paraId="4AFD4DF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27.22</w:t>
            </w:r>
          </w:p>
        </w:tc>
        <w:tc>
          <w:tcPr>
            <w:tcW w:w="1318" w:type="dxa"/>
            <w:tcBorders>
              <w:top w:val="nil"/>
              <w:left w:val="nil"/>
              <w:bottom w:val="nil"/>
              <w:right w:val="nil"/>
            </w:tcBorders>
            <w:vAlign w:val="center"/>
          </w:tcPr>
          <w:p w14:paraId="72A5087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5.46</w:t>
            </w:r>
          </w:p>
        </w:tc>
        <w:tc>
          <w:tcPr>
            <w:tcW w:w="896" w:type="dxa"/>
            <w:tcBorders>
              <w:top w:val="nil"/>
              <w:left w:val="nil"/>
              <w:bottom w:val="nil"/>
              <w:right w:val="nil"/>
            </w:tcBorders>
            <w:vAlign w:val="center"/>
          </w:tcPr>
          <w:p w14:paraId="4042DA95">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0.29</w:t>
            </w:r>
          </w:p>
        </w:tc>
        <w:tc>
          <w:tcPr>
            <w:tcW w:w="869" w:type="dxa"/>
            <w:tcBorders>
              <w:top w:val="nil"/>
              <w:left w:val="nil"/>
              <w:bottom w:val="nil"/>
            </w:tcBorders>
            <w:vAlign w:val="center"/>
          </w:tcPr>
          <w:p w14:paraId="5FC84AB0">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4.10</w:t>
            </w:r>
          </w:p>
        </w:tc>
      </w:tr>
      <w:tr w14:paraId="75C199D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05" w:type="pct"/>
            <w:vMerge w:val="continue"/>
            <w:tcBorders>
              <w:bottom w:val="single" w:color="auto" w:sz="4" w:space="0"/>
              <w:right w:val="nil"/>
            </w:tcBorders>
            <w:vAlign w:val="center"/>
          </w:tcPr>
          <w:p w14:paraId="14EC85A6">
            <w:pPr>
              <w:widowControl/>
              <w:ind w:firstLine="0" w:firstLineChars="0"/>
              <w:jc w:val="center"/>
              <w:rPr>
                <w:rFonts w:hint="default" w:ascii="Times New Roman" w:hAnsi="Times New Roman" w:cs="Times New Roman"/>
                <w:sz w:val="28"/>
                <w:szCs w:val="28"/>
              </w:rPr>
            </w:pPr>
          </w:p>
        </w:tc>
        <w:tc>
          <w:tcPr>
            <w:tcW w:w="545" w:type="pct"/>
            <w:tcBorders>
              <w:top w:val="nil"/>
              <w:left w:val="nil"/>
              <w:bottom w:val="single" w:color="auto" w:sz="4" w:space="0"/>
              <w:right w:val="nil"/>
            </w:tcBorders>
            <w:vAlign w:val="center"/>
          </w:tcPr>
          <w:p w14:paraId="50CFE1DC">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55</w:t>
            </w:r>
          </w:p>
        </w:tc>
        <w:tc>
          <w:tcPr>
            <w:tcW w:w="1334" w:type="dxa"/>
            <w:tcBorders>
              <w:top w:val="nil"/>
              <w:left w:val="nil"/>
              <w:bottom w:val="single" w:color="auto" w:sz="4" w:space="0"/>
              <w:right w:val="nil"/>
            </w:tcBorders>
            <w:vAlign w:val="center"/>
          </w:tcPr>
          <w:p w14:paraId="5218835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0.420</w:t>
            </w:r>
          </w:p>
        </w:tc>
        <w:tc>
          <w:tcPr>
            <w:tcW w:w="1304" w:type="dxa"/>
            <w:tcBorders>
              <w:top w:val="nil"/>
              <w:left w:val="nil"/>
              <w:bottom w:val="single" w:color="auto" w:sz="4" w:space="0"/>
              <w:right w:val="nil"/>
            </w:tcBorders>
            <w:vAlign w:val="center"/>
          </w:tcPr>
          <w:p w14:paraId="1174B42C">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28.59</w:t>
            </w:r>
          </w:p>
        </w:tc>
        <w:tc>
          <w:tcPr>
            <w:tcW w:w="1318" w:type="dxa"/>
            <w:tcBorders>
              <w:top w:val="nil"/>
              <w:left w:val="nil"/>
              <w:bottom w:val="single" w:color="auto" w:sz="4" w:space="0"/>
              <w:right w:val="nil"/>
            </w:tcBorders>
            <w:vAlign w:val="center"/>
          </w:tcPr>
          <w:p w14:paraId="4530BB9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4.33</w:t>
            </w:r>
          </w:p>
        </w:tc>
        <w:tc>
          <w:tcPr>
            <w:tcW w:w="896" w:type="dxa"/>
            <w:tcBorders>
              <w:top w:val="nil"/>
              <w:left w:val="nil"/>
              <w:bottom w:val="single" w:color="auto" w:sz="4" w:space="0"/>
              <w:right w:val="nil"/>
            </w:tcBorders>
            <w:vAlign w:val="center"/>
          </w:tcPr>
          <w:p w14:paraId="7999BE96">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0.37</w:t>
            </w:r>
          </w:p>
        </w:tc>
        <w:tc>
          <w:tcPr>
            <w:tcW w:w="869" w:type="dxa"/>
            <w:tcBorders>
              <w:top w:val="nil"/>
              <w:left w:val="nil"/>
              <w:bottom w:val="single" w:color="auto" w:sz="4" w:space="0"/>
            </w:tcBorders>
            <w:vAlign w:val="center"/>
          </w:tcPr>
          <w:p w14:paraId="1A3170D0">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4.33</w:t>
            </w:r>
          </w:p>
        </w:tc>
      </w:tr>
      <w:tr w14:paraId="685AECE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05" w:type="pct"/>
            <w:vMerge w:val="restart"/>
            <w:tcBorders>
              <w:top w:val="single" w:color="auto" w:sz="4" w:space="0"/>
              <w:bottom w:val="nil"/>
            </w:tcBorders>
            <w:vAlign w:val="center"/>
          </w:tcPr>
          <w:p w14:paraId="1F3731A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w:t>
            </w:r>
          </w:p>
        </w:tc>
        <w:tc>
          <w:tcPr>
            <w:tcW w:w="545" w:type="pct"/>
            <w:tcBorders>
              <w:top w:val="single" w:color="auto" w:sz="4" w:space="0"/>
              <w:bottom w:val="nil"/>
            </w:tcBorders>
            <w:vAlign w:val="center"/>
          </w:tcPr>
          <w:p w14:paraId="2379CE22">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25</w:t>
            </w:r>
          </w:p>
        </w:tc>
        <w:tc>
          <w:tcPr>
            <w:tcW w:w="1334" w:type="dxa"/>
            <w:tcBorders>
              <w:top w:val="single" w:color="auto" w:sz="4" w:space="0"/>
              <w:bottom w:val="nil"/>
            </w:tcBorders>
            <w:vAlign w:val="center"/>
          </w:tcPr>
          <w:p w14:paraId="12E5B3BD">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0.100</w:t>
            </w:r>
          </w:p>
        </w:tc>
        <w:tc>
          <w:tcPr>
            <w:tcW w:w="1304" w:type="dxa"/>
            <w:tcBorders>
              <w:top w:val="single" w:color="auto" w:sz="4" w:space="0"/>
              <w:bottom w:val="nil"/>
            </w:tcBorders>
            <w:vAlign w:val="center"/>
          </w:tcPr>
          <w:p w14:paraId="112D14C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31.49</w:t>
            </w:r>
          </w:p>
        </w:tc>
        <w:tc>
          <w:tcPr>
            <w:tcW w:w="1318" w:type="dxa"/>
            <w:tcBorders>
              <w:top w:val="single" w:color="auto" w:sz="4" w:space="0"/>
              <w:bottom w:val="nil"/>
            </w:tcBorders>
            <w:vAlign w:val="center"/>
          </w:tcPr>
          <w:p w14:paraId="0982FC33">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6.18</w:t>
            </w:r>
          </w:p>
        </w:tc>
        <w:tc>
          <w:tcPr>
            <w:tcW w:w="896" w:type="dxa"/>
            <w:tcBorders>
              <w:top w:val="single" w:color="auto" w:sz="4" w:space="0"/>
              <w:bottom w:val="nil"/>
            </w:tcBorders>
            <w:vAlign w:val="center"/>
          </w:tcPr>
          <w:p w14:paraId="0111E535">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0.26</w:t>
            </w:r>
          </w:p>
        </w:tc>
        <w:tc>
          <w:tcPr>
            <w:tcW w:w="869" w:type="dxa"/>
            <w:tcBorders>
              <w:top w:val="single" w:color="auto" w:sz="4" w:space="0"/>
              <w:bottom w:val="nil"/>
            </w:tcBorders>
            <w:vAlign w:val="center"/>
          </w:tcPr>
          <w:p w14:paraId="2692C9F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4.65</w:t>
            </w:r>
          </w:p>
        </w:tc>
      </w:tr>
      <w:tr w14:paraId="4A72683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05" w:type="pct"/>
            <w:vMerge w:val="continue"/>
            <w:tcBorders>
              <w:top w:val="nil"/>
              <w:bottom w:val="nil"/>
            </w:tcBorders>
            <w:vAlign w:val="center"/>
          </w:tcPr>
          <w:p w14:paraId="033F865F">
            <w:pPr>
              <w:widowControl/>
              <w:ind w:firstLine="0" w:firstLineChars="0"/>
              <w:jc w:val="center"/>
              <w:rPr>
                <w:rFonts w:hint="default" w:ascii="Times New Roman" w:hAnsi="Times New Roman" w:cs="Times New Roman"/>
                <w:sz w:val="28"/>
                <w:szCs w:val="28"/>
              </w:rPr>
            </w:pPr>
          </w:p>
        </w:tc>
        <w:tc>
          <w:tcPr>
            <w:tcW w:w="545" w:type="pct"/>
            <w:tcBorders>
              <w:top w:val="nil"/>
              <w:bottom w:val="nil"/>
            </w:tcBorders>
            <w:vAlign w:val="center"/>
          </w:tcPr>
          <w:p w14:paraId="37128C8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35</w:t>
            </w:r>
          </w:p>
        </w:tc>
        <w:tc>
          <w:tcPr>
            <w:tcW w:w="1334" w:type="dxa"/>
            <w:tcBorders>
              <w:top w:val="nil"/>
              <w:bottom w:val="nil"/>
            </w:tcBorders>
            <w:vAlign w:val="center"/>
          </w:tcPr>
          <w:p w14:paraId="5DA602B7">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0.090</w:t>
            </w:r>
          </w:p>
        </w:tc>
        <w:tc>
          <w:tcPr>
            <w:tcW w:w="1304" w:type="dxa"/>
            <w:tcBorders>
              <w:top w:val="nil"/>
              <w:bottom w:val="nil"/>
            </w:tcBorders>
            <w:vAlign w:val="center"/>
          </w:tcPr>
          <w:p w14:paraId="44C317F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30.89</w:t>
            </w:r>
          </w:p>
        </w:tc>
        <w:tc>
          <w:tcPr>
            <w:tcW w:w="1318" w:type="dxa"/>
            <w:tcBorders>
              <w:top w:val="nil"/>
              <w:bottom w:val="nil"/>
            </w:tcBorders>
            <w:vAlign w:val="center"/>
          </w:tcPr>
          <w:p w14:paraId="0B7C729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5.69</w:t>
            </w:r>
          </w:p>
        </w:tc>
        <w:tc>
          <w:tcPr>
            <w:tcW w:w="896" w:type="dxa"/>
            <w:tcBorders>
              <w:top w:val="nil"/>
              <w:bottom w:val="nil"/>
            </w:tcBorders>
            <w:vAlign w:val="center"/>
          </w:tcPr>
          <w:p w14:paraId="40450CB5">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0.28</w:t>
            </w:r>
          </w:p>
        </w:tc>
        <w:tc>
          <w:tcPr>
            <w:tcW w:w="869" w:type="dxa"/>
            <w:tcBorders>
              <w:top w:val="nil"/>
              <w:bottom w:val="nil"/>
            </w:tcBorders>
            <w:vAlign w:val="center"/>
          </w:tcPr>
          <w:p w14:paraId="34054D47">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4.78</w:t>
            </w:r>
          </w:p>
        </w:tc>
      </w:tr>
      <w:tr w14:paraId="6AC5B71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05" w:type="pct"/>
            <w:vMerge w:val="continue"/>
            <w:tcBorders>
              <w:top w:val="nil"/>
              <w:bottom w:val="nil"/>
            </w:tcBorders>
            <w:vAlign w:val="center"/>
          </w:tcPr>
          <w:p w14:paraId="22160F5B">
            <w:pPr>
              <w:widowControl/>
              <w:ind w:firstLine="0" w:firstLineChars="0"/>
              <w:jc w:val="center"/>
              <w:rPr>
                <w:rFonts w:hint="default" w:ascii="Times New Roman" w:hAnsi="Times New Roman" w:cs="Times New Roman"/>
                <w:sz w:val="28"/>
                <w:szCs w:val="28"/>
              </w:rPr>
            </w:pPr>
          </w:p>
        </w:tc>
        <w:tc>
          <w:tcPr>
            <w:tcW w:w="545" w:type="pct"/>
            <w:tcBorders>
              <w:top w:val="nil"/>
              <w:bottom w:val="nil"/>
            </w:tcBorders>
            <w:vAlign w:val="center"/>
          </w:tcPr>
          <w:p w14:paraId="4357E110">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45</w:t>
            </w:r>
          </w:p>
        </w:tc>
        <w:tc>
          <w:tcPr>
            <w:tcW w:w="1334" w:type="dxa"/>
            <w:tcBorders>
              <w:top w:val="nil"/>
              <w:bottom w:val="nil"/>
            </w:tcBorders>
            <w:vAlign w:val="center"/>
          </w:tcPr>
          <w:p w14:paraId="1D61F5D6">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0.078</w:t>
            </w:r>
          </w:p>
        </w:tc>
        <w:tc>
          <w:tcPr>
            <w:tcW w:w="1304" w:type="dxa"/>
            <w:tcBorders>
              <w:top w:val="nil"/>
              <w:bottom w:val="nil"/>
            </w:tcBorders>
            <w:vAlign w:val="center"/>
          </w:tcPr>
          <w:p w14:paraId="5220D01C">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31.10</w:t>
            </w:r>
          </w:p>
        </w:tc>
        <w:tc>
          <w:tcPr>
            <w:tcW w:w="1318" w:type="dxa"/>
            <w:tcBorders>
              <w:top w:val="nil"/>
              <w:bottom w:val="nil"/>
            </w:tcBorders>
            <w:vAlign w:val="center"/>
          </w:tcPr>
          <w:p w14:paraId="4FDC92F2">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4.88</w:t>
            </w:r>
          </w:p>
        </w:tc>
        <w:tc>
          <w:tcPr>
            <w:tcW w:w="896" w:type="dxa"/>
            <w:tcBorders>
              <w:top w:val="nil"/>
              <w:bottom w:val="nil"/>
            </w:tcBorders>
            <w:vAlign w:val="center"/>
          </w:tcPr>
          <w:p w14:paraId="5BFE206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0.33</w:t>
            </w:r>
          </w:p>
        </w:tc>
        <w:tc>
          <w:tcPr>
            <w:tcW w:w="869" w:type="dxa"/>
            <w:tcBorders>
              <w:top w:val="nil"/>
              <w:bottom w:val="nil"/>
            </w:tcBorders>
            <w:vAlign w:val="center"/>
          </w:tcPr>
          <w:p w14:paraId="3F2E3576">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4.95</w:t>
            </w:r>
          </w:p>
        </w:tc>
      </w:tr>
      <w:tr w14:paraId="610389E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05" w:type="pct"/>
            <w:vMerge w:val="continue"/>
            <w:tcBorders>
              <w:top w:val="nil"/>
              <w:bottom w:val="single" w:color="auto" w:sz="4" w:space="0"/>
            </w:tcBorders>
            <w:vAlign w:val="center"/>
          </w:tcPr>
          <w:p w14:paraId="3E0F1680">
            <w:pPr>
              <w:widowControl/>
              <w:ind w:firstLine="0" w:firstLineChars="0"/>
              <w:jc w:val="center"/>
              <w:rPr>
                <w:rFonts w:hint="default" w:ascii="Times New Roman" w:hAnsi="Times New Roman" w:cs="Times New Roman"/>
                <w:sz w:val="28"/>
                <w:szCs w:val="28"/>
              </w:rPr>
            </w:pPr>
          </w:p>
        </w:tc>
        <w:tc>
          <w:tcPr>
            <w:tcW w:w="545" w:type="pct"/>
            <w:tcBorders>
              <w:top w:val="nil"/>
              <w:bottom w:val="single" w:color="auto" w:sz="4" w:space="0"/>
            </w:tcBorders>
            <w:vAlign w:val="center"/>
          </w:tcPr>
          <w:p w14:paraId="63DEF840">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55</w:t>
            </w:r>
          </w:p>
        </w:tc>
        <w:tc>
          <w:tcPr>
            <w:tcW w:w="1334" w:type="dxa"/>
            <w:tcBorders>
              <w:top w:val="nil"/>
              <w:bottom w:val="single" w:color="auto" w:sz="4" w:space="0"/>
            </w:tcBorders>
            <w:vAlign w:val="center"/>
          </w:tcPr>
          <w:p w14:paraId="7BE6A196">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0.075</w:t>
            </w:r>
          </w:p>
        </w:tc>
        <w:tc>
          <w:tcPr>
            <w:tcW w:w="1304" w:type="dxa"/>
            <w:tcBorders>
              <w:top w:val="nil"/>
              <w:bottom w:val="single" w:color="auto" w:sz="4" w:space="0"/>
            </w:tcBorders>
            <w:vAlign w:val="center"/>
          </w:tcPr>
          <w:p w14:paraId="59D1FEBD">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32.38</w:t>
            </w:r>
          </w:p>
        </w:tc>
        <w:tc>
          <w:tcPr>
            <w:tcW w:w="1318" w:type="dxa"/>
            <w:tcBorders>
              <w:top w:val="nil"/>
              <w:bottom w:val="single" w:color="auto" w:sz="4" w:space="0"/>
            </w:tcBorders>
            <w:vAlign w:val="center"/>
          </w:tcPr>
          <w:p w14:paraId="68266D4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4.23</w:t>
            </w:r>
          </w:p>
        </w:tc>
        <w:tc>
          <w:tcPr>
            <w:tcW w:w="896" w:type="dxa"/>
            <w:tcBorders>
              <w:top w:val="nil"/>
              <w:bottom w:val="single" w:color="auto" w:sz="4" w:space="0"/>
            </w:tcBorders>
            <w:vAlign w:val="center"/>
          </w:tcPr>
          <w:p w14:paraId="253A333A">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0.38</w:t>
            </w:r>
          </w:p>
        </w:tc>
        <w:tc>
          <w:tcPr>
            <w:tcW w:w="869" w:type="dxa"/>
            <w:tcBorders>
              <w:top w:val="nil"/>
              <w:bottom w:val="single" w:color="auto" w:sz="4" w:space="0"/>
            </w:tcBorders>
            <w:vAlign w:val="center"/>
          </w:tcPr>
          <w:p w14:paraId="44CBFF07">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5.14</w:t>
            </w:r>
          </w:p>
        </w:tc>
      </w:tr>
      <w:tr w14:paraId="27118D8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05" w:type="pct"/>
            <w:vMerge w:val="restart"/>
            <w:tcBorders>
              <w:top w:val="single" w:color="auto" w:sz="4" w:space="0"/>
              <w:bottom w:val="nil"/>
            </w:tcBorders>
            <w:vAlign w:val="center"/>
          </w:tcPr>
          <w:p w14:paraId="5FCE655E">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w:t>
            </w:r>
          </w:p>
        </w:tc>
        <w:tc>
          <w:tcPr>
            <w:tcW w:w="545" w:type="pct"/>
            <w:tcBorders>
              <w:top w:val="single" w:color="auto" w:sz="4" w:space="0"/>
              <w:bottom w:val="nil"/>
            </w:tcBorders>
            <w:vAlign w:val="center"/>
          </w:tcPr>
          <w:p w14:paraId="0C13AA0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25</w:t>
            </w:r>
          </w:p>
        </w:tc>
        <w:tc>
          <w:tcPr>
            <w:tcW w:w="1334" w:type="dxa"/>
            <w:tcBorders>
              <w:top w:val="single" w:color="auto" w:sz="4" w:space="0"/>
              <w:bottom w:val="nil"/>
            </w:tcBorders>
            <w:vAlign w:val="center"/>
          </w:tcPr>
          <w:p w14:paraId="696FABEE">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0.098</w:t>
            </w:r>
          </w:p>
        </w:tc>
        <w:tc>
          <w:tcPr>
            <w:tcW w:w="1304" w:type="dxa"/>
            <w:tcBorders>
              <w:top w:val="single" w:color="auto" w:sz="4" w:space="0"/>
              <w:bottom w:val="nil"/>
            </w:tcBorders>
            <w:vAlign w:val="center"/>
          </w:tcPr>
          <w:p w14:paraId="7C23C94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29.01</w:t>
            </w:r>
          </w:p>
        </w:tc>
        <w:tc>
          <w:tcPr>
            <w:tcW w:w="1318" w:type="dxa"/>
            <w:tcBorders>
              <w:top w:val="single" w:color="auto" w:sz="4" w:space="0"/>
              <w:bottom w:val="nil"/>
            </w:tcBorders>
            <w:vAlign w:val="center"/>
          </w:tcPr>
          <w:p w14:paraId="03EDF115">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3.34</w:t>
            </w:r>
          </w:p>
        </w:tc>
        <w:tc>
          <w:tcPr>
            <w:tcW w:w="896" w:type="dxa"/>
            <w:tcBorders>
              <w:top w:val="single" w:color="auto" w:sz="4" w:space="0"/>
              <w:bottom w:val="nil"/>
            </w:tcBorders>
            <w:vAlign w:val="center"/>
          </w:tcPr>
          <w:p w14:paraId="5A4653F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0.48</w:t>
            </w:r>
          </w:p>
        </w:tc>
        <w:tc>
          <w:tcPr>
            <w:tcW w:w="869" w:type="dxa"/>
            <w:tcBorders>
              <w:top w:val="single" w:color="auto" w:sz="4" w:space="0"/>
              <w:bottom w:val="nil"/>
            </w:tcBorders>
            <w:vAlign w:val="center"/>
          </w:tcPr>
          <w:p w14:paraId="57104AC7">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5.09</w:t>
            </w:r>
          </w:p>
        </w:tc>
      </w:tr>
      <w:tr w14:paraId="1838F9A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05" w:type="pct"/>
            <w:vMerge w:val="continue"/>
            <w:tcBorders>
              <w:top w:val="nil"/>
              <w:bottom w:val="nil"/>
            </w:tcBorders>
            <w:vAlign w:val="center"/>
          </w:tcPr>
          <w:p w14:paraId="676F810E">
            <w:pPr>
              <w:widowControl/>
              <w:ind w:firstLine="0" w:firstLineChars="0"/>
              <w:jc w:val="center"/>
              <w:rPr>
                <w:rFonts w:hint="default" w:ascii="Times New Roman" w:hAnsi="Times New Roman" w:cs="Times New Roman"/>
                <w:sz w:val="28"/>
                <w:szCs w:val="28"/>
              </w:rPr>
            </w:pPr>
          </w:p>
        </w:tc>
        <w:tc>
          <w:tcPr>
            <w:tcW w:w="545" w:type="pct"/>
            <w:tcBorders>
              <w:top w:val="nil"/>
              <w:bottom w:val="nil"/>
            </w:tcBorders>
            <w:vAlign w:val="center"/>
          </w:tcPr>
          <w:p w14:paraId="3BB6F072">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35</w:t>
            </w:r>
          </w:p>
        </w:tc>
        <w:tc>
          <w:tcPr>
            <w:tcW w:w="1334" w:type="dxa"/>
            <w:tcBorders>
              <w:top w:val="nil"/>
              <w:bottom w:val="nil"/>
            </w:tcBorders>
            <w:vAlign w:val="center"/>
          </w:tcPr>
          <w:p w14:paraId="743310A4">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0.078</w:t>
            </w:r>
          </w:p>
        </w:tc>
        <w:tc>
          <w:tcPr>
            <w:tcW w:w="1304" w:type="dxa"/>
            <w:tcBorders>
              <w:top w:val="nil"/>
              <w:bottom w:val="nil"/>
            </w:tcBorders>
            <w:vAlign w:val="center"/>
          </w:tcPr>
          <w:p w14:paraId="66124B80">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28.31</w:t>
            </w:r>
          </w:p>
        </w:tc>
        <w:tc>
          <w:tcPr>
            <w:tcW w:w="1318" w:type="dxa"/>
            <w:tcBorders>
              <w:top w:val="nil"/>
              <w:bottom w:val="nil"/>
            </w:tcBorders>
            <w:vAlign w:val="center"/>
          </w:tcPr>
          <w:p w14:paraId="66E76B4D">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3.03</w:t>
            </w:r>
          </w:p>
        </w:tc>
        <w:tc>
          <w:tcPr>
            <w:tcW w:w="896" w:type="dxa"/>
            <w:tcBorders>
              <w:top w:val="nil"/>
              <w:bottom w:val="nil"/>
            </w:tcBorders>
            <w:vAlign w:val="center"/>
          </w:tcPr>
          <w:p w14:paraId="570C6833">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0.53</w:t>
            </w:r>
          </w:p>
        </w:tc>
        <w:tc>
          <w:tcPr>
            <w:tcW w:w="869" w:type="dxa"/>
            <w:tcBorders>
              <w:top w:val="nil"/>
              <w:bottom w:val="nil"/>
            </w:tcBorders>
            <w:vAlign w:val="center"/>
          </w:tcPr>
          <w:p w14:paraId="120656B4">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5.35</w:t>
            </w:r>
          </w:p>
        </w:tc>
      </w:tr>
      <w:tr w14:paraId="7C1F188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05" w:type="pct"/>
            <w:vMerge w:val="continue"/>
            <w:tcBorders>
              <w:top w:val="nil"/>
              <w:bottom w:val="nil"/>
            </w:tcBorders>
            <w:vAlign w:val="center"/>
          </w:tcPr>
          <w:p w14:paraId="5CCD5ED7">
            <w:pPr>
              <w:widowControl/>
              <w:ind w:firstLine="0" w:firstLineChars="0"/>
              <w:jc w:val="center"/>
              <w:rPr>
                <w:rFonts w:hint="default" w:ascii="Times New Roman" w:hAnsi="Times New Roman" w:cs="Times New Roman"/>
                <w:sz w:val="28"/>
                <w:szCs w:val="28"/>
              </w:rPr>
            </w:pPr>
          </w:p>
        </w:tc>
        <w:tc>
          <w:tcPr>
            <w:tcW w:w="545" w:type="pct"/>
            <w:tcBorders>
              <w:top w:val="nil"/>
              <w:bottom w:val="nil"/>
            </w:tcBorders>
            <w:vAlign w:val="center"/>
          </w:tcPr>
          <w:p w14:paraId="4DBC57A3">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45</w:t>
            </w:r>
          </w:p>
        </w:tc>
        <w:tc>
          <w:tcPr>
            <w:tcW w:w="1334" w:type="dxa"/>
            <w:tcBorders>
              <w:top w:val="nil"/>
              <w:bottom w:val="nil"/>
            </w:tcBorders>
            <w:vAlign w:val="center"/>
          </w:tcPr>
          <w:p w14:paraId="4D7AF9E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0.065</w:t>
            </w:r>
          </w:p>
        </w:tc>
        <w:tc>
          <w:tcPr>
            <w:tcW w:w="1304" w:type="dxa"/>
            <w:tcBorders>
              <w:top w:val="nil"/>
              <w:bottom w:val="nil"/>
            </w:tcBorders>
            <w:vAlign w:val="center"/>
          </w:tcPr>
          <w:p w14:paraId="01D11BA3">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28.61</w:t>
            </w:r>
          </w:p>
        </w:tc>
        <w:tc>
          <w:tcPr>
            <w:tcW w:w="1318" w:type="dxa"/>
            <w:tcBorders>
              <w:top w:val="nil"/>
              <w:bottom w:val="nil"/>
            </w:tcBorders>
            <w:vAlign w:val="center"/>
          </w:tcPr>
          <w:p w14:paraId="4E1DE91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2.72</w:t>
            </w:r>
          </w:p>
        </w:tc>
        <w:tc>
          <w:tcPr>
            <w:tcW w:w="896" w:type="dxa"/>
            <w:tcBorders>
              <w:top w:val="nil"/>
              <w:bottom w:val="nil"/>
            </w:tcBorders>
            <w:vAlign w:val="center"/>
          </w:tcPr>
          <w:p w14:paraId="6C84365A">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0.59</w:t>
            </w:r>
          </w:p>
        </w:tc>
        <w:tc>
          <w:tcPr>
            <w:tcW w:w="869" w:type="dxa"/>
            <w:tcBorders>
              <w:top w:val="nil"/>
              <w:bottom w:val="nil"/>
            </w:tcBorders>
            <w:vAlign w:val="center"/>
          </w:tcPr>
          <w:p w14:paraId="27261C7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5.54</w:t>
            </w:r>
          </w:p>
        </w:tc>
      </w:tr>
      <w:tr w14:paraId="5D454D4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05" w:type="pct"/>
            <w:vMerge w:val="continue"/>
            <w:tcBorders>
              <w:top w:val="nil"/>
              <w:bottom w:val="single" w:color="auto" w:sz="12" w:space="0"/>
            </w:tcBorders>
            <w:vAlign w:val="center"/>
          </w:tcPr>
          <w:p w14:paraId="4FFC292A">
            <w:pPr>
              <w:widowControl/>
              <w:ind w:firstLine="0" w:firstLineChars="0"/>
              <w:jc w:val="center"/>
              <w:rPr>
                <w:rFonts w:hint="default" w:ascii="Times New Roman" w:hAnsi="Times New Roman" w:cs="Times New Roman"/>
                <w:sz w:val="28"/>
                <w:szCs w:val="28"/>
              </w:rPr>
            </w:pPr>
          </w:p>
        </w:tc>
        <w:tc>
          <w:tcPr>
            <w:tcW w:w="545" w:type="pct"/>
            <w:tcBorders>
              <w:top w:val="nil"/>
              <w:bottom w:val="single" w:color="auto" w:sz="12" w:space="0"/>
            </w:tcBorders>
            <w:vAlign w:val="center"/>
          </w:tcPr>
          <w:p w14:paraId="17C4068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55</w:t>
            </w:r>
          </w:p>
        </w:tc>
        <w:tc>
          <w:tcPr>
            <w:tcW w:w="1334" w:type="dxa"/>
            <w:tcBorders>
              <w:top w:val="nil"/>
              <w:bottom w:val="single" w:color="auto" w:sz="12" w:space="0"/>
            </w:tcBorders>
            <w:vAlign w:val="center"/>
          </w:tcPr>
          <w:p w14:paraId="563A38F6">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0.058</w:t>
            </w:r>
          </w:p>
        </w:tc>
        <w:tc>
          <w:tcPr>
            <w:tcW w:w="1304" w:type="dxa"/>
            <w:tcBorders>
              <w:top w:val="nil"/>
              <w:bottom w:val="single" w:color="auto" w:sz="12" w:space="0"/>
            </w:tcBorders>
            <w:vAlign w:val="center"/>
          </w:tcPr>
          <w:p w14:paraId="12A814C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27.69</w:t>
            </w:r>
          </w:p>
        </w:tc>
        <w:tc>
          <w:tcPr>
            <w:tcW w:w="1318" w:type="dxa"/>
            <w:tcBorders>
              <w:top w:val="nil"/>
              <w:bottom w:val="single" w:color="auto" w:sz="12" w:space="0"/>
            </w:tcBorders>
            <w:vAlign w:val="center"/>
          </w:tcPr>
          <w:p w14:paraId="5530EC5B">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2.12</w:t>
            </w:r>
          </w:p>
        </w:tc>
        <w:tc>
          <w:tcPr>
            <w:tcW w:w="896" w:type="dxa"/>
            <w:tcBorders>
              <w:top w:val="nil"/>
              <w:bottom w:val="single" w:color="auto" w:sz="12" w:space="0"/>
            </w:tcBorders>
            <w:vAlign w:val="center"/>
          </w:tcPr>
          <w:p w14:paraId="50E83A65">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0.76</w:t>
            </w:r>
          </w:p>
        </w:tc>
        <w:tc>
          <w:tcPr>
            <w:tcW w:w="869" w:type="dxa"/>
            <w:tcBorders>
              <w:top w:val="nil"/>
              <w:bottom w:val="single" w:color="auto" w:sz="12" w:space="0"/>
            </w:tcBorders>
            <w:vAlign w:val="center"/>
          </w:tcPr>
          <w:p w14:paraId="78151EA3">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5.87</w:t>
            </w:r>
          </w:p>
        </w:tc>
      </w:tr>
    </w:tbl>
    <w:p w14:paraId="46B24C39">
      <w:pPr>
        <w:widowControl/>
        <w:ind w:firstLine="709" w:firstLineChars="0"/>
        <w:rPr>
          <w:rFonts w:hint="default" w:ascii="Times New Roman" w:hAnsi="Times New Roman" w:cs="Times New Roman"/>
          <w:sz w:val="28"/>
          <w:szCs w:val="28"/>
        </w:rPr>
      </w:pPr>
    </w:p>
    <w:p w14:paraId="4122FFB9">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The variation of interfacial adsorption parameters with temperature further corroborates this interpretation. As summarized in Table 3.8, the </w:t>
      </w:r>
      <w:r>
        <w:rPr>
          <w:rFonts w:hint="default" w:ascii="Times New Roman" w:hAnsi="Times New Roman" w:cs="Times New Roman"/>
          <w:i/>
          <w:iCs/>
          <w:sz w:val="28"/>
          <w:szCs w:val="28"/>
        </w:rPr>
        <w:t>ℾ</w:t>
      </w:r>
      <w:r>
        <w:rPr>
          <w:rFonts w:hint="default" w:ascii="Times New Roman" w:hAnsi="Times New Roman" w:cs="Times New Roman"/>
          <w:sz w:val="28"/>
          <w:szCs w:val="28"/>
          <w:vertAlign w:val="subscript"/>
        </w:rPr>
        <w:t>max</w:t>
      </w:r>
      <w:r>
        <w:rPr>
          <w:rFonts w:hint="default" w:ascii="Times New Roman" w:hAnsi="Times New Roman" w:cs="Times New Roman"/>
          <w:sz w:val="28"/>
          <w:szCs w:val="28"/>
        </w:rPr>
        <w:t xml:space="preserve"> decreases progressively with increasing temperature, whereas the </w:t>
      </w:r>
      <w:r>
        <w:rPr>
          <w:rFonts w:hint="default" w:ascii="Times New Roman" w:hAnsi="Times New Roman" w:cs="Times New Roman"/>
          <w:i/>
          <w:iCs/>
          <w:sz w:val="28"/>
          <w:szCs w:val="28"/>
        </w:rPr>
        <w:t>A</w:t>
      </w:r>
      <w:r>
        <w:rPr>
          <w:rFonts w:hint="default" w:ascii="Times New Roman" w:hAnsi="Times New Roman" w:cs="Times New Roman"/>
          <w:sz w:val="28"/>
          <w:szCs w:val="28"/>
          <w:vertAlign w:val="subscript"/>
        </w:rPr>
        <w:t>min</w:t>
      </w:r>
      <w:r>
        <w:rPr>
          <w:rFonts w:hint="default" w:ascii="Times New Roman" w:hAnsi="Times New Roman" w:cs="Times New Roman"/>
          <w:sz w:val="28"/>
          <w:szCs w:val="28"/>
        </w:rPr>
        <w:t xml:space="preserve"> and the surface adsorption efficiency parameter (</w:t>
      </w:r>
      <w:r>
        <w:rPr>
          <w:rFonts w:hint="default" w:ascii="Times New Roman" w:hAnsi="Times New Roman" w:cs="Times New Roman"/>
          <w:i/>
          <w:iCs/>
          <w:sz w:val="28"/>
          <w:szCs w:val="28"/>
        </w:rPr>
        <w:t>pC</w:t>
      </w:r>
      <w:r>
        <w:rPr>
          <w:rFonts w:hint="default" w:ascii="Times New Roman" w:hAnsi="Times New Roman" w:cs="Times New Roman"/>
          <w:sz w:val="28"/>
          <w:szCs w:val="28"/>
          <w:vertAlign w:val="subscript"/>
        </w:rPr>
        <w:t>20</w:t>
      </w:r>
      <w:r>
        <w:rPr>
          <w:rFonts w:hint="default" w:ascii="Times New Roman" w:hAnsi="Times New Roman" w:cs="Times New Roman"/>
          <w:sz w:val="28"/>
          <w:szCs w:val="28"/>
        </w:rPr>
        <w:t xml:space="preserve">) exhibit a clear upward trend. The decrease in </w:t>
      </w:r>
      <w:r>
        <w:rPr>
          <w:rFonts w:hint="default" w:ascii="Times New Roman" w:hAnsi="Times New Roman" w:cs="Times New Roman"/>
          <w:i/>
          <w:iCs/>
          <w:sz w:val="28"/>
          <w:szCs w:val="28"/>
        </w:rPr>
        <w:t>ℾ</w:t>
      </w:r>
      <w:r>
        <w:rPr>
          <w:rFonts w:hint="default" w:ascii="Times New Roman" w:hAnsi="Times New Roman" w:cs="Times New Roman"/>
          <w:sz w:val="28"/>
          <w:szCs w:val="28"/>
          <w:vertAlign w:val="subscript"/>
        </w:rPr>
        <w:t>max</w:t>
      </w:r>
      <w:r>
        <w:rPr>
          <w:rFonts w:hint="default" w:ascii="Times New Roman" w:hAnsi="Times New Roman" w:cs="Times New Roman"/>
          <w:sz w:val="28"/>
          <w:szCs w:val="28"/>
        </w:rPr>
        <w:t xml:space="preserve"> indicates that fewer surfactant molecules can be accommodated per unit interfacial area at elevated temperatures, which can be attributed to the increase in the effective molecular cross-section [83,89]. With increasing thermal energy, the hydration shells around the EO and PO segments become partially disrupted, and the polymeric headgroups adopt more expanded and flexible conformations. This thermal expansion of the hydrophilic moieties increases steric hindrance between neighboring molecules at the interface, thereby limiting the maximum packing density [83]. Consistent with this behavior, the gradual increase in </w:t>
      </w:r>
      <w:r>
        <w:rPr>
          <w:rFonts w:hint="default" w:ascii="Times New Roman" w:hAnsi="Times New Roman" w:cs="Times New Roman"/>
          <w:i/>
          <w:iCs/>
          <w:sz w:val="28"/>
          <w:szCs w:val="28"/>
        </w:rPr>
        <w:t>A</w:t>
      </w:r>
      <w:r>
        <w:rPr>
          <w:rFonts w:hint="default" w:ascii="Times New Roman" w:hAnsi="Times New Roman" w:cs="Times New Roman"/>
          <w:sz w:val="28"/>
          <w:szCs w:val="28"/>
          <w:vertAlign w:val="subscript"/>
        </w:rPr>
        <w:t>min</w:t>
      </w:r>
      <w:r>
        <w:rPr>
          <w:rFonts w:hint="default" w:ascii="Times New Roman" w:hAnsi="Times New Roman" w:cs="Times New Roman"/>
          <w:sz w:val="28"/>
          <w:szCs w:val="28"/>
        </w:rPr>
        <w:t xml:space="preserve"> demonstrates that each surfactant molecule occupies a larger interfacial area at higher temperatures. This phenomenon reflects the combined effects of weakened hydrogen bonding between EO units and water molecules and enhanced segmental mobility of the EO/PO chains, which allows the headgroups to spread laterally along the interface [83,90]. As a result, the interfacial adsorption layer becomes more loosely packed but structurally more adaptable, facilitating dynamic rearrangement under thermal agitation [90]. More importantly, the continuous increase in </w:t>
      </w:r>
      <w:r>
        <w:rPr>
          <w:rFonts w:hint="default" w:ascii="Times New Roman" w:hAnsi="Times New Roman" w:cs="Times New Roman"/>
          <w:i/>
          <w:iCs/>
          <w:sz w:val="28"/>
          <w:szCs w:val="28"/>
        </w:rPr>
        <w:t>pC</w:t>
      </w:r>
      <w:r>
        <w:rPr>
          <w:rFonts w:hint="default" w:ascii="Times New Roman" w:hAnsi="Times New Roman" w:cs="Times New Roman"/>
          <w:sz w:val="28"/>
          <w:szCs w:val="28"/>
          <w:vertAlign w:val="subscript"/>
        </w:rPr>
        <w:t>20</w:t>
      </w:r>
      <w:r>
        <w:rPr>
          <w:rFonts w:hint="default" w:ascii="Times New Roman" w:hAnsi="Times New Roman" w:cs="Times New Roman"/>
          <w:sz w:val="28"/>
          <w:szCs w:val="28"/>
        </w:rPr>
        <w:t xml:space="preserve"> with temperature reveals that the surfactants become increasingly efficient in adsorbing at the air–water interface and in reducing surface tension. A higher </w:t>
      </w:r>
      <w:r>
        <w:rPr>
          <w:rFonts w:hint="default" w:ascii="Times New Roman" w:hAnsi="Times New Roman" w:cs="Times New Roman"/>
          <w:i/>
          <w:iCs/>
          <w:sz w:val="28"/>
          <w:szCs w:val="28"/>
        </w:rPr>
        <w:t>pC</w:t>
      </w:r>
      <w:r>
        <w:rPr>
          <w:rFonts w:hint="default" w:ascii="Times New Roman" w:hAnsi="Times New Roman" w:cs="Times New Roman"/>
          <w:sz w:val="28"/>
          <w:szCs w:val="28"/>
          <w:vertAlign w:val="subscript"/>
        </w:rPr>
        <w:t>20</w:t>
      </w:r>
      <w:r>
        <w:rPr>
          <w:rFonts w:hint="default" w:ascii="Times New Roman" w:hAnsi="Times New Roman" w:cs="Times New Roman"/>
          <w:sz w:val="28"/>
          <w:szCs w:val="28"/>
        </w:rPr>
        <w:t xml:space="preserve"> value means that a lower bulk concentration is required to decrease the surface tension by 20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which directly reflects stronger surface activity. This improvement is primarily driven by the strengthening of hydrophobic interactions at elevated temperatures, which promotes the expulsion of hydrophobic chains from the aqueous phase and enhances their affinity for the interface. Simultaneously, the partial dehydration of the EO and PO groups reduces electrostatic and steric repulsion between adjacent headgroups, enabling more favorable molecular packing and stronger lateral interactions within the interfacial film [83,93,97,98]. Furthermore, the presence of elongated hydrophobic chains and flexible EO/PO spacer units facilitates intermolecular entanglement and vanderWaals interactions among neighboring adsorbed molecules. These cooperative interactions lead to the formation of a more cohesive and energetically stabilized interfacial adsorption layer at higher temperatures, despite the increase in molecular area [83,99]. Such a thermally reinforced interfacial network is particularly advantageous for maintaining low surface tension and high interfacial elasticity under harsh reservoir conditions.</w:t>
      </w:r>
    </w:p>
    <w:p w14:paraId="76B92DF3">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Taken together, these temperature-dependent changes in </w:t>
      </w:r>
      <w:r>
        <w:rPr>
          <w:rFonts w:hint="default" w:ascii="Times New Roman" w:hAnsi="Times New Roman" w:cs="Times New Roman"/>
          <w:i/>
          <w:iCs/>
          <w:sz w:val="28"/>
          <w:szCs w:val="28"/>
        </w:rPr>
        <w:t>ℾ</w:t>
      </w:r>
      <w:r>
        <w:rPr>
          <w:rFonts w:hint="default" w:ascii="Times New Roman" w:hAnsi="Times New Roman" w:cs="Times New Roman"/>
          <w:sz w:val="28"/>
          <w:szCs w:val="28"/>
          <w:vertAlign w:val="subscript"/>
        </w:rPr>
        <w:t>max</w:t>
      </w:r>
      <w:r>
        <w:rPr>
          <w:rFonts w:hint="default" w:ascii="Times New Roman" w:hAnsi="Times New Roman" w:cs="Times New Roman"/>
          <w:sz w:val="28"/>
          <w:szCs w:val="28"/>
          <w:vertAlign w:val="baseline"/>
        </w:rPr>
        <w:t>,</w:t>
      </w:r>
      <w:r>
        <w:rPr>
          <w:rFonts w:hint="default" w:ascii="Times New Roman" w:hAnsi="Times New Roman" w:cs="Times New Roman"/>
          <w:sz w:val="28"/>
          <w:szCs w:val="28"/>
        </w:rPr>
        <w:t xml:space="preserve"> </w:t>
      </w:r>
      <w:r>
        <w:rPr>
          <w:rFonts w:hint="default" w:ascii="Times New Roman" w:hAnsi="Times New Roman" w:cs="Times New Roman"/>
          <w:i/>
          <w:iCs/>
          <w:sz w:val="28"/>
          <w:szCs w:val="28"/>
        </w:rPr>
        <w:t>A</w:t>
      </w:r>
      <w:r>
        <w:rPr>
          <w:rFonts w:hint="default" w:ascii="Times New Roman" w:hAnsi="Times New Roman" w:cs="Times New Roman"/>
          <w:sz w:val="28"/>
          <w:szCs w:val="28"/>
          <w:vertAlign w:val="subscript"/>
        </w:rPr>
        <w:t>min</w:t>
      </w:r>
      <w:r>
        <w:rPr>
          <w:rFonts w:hint="default" w:ascii="Times New Roman" w:hAnsi="Times New Roman" w:cs="Times New Roman"/>
          <w:sz w:val="28"/>
          <w:szCs w:val="28"/>
        </w:rPr>
        <w:t xml:space="preserve"> and </w:t>
      </w:r>
      <w:r>
        <w:rPr>
          <w:rFonts w:hint="default" w:ascii="Times New Roman" w:hAnsi="Times New Roman" w:cs="Times New Roman"/>
          <w:i/>
          <w:iCs/>
          <w:sz w:val="28"/>
          <w:szCs w:val="28"/>
        </w:rPr>
        <w:t>pC</w:t>
      </w:r>
      <w:r>
        <w:rPr>
          <w:rFonts w:hint="default" w:ascii="Times New Roman" w:hAnsi="Times New Roman" w:cs="Times New Roman"/>
          <w:sz w:val="28"/>
          <w:szCs w:val="28"/>
          <w:vertAlign w:val="subscript"/>
        </w:rPr>
        <w:t>20,</w:t>
      </w:r>
      <w:r>
        <w:rPr>
          <w:rFonts w:hint="default" w:ascii="Times New Roman" w:hAnsi="Times New Roman" w:cs="Times New Roman"/>
          <w:sz w:val="28"/>
          <w:szCs w:val="28"/>
        </w:rPr>
        <w:t xml:space="preserve"> demonstrate that increasing temperature not only alters the molecular packing geometry at the interface but also significantly enhances the intrinsic driving force for surfactant adsorption. This dual effect—reduced packing density combined with higher adsorption efficiency—explains why surface activity continues to improve with temperature. Consequently, these surfactants exhibit superior interfacial performance and robustness under high-temperature and high-salinity conditions, highlighting their strong potential for enhanced oil recovery in deep and harsh reservoir environments.</w:t>
      </w:r>
    </w:p>
    <w:p w14:paraId="3924CA00">
      <w:pPr>
        <w:widowControl/>
        <w:ind w:firstLine="709" w:firstLineChars="0"/>
        <w:rPr>
          <w:rFonts w:hint="default" w:ascii="Times New Roman" w:hAnsi="Times New Roman" w:cs="Times New Roman"/>
          <w:i w:val="0"/>
          <w:iCs w:val="0"/>
          <w:sz w:val="28"/>
          <w:szCs w:val="28"/>
        </w:rPr>
      </w:pPr>
      <w:r>
        <w:rPr>
          <w:rFonts w:hint="default" w:ascii="Times New Roman" w:hAnsi="Times New Roman" w:cs="Times New Roman"/>
          <w:i w:val="0"/>
          <w:iCs w:val="0"/>
          <w:sz w:val="28"/>
          <w:szCs w:val="28"/>
        </w:rPr>
        <w:t>3.4.4.3 Aggregation behavior in aqueous solutions</w:t>
      </w:r>
    </w:p>
    <w:p w14:paraId="53662C41">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Above the cmc, surfactant molecules spontaneously self-assemble into a variety of micellar architectures, including spherical micelles, wormlike micelles, vesicles, and lamellar structures [83,100]. The specific morphology of the aggregates is determined by the balance between the molecular geometry of the surfactant and the intermolecular interactions in solution. To quantitatively characterize the aggregation behavior of surfactants in aqueous media, the critical packing parameter (P) is commonly employed. The packing parameter provides a predictive framework for the preferred micellar structure based on the relative volumes of the hydrophobic tail, the effective area of the hydrophilic headgroup, and the length of the tail. In this study, P was calculated using Tanford’s equations, which take into account the molecular dimensions and chain lengths of the surfactants, allowing for an estimation of the likely micelle morphology. This analysis offers insights into how molecular modifications, such as the introduction of EO or PO groups, influence micellar structure and, consequently, the interfacial and rheological properties of the surfactant solutions [83,101,102].</w:t>
      </w:r>
    </w:p>
    <w:p w14:paraId="11BC93AE">
      <w:pPr>
        <w:widowControl/>
        <w:ind w:firstLine="709" w:firstLineChars="0"/>
        <w:jc w:val="right"/>
        <w:rPr>
          <w:rFonts w:hint="default" w:ascii="Times New Roman" w:hAnsi="Times New Roman" w:cs="Times New Roman"/>
          <w:sz w:val="28"/>
          <w:szCs w:val="28"/>
        </w:rPr>
      </w:pPr>
      <w:bookmarkStart w:id="487" w:name="_Toc13819"/>
      <w:bookmarkStart w:id="488" w:name="_Toc22447"/>
      <w:bookmarkStart w:id="489" w:name="_Toc18112"/>
      <m:oMath>
        <m:r>
          <m:rPr>
            <m:nor/>
            <m:sty m:val="p"/>
          </m:rPr>
          <w:rPr>
            <w:rFonts w:hint="default" w:ascii="Times New Roman" w:hAnsi="Times New Roman" w:cs="Times New Roman"/>
            <w:b w:val="0"/>
            <w:i w:val="0"/>
            <w:sz w:val="28"/>
            <w:szCs w:val="28"/>
          </w:rPr>
          <m:t>P=</m:t>
        </m:r>
        <m:f>
          <m:fPr>
            <m:ctrlPr>
              <w:rPr>
                <w:rFonts w:hint="default" w:ascii="Cambria Math" w:hAnsi="Cambria Math" w:cs="Times New Roman"/>
                <w:sz w:val="28"/>
                <w:szCs w:val="28"/>
              </w:rPr>
            </m:ctrlPr>
          </m:fPr>
          <m:num>
            <m:r>
              <m:rPr>
                <m:nor/>
                <m:sty m:val="p"/>
              </m:rPr>
              <w:rPr>
                <w:rFonts w:hint="default" w:ascii="Times New Roman" w:hAnsi="Times New Roman" w:cs="Times New Roman"/>
                <w:b w:val="0"/>
                <w:i w:val="0"/>
                <w:sz w:val="28"/>
                <w:szCs w:val="28"/>
              </w:rPr>
              <m:t>V</m:t>
            </m:r>
            <m:ctrlPr>
              <w:rPr>
                <w:rFonts w:hint="default" w:ascii="Cambria Math" w:hAnsi="Cambria Math" w:cs="Times New Roman"/>
                <w:sz w:val="28"/>
                <w:szCs w:val="28"/>
              </w:rPr>
            </m:ctrlPr>
          </m:num>
          <m:den>
            <m:sSub>
              <m:sSubPr>
                <m:ctrlPr>
                  <w:rPr>
                    <w:rFonts w:hint="default" w:ascii="Cambria Math" w:hAnsi="Cambria Math" w:cs="Times New Roman"/>
                    <w:i/>
                    <w:iCs/>
                    <w:sz w:val="28"/>
                    <w:szCs w:val="28"/>
                  </w:rPr>
                </m:ctrlPr>
              </m:sSubPr>
              <m:e>
                <m:r>
                  <m:rPr>
                    <m:nor/>
                  </m:rPr>
                  <w:rPr>
                    <w:rFonts w:hint="default" w:ascii="Times New Roman" w:hAnsi="Times New Roman" w:cs="Times New Roman"/>
                    <w:i/>
                    <w:sz w:val="28"/>
                    <w:szCs w:val="28"/>
                  </w:rPr>
                  <m:t>a</m:t>
                </m:r>
                <m:ctrlPr>
                  <w:rPr>
                    <w:rFonts w:hint="default" w:ascii="Cambria Math" w:hAnsi="Cambria Math" w:cs="Times New Roman"/>
                    <w:i/>
                    <w:iCs/>
                    <w:sz w:val="28"/>
                    <w:szCs w:val="28"/>
                  </w:rPr>
                </m:ctrlPr>
              </m:e>
              <m:sub>
                <m:r>
                  <m:rPr>
                    <m:nor/>
                    <m:sty m:val="p"/>
                  </m:rPr>
                  <w:rPr>
                    <w:rFonts w:hint="default" w:ascii="Times New Roman" w:hAnsi="Times New Roman" w:cs="Times New Roman"/>
                    <w:b w:val="0"/>
                    <w:i w:val="0"/>
                    <w:sz w:val="28"/>
                    <w:szCs w:val="28"/>
                  </w:rPr>
                  <m:t>0</m:t>
                </m:r>
                <m:ctrlPr>
                  <w:rPr>
                    <w:rFonts w:hint="default" w:ascii="Cambria Math" w:hAnsi="Cambria Math" w:cs="Times New Roman"/>
                    <w:i/>
                    <w:iCs/>
                    <w:sz w:val="28"/>
                    <w:szCs w:val="28"/>
                  </w:rPr>
                </m:ctrlPr>
              </m:sub>
            </m:sSub>
            <m:r>
              <m:rPr>
                <m:nor/>
                <m:sty m:val="p"/>
              </m:rPr>
              <w:rPr>
                <w:rFonts w:hint="default" w:ascii="Times New Roman" w:hAnsi="Times New Roman" w:cs="Times New Roman"/>
                <w:b w:val="0"/>
                <w:i w:val="0"/>
                <w:sz w:val="28"/>
                <w:szCs w:val="28"/>
              </w:rPr>
              <m:t>×</m:t>
            </m:r>
            <m:sSub>
              <m:sSubPr>
                <m:ctrlPr>
                  <w:rPr>
                    <w:rFonts w:hint="default" w:ascii="Cambria Math" w:hAnsi="Cambria Math" w:cs="Times New Roman"/>
                    <w:i/>
                    <w:iCs/>
                    <w:sz w:val="28"/>
                    <w:szCs w:val="28"/>
                  </w:rPr>
                </m:ctrlPr>
              </m:sSubPr>
              <m:e>
                <m:r>
                  <m:rPr>
                    <m:nor/>
                  </m:rPr>
                  <w:rPr>
                    <w:rFonts w:hint="default" w:ascii="Times New Roman" w:hAnsi="Times New Roman" w:cs="Times New Roman"/>
                    <w:i/>
                    <w:iCs/>
                    <w:sz w:val="28"/>
                    <w:szCs w:val="28"/>
                  </w:rPr>
                  <m:t>l</m:t>
                </m:r>
                <m:ctrlPr>
                  <w:rPr>
                    <w:rFonts w:hint="default" w:ascii="Cambria Math" w:hAnsi="Cambria Math" w:cs="Times New Roman"/>
                    <w:i/>
                    <w:iCs/>
                    <w:sz w:val="28"/>
                    <w:szCs w:val="28"/>
                  </w:rPr>
                </m:ctrlPr>
              </m:e>
              <m:sub>
                <m:r>
                  <m:rPr>
                    <m:nor/>
                    <m:sty m:val="p"/>
                  </m:rPr>
                  <w:rPr>
                    <w:rFonts w:hint="default" w:ascii="Times New Roman" w:hAnsi="Times New Roman" w:cs="Times New Roman"/>
                    <w:b w:val="0"/>
                    <w:i w:val="0"/>
                    <w:iCs/>
                    <w:sz w:val="28"/>
                    <w:szCs w:val="28"/>
                  </w:rPr>
                  <m:t>0</m:t>
                </m:r>
                <m:ctrlPr>
                  <w:rPr>
                    <w:rFonts w:hint="default" w:ascii="Cambria Math" w:hAnsi="Cambria Math" w:cs="Times New Roman"/>
                    <w:i/>
                    <w:iCs/>
                    <w:sz w:val="28"/>
                    <w:szCs w:val="28"/>
                  </w:rPr>
                </m:ctrlPr>
              </m:sub>
            </m:sSub>
            <m:ctrlPr>
              <w:rPr>
                <w:rFonts w:hint="default" w:ascii="Cambria Math" w:hAnsi="Cambria Math" w:cs="Times New Roman"/>
                <w:sz w:val="28"/>
                <w:szCs w:val="28"/>
              </w:rPr>
            </m:ctrlPr>
          </m:den>
        </m:f>
      </m:oMath>
      <w:r>
        <w:rPr>
          <w:rFonts w:hint="default" w:ascii="Times New Roman" w:hAnsi="Times New Roman" w:cs="Times New Roman"/>
          <w:sz w:val="28"/>
          <w:szCs w:val="28"/>
        </w:rPr>
        <w:t xml:space="preserve">                  </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t xml:space="preserve">                                  (3</w:t>
      </w:r>
      <w:r>
        <w:rPr>
          <w:rFonts w:hint="default" w:ascii="Times New Roman" w:hAnsi="Times New Roman" w:cs="Times New Roman"/>
          <w:sz w:val="28"/>
          <w:szCs w:val="28"/>
          <w:lang w:val="en-US" w:eastAsia="zh-CN"/>
        </w:rPr>
        <w:t>.10</w:t>
      </w:r>
      <w:r>
        <w:rPr>
          <w:rFonts w:hint="default" w:ascii="Times New Roman" w:hAnsi="Times New Roman" w:cs="Times New Roman"/>
          <w:sz w:val="28"/>
          <w:szCs w:val="28"/>
        </w:rPr>
        <w:t>)</w:t>
      </w:r>
      <w:bookmarkEnd w:id="487"/>
      <w:bookmarkEnd w:id="488"/>
      <w:bookmarkEnd w:id="489"/>
    </w:p>
    <w:p w14:paraId="0A7A3A6E">
      <w:pPr>
        <w:widowControl/>
        <w:ind w:firstLine="709" w:firstLineChars="0"/>
        <w:jc w:val="right"/>
        <w:rPr>
          <w:rFonts w:hint="default" w:ascii="Times New Roman" w:hAnsi="Times New Roman" w:cs="Times New Roman"/>
          <w:sz w:val="28"/>
          <w:szCs w:val="28"/>
        </w:rPr>
      </w:pPr>
      <w:bookmarkStart w:id="490" w:name="_Toc16227"/>
      <w:bookmarkStart w:id="491" w:name="_Toc21788"/>
      <w:bookmarkStart w:id="492" w:name="_Toc17230"/>
      <m:oMath>
        <m:r>
          <m:rPr>
            <m:nor/>
            <m:sty m:val="p"/>
          </m:rPr>
          <w:rPr>
            <w:rFonts w:hint="default" w:ascii="Times New Roman" w:hAnsi="Times New Roman" w:cs="Times New Roman"/>
            <w:b w:val="0"/>
            <w:i w:val="0"/>
            <w:sz w:val="28"/>
            <w:szCs w:val="28"/>
          </w:rPr>
          <m:t>V=(27.4+26.9m)×</m:t>
        </m:r>
        <m:sSup>
          <m:sSupPr>
            <m:ctrlPr>
              <w:rPr>
                <w:rFonts w:hint="default" w:ascii="Cambria Math" w:hAnsi="Cambria Math" w:cs="Times New Roman"/>
                <w:sz w:val="28"/>
                <w:szCs w:val="28"/>
              </w:rPr>
            </m:ctrlPr>
          </m:sSupPr>
          <m:e>
            <m:r>
              <m:rPr>
                <m:nor/>
                <m:sty m:val="p"/>
              </m:rPr>
              <w:rPr>
                <w:rFonts w:hint="default" w:ascii="Times New Roman" w:hAnsi="Times New Roman" w:cs="Times New Roman"/>
                <w:b w:val="0"/>
                <w:i w:val="0"/>
                <w:sz w:val="28"/>
                <w:szCs w:val="28"/>
              </w:rPr>
              <m:t>10</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-3</m:t>
            </m:r>
            <m:ctrlPr>
              <w:rPr>
                <w:rFonts w:hint="default" w:ascii="Cambria Math" w:hAnsi="Cambria Math" w:cs="Times New Roman"/>
                <w:sz w:val="28"/>
                <w:szCs w:val="28"/>
              </w:rPr>
            </m:ctrlPr>
          </m:sup>
        </m:sSup>
        <m:sSup>
          <m:sSupPr>
            <m:ctrlPr>
              <w:rPr>
                <w:rFonts w:hint="default" w:ascii="Cambria Math" w:hAnsi="Cambria Math" w:cs="Times New Roman"/>
                <w:sz w:val="28"/>
                <w:szCs w:val="28"/>
              </w:rPr>
            </m:ctrlPr>
          </m:sSupPr>
          <m:e>
            <m:r>
              <m:rPr>
                <m:nor/>
                <m:sty m:val="p"/>
              </m:rPr>
              <w:rPr>
                <w:rFonts w:hint="default" w:ascii="Times New Roman" w:hAnsi="Times New Roman" w:cs="Times New Roman"/>
                <w:b w:val="0"/>
                <w:i w:val="0"/>
                <w:sz w:val="28"/>
                <w:szCs w:val="28"/>
              </w:rPr>
              <m:t>nm</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3</m:t>
            </m:r>
            <m:ctrlPr>
              <w:rPr>
                <w:rFonts w:hint="default" w:ascii="Cambria Math" w:hAnsi="Cambria Math" w:cs="Times New Roman"/>
                <w:sz w:val="28"/>
                <w:szCs w:val="28"/>
              </w:rPr>
            </m:ctrlPr>
          </m:sup>
        </m:sSup>
      </m:oMath>
      <w:r>
        <w:rPr>
          <w:rFonts w:hint="default" w:ascii="Times New Roman" w:hAnsi="Times New Roman" w:cs="Times New Roman"/>
          <w:sz w:val="28"/>
          <w:szCs w:val="28"/>
        </w:rPr>
        <w:t xml:space="preserve">                                     (3</w:t>
      </w:r>
      <w:r>
        <w:rPr>
          <w:rFonts w:hint="default" w:ascii="Times New Roman" w:hAnsi="Times New Roman" w:cs="Times New Roman"/>
          <w:sz w:val="28"/>
          <w:szCs w:val="28"/>
          <w:lang w:val="en-US" w:eastAsia="zh-CN"/>
        </w:rPr>
        <w:t>.11</w:t>
      </w:r>
      <w:r>
        <w:rPr>
          <w:rFonts w:hint="default" w:ascii="Times New Roman" w:hAnsi="Times New Roman" w:cs="Times New Roman"/>
          <w:sz w:val="28"/>
          <w:szCs w:val="28"/>
        </w:rPr>
        <w:t>)</w:t>
      </w:r>
      <w:bookmarkEnd w:id="490"/>
      <w:bookmarkEnd w:id="491"/>
      <w:bookmarkEnd w:id="492"/>
    </w:p>
    <w:p w14:paraId="0E2034A1">
      <w:pPr>
        <w:widowControl/>
        <w:ind w:firstLine="709" w:firstLineChars="0"/>
        <w:jc w:val="right"/>
        <w:rPr>
          <w:rFonts w:hint="default" w:ascii="Times New Roman" w:hAnsi="Times New Roman" w:cs="Times New Roman"/>
          <w:sz w:val="28"/>
          <w:szCs w:val="28"/>
        </w:rPr>
      </w:pPr>
      <w:bookmarkStart w:id="493" w:name="_Toc31311"/>
      <w:bookmarkStart w:id="494" w:name="_Toc21310"/>
      <w:bookmarkStart w:id="495" w:name="_Toc18975"/>
      <m:oMath>
        <m:sSub>
          <m:sSubPr>
            <m:ctrlPr>
              <w:rPr>
                <w:rFonts w:hint="default" w:ascii="Cambria Math" w:hAnsi="Cambria Math" w:cs="Times New Roman"/>
                <w:i/>
                <w:iCs/>
                <w:sz w:val="28"/>
                <w:szCs w:val="28"/>
              </w:rPr>
            </m:ctrlPr>
          </m:sSubPr>
          <m:e>
            <m:r>
              <m:rPr>
                <m:nor/>
              </m:rPr>
              <w:rPr>
                <w:rFonts w:hint="default" w:ascii="Times New Roman" w:hAnsi="Times New Roman" w:cs="Times New Roman"/>
                <w:i/>
                <w:iCs/>
                <w:sz w:val="28"/>
                <w:szCs w:val="28"/>
              </w:rPr>
              <m:t>l</m:t>
            </m:r>
            <m:ctrlPr>
              <w:rPr>
                <w:rFonts w:hint="default" w:ascii="Cambria Math" w:hAnsi="Cambria Math" w:cs="Times New Roman"/>
                <w:i/>
                <w:iCs/>
                <w:sz w:val="28"/>
                <w:szCs w:val="28"/>
              </w:rPr>
            </m:ctrlPr>
          </m:e>
          <m:sub>
            <m:r>
              <m:rPr>
                <m:nor/>
                <m:sty m:val="p"/>
              </m:rPr>
              <w:rPr>
                <w:rFonts w:hint="default" w:ascii="Times New Roman" w:hAnsi="Times New Roman" w:cs="Times New Roman"/>
                <w:b w:val="0"/>
                <w:i w:val="0"/>
                <w:iCs/>
                <w:sz w:val="28"/>
                <w:szCs w:val="28"/>
              </w:rPr>
              <m:t>0</m:t>
            </m:r>
            <m:ctrlPr>
              <w:rPr>
                <w:rFonts w:hint="default" w:ascii="Cambria Math" w:hAnsi="Cambria Math" w:cs="Times New Roman"/>
                <w:i/>
                <w:iCs/>
                <w:sz w:val="28"/>
                <w:szCs w:val="28"/>
              </w:rPr>
            </m:ctrlPr>
          </m:sub>
        </m:sSub>
        <m:r>
          <m:rPr>
            <m:nor/>
            <m:sty m:val="p"/>
          </m:rPr>
          <w:rPr>
            <w:rFonts w:hint="default" w:ascii="Times New Roman" w:hAnsi="Times New Roman" w:cs="Times New Roman"/>
            <w:b w:val="0"/>
            <w:i w:val="0"/>
            <w:sz w:val="28"/>
            <w:szCs w:val="28"/>
          </w:rPr>
          <m:t>=(0.15+0.1265m)nm</m:t>
        </m:r>
      </m:oMath>
      <w:r>
        <w:rPr>
          <w:rFonts w:hint="default" w:ascii="Times New Roman" w:hAnsi="Times New Roman" w:cs="Times New Roman"/>
          <w:sz w:val="28"/>
          <w:szCs w:val="28"/>
        </w:rPr>
        <w:t xml:space="preserve">                  </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t xml:space="preserve">                     (3</w:t>
      </w:r>
      <w:r>
        <w:rPr>
          <w:rFonts w:hint="default" w:ascii="Times New Roman" w:hAnsi="Times New Roman" w:cs="Times New Roman"/>
          <w:sz w:val="28"/>
          <w:szCs w:val="28"/>
          <w:lang w:val="en-US" w:eastAsia="zh-CN"/>
        </w:rPr>
        <w:t>.12</w:t>
      </w:r>
      <w:r>
        <w:rPr>
          <w:rFonts w:hint="default" w:ascii="Times New Roman" w:hAnsi="Times New Roman" w:cs="Times New Roman"/>
          <w:sz w:val="28"/>
          <w:szCs w:val="28"/>
        </w:rPr>
        <w:t>)</w:t>
      </w:r>
      <w:bookmarkEnd w:id="493"/>
      <w:bookmarkEnd w:id="494"/>
      <w:bookmarkEnd w:id="495"/>
    </w:p>
    <w:p w14:paraId="048FAD7A">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Where V denotes the hydrophobic volume of an alkyl chain (nm</w:t>
      </w:r>
      <w:r>
        <w:rPr>
          <w:rFonts w:hint="default" w:ascii="Times New Roman" w:hAnsi="Times New Roman" w:cs="Times New Roman"/>
          <w:sz w:val="28"/>
          <w:szCs w:val="28"/>
          <w:vertAlign w:val="superscript"/>
        </w:rPr>
        <w:t>3</w:t>
      </w:r>
      <w:r>
        <w:rPr>
          <w:rFonts w:hint="default" w:ascii="Times New Roman" w:hAnsi="Times New Roman" w:cs="Times New Roman"/>
          <w:sz w:val="28"/>
          <w:szCs w:val="28"/>
        </w:rPr>
        <w:t xml:space="preserve">). </w:t>
      </w:r>
      <m:oMath>
        <m:sSub>
          <m:sSubPr>
            <m:ctrlPr>
              <w:rPr>
                <w:rFonts w:hint="default" w:ascii="Cambria Math" w:hAnsi="Cambria Math" w:cs="Times New Roman"/>
                <w:i/>
                <w:sz w:val="28"/>
                <w:szCs w:val="28"/>
              </w:rPr>
            </m:ctrlPr>
          </m:sSubPr>
          <m:e>
            <m:r>
              <m:rPr/>
              <w:rPr>
                <w:rFonts w:hint="default" w:cs="Times New Roman"/>
                <w:sz w:val="28"/>
                <w:szCs w:val="28"/>
                <w:lang w:val="en-US" w:eastAsia="zh-CN"/>
              </w:rPr>
              <m:t>l</m:t>
            </m:r>
            <m:ctrlPr>
              <w:rPr>
                <w:rFonts w:hint="default" w:ascii="Cambria Math" w:hAnsi="Cambria Math" w:cs="Times New Roman"/>
                <w:i/>
                <w:sz w:val="28"/>
                <w:szCs w:val="28"/>
              </w:rPr>
            </m:ctrlPr>
          </m:e>
          <m:sub>
            <m:r>
              <m:rPr/>
              <w:rPr>
                <w:rFonts w:hint="default" w:ascii="Cambria Math" w:hAnsi="Cambria Math" w:cs="Times New Roman"/>
                <w:sz w:val="28"/>
                <w:szCs w:val="28"/>
                <w:lang w:val="en-US" w:eastAsia="zh-CN"/>
              </w:rPr>
              <m:t>0</m:t>
            </m:r>
            <m:ctrlPr>
              <w:rPr>
                <w:rFonts w:hint="default" w:ascii="Cambria Math" w:hAnsi="Cambria Math" w:cs="Times New Roman"/>
                <w:i/>
                <w:sz w:val="28"/>
                <w:szCs w:val="28"/>
              </w:rPr>
            </m:ctrlPr>
          </m:sub>
        </m:sSub>
      </m:oMath>
      <w:r>
        <w:rPr>
          <w:rFonts w:hint="default" w:ascii="Times New Roman" w:hAnsi="Times New Roman" w:cs="Times New Roman"/>
          <w:sz w:val="28"/>
          <w:szCs w:val="28"/>
        </w:rPr>
        <w:t xml:space="preserve"> is the tail length (nm) and </w:t>
      </w:r>
      <m:oMath>
        <m:sSub>
          <m:sSubPr>
            <m:ctrlPr>
              <w:rPr>
                <w:rFonts w:hint="default" w:ascii="Cambria Math" w:hAnsi="Cambria Math" w:cs="Times New Roman"/>
                <w:i/>
                <w:sz w:val="28"/>
                <w:szCs w:val="28"/>
              </w:rPr>
            </m:ctrlPr>
          </m:sSubPr>
          <m:e>
            <m:r>
              <m:rPr/>
              <w:rPr>
                <w:rFonts w:hint="default" w:cs="Times New Roman"/>
                <w:sz w:val="28"/>
                <w:szCs w:val="28"/>
                <w:lang w:val="en-US" w:eastAsia="zh-CN"/>
              </w:rPr>
              <m:t>a</m:t>
            </m:r>
            <m:ctrlPr>
              <w:rPr>
                <w:rFonts w:hint="default" w:ascii="Cambria Math" w:hAnsi="Cambria Math" w:cs="Times New Roman"/>
                <w:i/>
                <w:sz w:val="28"/>
                <w:szCs w:val="28"/>
              </w:rPr>
            </m:ctrlPr>
          </m:e>
          <m:sub>
            <m:r>
              <m:rPr/>
              <w:rPr>
                <w:rFonts w:hint="default" w:ascii="Cambria Math" w:hAnsi="Cambria Math" w:cs="Times New Roman"/>
                <w:sz w:val="28"/>
                <w:szCs w:val="28"/>
                <w:lang w:val="en-US" w:eastAsia="zh-CN"/>
              </w:rPr>
              <m:t>0</m:t>
            </m:r>
            <m:ctrlPr>
              <w:rPr>
                <w:rFonts w:hint="default" w:ascii="Cambria Math" w:hAnsi="Cambria Math" w:cs="Times New Roman"/>
                <w:i/>
                <w:sz w:val="28"/>
                <w:szCs w:val="28"/>
              </w:rPr>
            </m:ctrlPr>
          </m:sub>
        </m:sSub>
      </m:oMath>
      <w:r>
        <w:rPr>
          <w:rFonts w:hint="default" w:ascii="Times New Roman" w:hAnsi="Times New Roman" w:cs="Times New Roman"/>
          <w:i w:val="0"/>
          <w:iCs/>
          <w:sz w:val="28"/>
          <w:szCs w:val="28"/>
          <w:lang w:val="en-US" w:eastAsia="zh-CN"/>
        </w:rPr>
        <w:t xml:space="preserve"> </w:t>
      </w:r>
      <w:r>
        <w:rPr>
          <w:rFonts w:hint="default" w:ascii="Times New Roman" w:hAnsi="Times New Roman" w:cs="Times New Roman"/>
          <w:sz w:val="28"/>
          <w:szCs w:val="28"/>
        </w:rPr>
        <w:t xml:space="preserve">is the minimum interfacial area per surfactant molecule which is taken as </w:t>
      </w:r>
      <m:oMath>
        <m:sSub>
          <m:sSubPr>
            <m:ctrlPr>
              <w:rPr>
                <w:rFonts w:hint="default" w:ascii="Cambria Math" w:hAnsi="Cambria Math" w:cs="Times New Roman"/>
                <w:i/>
                <w:iCs/>
                <w:sz w:val="28"/>
                <w:szCs w:val="28"/>
              </w:rPr>
            </m:ctrlPr>
          </m:sSubPr>
          <m:e>
            <m:r>
              <m:rPr>
                <m:nor/>
              </m:rPr>
              <w:rPr>
                <w:rFonts w:hint="default" w:ascii="Times New Roman" w:hAnsi="Times New Roman" w:cs="Times New Roman"/>
                <w:i/>
                <w:sz w:val="28"/>
                <w:szCs w:val="28"/>
              </w:rPr>
              <m:t>A</m:t>
            </m:r>
            <m:ctrlPr>
              <w:rPr>
                <w:rFonts w:hint="default" w:ascii="Cambria Math" w:hAnsi="Cambria Math" w:cs="Times New Roman"/>
                <w:i/>
                <w:iCs/>
                <w:sz w:val="28"/>
                <w:szCs w:val="28"/>
              </w:rPr>
            </m:ctrlPr>
          </m:e>
          <m:sub>
            <m:r>
              <m:rPr>
                <m:nor/>
              </m:rPr>
              <w:rPr>
                <w:rFonts w:hint="default" w:ascii="Times New Roman" w:hAnsi="Times New Roman" w:cs="Times New Roman"/>
                <w:i/>
                <w:sz w:val="28"/>
                <w:szCs w:val="28"/>
              </w:rPr>
              <m:t>min</m:t>
            </m:r>
            <m:ctrlPr>
              <w:rPr>
                <w:rFonts w:hint="default" w:ascii="Cambria Math" w:hAnsi="Cambria Math" w:cs="Times New Roman"/>
                <w:i/>
                <w:iCs/>
                <w:sz w:val="28"/>
                <w:szCs w:val="28"/>
              </w:rPr>
            </m:ctrlPr>
          </m:sub>
        </m:sSub>
      </m:oMath>
      <w:r>
        <w:rPr>
          <w:rFonts w:hint="default" w:ascii="Times New Roman" w:hAnsi="Times New Roman" w:cs="Times New Roman"/>
          <w:sz w:val="28"/>
          <w:szCs w:val="28"/>
        </w:rPr>
        <w:t xml:space="preserve"> [103].</w:t>
      </w:r>
    </w:p>
    <w:p w14:paraId="16FEE283">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calculated results of prepared extended amphoteric surfactants are listed in Table 3.9.</w:t>
      </w:r>
    </w:p>
    <w:p w14:paraId="4B44701D">
      <w:pPr>
        <w:widowControl/>
        <w:ind w:firstLine="709" w:firstLineChars="0"/>
        <w:rPr>
          <w:rFonts w:hint="default" w:ascii="Times New Roman" w:hAnsi="Times New Roman" w:cs="Times New Roman"/>
          <w:sz w:val="28"/>
          <w:szCs w:val="28"/>
        </w:rPr>
      </w:pPr>
    </w:p>
    <w:p w14:paraId="1B8DEF0A">
      <w:pPr>
        <w:widowControl/>
        <w:ind w:left="0" w:leftChars="0" w:firstLine="0" w:firstLineChars="0"/>
        <w:rPr>
          <w:rFonts w:hint="default" w:ascii="Times New Roman" w:hAnsi="Times New Roman" w:eastAsia="宋体" w:cs="Times New Roman"/>
          <w:i w:val="0"/>
          <w:iCs w:val="0"/>
          <w:sz w:val="28"/>
          <w:szCs w:val="28"/>
          <w:lang w:val="en-US" w:eastAsia="zh-CN"/>
        </w:rPr>
      </w:pPr>
      <w:r>
        <w:rPr>
          <w:rFonts w:hint="default" w:ascii="Times New Roman" w:hAnsi="Times New Roman" w:cs="Times New Roman"/>
          <w:i w:val="0"/>
          <w:iCs w:val="0"/>
          <w:sz w:val="28"/>
          <w:szCs w:val="28"/>
        </w:rPr>
        <w:t>Table 3.9 – The packing parameter (P) of prepared surfactants</w:t>
      </w:r>
      <w:r>
        <w:rPr>
          <w:rFonts w:hint="default" w:ascii="Times New Roman" w:hAnsi="Times New Roman" w:cs="Times New Roman"/>
          <w:i w:val="0"/>
          <w:iCs w:val="0"/>
          <w:sz w:val="28"/>
          <w:szCs w:val="28"/>
          <w:lang w:val="en-US" w:eastAsia="zh-CN"/>
        </w:rPr>
        <w:t>.</w:t>
      </w:r>
    </w:p>
    <w:tbl>
      <w:tblPr>
        <w:tblStyle w:val="1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03"/>
        <w:gridCol w:w="1961"/>
        <w:gridCol w:w="1961"/>
        <w:gridCol w:w="1961"/>
        <w:gridCol w:w="1964"/>
      </w:tblGrid>
      <w:tr w14:paraId="012EF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16" w:type="pct"/>
            <w:tcBorders>
              <w:top w:val="single" w:color="auto" w:sz="12" w:space="0"/>
              <w:bottom w:val="single" w:color="auto" w:sz="4" w:space="0"/>
            </w:tcBorders>
          </w:tcPr>
          <w:p w14:paraId="2F1818B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Surfactant</w:t>
            </w:r>
          </w:p>
        </w:tc>
        <w:tc>
          <w:tcPr>
            <w:tcW w:w="995" w:type="pct"/>
            <w:tcBorders>
              <w:top w:val="single" w:color="auto" w:sz="12" w:space="0"/>
              <w:bottom w:val="single" w:color="auto" w:sz="4" w:space="0"/>
            </w:tcBorders>
          </w:tcPr>
          <w:p w14:paraId="4A7811C5">
            <w:pPr>
              <w:widowControl/>
              <w:ind w:firstLine="0" w:firstLineChars="0"/>
              <w:jc w:val="center"/>
              <w:rPr>
                <w:rFonts w:hint="default" w:ascii="Times New Roman" w:hAnsi="Times New Roman" w:cs="Times New Roman"/>
                <w:sz w:val="28"/>
                <w:szCs w:val="28"/>
              </w:rPr>
            </w:pPr>
            <m:oMath>
              <m:sSub>
                <m:sSubPr>
                  <m:ctrlPr>
                    <w:rPr>
                      <w:rFonts w:hint="default" w:ascii="Cambria Math" w:hAnsi="Cambria Math" w:cs="Times New Roman"/>
                      <w:i/>
                      <w:iCs/>
                      <w:sz w:val="28"/>
                      <w:szCs w:val="28"/>
                    </w:rPr>
                  </m:ctrlPr>
                </m:sSubPr>
                <m:e>
                  <m:r>
                    <m:rPr>
                      <m:nor/>
                    </m:rPr>
                    <w:rPr>
                      <w:rFonts w:hint="default" w:ascii="Times New Roman" w:hAnsi="Times New Roman" w:cs="Times New Roman"/>
                      <w:i/>
                      <w:sz w:val="28"/>
                      <w:szCs w:val="28"/>
                    </w:rPr>
                    <m:t>a</m:t>
                  </m:r>
                  <m:ctrlPr>
                    <w:rPr>
                      <w:rFonts w:hint="default" w:ascii="Cambria Math" w:hAnsi="Cambria Math" w:cs="Times New Roman"/>
                      <w:i/>
                      <w:iCs/>
                      <w:sz w:val="28"/>
                      <w:szCs w:val="28"/>
                    </w:rPr>
                  </m:ctrlPr>
                </m:e>
                <m:sub>
                  <m:r>
                    <m:rPr>
                      <m:nor/>
                      <m:sty m:val="p"/>
                    </m:rPr>
                    <w:rPr>
                      <w:rFonts w:hint="default" w:ascii="Times New Roman" w:hAnsi="Times New Roman" w:cs="Times New Roman"/>
                      <w:b w:val="0"/>
                      <w:i w:val="0"/>
                      <w:sz w:val="28"/>
                      <w:szCs w:val="28"/>
                    </w:rPr>
                    <m:t>0</m:t>
                  </m:r>
                  <m:ctrlPr>
                    <w:rPr>
                      <w:rFonts w:hint="default" w:ascii="Cambria Math" w:hAnsi="Cambria Math" w:cs="Times New Roman"/>
                      <w:i/>
                      <w:iCs/>
                      <w:sz w:val="28"/>
                      <w:szCs w:val="28"/>
                    </w:rPr>
                  </m:ctrlPr>
                </m:sub>
              </m:sSub>
            </m:oMath>
            <w:r>
              <w:rPr>
                <w:rFonts w:hint="default" w:ascii="Times New Roman" w:hAnsi="Times New Roman" w:cs="Times New Roman"/>
                <w:iCs/>
                <w:sz w:val="28"/>
                <w:szCs w:val="28"/>
              </w:rPr>
              <w:t xml:space="preserve"> (nm</w:t>
            </w:r>
            <w:r>
              <w:rPr>
                <w:rFonts w:hint="default" w:ascii="Times New Roman" w:hAnsi="Times New Roman" w:cs="Times New Roman"/>
                <w:iCs/>
                <w:sz w:val="28"/>
                <w:szCs w:val="28"/>
                <w:vertAlign w:val="superscript"/>
              </w:rPr>
              <w:t>2</w:t>
            </w:r>
            <w:r>
              <w:rPr>
                <w:rFonts w:hint="default" w:ascii="Times New Roman" w:hAnsi="Times New Roman" w:cs="Times New Roman"/>
                <w:iCs/>
                <w:sz w:val="28"/>
                <w:szCs w:val="28"/>
              </w:rPr>
              <w:t>)</w:t>
            </w:r>
          </w:p>
        </w:tc>
        <w:tc>
          <w:tcPr>
            <w:tcW w:w="995" w:type="pct"/>
            <w:tcBorders>
              <w:top w:val="single" w:color="auto" w:sz="12" w:space="0"/>
              <w:bottom w:val="single" w:color="auto" w:sz="4" w:space="0"/>
            </w:tcBorders>
          </w:tcPr>
          <w:p w14:paraId="7B4E99BD">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V (nm</w:t>
            </w:r>
            <w:r>
              <w:rPr>
                <w:rFonts w:hint="default" w:ascii="Times New Roman" w:hAnsi="Times New Roman" w:cs="Times New Roman"/>
                <w:sz w:val="28"/>
                <w:szCs w:val="28"/>
                <w:vertAlign w:val="superscript"/>
              </w:rPr>
              <w:t>3</w:t>
            </w:r>
            <w:r>
              <w:rPr>
                <w:rFonts w:hint="default" w:ascii="Times New Roman" w:hAnsi="Times New Roman" w:cs="Times New Roman"/>
                <w:sz w:val="28"/>
                <w:szCs w:val="28"/>
              </w:rPr>
              <w:t>)</w:t>
            </w:r>
          </w:p>
        </w:tc>
        <w:tc>
          <w:tcPr>
            <w:tcW w:w="995" w:type="pct"/>
            <w:tcBorders>
              <w:top w:val="single" w:color="auto" w:sz="12" w:space="0"/>
              <w:bottom w:val="single" w:color="auto" w:sz="4" w:space="0"/>
            </w:tcBorders>
          </w:tcPr>
          <w:p w14:paraId="116CEC70">
            <w:pPr>
              <w:widowControl/>
              <w:ind w:firstLine="0" w:firstLineChars="0"/>
              <w:jc w:val="center"/>
              <w:rPr>
                <w:rFonts w:hint="default" w:ascii="Times New Roman" w:hAnsi="Times New Roman" w:cs="Times New Roman" w:eastAsiaTheme="minorEastAsia"/>
                <w:sz w:val="28"/>
                <w:szCs w:val="28"/>
              </w:rPr>
            </w:pPr>
            <m:oMath>
              <m:sSub>
                <m:sSubPr>
                  <m:ctrlPr>
                    <w:rPr>
                      <w:rFonts w:hint="default" w:ascii="Cambria Math" w:hAnsi="Cambria Math" w:cs="Times New Roman"/>
                      <w:i/>
                      <w:iCs/>
                      <w:sz w:val="28"/>
                      <w:szCs w:val="28"/>
                    </w:rPr>
                  </m:ctrlPr>
                </m:sSubPr>
                <m:e>
                  <m:r>
                    <m:rPr>
                      <m:nor/>
                    </m:rPr>
                    <w:rPr>
                      <w:rFonts w:hint="default" w:ascii="Times New Roman" w:hAnsi="Times New Roman" w:cs="Times New Roman"/>
                      <w:i/>
                      <w:iCs/>
                      <w:sz w:val="28"/>
                      <w:szCs w:val="28"/>
                    </w:rPr>
                    <m:t>l</m:t>
                  </m:r>
                  <m:ctrlPr>
                    <w:rPr>
                      <w:rFonts w:hint="default" w:ascii="Cambria Math" w:hAnsi="Cambria Math" w:cs="Times New Roman"/>
                      <w:i/>
                      <w:iCs/>
                      <w:sz w:val="28"/>
                      <w:szCs w:val="28"/>
                    </w:rPr>
                  </m:ctrlPr>
                </m:e>
                <m:sub>
                  <m:r>
                    <m:rPr>
                      <m:nor/>
                      <m:sty m:val="p"/>
                    </m:rPr>
                    <w:rPr>
                      <w:rFonts w:hint="default" w:ascii="Times New Roman" w:hAnsi="Times New Roman" w:cs="Times New Roman"/>
                      <w:b w:val="0"/>
                      <w:i w:val="0"/>
                      <w:iCs/>
                      <w:sz w:val="28"/>
                      <w:szCs w:val="28"/>
                    </w:rPr>
                    <m:t>0</m:t>
                  </m:r>
                  <m:ctrlPr>
                    <w:rPr>
                      <w:rFonts w:hint="default" w:ascii="Cambria Math" w:hAnsi="Cambria Math" w:cs="Times New Roman"/>
                      <w:i/>
                      <w:iCs/>
                      <w:sz w:val="28"/>
                      <w:szCs w:val="28"/>
                    </w:rPr>
                  </m:ctrlPr>
                </m:sub>
              </m:sSub>
            </m:oMath>
            <w:r>
              <w:rPr>
                <w:rFonts w:hint="default" w:ascii="Times New Roman" w:hAnsi="Times New Roman" w:cs="Times New Roman"/>
                <w:iCs/>
                <w:sz w:val="28"/>
                <w:szCs w:val="28"/>
              </w:rPr>
              <w:t xml:space="preserve"> </w:t>
            </w:r>
            <w:r>
              <w:rPr>
                <w:rFonts w:hint="default" w:ascii="Times New Roman" w:hAnsi="Times New Roman" w:cs="Times New Roman" w:eastAsiaTheme="minorEastAsia"/>
                <w:iCs/>
                <w:sz w:val="28"/>
                <w:szCs w:val="28"/>
              </w:rPr>
              <w:t>(nm)</w:t>
            </w:r>
          </w:p>
        </w:tc>
        <w:tc>
          <w:tcPr>
            <w:tcW w:w="996" w:type="pct"/>
            <w:tcBorders>
              <w:top w:val="single" w:color="auto" w:sz="12" w:space="0"/>
              <w:bottom w:val="single" w:color="auto" w:sz="4" w:space="0"/>
            </w:tcBorders>
          </w:tcPr>
          <w:p w14:paraId="1AB73312">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P</w:t>
            </w:r>
          </w:p>
        </w:tc>
      </w:tr>
      <w:tr w14:paraId="2719F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16" w:type="pct"/>
            <w:tcBorders>
              <w:top w:val="single" w:color="auto" w:sz="4" w:space="0"/>
            </w:tcBorders>
          </w:tcPr>
          <w:p w14:paraId="02C8874A">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NS</w:t>
            </w:r>
          </w:p>
        </w:tc>
        <w:tc>
          <w:tcPr>
            <w:tcW w:w="995" w:type="pct"/>
            <w:tcBorders>
              <w:top w:val="single" w:color="auto" w:sz="4" w:space="0"/>
            </w:tcBorders>
          </w:tcPr>
          <w:p w14:paraId="61FAD6A2">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0.24</w:t>
            </w:r>
          </w:p>
        </w:tc>
        <w:tc>
          <w:tcPr>
            <w:tcW w:w="995" w:type="pct"/>
            <w:tcBorders>
              <w:top w:val="single" w:color="auto" w:sz="4" w:space="0"/>
            </w:tcBorders>
          </w:tcPr>
          <w:p w14:paraId="6F08E564">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0.3502</w:t>
            </w:r>
          </w:p>
        </w:tc>
        <w:tc>
          <w:tcPr>
            <w:tcW w:w="995" w:type="pct"/>
            <w:tcBorders>
              <w:top w:val="single" w:color="auto" w:sz="4" w:space="0"/>
            </w:tcBorders>
          </w:tcPr>
          <w:p w14:paraId="43552B6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1.668</w:t>
            </w:r>
          </w:p>
        </w:tc>
        <w:tc>
          <w:tcPr>
            <w:tcW w:w="996" w:type="pct"/>
            <w:tcBorders>
              <w:top w:val="single" w:color="auto" w:sz="4" w:space="0"/>
            </w:tcBorders>
          </w:tcPr>
          <w:p w14:paraId="35700FC6">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0.8748</w:t>
            </w:r>
          </w:p>
        </w:tc>
      </w:tr>
      <w:tr w14:paraId="1235B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16" w:type="pct"/>
          </w:tcPr>
          <w:p w14:paraId="2B6F037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w:t>
            </w:r>
          </w:p>
        </w:tc>
        <w:tc>
          <w:tcPr>
            <w:tcW w:w="995" w:type="pct"/>
          </w:tcPr>
          <w:p w14:paraId="5CE4F49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0.26</w:t>
            </w:r>
          </w:p>
        </w:tc>
        <w:tc>
          <w:tcPr>
            <w:tcW w:w="995" w:type="pct"/>
          </w:tcPr>
          <w:p w14:paraId="568881E6">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0.5452</w:t>
            </w:r>
          </w:p>
        </w:tc>
        <w:tc>
          <w:tcPr>
            <w:tcW w:w="995" w:type="pct"/>
          </w:tcPr>
          <w:p w14:paraId="4DEC391C">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2.598</w:t>
            </w:r>
          </w:p>
        </w:tc>
        <w:tc>
          <w:tcPr>
            <w:tcW w:w="996" w:type="pct"/>
          </w:tcPr>
          <w:p w14:paraId="7A57B7DE">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0.8071</w:t>
            </w:r>
          </w:p>
        </w:tc>
      </w:tr>
      <w:tr w14:paraId="1D00F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16" w:type="pct"/>
            <w:tcBorders>
              <w:bottom w:val="single" w:color="auto" w:sz="12" w:space="0"/>
            </w:tcBorders>
          </w:tcPr>
          <w:p w14:paraId="30E8D892">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w:t>
            </w:r>
          </w:p>
        </w:tc>
        <w:tc>
          <w:tcPr>
            <w:tcW w:w="995" w:type="pct"/>
            <w:tcBorders>
              <w:bottom w:val="single" w:color="auto" w:sz="12" w:space="0"/>
            </w:tcBorders>
          </w:tcPr>
          <w:p w14:paraId="6FC91FEB">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0.48</w:t>
            </w:r>
          </w:p>
        </w:tc>
        <w:tc>
          <w:tcPr>
            <w:tcW w:w="995" w:type="pct"/>
            <w:tcBorders>
              <w:bottom w:val="single" w:color="auto" w:sz="12" w:space="0"/>
            </w:tcBorders>
          </w:tcPr>
          <w:p w14:paraId="11DA7422">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0.7102</w:t>
            </w:r>
          </w:p>
        </w:tc>
        <w:tc>
          <w:tcPr>
            <w:tcW w:w="995" w:type="pct"/>
            <w:tcBorders>
              <w:bottom w:val="single" w:color="auto" w:sz="12" w:space="0"/>
            </w:tcBorders>
          </w:tcPr>
          <w:p w14:paraId="04A5F646">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3.438</w:t>
            </w:r>
          </w:p>
        </w:tc>
        <w:tc>
          <w:tcPr>
            <w:tcW w:w="996" w:type="pct"/>
            <w:tcBorders>
              <w:bottom w:val="single" w:color="auto" w:sz="12" w:space="0"/>
            </w:tcBorders>
          </w:tcPr>
          <w:p w14:paraId="6DE59E90">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0.4304</w:t>
            </w:r>
          </w:p>
        </w:tc>
      </w:tr>
    </w:tbl>
    <w:p w14:paraId="48277C41">
      <w:pPr>
        <w:widowControl/>
        <w:ind w:firstLine="709" w:firstLineChars="0"/>
        <w:rPr>
          <w:rFonts w:hint="default" w:ascii="Times New Roman" w:hAnsi="Times New Roman" w:cs="Times New Roman"/>
          <w:sz w:val="28"/>
          <w:szCs w:val="28"/>
        </w:rPr>
      </w:pPr>
    </w:p>
    <w:p w14:paraId="2DD6A062">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As shown in Table 3.9, the P of the surfactants decreases systematically with the introduction of PO and EO groups into the molecular structure. According to the packing parameter equation, the incorporation of PO groups slightly increases both the hydrophobic chain volume (V) and the chain length (</w:t>
      </w:r>
      <m:oMath>
        <m:sSub>
          <m:sSubPr>
            <m:ctrlPr>
              <w:rPr>
                <w:rFonts w:hint="default" w:ascii="Cambria Math" w:hAnsi="Cambria Math" w:cs="Times New Roman"/>
                <w:i/>
                <w:iCs/>
                <w:sz w:val="28"/>
                <w:szCs w:val="28"/>
              </w:rPr>
            </m:ctrlPr>
          </m:sSubPr>
          <m:e>
            <m:r>
              <m:rPr>
                <m:nor/>
              </m:rPr>
              <w:rPr>
                <w:rFonts w:hint="default" w:ascii="Times New Roman" w:hAnsi="Times New Roman" w:cs="Times New Roman"/>
                <w:i/>
                <w:iCs/>
                <w:sz w:val="28"/>
                <w:szCs w:val="28"/>
              </w:rPr>
              <m:t>l</m:t>
            </m:r>
            <m:ctrlPr>
              <w:rPr>
                <w:rFonts w:hint="default" w:ascii="Cambria Math" w:hAnsi="Cambria Math" w:cs="Times New Roman"/>
                <w:i/>
                <w:iCs/>
                <w:sz w:val="28"/>
                <w:szCs w:val="28"/>
              </w:rPr>
            </m:ctrlPr>
          </m:e>
          <m:sub>
            <m:r>
              <m:rPr>
                <m:nor/>
                <m:sty m:val="p"/>
              </m:rPr>
              <w:rPr>
                <w:rFonts w:hint="default" w:ascii="Times New Roman" w:hAnsi="Times New Roman" w:cs="Times New Roman"/>
                <w:b w:val="0"/>
                <w:i w:val="0"/>
                <w:iCs/>
                <w:sz w:val="28"/>
                <w:szCs w:val="28"/>
              </w:rPr>
              <m:t>0</m:t>
            </m:r>
            <m:ctrlPr>
              <w:rPr>
                <w:rFonts w:hint="default" w:ascii="Cambria Math" w:hAnsi="Cambria Math" w:cs="Times New Roman"/>
                <w:i/>
                <w:iCs/>
                <w:sz w:val="28"/>
                <w:szCs w:val="28"/>
              </w:rPr>
            </m:ctrlPr>
          </m:sub>
        </m:sSub>
      </m:oMath>
      <w:r>
        <w:rPr>
          <w:rFonts w:hint="default" w:ascii="Times New Roman" w:hAnsi="Times New Roman" w:cs="Times New Roman"/>
          <w:sz w:val="28"/>
          <w:szCs w:val="28"/>
        </w:rPr>
        <w:t>) owing to the addition of hydrophobic methylene units in the propylene oxide segment. However, PO units also introduce methyl substituents and conformationally flexible ether linkages, which markedly increase the steric hindrance and rotational freedom of the headgroup region. This leads to an expansion of the effective headgroup area (</w:t>
      </w:r>
      <m:oMath>
        <m:sSub>
          <m:sSubPr>
            <m:ctrlPr>
              <w:rPr>
                <w:rFonts w:hint="default" w:ascii="Cambria Math" w:hAnsi="Cambria Math" w:cs="Times New Roman"/>
                <w:i/>
                <w:iCs/>
                <w:sz w:val="28"/>
                <w:szCs w:val="28"/>
              </w:rPr>
            </m:ctrlPr>
          </m:sSubPr>
          <m:e>
            <m:r>
              <m:rPr>
                <m:nor/>
              </m:rPr>
              <w:rPr>
                <w:rFonts w:hint="default" w:ascii="Times New Roman" w:hAnsi="Times New Roman" w:cs="Times New Roman"/>
                <w:i/>
                <w:sz w:val="28"/>
                <w:szCs w:val="28"/>
              </w:rPr>
              <m:t>a</m:t>
            </m:r>
            <m:ctrlPr>
              <w:rPr>
                <w:rFonts w:hint="default" w:ascii="Cambria Math" w:hAnsi="Cambria Math" w:cs="Times New Roman"/>
                <w:i/>
                <w:iCs/>
                <w:sz w:val="28"/>
                <w:szCs w:val="28"/>
              </w:rPr>
            </m:ctrlPr>
          </m:e>
          <m:sub>
            <m:r>
              <m:rPr>
                <m:nor/>
                <m:sty m:val="p"/>
              </m:rPr>
              <w:rPr>
                <w:rFonts w:hint="default" w:ascii="Times New Roman" w:hAnsi="Times New Roman" w:cs="Times New Roman"/>
                <w:b w:val="0"/>
                <w:i w:val="0"/>
                <w:sz w:val="28"/>
                <w:szCs w:val="28"/>
              </w:rPr>
              <m:t>0</m:t>
            </m:r>
            <m:ctrlPr>
              <w:rPr>
                <w:rFonts w:hint="default" w:ascii="Cambria Math" w:hAnsi="Cambria Math" w:cs="Times New Roman"/>
                <w:i/>
                <w:iCs/>
                <w:sz w:val="28"/>
                <w:szCs w:val="28"/>
              </w:rPr>
            </m:ctrlPr>
          </m:sub>
        </m:sSub>
      </m:oMath>
      <w:r>
        <w:rPr>
          <w:rFonts w:hint="default" w:ascii="Times New Roman" w:hAnsi="Times New Roman" w:cs="Times New Roman"/>
          <w:sz w:val="28"/>
          <w:szCs w:val="28"/>
        </w:rPr>
        <w:t xml:space="preserve">), which partially offsets the increases in V and </w:t>
      </w:r>
      <m:oMath>
        <m:sSub>
          <m:sSubPr>
            <m:ctrlPr>
              <w:rPr>
                <w:rFonts w:hint="default" w:ascii="Cambria Math" w:hAnsi="Cambria Math" w:cs="Times New Roman"/>
                <w:i/>
                <w:iCs/>
                <w:sz w:val="28"/>
                <w:szCs w:val="28"/>
              </w:rPr>
            </m:ctrlPr>
          </m:sSubPr>
          <m:e>
            <m:r>
              <m:rPr>
                <m:nor/>
              </m:rPr>
              <w:rPr>
                <w:rFonts w:hint="default" w:ascii="Times New Roman" w:hAnsi="Times New Roman" w:cs="Times New Roman"/>
                <w:i/>
                <w:iCs/>
                <w:sz w:val="28"/>
                <w:szCs w:val="28"/>
              </w:rPr>
              <m:t>l</m:t>
            </m:r>
            <m:ctrlPr>
              <w:rPr>
                <w:rFonts w:hint="default" w:ascii="Cambria Math" w:hAnsi="Cambria Math" w:cs="Times New Roman"/>
                <w:i/>
                <w:iCs/>
                <w:sz w:val="28"/>
                <w:szCs w:val="28"/>
              </w:rPr>
            </m:ctrlPr>
          </m:e>
          <m:sub>
            <m:r>
              <m:rPr>
                <m:nor/>
                <m:sty m:val="p"/>
              </m:rPr>
              <w:rPr>
                <w:rFonts w:hint="default" w:ascii="Times New Roman" w:hAnsi="Times New Roman" w:cs="Times New Roman"/>
                <w:b w:val="0"/>
                <w:i w:val="0"/>
                <w:iCs/>
                <w:sz w:val="28"/>
                <w:szCs w:val="28"/>
              </w:rPr>
              <m:t>0</m:t>
            </m:r>
            <m:ctrlPr>
              <w:rPr>
                <w:rFonts w:hint="default" w:ascii="Cambria Math" w:hAnsi="Cambria Math" w:cs="Times New Roman"/>
                <w:i/>
                <w:iCs/>
                <w:sz w:val="28"/>
                <w:szCs w:val="28"/>
              </w:rPr>
            </m:ctrlPr>
          </m:sub>
        </m:sSub>
      </m:oMath>
      <w:r>
        <w:rPr>
          <w:rFonts w:hint="default" w:ascii="Times New Roman" w:hAnsi="Times New Roman" w:cs="Times New Roman"/>
          <w:sz w:val="28"/>
          <w:szCs w:val="28"/>
        </w:rPr>
        <w:t xml:space="preserve">, resulting in a moderate decrease in P. In contrast, the introduction of EO groups exerts a much stronger influence on the molecular packing geometry. EO units are highly hydrophilic and become strongly hydrated in aqueous solution, forming extensive hydrogen-bonding networks with surrounding water molecules. This pronounced hydration shell dramatically increases the effective headgroup volume and lateral steric repulsion, leading to a substantial increase in </w:t>
      </w:r>
      <m:oMath>
        <m:sSub>
          <m:sSubPr>
            <m:ctrlPr>
              <w:rPr>
                <w:rFonts w:hint="default" w:ascii="Cambria Math" w:hAnsi="Cambria Math" w:cs="Times New Roman"/>
                <w:i/>
                <w:iCs/>
                <w:sz w:val="28"/>
                <w:szCs w:val="28"/>
              </w:rPr>
            </m:ctrlPr>
          </m:sSubPr>
          <m:e>
            <m:r>
              <m:rPr>
                <m:nor/>
              </m:rPr>
              <w:rPr>
                <w:rFonts w:hint="default" w:ascii="Times New Roman" w:hAnsi="Times New Roman" w:cs="Times New Roman"/>
                <w:i/>
                <w:sz w:val="28"/>
                <w:szCs w:val="28"/>
              </w:rPr>
              <m:t>a</m:t>
            </m:r>
            <m:ctrlPr>
              <w:rPr>
                <w:rFonts w:hint="default" w:ascii="Cambria Math" w:hAnsi="Cambria Math" w:cs="Times New Roman"/>
                <w:i/>
                <w:iCs/>
                <w:sz w:val="28"/>
                <w:szCs w:val="28"/>
              </w:rPr>
            </m:ctrlPr>
          </m:e>
          <m:sub>
            <m:r>
              <m:rPr>
                <m:nor/>
                <m:sty m:val="p"/>
              </m:rPr>
              <w:rPr>
                <w:rFonts w:hint="default" w:ascii="Times New Roman" w:hAnsi="Times New Roman" w:cs="Times New Roman"/>
                <w:b w:val="0"/>
                <w:i w:val="0"/>
                <w:sz w:val="28"/>
                <w:szCs w:val="28"/>
              </w:rPr>
              <m:t>0</m:t>
            </m:r>
            <m:ctrlPr>
              <w:rPr>
                <w:rFonts w:hint="default" w:ascii="Cambria Math" w:hAnsi="Cambria Math" w:cs="Times New Roman"/>
                <w:i/>
                <w:iCs/>
                <w:sz w:val="28"/>
                <w:szCs w:val="28"/>
              </w:rPr>
            </m:ctrlPr>
          </m:sub>
        </m:sSub>
      </m:oMath>
      <w:r>
        <w:rPr>
          <w:rFonts w:hint="eastAsia" w:hAnsi="Cambria Math" w:cs="Times New Roman"/>
          <w:i w:val="0"/>
          <w:iCs/>
          <w:sz w:val="28"/>
          <w:szCs w:val="28"/>
          <w:lang w:val="en-US" w:eastAsia="zh-CN"/>
        </w:rPr>
        <w:t>.</w:t>
      </w:r>
      <w:r>
        <w:rPr>
          <w:rFonts w:hint="default" w:ascii="Times New Roman" w:hAnsi="Times New Roman" w:cs="Times New Roman"/>
          <w:sz w:val="28"/>
          <w:szCs w:val="28"/>
        </w:rPr>
        <w:t xml:space="preserve"> Although EO incorporation also slightly increases V and </w:t>
      </w:r>
      <m:oMath>
        <m:sSub>
          <m:sSubPr>
            <m:ctrlPr>
              <w:rPr>
                <w:rFonts w:hint="default" w:ascii="Cambria Math" w:hAnsi="Cambria Math" w:cs="Times New Roman"/>
                <w:i/>
                <w:iCs/>
                <w:sz w:val="28"/>
                <w:szCs w:val="28"/>
              </w:rPr>
            </m:ctrlPr>
          </m:sSubPr>
          <m:e>
            <m:r>
              <m:rPr>
                <m:nor/>
              </m:rPr>
              <w:rPr>
                <w:rFonts w:hint="default" w:ascii="Times New Roman" w:hAnsi="Times New Roman" w:cs="Times New Roman"/>
                <w:i/>
                <w:iCs/>
                <w:sz w:val="28"/>
                <w:szCs w:val="28"/>
              </w:rPr>
              <m:t>l</m:t>
            </m:r>
            <m:ctrlPr>
              <w:rPr>
                <w:rFonts w:hint="default" w:ascii="Cambria Math" w:hAnsi="Cambria Math" w:cs="Times New Roman"/>
                <w:i/>
                <w:iCs/>
                <w:sz w:val="28"/>
                <w:szCs w:val="28"/>
              </w:rPr>
            </m:ctrlPr>
          </m:e>
          <m:sub>
            <m:r>
              <m:rPr>
                <m:nor/>
                <m:sty m:val="p"/>
              </m:rPr>
              <w:rPr>
                <w:rFonts w:hint="default" w:ascii="Times New Roman" w:hAnsi="Times New Roman" w:cs="Times New Roman"/>
                <w:b w:val="0"/>
                <w:i w:val="0"/>
                <w:iCs/>
                <w:sz w:val="28"/>
                <w:szCs w:val="28"/>
              </w:rPr>
              <m:t>0</m:t>
            </m:r>
            <m:ctrlPr>
              <w:rPr>
                <w:rFonts w:hint="default" w:ascii="Cambria Math" w:hAnsi="Cambria Math" w:cs="Times New Roman"/>
                <w:i/>
                <w:iCs/>
                <w:sz w:val="28"/>
                <w:szCs w:val="28"/>
              </w:rPr>
            </m:ctrlPr>
          </m:sub>
        </m:sSub>
      </m:oMath>
      <w:r>
        <w:rPr>
          <w:rFonts w:hint="default" w:ascii="Times New Roman" w:hAnsi="Times New Roman" w:cs="Times New Roman"/>
          <w:sz w:val="28"/>
          <w:szCs w:val="28"/>
        </w:rPr>
        <w:t xml:space="preserve"> by extending the molecular backbone, these effects are negligible compared with the dominant expansion of the hydrated headgroup region. Consequently, the denominator (</w:t>
      </w:r>
      <m:oMath>
        <m:sSub>
          <m:sSubPr>
            <m:ctrlPr>
              <w:rPr>
                <w:rFonts w:hint="default" w:ascii="Cambria Math" w:hAnsi="Cambria Math" w:cs="Times New Roman"/>
                <w:i/>
                <w:iCs/>
                <w:sz w:val="28"/>
                <w:szCs w:val="28"/>
              </w:rPr>
            </m:ctrlPr>
          </m:sSubPr>
          <m:e>
            <m:r>
              <m:rPr>
                <m:nor/>
              </m:rPr>
              <w:rPr>
                <w:rFonts w:hint="default" w:ascii="Times New Roman" w:hAnsi="Times New Roman" w:cs="Times New Roman"/>
                <w:i/>
                <w:sz w:val="28"/>
                <w:szCs w:val="28"/>
              </w:rPr>
              <m:t>a</m:t>
            </m:r>
            <m:ctrlPr>
              <w:rPr>
                <w:rFonts w:hint="default" w:ascii="Cambria Math" w:hAnsi="Cambria Math" w:cs="Times New Roman"/>
                <w:i/>
                <w:iCs/>
                <w:sz w:val="28"/>
                <w:szCs w:val="28"/>
              </w:rPr>
            </m:ctrlPr>
          </m:e>
          <m:sub>
            <m:r>
              <m:rPr>
                <m:nor/>
                <m:sty m:val="p"/>
              </m:rPr>
              <w:rPr>
                <w:rFonts w:hint="default" w:ascii="Times New Roman" w:hAnsi="Times New Roman" w:cs="Times New Roman"/>
                <w:b w:val="0"/>
                <w:i w:val="0"/>
                <w:sz w:val="28"/>
                <w:szCs w:val="28"/>
              </w:rPr>
              <m:t>0</m:t>
            </m:r>
            <m:ctrlPr>
              <w:rPr>
                <w:rFonts w:hint="default" w:ascii="Cambria Math" w:hAnsi="Cambria Math" w:cs="Times New Roman"/>
                <w:i/>
                <w:iCs/>
                <w:sz w:val="28"/>
                <w:szCs w:val="28"/>
              </w:rPr>
            </m:ctrlPr>
          </m:sub>
        </m:sSub>
        <m:sSub>
          <m:sSubPr>
            <m:ctrlPr>
              <w:rPr>
                <w:rFonts w:hint="default" w:ascii="Cambria Math" w:hAnsi="Cambria Math" w:cs="Times New Roman"/>
                <w:i/>
                <w:iCs/>
                <w:sz w:val="28"/>
                <w:szCs w:val="28"/>
              </w:rPr>
            </m:ctrlPr>
          </m:sSubPr>
          <m:e>
            <m:r>
              <m:rPr>
                <m:nor/>
              </m:rPr>
              <w:rPr>
                <w:rFonts w:hint="default" w:ascii="Times New Roman" w:hAnsi="Times New Roman" w:cs="Times New Roman"/>
                <w:i/>
                <w:iCs/>
                <w:sz w:val="28"/>
                <w:szCs w:val="28"/>
              </w:rPr>
              <m:t>l</m:t>
            </m:r>
            <m:ctrlPr>
              <w:rPr>
                <w:rFonts w:hint="default" w:ascii="Cambria Math" w:hAnsi="Cambria Math" w:cs="Times New Roman"/>
                <w:i/>
                <w:iCs/>
                <w:sz w:val="28"/>
                <w:szCs w:val="28"/>
              </w:rPr>
            </m:ctrlPr>
          </m:e>
          <m:sub>
            <m:r>
              <m:rPr>
                <m:nor/>
                <m:sty m:val="p"/>
              </m:rPr>
              <w:rPr>
                <w:rFonts w:hint="default" w:ascii="Times New Roman" w:hAnsi="Times New Roman" w:cs="Times New Roman"/>
                <w:b w:val="0"/>
                <w:i w:val="0"/>
                <w:iCs/>
                <w:sz w:val="28"/>
                <w:szCs w:val="28"/>
              </w:rPr>
              <m:t>0</m:t>
            </m:r>
            <m:ctrlPr>
              <w:rPr>
                <w:rFonts w:hint="default" w:ascii="Cambria Math" w:hAnsi="Cambria Math" w:cs="Times New Roman"/>
                <w:i/>
                <w:iCs/>
                <w:sz w:val="28"/>
                <w:szCs w:val="28"/>
              </w:rPr>
            </m:ctrlPr>
          </m:sub>
        </m:sSub>
      </m:oMath>
      <w:r>
        <w:rPr>
          <w:rFonts w:hint="default" w:ascii="Times New Roman" w:hAnsi="Times New Roman" w:cs="Times New Roman"/>
          <w:sz w:val="28"/>
          <w:szCs w:val="28"/>
          <w:vertAlign w:val="subscript"/>
        </w:rPr>
        <w:t>)</w:t>
      </w:r>
      <w:r>
        <w:rPr>
          <w:rFonts w:hint="default" w:ascii="Times New Roman" w:hAnsi="Times New Roman" w:cs="Times New Roman"/>
          <w:sz w:val="28"/>
          <w:szCs w:val="28"/>
        </w:rPr>
        <w:t xml:space="preserve"> increases significantly, resulting in a pronounced decrease in P, in agreement with previous reports [83,104].</w:t>
      </w:r>
    </w:p>
    <w:p w14:paraId="1DD3901E">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According to the packing parameter theory [101], such changes in P directly determine the preferred self-assembly morphology of surfactant aggregates. Surfactants with relatively higher P values tend to form aggregates with low interfacial curvature, such as bilayers and vesicles, because the balance between hydrophobic volume and headgroup area favors flat or weakly curved interfaces [83]. Accordingly,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NS and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which retain comparatively larger P values, are expected to preferentially form vesicular or lamellar structures. In contrast,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with a substantially reduced P, favors the formation of high-curvature aggregates such as cylindrical or wormlike micelles, in which the enlarged headgroup area can be accommodated without excessive steric crowding. The formation of wormlike micelles is particularly advantageous for practical applications. These elongated and flexible aggregates can entangle to form transient network structures, leading to enhanced viscoelasticity, increased apparent viscosity, and improved stability of emulsions and dispersed phases. Such rheological and structural properties are highly beneficial for emulsification, solubilization, and mobility control during enhanced oil recovery [83]. Moreover, the dynamic nature of wormlike micellar networks allows them to adapt to shear and temperature variations in porous media, thereby maintaining effective sweep efficiency during surfactant flooding. Consequently, the molecular-level modulation of the packing parameter via EO and PO substitution translates directly into favorable supramolecular architectures, ultimately improving interfacial performance and oil displacement efficiency under realistic reservoir conditions [83,105].</w:t>
      </w:r>
    </w:p>
    <w:p w14:paraId="584C916F">
      <w:pPr>
        <w:widowControl/>
        <w:ind w:firstLine="709" w:firstLineChars="0"/>
        <w:rPr>
          <w:rFonts w:hint="default" w:ascii="Times New Roman" w:hAnsi="Times New Roman" w:cs="Times New Roman"/>
          <w:i w:val="0"/>
          <w:iCs w:val="0"/>
          <w:sz w:val="28"/>
          <w:szCs w:val="28"/>
        </w:rPr>
      </w:pPr>
      <w:r>
        <w:rPr>
          <w:rFonts w:hint="default" w:ascii="Times New Roman" w:hAnsi="Times New Roman" w:cs="Times New Roman"/>
          <w:i w:val="0"/>
          <w:iCs w:val="0"/>
          <w:sz w:val="28"/>
          <w:szCs w:val="28"/>
        </w:rPr>
        <w:t>3.4.4.4 Thermodynamics properties</w:t>
      </w:r>
    </w:p>
    <w:p w14:paraId="0C74348E">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thermodynamic properties of surfactants play a central role in determining their effectiveness in enhanced oil recovery (EOR) processes. Thermodynamic parameters such as cmc, Gibbs free energy of micellization, and interfacial thermodynamics govern key mechanisms by which surfactants facilitate oil displacement in porous media. Specifically, these properties dictate the ability of surfactants to reduce oil–water interfacial tension (IFT) and alter rock wettability under reservoir conditions [83]. A lower cmc and favorable micellization thermodynamics promote the accumulation of surfactant molecules at the oil–water interface, leading to ultra-low IFT and, consequently, an increase in the capillary number, which is essential for mobilizing trapped residual oil and improving macroscopic sweep efficiency. Surfactant adsorption thermodynamics also influence retention on reservoir rock surfaces and the stability of adsorption layers, directly affecting IFT reduction and wettability alteration in high-salinity, high-temperature environments often encountered in mature reservoirs [11,83,106]. Therefore, the thermodynamic parameters of the three synthesized extended amphoteric surfactants were calculated to evaluate their micellization behavior, and the results are summarized in Table 3.10.</w:t>
      </w:r>
    </w:p>
    <w:p w14:paraId="6110EE45">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All surfactants exhibit positive standard enthalpy changes of micellization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H</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indicating that micelle formation is an endothermic process. Moreover,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H</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increases with rising temperature, suggesting that higher thermal energy further promotes the aggregation of surfactant molecules in solution. Interestingly, the incorporation of PO groups into the surfactant molecules leads to a decrease in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H</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indicating a shift toward a more exothermic micellization process. This effect can be attributed to the increased hydrophobicity and conformational flexibility introduced by PO segments, which facilitate more favorable intermolecular interactions during micelle formation. Overall, the thermodynamic analysis reveals that both temperature and molecular structure play critical roles in modulating the energetics of micellization, providing insights into the self-assembly behavior and interfacial performance of the synthesized surfactants [83,107].</w:t>
      </w:r>
    </w:p>
    <w:p w14:paraId="08FC09B1">
      <w:pPr>
        <w:widowControl/>
        <w:ind w:left="0" w:leftChars="0" w:firstLine="0" w:firstLineChars="0"/>
        <w:rPr>
          <w:rFonts w:hint="default" w:ascii="Times New Roman" w:hAnsi="Times New Roman" w:cs="Times New Roman"/>
          <w:sz w:val="28"/>
          <w:szCs w:val="28"/>
        </w:rPr>
      </w:pPr>
    </w:p>
    <w:p w14:paraId="2F88783E">
      <w:pPr>
        <w:widowControl/>
        <w:ind w:left="0" w:leftChars="0" w:firstLine="0" w:firstLineChars="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Table 3.10 – Thermodynamic parameters for surfactants in aqueous solution</w:t>
      </w:r>
      <w:r>
        <w:rPr>
          <w:rFonts w:hint="default" w:ascii="Times New Roman" w:hAnsi="Times New Roman" w:cs="Times New Roman"/>
          <w:sz w:val="28"/>
          <w:szCs w:val="28"/>
          <w:lang w:val="en-US" w:eastAsia="zh-CN"/>
        </w:rPr>
        <w:t>.</w:t>
      </w:r>
    </w:p>
    <w:tbl>
      <w:tblPr>
        <w:tblStyle w:val="17"/>
        <w:tblW w:w="4997" w:type="pct"/>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672"/>
        <w:gridCol w:w="795"/>
        <w:gridCol w:w="1382"/>
        <w:gridCol w:w="1420"/>
        <w:gridCol w:w="1739"/>
        <w:gridCol w:w="1420"/>
        <w:gridCol w:w="1420"/>
      </w:tblGrid>
      <w:tr w14:paraId="5C9F2DD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848" w:type="pct"/>
            <w:tcBorders>
              <w:top w:val="single" w:color="auto" w:sz="12" w:space="0"/>
            </w:tcBorders>
            <w:vAlign w:val="center"/>
          </w:tcPr>
          <w:p w14:paraId="2179B014">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Surfactant</w:t>
            </w:r>
          </w:p>
        </w:tc>
        <w:tc>
          <w:tcPr>
            <w:tcW w:w="403" w:type="pct"/>
            <w:tcBorders>
              <w:top w:val="single" w:color="auto" w:sz="12" w:space="0"/>
            </w:tcBorders>
            <w:vAlign w:val="center"/>
          </w:tcPr>
          <w:p w14:paraId="5464A2AA">
            <w:pPr>
              <w:widowControl/>
              <w:ind w:firstLine="0" w:firstLineChars="0"/>
              <w:jc w:val="center"/>
              <w:rPr>
                <w:rFonts w:hint="default" w:ascii="Times New Roman" w:hAnsi="Times New Roman" w:cs="Times New Roman"/>
                <w:i/>
                <w:iCs/>
                <w:sz w:val="28"/>
                <w:szCs w:val="28"/>
              </w:rPr>
            </w:pPr>
            <w:r>
              <w:rPr>
                <w:rFonts w:hint="default" w:ascii="Times New Roman" w:hAnsi="Times New Roman" w:cs="Times New Roman"/>
                <w:i/>
                <w:iCs/>
                <w:sz w:val="28"/>
                <w:szCs w:val="28"/>
              </w:rPr>
              <w:t>T</w:t>
            </w:r>
          </w:p>
          <w:p w14:paraId="33C144D3">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701" w:type="pct"/>
            <w:tcBorders>
              <w:top w:val="single" w:color="auto" w:sz="12" w:space="0"/>
            </w:tcBorders>
            <w:vAlign w:val="center"/>
          </w:tcPr>
          <w:p w14:paraId="187A302A">
            <w:pPr>
              <w:widowControl/>
              <w:ind w:firstLine="0" w:firstLineChars="0"/>
              <w:jc w:val="center"/>
              <w:rPr>
                <w:rFonts w:hint="default" w:ascii="Times New Roman" w:hAnsi="Times New Roman" w:cs="Times New Roman"/>
                <w:sz w:val="28"/>
                <w:szCs w:val="28"/>
                <w:vertAlign w:val="subscript"/>
              </w:rPr>
            </w:pPr>
            <m:oMathPara>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m:oMathPara>
          </w:p>
          <w:p w14:paraId="2296891C">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(kJ</w:t>
            </w:r>
            <w:r>
              <w:rPr>
                <w:rFonts w:hint="default" w:ascii="Times New Roman" w:hAnsi="Times New Roman" w:eastAsia="微软雅黑" w:cs="Times New Roman"/>
                <w:sz w:val="28"/>
                <w:szCs w:val="28"/>
              </w:rPr>
              <w:t>·</w:t>
            </w:r>
            <w:r>
              <w:rPr>
                <w:rFonts w:hint="default" w:ascii="Times New Roman" w:hAnsi="Times New Roman" w:cs="Times New Roman"/>
                <w:sz w:val="28"/>
                <w:szCs w:val="28"/>
              </w:rPr>
              <w:t>mol</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w:t>
            </w:r>
          </w:p>
        </w:tc>
        <w:tc>
          <w:tcPr>
            <w:tcW w:w="720" w:type="pct"/>
            <w:tcBorders>
              <w:top w:val="single" w:color="auto" w:sz="12" w:space="0"/>
            </w:tcBorders>
            <w:vAlign w:val="center"/>
          </w:tcPr>
          <w:p w14:paraId="0416C673">
            <w:pPr>
              <w:widowControl/>
              <w:ind w:firstLine="0" w:firstLineChars="0"/>
              <w:jc w:val="center"/>
              <w:rPr>
                <w:rFonts w:hint="default" w:ascii="Times New Roman" w:hAnsi="Times New Roman" w:cs="Times New Roman" w:eastAsiaTheme="minorEastAsia"/>
                <w:sz w:val="28"/>
                <w:szCs w:val="28"/>
                <w:lang w:val="pt-BR"/>
              </w:rPr>
            </w:pPr>
            <m:oMathPara>
              <m:oMath>
                <m:r>
                  <m:rPr>
                    <m:nor/>
                    <m:sty m:val="p"/>
                  </m:rPr>
                  <w:rPr>
                    <w:rFonts w:hint="default" w:ascii="Times New Roman" w:hAnsi="Times New Roman" w:cs="Times New Roman"/>
                    <w:b w:val="0"/>
                    <w:i w:val="0"/>
                    <w:sz w:val="28"/>
                    <w:szCs w:val="28"/>
                    <w:lang w:val="pt-BR"/>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lang w:val="pt-BR"/>
                      </w:rPr>
                      <m:t>H</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lang w:val="pt-BR"/>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m:oMathPara>
          </w:p>
          <w:p w14:paraId="78C7E3FE">
            <w:pPr>
              <w:widowControl/>
              <w:ind w:firstLine="0" w:firstLineChars="0"/>
              <w:jc w:val="center"/>
              <w:rPr>
                <w:rFonts w:hint="default" w:ascii="Times New Roman" w:hAnsi="Times New Roman" w:cs="Times New Roman"/>
                <w:sz w:val="28"/>
                <w:szCs w:val="28"/>
                <w:lang w:val="pt-BR"/>
              </w:rPr>
            </w:pPr>
            <w:r>
              <w:rPr>
                <w:rFonts w:hint="default" w:ascii="Times New Roman" w:hAnsi="Times New Roman" w:cs="Times New Roman"/>
                <w:sz w:val="28"/>
                <w:szCs w:val="28"/>
                <w:lang w:val="pt-BR"/>
              </w:rPr>
              <w:t>(kJ·mol</w:t>
            </w:r>
            <w:r>
              <w:rPr>
                <w:rFonts w:hint="default" w:ascii="Times New Roman" w:hAnsi="Times New Roman" w:cs="Times New Roman"/>
                <w:sz w:val="28"/>
                <w:szCs w:val="28"/>
                <w:vertAlign w:val="superscript"/>
                <w:lang w:val="pt-BR"/>
              </w:rPr>
              <w:t>−1</w:t>
            </w:r>
            <w:r>
              <w:rPr>
                <w:rFonts w:hint="default" w:ascii="Times New Roman" w:hAnsi="Times New Roman" w:cs="Times New Roman"/>
                <w:sz w:val="28"/>
                <w:szCs w:val="28"/>
                <w:lang w:val="pt-BR"/>
              </w:rPr>
              <w:t>)</w:t>
            </w:r>
          </w:p>
        </w:tc>
        <w:tc>
          <w:tcPr>
            <w:tcW w:w="882" w:type="pct"/>
            <w:tcBorders>
              <w:top w:val="single" w:color="auto" w:sz="12" w:space="0"/>
            </w:tcBorders>
            <w:vAlign w:val="center"/>
          </w:tcPr>
          <w:p w14:paraId="27828CA6">
            <w:pPr>
              <w:widowControl/>
              <w:ind w:firstLine="0" w:firstLineChars="0"/>
              <w:jc w:val="center"/>
              <w:rPr>
                <w:rFonts w:hint="default" w:ascii="Times New Roman" w:hAnsi="Times New Roman" w:cs="Times New Roman" w:eastAsiaTheme="minorEastAsia"/>
                <w:sz w:val="28"/>
                <w:szCs w:val="28"/>
              </w:rPr>
            </w:pPr>
            <m:oMathPara>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S</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m:oMathPara>
          </w:p>
          <w:p w14:paraId="565A7C1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(J·mol</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·K</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w:t>
            </w:r>
          </w:p>
        </w:tc>
        <w:tc>
          <w:tcPr>
            <w:tcW w:w="720" w:type="pct"/>
            <w:tcBorders>
              <w:top w:val="single" w:color="auto" w:sz="12" w:space="0"/>
            </w:tcBorders>
            <w:vAlign w:val="center"/>
          </w:tcPr>
          <w:p w14:paraId="6856881E">
            <w:pPr>
              <w:widowControl/>
              <w:ind w:firstLine="0" w:firstLineChars="0"/>
              <w:jc w:val="center"/>
              <w:rPr>
                <w:rFonts w:hint="default" w:ascii="Times New Roman" w:hAnsi="Times New Roman" w:cs="Times New Roman"/>
                <w:sz w:val="28"/>
                <w:szCs w:val="28"/>
                <w:vertAlign w:val="superscript"/>
              </w:rPr>
            </w:pPr>
            <w:r>
              <w:rPr>
                <w:rFonts w:hint="default" w:ascii="Times New Roman" w:hAnsi="Times New Roman" w:cs="Times New Roman"/>
                <w:i/>
                <w:iCs/>
                <w:sz w:val="28"/>
                <w:szCs w:val="28"/>
              </w:rPr>
              <w:t>-</w:t>
            </w:r>
            <m:oMath>
              <m:r>
                <m:rPr>
                  <m:nor/>
                </m:rPr>
                <w:rPr>
                  <w:rFonts w:hint="default" w:ascii="Times New Roman" w:hAnsi="Times New Roman" w:cs="Times New Roman"/>
                  <w:i/>
                  <w:sz w:val="28"/>
                  <w:szCs w:val="28"/>
                </w:rPr>
                <m:t>T</m:t>
              </m:r>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S</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p>
          <w:p w14:paraId="5AB0CEF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(kJ·mol</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w:t>
            </w:r>
          </w:p>
        </w:tc>
        <w:tc>
          <w:tcPr>
            <w:tcW w:w="720" w:type="pct"/>
            <w:tcBorders>
              <w:top w:val="single" w:color="auto" w:sz="12" w:space="0"/>
            </w:tcBorders>
            <w:vAlign w:val="center"/>
          </w:tcPr>
          <w:p w14:paraId="4C010BC2">
            <w:pPr>
              <w:widowControl/>
              <w:ind w:firstLine="0" w:firstLineChars="0"/>
              <w:jc w:val="center"/>
              <w:rPr>
                <w:rFonts w:hint="default" w:ascii="Times New Roman" w:hAnsi="Times New Roman" w:cs="Times New Roman" w:eastAsiaTheme="minorEastAsia"/>
                <w:sz w:val="28"/>
                <w:szCs w:val="28"/>
              </w:rPr>
            </w:pPr>
            <m:oMathPara>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ads</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m:oMathPara>
          </w:p>
          <w:p w14:paraId="5F2D017E">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(kJ·mol</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w:t>
            </w:r>
          </w:p>
        </w:tc>
      </w:tr>
      <w:tr w14:paraId="6B24C00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848" w:type="pct"/>
            <w:vMerge w:val="restart"/>
            <w:vAlign w:val="center"/>
          </w:tcPr>
          <w:p w14:paraId="61AD8C1B">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C</w:t>
            </w:r>
            <w:r>
              <w:rPr>
                <w:rFonts w:hint="default" w:ascii="Times New Roman" w:hAnsi="Times New Roman" w:cs="Times New Roman"/>
                <w:kern w:val="0"/>
                <w:sz w:val="28"/>
                <w:szCs w:val="28"/>
                <w:vertAlign w:val="subscript"/>
                <w:lang w:bidi="ar"/>
              </w:rPr>
              <w:t>12</w:t>
            </w:r>
            <w:r>
              <w:rPr>
                <w:rFonts w:hint="default" w:ascii="Times New Roman" w:hAnsi="Times New Roman" w:cs="Times New Roman"/>
                <w:kern w:val="0"/>
                <w:sz w:val="28"/>
                <w:szCs w:val="28"/>
                <w:lang w:bidi="ar"/>
              </w:rPr>
              <w:t>NS</w:t>
            </w:r>
          </w:p>
        </w:tc>
        <w:tc>
          <w:tcPr>
            <w:tcW w:w="403" w:type="pct"/>
            <w:tcBorders>
              <w:bottom w:val="nil"/>
            </w:tcBorders>
            <w:vAlign w:val="center"/>
          </w:tcPr>
          <w:p w14:paraId="59E4D833">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25</w:t>
            </w:r>
          </w:p>
        </w:tc>
        <w:tc>
          <w:tcPr>
            <w:tcW w:w="701" w:type="pct"/>
            <w:tcBorders>
              <w:bottom w:val="nil"/>
            </w:tcBorders>
            <w:vAlign w:val="center"/>
          </w:tcPr>
          <w:p w14:paraId="3B47080D">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-27.83</w:t>
            </w:r>
          </w:p>
        </w:tc>
        <w:tc>
          <w:tcPr>
            <w:tcW w:w="720" w:type="pct"/>
            <w:tcBorders>
              <w:bottom w:val="nil"/>
            </w:tcBorders>
            <w:vAlign w:val="center"/>
          </w:tcPr>
          <w:p w14:paraId="2F0CA74D">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13.89</w:t>
            </w:r>
          </w:p>
        </w:tc>
        <w:tc>
          <w:tcPr>
            <w:tcW w:w="882" w:type="pct"/>
            <w:tcBorders>
              <w:bottom w:val="nil"/>
            </w:tcBorders>
            <w:vAlign w:val="center"/>
          </w:tcPr>
          <w:p w14:paraId="137B00E1">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139.93</w:t>
            </w:r>
          </w:p>
        </w:tc>
        <w:tc>
          <w:tcPr>
            <w:tcW w:w="720" w:type="pct"/>
            <w:tcBorders>
              <w:bottom w:val="nil"/>
            </w:tcBorders>
            <w:vAlign w:val="center"/>
          </w:tcPr>
          <w:p w14:paraId="70DD6B49">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41.72</w:t>
            </w:r>
          </w:p>
        </w:tc>
        <w:tc>
          <w:tcPr>
            <w:tcW w:w="720" w:type="pct"/>
            <w:tcBorders>
              <w:bottom w:val="nil"/>
            </w:tcBorders>
            <w:vAlign w:val="center"/>
          </w:tcPr>
          <w:p w14:paraId="7969CE85">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-33.87</w:t>
            </w:r>
          </w:p>
        </w:tc>
      </w:tr>
      <w:tr w14:paraId="229D3F8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848" w:type="pct"/>
            <w:vMerge w:val="continue"/>
            <w:vAlign w:val="center"/>
          </w:tcPr>
          <w:p w14:paraId="7BE77BD2">
            <w:pPr>
              <w:widowControl/>
              <w:ind w:firstLine="0" w:firstLineChars="0"/>
              <w:jc w:val="center"/>
              <w:textAlignment w:val="center"/>
              <w:rPr>
                <w:rFonts w:hint="default" w:ascii="Times New Roman" w:hAnsi="Times New Roman" w:cs="Times New Roman"/>
                <w:kern w:val="0"/>
                <w:sz w:val="28"/>
                <w:szCs w:val="28"/>
                <w:lang w:bidi="ar"/>
              </w:rPr>
            </w:pPr>
          </w:p>
        </w:tc>
        <w:tc>
          <w:tcPr>
            <w:tcW w:w="403" w:type="pct"/>
            <w:tcBorders>
              <w:top w:val="nil"/>
              <w:bottom w:val="nil"/>
            </w:tcBorders>
            <w:vAlign w:val="center"/>
          </w:tcPr>
          <w:p w14:paraId="7A8618CD">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35</w:t>
            </w:r>
          </w:p>
        </w:tc>
        <w:tc>
          <w:tcPr>
            <w:tcW w:w="701" w:type="pct"/>
            <w:tcBorders>
              <w:top w:val="nil"/>
              <w:bottom w:val="nil"/>
            </w:tcBorders>
            <w:vAlign w:val="center"/>
          </w:tcPr>
          <w:p w14:paraId="057277DF">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-29.30</w:t>
            </w:r>
          </w:p>
        </w:tc>
        <w:tc>
          <w:tcPr>
            <w:tcW w:w="720" w:type="pct"/>
            <w:tcBorders>
              <w:top w:val="nil"/>
              <w:bottom w:val="nil"/>
            </w:tcBorders>
            <w:vAlign w:val="center"/>
          </w:tcPr>
          <w:p w14:paraId="136D622F">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14.84</w:t>
            </w:r>
          </w:p>
        </w:tc>
        <w:tc>
          <w:tcPr>
            <w:tcW w:w="882" w:type="pct"/>
            <w:tcBorders>
              <w:top w:val="nil"/>
              <w:bottom w:val="nil"/>
            </w:tcBorders>
            <w:vAlign w:val="center"/>
          </w:tcPr>
          <w:p w14:paraId="665C5314">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143.24</w:t>
            </w:r>
          </w:p>
        </w:tc>
        <w:tc>
          <w:tcPr>
            <w:tcW w:w="720" w:type="pct"/>
            <w:tcBorders>
              <w:top w:val="nil"/>
              <w:bottom w:val="nil"/>
            </w:tcBorders>
            <w:vAlign w:val="center"/>
          </w:tcPr>
          <w:p w14:paraId="7EEC1455">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44.14</w:t>
            </w:r>
          </w:p>
        </w:tc>
        <w:tc>
          <w:tcPr>
            <w:tcW w:w="720" w:type="pct"/>
            <w:tcBorders>
              <w:top w:val="nil"/>
              <w:bottom w:val="nil"/>
            </w:tcBorders>
            <w:vAlign w:val="center"/>
          </w:tcPr>
          <w:p w14:paraId="41D4FA90">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-35.59</w:t>
            </w:r>
          </w:p>
        </w:tc>
      </w:tr>
      <w:tr w14:paraId="280526C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848" w:type="pct"/>
            <w:vMerge w:val="continue"/>
            <w:vAlign w:val="center"/>
          </w:tcPr>
          <w:p w14:paraId="059BEAE1">
            <w:pPr>
              <w:widowControl/>
              <w:ind w:firstLine="0" w:firstLineChars="0"/>
              <w:jc w:val="center"/>
              <w:textAlignment w:val="center"/>
              <w:rPr>
                <w:rFonts w:hint="default" w:ascii="Times New Roman" w:hAnsi="Times New Roman" w:cs="Times New Roman"/>
                <w:kern w:val="0"/>
                <w:sz w:val="28"/>
                <w:szCs w:val="28"/>
                <w:lang w:bidi="ar"/>
              </w:rPr>
            </w:pPr>
          </w:p>
        </w:tc>
        <w:tc>
          <w:tcPr>
            <w:tcW w:w="403" w:type="pct"/>
            <w:tcBorders>
              <w:top w:val="nil"/>
              <w:bottom w:val="nil"/>
            </w:tcBorders>
            <w:vAlign w:val="center"/>
          </w:tcPr>
          <w:p w14:paraId="498E675F">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45</w:t>
            </w:r>
          </w:p>
        </w:tc>
        <w:tc>
          <w:tcPr>
            <w:tcW w:w="701" w:type="pct"/>
            <w:tcBorders>
              <w:top w:val="nil"/>
              <w:bottom w:val="nil"/>
            </w:tcBorders>
            <w:vAlign w:val="center"/>
          </w:tcPr>
          <w:p w14:paraId="772072BD">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-30.73</w:t>
            </w:r>
          </w:p>
        </w:tc>
        <w:tc>
          <w:tcPr>
            <w:tcW w:w="720" w:type="pct"/>
            <w:tcBorders>
              <w:top w:val="nil"/>
              <w:bottom w:val="nil"/>
            </w:tcBorders>
            <w:vAlign w:val="center"/>
          </w:tcPr>
          <w:p w14:paraId="32DEA496">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15.82</w:t>
            </w:r>
          </w:p>
        </w:tc>
        <w:tc>
          <w:tcPr>
            <w:tcW w:w="882" w:type="pct"/>
            <w:tcBorders>
              <w:top w:val="nil"/>
              <w:bottom w:val="nil"/>
            </w:tcBorders>
            <w:vAlign w:val="center"/>
          </w:tcPr>
          <w:p w14:paraId="225CE5F0">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146.31</w:t>
            </w:r>
          </w:p>
        </w:tc>
        <w:tc>
          <w:tcPr>
            <w:tcW w:w="720" w:type="pct"/>
            <w:tcBorders>
              <w:top w:val="nil"/>
              <w:bottom w:val="nil"/>
            </w:tcBorders>
            <w:vAlign w:val="center"/>
          </w:tcPr>
          <w:p w14:paraId="60EDDAB0">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46.55</w:t>
            </w:r>
          </w:p>
        </w:tc>
        <w:tc>
          <w:tcPr>
            <w:tcW w:w="720" w:type="pct"/>
            <w:tcBorders>
              <w:top w:val="nil"/>
              <w:bottom w:val="nil"/>
            </w:tcBorders>
            <w:vAlign w:val="center"/>
          </w:tcPr>
          <w:p w14:paraId="1FEB7C1D">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-38.66</w:t>
            </w:r>
          </w:p>
        </w:tc>
      </w:tr>
      <w:tr w14:paraId="5B0EFC3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848" w:type="pct"/>
            <w:vMerge w:val="continue"/>
            <w:vAlign w:val="center"/>
          </w:tcPr>
          <w:p w14:paraId="68AD4348">
            <w:pPr>
              <w:widowControl/>
              <w:ind w:firstLine="0" w:firstLineChars="0"/>
              <w:jc w:val="center"/>
              <w:textAlignment w:val="center"/>
              <w:rPr>
                <w:rFonts w:hint="default" w:ascii="Times New Roman" w:hAnsi="Times New Roman" w:cs="Times New Roman"/>
                <w:kern w:val="0"/>
                <w:sz w:val="28"/>
                <w:szCs w:val="28"/>
                <w:lang w:bidi="ar"/>
              </w:rPr>
            </w:pPr>
          </w:p>
        </w:tc>
        <w:tc>
          <w:tcPr>
            <w:tcW w:w="403" w:type="pct"/>
            <w:tcBorders>
              <w:top w:val="nil"/>
            </w:tcBorders>
            <w:vAlign w:val="center"/>
          </w:tcPr>
          <w:p w14:paraId="59FB1AB0">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55</w:t>
            </w:r>
          </w:p>
        </w:tc>
        <w:tc>
          <w:tcPr>
            <w:tcW w:w="701" w:type="pct"/>
            <w:tcBorders>
              <w:top w:val="nil"/>
            </w:tcBorders>
            <w:vAlign w:val="center"/>
          </w:tcPr>
          <w:p w14:paraId="113BC39B">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-32.17</w:t>
            </w:r>
          </w:p>
        </w:tc>
        <w:tc>
          <w:tcPr>
            <w:tcW w:w="720" w:type="pct"/>
            <w:tcBorders>
              <w:top w:val="nil"/>
            </w:tcBorders>
            <w:vAlign w:val="center"/>
          </w:tcPr>
          <w:p w14:paraId="3CCBD9D7">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16.83</w:t>
            </w:r>
          </w:p>
        </w:tc>
        <w:tc>
          <w:tcPr>
            <w:tcW w:w="882" w:type="pct"/>
            <w:tcBorders>
              <w:top w:val="nil"/>
            </w:tcBorders>
            <w:vAlign w:val="center"/>
          </w:tcPr>
          <w:p w14:paraId="7370E059">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149.33</w:t>
            </w:r>
          </w:p>
        </w:tc>
        <w:tc>
          <w:tcPr>
            <w:tcW w:w="720" w:type="pct"/>
            <w:tcBorders>
              <w:top w:val="nil"/>
            </w:tcBorders>
            <w:vAlign w:val="center"/>
          </w:tcPr>
          <w:p w14:paraId="4C5BAEF7">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49.00</w:t>
            </w:r>
          </w:p>
        </w:tc>
        <w:tc>
          <w:tcPr>
            <w:tcW w:w="720" w:type="pct"/>
            <w:tcBorders>
              <w:top w:val="nil"/>
            </w:tcBorders>
            <w:vAlign w:val="center"/>
          </w:tcPr>
          <w:p w14:paraId="745424A6">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-41.85</w:t>
            </w:r>
          </w:p>
        </w:tc>
      </w:tr>
      <w:tr w14:paraId="7372094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848" w:type="pct"/>
            <w:vMerge w:val="restart"/>
            <w:vAlign w:val="center"/>
          </w:tcPr>
          <w:p w14:paraId="68EF03BA">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C</w:t>
            </w:r>
            <w:r>
              <w:rPr>
                <w:rFonts w:hint="default" w:ascii="Times New Roman" w:hAnsi="Times New Roman" w:cs="Times New Roman"/>
                <w:kern w:val="0"/>
                <w:sz w:val="28"/>
                <w:szCs w:val="28"/>
                <w:vertAlign w:val="subscript"/>
                <w:lang w:bidi="ar"/>
              </w:rPr>
              <w:t>12</w:t>
            </w:r>
            <w:r>
              <w:rPr>
                <w:rFonts w:hint="default" w:ascii="Times New Roman" w:hAnsi="Times New Roman" w:cs="Times New Roman"/>
                <w:kern w:val="0"/>
                <w:sz w:val="28"/>
                <w:szCs w:val="28"/>
                <w:lang w:bidi="ar"/>
              </w:rPr>
              <w:t>P</w:t>
            </w:r>
            <w:r>
              <w:rPr>
                <w:rFonts w:hint="default" w:ascii="Times New Roman" w:hAnsi="Times New Roman" w:cs="Times New Roman"/>
                <w:kern w:val="0"/>
                <w:sz w:val="28"/>
                <w:szCs w:val="28"/>
                <w:vertAlign w:val="subscript"/>
                <w:lang w:bidi="ar"/>
              </w:rPr>
              <w:t>3</w:t>
            </w:r>
            <w:r>
              <w:rPr>
                <w:rFonts w:hint="default" w:ascii="Times New Roman" w:hAnsi="Times New Roman" w:cs="Times New Roman"/>
                <w:kern w:val="0"/>
                <w:sz w:val="28"/>
                <w:szCs w:val="28"/>
                <w:lang w:bidi="ar"/>
              </w:rPr>
              <w:t>NS</w:t>
            </w:r>
          </w:p>
        </w:tc>
        <w:tc>
          <w:tcPr>
            <w:tcW w:w="403" w:type="pct"/>
            <w:tcBorders>
              <w:bottom w:val="nil"/>
            </w:tcBorders>
            <w:vAlign w:val="center"/>
          </w:tcPr>
          <w:p w14:paraId="346EDB6D">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25</w:t>
            </w:r>
          </w:p>
        </w:tc>
        <w:tc>
          <w:tcPr>
            <w:tcW w:w="701" w:type="pct"/>
            <w:tcBorders>
              <w:bottom w:val="nil"/>
            </w:tcBorders>
            <w:vAlign w:val="center"/>
          </w:tcPr>
          <w:p w14:paraId="1BE4AACF">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-32.79</w:t>
            </w:r>
          </w:p>
        </w:tc>
        <w:tc>
          <w:tcPr>
            <w:tcW w:w="720" w:type="pct"/>
            <w:tcBorders>
              <w:bottom w:val="nil"/>
            </w:tcBorders>
            <w:vAlign w:val="center"/>
          </w:tcPr>
          <w:p w14:paraId="2E79823E">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7.46</w:t>
            </w:r>
          </w:p>
        </w:tc>
        <w:tc>
          <w:tcPr>
            <w:tcW w:w="882" w:type="pct"/>
            <w:tcBorders>
              <w:bottom w:val="nil"/>
            </w:tcBorders>
            <w:vAlign w:val="center"/>
          </w:tcPr>
          <w:p w14:paraId="06866376">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135.00</w:t>
            </w:r>
          </w:p>
        </w:tc>
        <w:tc>
          <w:tcPr>
            <w:tcW w:w="720" w:type="pct"/>
            <w:tcBorders>
              <w:bottom w:val="nil"/>
            </w:tcBorders>
            <w:vAlign w:val="center"/>
          </w:tcPr>
          <w:p w14:paraId="6CA25EA9">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40.25</w:t>
            </w:r>
          </w:p>
        </w:tc>
        <w:tc>
          <w:tcPr>
            <w:tcW w:w="720" w:type="pct"/>
            <w:tcBorders>
              <w:bottom w:val="nil"/>
            </w:tcBorders>
            <w:vAlign w:val="center"/>
          </w:tcPr>
          <w:p w14:paraId="2C166D76">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-39.51</w:t>
            </w:r>
          </w:p>
        </w:tc>
      </w:tr>
      <w:tr w14:paraId="40EA277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848" w:type="pct"/>
            <w:vMerge w:val="continue"/>
            <w:vAlign w:val="center"/>
          </w:tcPr>
          <w:p w14:paraId="78DAD895">
            <w:pPr>
              <w:widowControl/>
              <w:ind w:firstLine="0" w:firstLineChars="0"/>
              <w:jc w:val="center"/>
              <w:textAlignment w:val="center"/>
              <w:rPr>
                <w:rFonts w:hint="default" w:ascii="Times New Roman" w:hAnsi="Times New Roman" w:cs="Times New Roman"/>
                <w:kern w:val="0"/>
                <w:sz w:val="28"/>
                <w:szCs w:val="28"/>
                <w:lang w:bidi="ar"/>
              </w:rPr>
            </w:pPr>
          </w:p>
        </w:tc>
        <w:tc>
          <w:tcPr>
            <w:tcW w:w="403" w:type="pct"/>
            <w:tcBorders>
              <w:top w:val="nil"/>
              <w:bottom w:val="nil"/>
            </w:tcBorders>
            <w:vAlign w:val="center"/>
          </w:tcPr>
          <w:p w14:paraId="7EB3CCA1">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35</w:t>
            </w:r>
          </w:p>
        </w:tc>
        <w:tc>
          <w:tcPr>
            <w:tcW w:w="701" w:type="pct"/>
            <w:tcBorders>
              <w:top w:val="nil"/>
              <w:bottom w:val="nil"/>
            </w:tcBorders>
            <w:vAlign w:val="center"/>
          </w:tcPr>
          <w:p w14:paraId="52BE2A1C">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-34.16</w:t>
            </w:r>
          </w:p>
        </w:tc>
        <w:tc>
          <w:tcPr>
            <w:tcW w:w="720" w:type="pct"/>
            <w:tcBorders>
              <w:top w:val="nil"/>
              <w:bottom w:val="nil"/>
            </w:tcBorders>
            <w:vAlign w:val="center"/>
          </w:tcPr>
          <w:p w14:paraId="6462441E">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7.97</w:t>
            </w:r>
          </w:p>
        </w:tc>
        <w:tc>
          <w:tcPr>
            <w:tcW w:w="882" w:type="pct"/>
            <w:tcBorders>
              <w:top w:val="nil"/>
              <w:bottom w:val="nil"/>
            </w:tcBorders>
            <w:vAlign w:val="center"/>
          </w:tcPr>
          <w:p w14:paraId="28DC2BD6">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136.72</w:t>
            </w:r>
          </w:p>
        </w:tc>
        <w:tc>
          <w:tcPr>
            <w:tcW w:w="720" w:type="pct"/>
            <w:tcBorders>
              <w:top w:val="nil"/>
              <w:bottom w:val="nil"/>
            </w:tcBorders>
            <w:vAlign w:val="center"/>
          </w:tcPr>
          <w:p w14:paraId="218A6AAA">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42.13</w:t>
            </w:r>
          </w:p>
        </w:tc>
        <w:tc>
          <w:tcPr>
            <w:tcW w:w="720" w:type="pct"/>
            <w:tcBorders>
              <w:top w:val="nil"/>
              <w:bottom w:val="nil"/>
            </w:tcBorders>
            <w:vAlign w:val="center"/>
          </w:tcPr>
          <w:p w14:paraId="562ABEE4">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-41.57</w:t>
            </w:r>
          </w:p>
        </w:tc>
      </w:tr>
      <w:tr w14:paraId="66B4212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848" w:type="pct"/>
            <w:vMerge w:val="continue"/>
            <w:vAlign w:val="center"/>
          </w:tcPr>
          <w:p w14:paraId="71F7E221">
            <w:pPr>
              <w:widowControl/>
              <w:ind w:firstLine="0" w:firstLineChars="0"/>
              <w:jc w:val="center"/>
              <w:textAlignment w:val="center"/>
              <w:rPr>
                <w:rFonts w:hint="default" w:ascii="Times New Roman" w:hAnsi="Times New Roman" w:cs="Times New Roman"/>
                <w:kern w:val="0"/>
                <w:sz w:val="28"/>
                <w:szCs w:val="28"/>
                <w:lang w:bidi="ar"/>
              </w:rPr>
            </w:pPr>
          </w:p>
        </w:tc>
        <w:tc>
          <w:tcPr>
            <w:tcW w:w="403" w:type="pct"/>
            <w:tcBorders>
              <w:top w:val="nil"/>
              <w:bottom w:val="nil"/>
            </w:tcBorders>
            <w:vAlign w:val="center"/>
          </w:tcPr>
          <w:p w14:paraId="4DAB0226">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45</w:t>
            </w:r>
          </w:p>
        </w:tc>
        <w:tc>
          <w:tcPr>
            <w:tcW w:w="701" w:type="pct"/>
            <w:tcBorders>
              <w:top w:val="nil"/>
              <w:bottom w:val="nil"/>
            </w:tcBorders>
            <w:vAlign w:val="center"/>
          </w:tcPr>
          <w:p w14:paraId="347E56E1">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-35.64</w:t>
            </w:r>
          </w:p>
        </w:tc>
        <w:tc>
          <w:tcPr>
            <w:tcW w:w="720" w:type="pct"/>
            <w:tcBorders>
              <w:top w:val="nil"/>
              <w:bottom w:val="nil"/>
            </w:tcBorders>
            <w:vAlign w:val="center"/>
          </w:tcPr>
          <w:p w14:paraId="6DD7BEDE">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8.50</w:t>
            </w:r>
          </w:p>
        </w:tc>
        <w:tc>
          <w:tcPr>
            <w:tcW w:w="882" w:type="pct"/>
            <w:tcBorders>
              <w:top w:val="nil"/>
              <w:bottom w:val="nil"/>
            </w:tcBorders>
            <w:vAlign w:val="center"/>
          </w:tcPr>
          <w:p w14:paraId="08C22F48">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138.75</w:t>
            </w:r>
          </w:p>
        </w:tc>
        <w:tc>
          <w:tcPr>
            <w:tcW w:w="720" w:type="pct"/>
            <w:tcBorders>
              <w:top w:val="nil"/>
              <w:bottom w:val="nil"/>
            </w:tcBorders>
            <w:vAlign w:val="center"/>
          </w:tcPr>
          <w:p w14:paraId="1C9C8E89">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44.14</w:t>
            </w:r>
          </w:p>
        </w:tc>
        <w:tc>
          <w:tcPr>
            <w:tcW w:w="720" w:type="pct"/>
            <w:tcBorders>
              <w:top w:val="nil"/>
              <w:bottom w:val="nil"/>
            </w:tcBorders>
            <w:vAlign w:val="center"/>
          </w:tcPr>
          <w:p w14:paraId="3D14EC25">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-44.24</w:t>
            </w:r>
          </w:p>
        </w:tc>
      </w:tr>
      <w:tr w14:paraId="1AB6A71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848" w:type="pct"/>
            <w:vMerge w:val="continue"/>
            <w:vAlign w:val="center"/>
          </w:tcPr>
          <w:p w14:paraId="2767D917">
            <w:pPr>
              <w:widowControl/>
              <w:ind w:firstLine="0" w:firstLineChars="0"/>
              <w:jc w:val="center"/>
              <w:textAlignment w:val="center"/>
              <w:rPr>
                <w:rFonts w:hint="default" w:ascii="Times New Roman" w:hAnsi="Times New Roman" w:cs="Times New Roman"/>
                <w:kern w:val="0"/>
                <w:sz w:val="28"/>
                <w:szCs w:val="28"/>
                <w:lang w:bidi="ar"/>
              </w:rPr>
            </w:pPr>
          </w:p>
        </w:tc>
        <w:tc>
          <w:tcPr>
            <w:tcW w:w="403" w:type="pct"/>
            <w:tcBorders>
              <w:top w:val="nil"/>
            </w:tcBorders>
            <w:vAlign w:val="center"/>
          </w:tcPr>
          <w:p w14:paraId="5600029F">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55</w:t>
            </w:r>
          </w:p>
        </w:tc>
        <w:tc>
          <w:tcPr>
            <w:tcW w:w="701" w:type="pct"/>
            <w:tcBorders>
              <w:top w:val="nil"/>
            </w:tcBorders>
            <w:vAlign w:val="center"/>
          </w:tcPr>
          <w:p w14:paraId="5971819A">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-36.87</w:t>
            </w:r>
          </w:p>
        </w:tc>
        <w:tc>
          <w:tcPr>
            <w:tcW w:w="720" w:type="pct"/>
            <w:tcBorders>
              <w:top w:val="nil"/>
            </w:tcBorders>
            <w:vAlign w:val="center"/>
          </w:tcPr>
          <w:p w14:paraId="7285C3BD">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9.04</w:t>
            </w:r>
          </w:p>
        </w:tc>
        <w:tc>
          <w:tcPr>
            <w:tcW w:w="882" w:type="pct"/>
            <w:tcBorders>
              <w:top w:val="nil"/>
            </w:tcBorders>
            <w:vAlign w:val="center"/>
          </w:tcPr>
          <w:p w14:paraId="10B31EDA">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139.91</w:t>
            </w:r>
          </w:p>
        </w:tc>
        <w:tc>
          <w:tcPr>
            <w:tcW w:w="720" w:type="pct"/>
            <w:tcBorders>
              <w:top w:val="nil"/>
            </w:tcBorders>
            <w:vAlign w:val="center"/>
          </w:tcPr>
          <w:p w14:paraId="42B347F8">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45.91</w:t>
            </w:r>
          </w:p>
        </w:tc>
        <w:tc>
          <w:tcPr>
            <w:tcW w:w="720" w:type="pct"/>
            <w:tcBorders>
              <w:top w:val="nil"/>
            </w:tcBorders>
            <w:vAlign w:val="center"/>
          </w:tcPr>
          <w:p w14:paraId="72DCC677">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-47.00</w:t>
            </w:r>
          </w:p>
        </w:tc>
      </w:tr>
      <w:tr w14:paraId="2AFB12B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848" w:type="pct"/>
            <w:vMerge w:val="restart"/>
            <w:vAlign w:val="center"/>
          </w:tcPr>
          <w:p w14:paraId="6C35BBF4">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C</w:t>
            </w:r>
            <w:r>
              <w:rPr>
                <w:rFonts w:hint="default" w:ascii="Times New Roman" w:hAnsi="Times New Roman" w:cs="Times New Roman"/>
                <w:kern w:val="0"/>
                <w:sz w:val="28"/>
                <w:szCs w:val="28"/>
                <w:vertAlign w:val="subscript"/>
                <w:lang w:bidi="ar"/>
              </w:rPr>
              <w:t>12</w:t>
            </w:r>
            <w:r>
              <w:rPr>
                <w:rFonts w:hint="default" w:ascii="Times New Roman" w:hAnsi="Times New Roman" w:cs="Times New Roman"/>
                <w:kern w:val="0"/>
                <w:sz w:val="28"/>
                <w:szCs w:val="28"/>
                <w:lang w:bidi="ar"/>
              </w:rPr>
              <w:t>P</w:t>
            </w:r>
            <w:r>
              <w:rPr>
                <w:rFonts w:hint="default" w:ascii="Times New Roman" w:hAnsi="Times New Roman" w:cs="Times New Roman"/>
                <w:kern w:val="0"/>
                <w:sz w:val="28"/>
                <w:szCs w:val="28"/>
                <w:vertAlign w:val="subscript"/>
                <w:lang w:bidi="ar"/>
              </w:rPr>
              <w:t>3</w:t>
            </w:r>
            <w:r>
              <w:rPr>
                <w:rFonts w:hint="default" w:ascii="Times New Roman" w:hAnsi="Times New Roman" w:cs="Times New Roman"/>
                <w:kern w:val="0"/>
                <w:sz w:val="28"/>
                <w:szCs w:val="28"/>
                <w:lang w:bidi="ar"/>
              </w:rPr>
              <w:t>E</w:t>
            </w:r>
            <w:r>
              <w:rPr>
                <w:rFonts w:hint="default" w:ascii="Times New Roman" w:hAnsi="Times New Roman" w:cs="Times New Roman"/>
                <w:kern w:val="0"/>
                <w:sz w:val="28"/>
                <w:szCs w:val="28"/>
                <w:vertAlign w:val="subscript"/>
                <w:lang w:bidi="ar"/>
              </w:rPr>
              <w:t>3</w:t>
            </w:r>
            <w:r>
              <w:rPr>
                <w:rFonts w:hint="default" w:ascii="Times New Roman" w:hAnsi="Times New Roman" w:cs="Times New Roman"/>
                <w:kern w:val="0"/>
                <w:sz w:val="28"/>
                <w:szCs w:val="28"/>
                <w:lang w:bidi="ar"/>
              </w:rPr>
              <w:t>NS</w:t>
            </w:r>
          </w:p>
        </w:tc>
        <w:tc>
          <w:tcPr>
            <w:tcW w:w="403" w:type="pct"/>
            <w:tcBorders>
              <w:bottom w:val="nil"/>
            </w:tcBorders>
            <w:vAlign w:val="center"/>
          </w:tcPr>
          <w:p w14:paraId="64787739">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25</w:t>
            </w:r>
          </w:p>
        </w:tc>
        <w:tc>
          <w:tcPr>
            <w:tcW w:w="701" w:type="pct"/>
            <w:tcBorders>
              <w:bottom w:val="nil"/>
            </w:tcBorders>
            <w:vAlign w:val="center"/>
          </w:tcPr>
          <w:p w14:paraId="7C82C202">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-32.84</w:t>
            </w:r>
          </w:p>
        </w:tc>
        <w:tc>
          <w:tcPr>
            <w:tcW w:w="720" w:type="pct"/>
            <w:tcBorders>
              <w:bottom w:val="nil"/>
            </w:tcBorders>
            <w:vAlign w:val="center"/>
          </w:tcPr>
          <w:p w14:paraId="3F59D40B">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12.71</w:t>
            </w:r>
          </w:p>
        </w:tc>
        <w:tc>
          <w:tcPr>
            <w:tcW w:w="882" w:type="pct"/>
            <w:tcBorders>
              <w:bottom w:val="nil"/>
            </w:tcBorders>
            <w:vAlign w:val="center"/>
          </w:tcPr>
          <w:p w14:paraId="742873A6">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152.77</w:t>
            </w:r>
          </w:p>
        </w:tc>
        <w:tc>
          <w:tcPr>
            <w:tcW w:w="720" w:type="pct"/>
            <w:tcBorders>
              <w:bottom w:val="nil"/>
            </w:tcBorders>
            <w:vAlign w:val="center"/>
          </w:tcPr>
          <w:p w14:paraId="4EE99659">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45.55</w:t>
            </w:r>
          </w:p>
        </w:tc>
        <w:tc>
          <w:tcPr>
            <w:tcW w:w="720" w:type="pct"/>
            <w:tcBorders>
              <w:bottom w:val="nil"/>
            </w:tcBorders>
            <w:vAlign w:val="center"/>
          </w:tcPr>
          <w:p w14:paraId="7239B5A9">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-44.56</w:t>
            </w:r>
          </w:p>
        </w:tc>
      </w:tr>
      <w:tr w14:paraId="455E3F5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848" w:type="pct"/>
            <w:vMerge w:val="continue"/>
            <w:vAlign w:val="center"/>
          </w:tcPr>
          <w:p w14:paraId="7D0A26A2">
            <w:pPr>
              <w:widowControl/>
              <w:ind w:firstLine="0" w:firstLineChars="0"/>
              <w:jc w:val="center"/>
              <w:textAlignment w:val="center"/>
              <w:rPr>
                <w:rFonts w:hint="default" w:ascii="Times New Roman" w:hAnsi="Times New Roman" w:cs="Times New Roman"/>
                <w:kern w:val="0"/>
                <w:sz w:val="28"/>
                <w:szCs w:val="28"/>
                <w:lang w:bidi="ar"/>
              </w:rPr>
            </w:pPr>
          </w:p>
        </w:tc>
        <w:tc>
          <w:tcPr>
            <w:tcW w:w="403" w:type="pct"/>
            <w:tcBorders>
              <w:top w:val="nil"/>
              <w:bottom w:val="nil"/>
            </w:tcBorders>
            <w:vAlign w:val="center"/>
          </w:tcPr>
          <w:p w14:paraId="0979167B">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35</w:t>
            </w:r>
          </w:p>
        </w:tc>
        <w:tc>
          <w:tcPr>
            <w:tcW w:w="701" w:type="pct"/>
            <w:tcBorders>
              <w:top w:val="nil"/>
              <w:bottom w:val="nil"/>
            </w:tcBorders>
            <w:vAlign w:val="center"/>
          </w:tcPr>
          <w:p w14:paraId="05602974">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-34.62</w:t>
            </w:r>
          </w:p>
        </w:tc>
        <w:tc>
          <w:tcPr>
            <w:tcW w:w="720" w:type="pct"/>
            <w:tcBorders>
              <w:top w:val="nil"/>
              <w:bottom w:val="nil"/>
            </w:tcBorders>
            <w:vAlign w:val="center"/>
          </w:tcPr>
          <w:p w14:paraId="55230687">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13.58</w:t>
            </w:r>
          </w:p>
        </w:tc>
        <w:tc>
          <w:tcPr>
            <w:tcW w:w="882" w:type="pct"/>
            <w:tcBorders>
              <w:top w:val="nil"/>
              <w:bottom w:val="nil"/>
            </w:tcBorders>
            <w:vAlign w:val="center"/>
          </w:tcPr>
          <w:p w14:paraId="3BBE5C82">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156.42</w:t>
            </w:r>
          </w:p>
        </w:tc>
        <w:tc>
          <w:tcPr>
            <w:tcW w:w="720" w:type="pct"/>
            <w:tcBorders>
              <w:top w:val="nil"/>
              <w:bottom w:val="nil"/>
            </w:tcBorders>
            <w:vAlign w:val="center"/>
          </w:tcPr>
          <w:p w14:paraId="10EFBD8C">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48.20</w:t>
            </w:r>
          </w:p>
        </w:tc>
        <w:tc>
          <w:tcPr>
            <w:tcW w:w="720" w:type="pct"/>
            <w:tcBorders>
              <w:top w:val="nil"/>
              <w:bottom w:val="nil"/>
            </w:tcBorders>
            <w:vAlign w:val="center"/>
          </w:tcPr>
          <w:p w14:paraId="584760ED">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-47.75</w:t>
            </w:r>
          </w:p>
        </w:tc>
      </w:tr>
      <w:tr w14:paraId="00881DE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848" w:type="pct"/>
            <w:vMerge w:val="continue"/>
            <w:vAlign w:val="center"/>
          </w:tcPr>
          <w:p w14:paraId="4BB18F67">
            <w:pPr>
              <w:widowControl/>
              <w:ind w:firstLine="0" w:firstLineChars="0"/>
              <w:jc w:val="center"/>
              <w:textAlignment w:val="center"/>
              <w:rPr>
                <w:rFonts w:hint="default" w:ascii="Times New Roman" w:hAnsi="Times New Roman" w:cs="Times New Roman"/>
                <w:kern w:val="0"/>
                <w:sz w:val="28"/>
                <w:szCs w:val="28"/>
                <w:lang w:bidi="ar"/>
              </w:rPr>
            </w:pPr>
          </w:p>
        </w:tc>
        <w:tc>
          <w:tcPr>
            <w:tcW w:w="403" w:type="pct"/>
            <w:tcBorders>
              <w:top w:val="nil"/>
              <w:bottom w:val="nil"/>
            </w:tcBorders>
            <w:vAlign w:val="center"/>
          </w:tcPr>
          <w:p w14:paraId="75D73A3B">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45</w:t>
            </w:r>
          </w:p>
        </w:tc>
        <w:tc>
          <w:tcPr>
            <w:tcW w:w="701" w:type="pct"/>
            <w:tcBorders>
              <w:top w:val="nil"/>
              <w:bottom w:val="nil"/>
            </w:tcBorders>
            <w:vAlign w:val="center"/>
          </w:tcPr>
          <w:p w14:paraId="5CE1E524">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-36.13</w:t>
            </w:r>
          </w:p>
        </w:tc>
        <w:tc>
          <w:tcPr>
            <w:tcW w:w="720" w:type="pct"/>
            <w:tcBorders>
              <w:top w:val="nil"/>
              <w:bottom w:val="nil"/>
            </w:tcBorders>
            <w:vAlign w:val="center"/>
          </w:tcPr>
          <w:p w14:paraId="61206BB8">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14.47</w:t>
            </w:r>
          </w:p>
        </w:tc>
        <w:tc>
          <w:tcPr>
            <w:tcW w:w="882" w:type="pct"/>
            <w:tcBorders>
              <w:top w:val="nil"/>
              <w:bottom w:val="nil"/>
            </w:tcBorders>
            <w:vAlign w:val="center"/>
          </w:tcPr>
          <w:p w14:paraId="33D16349">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159.04</w:t>
            </w:r>
          </w:p>
        </w:tc>
        <w:tc>
          <w:tcPr>
            <w:tcW w:w="720" w:type="pct"/>
            <w:tcBorders>
              <w:top w:val="nil"/>
              <w:bottom w:val="nil"/>
            </w:tcBorders>
            <w:vAlign w:val="center"/>
          </w:tcPr>
          <w:p w14:paraId="02DAC183">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50.60</w:t>
            </w:r>
          </w:p>
        </w:tc>
        <w:tc>
          <w:tcPr>
            <w:tcW w:w="720" w:type="pct"/>
            <w:tcBorders>
              <w:top w:val="nil"/>
              <w:bottom w:val="nil"/>
            </w:tcBorders>
            <w:vAlign w:val="center"/>
          </w:tcPr>
          <w:p w14:paraId="1D3E77D6">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-50.67</w:t>
            </w:r>
          </w:p>
        </w:tc>
      </w:tr>
      <w:tr w14:paraId="199367B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848" w:type="pct"/>
            <w:vMerge w:val="continue"/>
            <w:tcBorders>
              <w:bottom w:val="single" w:color="auto" w:sz="12" w:space="0"/>
            </w:tcBorders>
            <w:vAlign w:val="center"/>
          </w:tcPr>
          <w:p w14:paraId="00EF99CF">
            <w:pPr>
              <w:widowControl/>
              <w:ind w:firstLine="0" w:firstLineChars="0"/>
              <w:jc w:val="center"/>
              <w:textAlignment w:val="center"/>
              <w:rPr>
                <w:rFonts w:hint="default" w:ascii="Times New Roman" w:hAnsi="Times New Roman" w:cs="Times New Roman"/>
                <w:kern w:val="0"/>
                <w:sz w:val="28"/>
                <w:szCs w:val="28"/>
                <w:lang w:bidi="ar"/>
              </w:rPr>
            </w:pPr>
          </w:p>
        </w:tc>
        <w:tc>
          <w:tcPr>
            <w:tcW w:w="403" w:type="pct"/>
            <w:tcBorders>
              <w:top w:val="nil"/>
              <w:bottom w:val="single" w:color="auto" w:sz="12" w:space="0"/>
            </w:tcBorders>
            <w:vAlign w:val="center"/>
          </w:tcPr>
          <w:p w14:paraId="02EC55D9">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55</w:t>
            </w:r>
          </w:p>
        </w:tc>
        <w:tc>
          <w:tcPr>
            <w:tcW w:w="701" w:type="pct"/>
            <w:tcBorders>
              <w:top w:val="nil"/>
              <w:bottom w:val="single" w:color="auto" w:sz="12" w:space="0"/>
            </w:tcBorders>
            <w:vAlign w:val="center"/>
          </w:tcPr>
          <w:p w14:paraId="3FA614EC">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-37.57</w:t>
            </w:r>
          </w:p>
        </w:tc>
        <w:tc>
          <w:tcPr>
            <w:tcW w:w="720" w:type="pct"/>
            <w:tcBorders>
              <w:top w:val="nil"/>
              <w:bottom w:val="single" w:color="auto" w:sz="12" w:space="0"/>
            </w:tcBorders>
            <w:vAlign w:val="center"/>
          </w:tcPr>
          <w:p w14:paraId="617D7DF1">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15.40</w:t>
            </w:r>
          </w:p>
        </w:tc>
        <w:tc>
          <w:tcPr>
            <w:tcW w:w="882" w:type="pct"/>
            <w:tcBorders>
              <w:top w:val="nil"/>
              <w:bottom w:val="single" w:color="auto" w:sz="12" w:space="0"/>
            </w:tcBorders>
            <w:vAlign w:val="center"/>
          </w:tcPr>
          <w:p w14:paraId="26556FFA">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161.42</w:t>
            </w:r>
          </w:p>
        </w:tc>
        <w:tc>
          <w:tcPr>
            <w:tcW w:w="720" w:type="pct"/>
            <w:tcBorders>
              <w:top w:val="nil"/>
              <w:bottom w:val="single" w:color="auto" w:sz="12" w:space="0"/>
            </w:tcBorders>
            <w:vAlign w:val="center"/>
          </w:tcPr>
          <w:p w14:paraId="36B5931A">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52.97</w:t>
            </w:r>
          </w:p>
        </w:tc>
        <w:tc>
          <w:tcPr>
            <w:tcW w:w="720" w:type="pct"/>
            <w:tcBorders>
              <w:top w:val="nil"/>
              <w:bottom w:val="single" w:color="auto" w:sz="12" w:space="0"/>
            </w:tcBorders>
            <w:vAlign w:val="center"/>
          </w:tcPr>
          <w:p w14:paraId="6ED918A5">
            <w:pPr>
              <w:widowControl/>
              <w:ind w:firstLine="0" w:firstLineChars="0"/>
              <w:jc w:val="center"/>
              <w:textAlignment w:val="center"/>
              <w:rPr>
                <w:rFonts w:hint="default" w:ascii="Times New Roman" w:hAnsi="Times New Roman" w:cs="Times New Roman"/>
                <w:kern w:val="0"/>
                <w:sz w:val="28"/>
                <w:szCs w:val="28"/>
                <w:lang w:bidi="ar"/>
              </w:rPr>
            </w:pPr>
            <w:r>
              <w:rPr>
                <w:rFonts w:hint="default" w:ascii="Times New Roman" w:hAnsi="Times New Roman" w:cs="Times New Roman"/>
                <w:kern w:val="0"/>
                <w:sz w:val="28"/>
                <w:szCs w:val="28"/>
                <w:lang w:bidi="ar"/>
              </w:rPr>
              <w:t>-55.67</w:t>
            </w:r>
          </w:p>
        </w:tc>
      </w:tr>
    </w:tbl>
    <w:p w14:paraId="46FF3917">
      <w:pPr>
        <w:widowControl/>
        <w:ind w:firstLine="709" w:firstLineChars="0"/>
        <w:outlineLvl w:val="2"/>
        <w:rPr>
          <w:rFonts w:hint="default" w:ascii="Times New Roman" w:hAnsi="Times New Roman" w:cs="Times New Roman"/>
          <w:sz w:val="28"/>
          <w:szCs w:val="28"/>
        </w:rPr>
      </w:pPr>
      <w:bookmarkStart w:id="496" w:name="_Toc4957"/>
      <w:bookmarkStart w:id="497" w:name="_Toc8564"/>
    </w:p>
    <w:p w14:paraId="483DFE1F">
      <w:pPr>
        <w:widowControl/>
        <w:ind w:firstLine="709" w:firstLineChars="0"/>
        <w:rPr>
          <w:rFonts w:hint="default" w:ascii="Times New Roman" w:hAnsi="Times New Roman" w:cs="Times New Roman"/>
          <w:sz w:val="28"/>
          <w:szCs w:val="28"/>
        </w:rPr>
      </w:pPr>
      <w:bookmarkStart w:id="498" w:name="_Toc10243"/>
      <w:r>
        <w:rPr>
          <w:rFonts w:hint="default" w:ascii="Times New Roman" w:hAnsi="Times New Roman" w:cs="Times New Roman"/>
          <w:sz w:val="28"/>
          <w:szCs w:val="28"/>
        </w:rPr>
        <w:t>The observed variations in the thermodynamic parameters of the synthesized surfactants can be mechanistically attributed to the molecular structure and hydration behavior. Specifically, the incorporation of PO groups slightly increases the hydrophobic chain length, reducing affinity for water and enhancing hydrophobic interactions in the hydrocarbon segment, which leads to a decrease in the standard enthalpy of micellization (</w:t>
      </w:r>
      <m:oMath>
        <m:r>
          <m:rPr>
            <m:nor/>
            <m:sty m:val="p"/>
          </m:rPr>
          <w:rPr>
            <w:rFonts w:hint="default" w:ascii="Times New Roman" w:hAnsi="Times New Roman" w:cs="Times New Roman"/>
            <w:b w:val="0"/>
            <w:i w:val="0"/>
            <w:iCs/>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iCs/>
                <w:sz w:val="28"/>
                <w:szCs w:val="28"/>
              </w:rPr>
              <m:t>H</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[83,108]. In contrast, the introduction of EO groups increases surfactant solubility in water, disrupts the formation of the structured “iceberg” water around hydrophobic moieties, and thereby increases </w:t>
      </w:r>
      <m:oMath>
        <m:r>
          <m:rPr>
            <m:nor/>
            <m:sty m:val="p"/>
          </m:rPr>
          <w:rPr>
            <w:rFonts w:hint="default" w:ascii="Times New Roman" w:hAnsi="Times New Roman" w:cs="Times New Roman"/>
            <w:b w:val="0"/>
            <w:i w:val="0"/>
            <w:iCs/>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iCs/>
                <w:sz w:val="28"/>
                <w:szCs w:val="28"/>
              </w:rPr>
              <m:t>H</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[83,109]. Across all surfactants, the positive standard entropy changes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iCs/>
                <w:sz w:val="28"/>
                <w:szCs w:val="28"/>
              </w:rPr>
              <m:t>S</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indicate that entropy contributes significantly to the spontaneous formation of micelles. This effect arises from the disruption of structured hydrogen-bond networks surrounding the hydrophobic chains, releasing water molecules from hydration shells and increasing the degrees of freedom in the system [83,93]. This process promotes spontaneous aggregation and facilitates dynamic interfacial adsorption under high-salinity conditions. The magnitude of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iCs/>
                <w:sz w:val="28"/>
                <w:szCs w:val="28"/>
              </w:rPr>
              <m:t>S</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increases with temperature due to the enhanced disorder of water molecules and the destabilization of the “iceberg” structure, further promoting entropy-driven micellization. Notably, the -</w:t>
      </w:r>
      <m:oMath>
        <m:r>
          <m:rPr>
            <m:nor/>
          </m:rPr>
          <w:rPr>
            <w:rFonts w:hint="default" w:ascii="Times New Roman" w:hAnsi="Times New Roman" w:cs="Times New Roman"/>
            <w:i/>
            <w:iCs/>
            <w:sz w:val="28"/>
            <w:szCs w:val="28"/>
          </w:rPr>
          <m:t>T</m:t>
        </m:r>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iCs/>
                <w:sz w:val="28"/>
                <w:szCs w:val="28"/>
              </w:rPr>
              <m:t>S</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values are smaller than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iCs/>
                <w:sz w:val="28"/>
                <w:szCs w:val="28"/>
              </w:rPr>
              <m:t>H</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confirming that the micellization of these surfactants is predominantly entropy-driven. As temperature increases, -</w:t>
      </w:r>
      <m:oMath>
        <m:r>
          <m:rPr>
            <m:nor/>
          </m:rPr>
          <w:rPr>
            <w:rFonts w:hint="default" w:ascii="Times New Roman" w:hAnsi="Times New Roman" w:cs="Times New Roman"/>
            <w:i/>
            <w:iCs/>
            <w:sz w:val="28"/>
            <w:szCs w:val="28"/>
          </w:rPr>
          <m:t>T</m:t>
        </m:r>
        <m:r>
          <m:rPr>
            <m:nor/>
            <m:sty m:val="p"/>
          </m:rPr>
          <w:rPr>
            <w:rFonts w:hint="default" w:ascii="Times New Roman" w:hAnsi="Times New Roman" w:cs="Times New Roman"/>
            <w:b w:val="0"/>
            <w:i w:val="0"/>
            <w:iCs/>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iCs/>
                <w:sz w:val="28"/>
                <w:szCs w:val="28"/>
              </w:rPr>
              <m:t>S</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becomes more negative, highlighting the increasing contribution of entropic forces to micelle formation [83,76]. The calculated Gibbs free energies of adsorption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iCs/>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ads</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and micellization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iCs/>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are all negative, demonstrating the spontaneous nature of both interfacial adsorption and micelle formation. Moreover,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iCs/>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ads</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values are more negative than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iCs/>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indicating that surfactant molecules preferentially adsorb at the hydrophilic–hydrophobic interface rather than forming micelles in bulk solution. With rising temperature, both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sty m:val="p"/>
              </m:rPr>
              <w:rPr>
                <w:rFonts w:hint="default" w:ascii="Times New Roman" w:hAnsi="Times New Roman" w:cs="Times New Roman"/>
                <w:b w:val="0"/>
                <w:i w:val="0"/>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ads</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and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iCs/>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decrease, suggesting enhanced surface adsorption and more compact micellar structures. The dehydration of hydrophilic headgroups facilitates the formation of premicelles and promotes efficient molecular packing at the interface, thereby increasing interfacial stability and reducing surface tension [76,83,110]. The insertion of PO and EO groups further influences these thermodynamic parameters. Both modifications increase the absolute values of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iCs/>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and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iCs/>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ads</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indicating that such structural changes favor micellization and interfacial adsorption. This trend correlates with the hydrophilic–lipophilic balance (HLB) values of the surfactants, as listed in Table </w:t>
      </w:r>
      <w:r>
        <w:rPr>
          <w:rFonts w:hint="default" w:ascii="Times New Roman" w:hAnsi="Times New Roman" w:cs="Times New Roman"/>
          <w:sz w:val="28"/>
          <w:szCs w:val="28"/>
          <w:lang w:val="en-US" w:eastAsia="zh-CN"/>
        </w:rPr>
        <w:t>3</w:t>
      </w:r>
      <w:r>
        <w:rPr>
          <w:rFonts w:hint="default" w:ascii="Times New Roman" w:hAnsi="Times New Roman" w:cs="Times New Roman"/>
          <w:sz w:val="28"/>
          <w:szCs w:val="28"/>
        </w:rPr>
        <w:t xml:space="preserve">.2. Surfactants with lower HLB values exhibit more negative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iCs/>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and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iCs/>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ads</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due to enhanced hydrophobic interactions and interfacial affinity. Concurrently, lower HLB corresponds to more exothermic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iCs/>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and higher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sty m:val="p"/>
              </m:rPr>
              <w:rPr>
                <w:rFonts w:hint="default" w:ascii="Times New Roman" w:hAnsi="Times New Roman" w:cs="Times New Roman"/>
                <w:b w:val="0"/>
                <w:i w:val="0"/>
                <w:sz w:val="28"/>
                <w:szCs w:val="28"/>
              </w:rPr>
              <m:t>S</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reflecting an increased driving force for molecular aggregation [83,111,112]. From an application perspective, these thermodynamic characteristics have direct implications for enhanced oil recovery (EOR). More negative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iCs/>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and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iCs/>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ads</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values indicate highly spontaneous micellization and interfacial adsorption, which are critical for lowering oil–water interfacial tension and detaching adsorbed crude oil from reservoir rock surfaces [95,96]. The adsorption thermodynamics also reflect the strength and stability of interfacial films, contributing to wettability alteration toward more water-wet conditions, thereby facilitating the mobilization of residual oil along pore walls and converting capillary forces from an impediment to a driving force for displacement [83,112,113]. Additionally, the positive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iCs/>
                <w:sz w:val="28"/>
                <w:szCs w:val="28"/>
              </w:rPr>
              <m:t>S</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confirms that hydrophobic aggregation is the primary driving force for surfactant self-assembly, promoting oil emulsification and transport. Collectively, micellization is predominantly entropy-driven, while structural modifications tune the balance between enthalpic and entropic contributions. These thermodynamic insights explain the superior EOR performance of the synthesized extended amphoteric surfactants and provide a mechanistic basis for their application in oil recovery processes [83,114-116].</w:t>
      </w:r>
      <w:bookmarkEnd w:id="496"/>
      <w:bookmarkEnd w:id="497"/>
      <w:bookmarkEnd w:id="498"/>
    </w:p>
    <w:p w14:paraId="0D4AD224">
      <w:pPr>
        <w:widowControl/>
        <w:ind w:firstLine="709" w:firstLineChars="0"/>
        <w:rPr>
          <w:rFonts w:hint="default" w:ascii="Times New Roman" w:hAnsi="Times New Roman" w:cs="Times New Roman"/>
          <w:i w:val="0"/>
          <w:iCs w:val="0"/>
          <w:sz w:val="28"/>
          <w:szCs w:val="28"/>
        </w:rPr>
      </w:pPr>
      <w:r>
        <w:rPr>
          <w:rFonts w:hint="default" w:ascii="Times New Roman" w:hAnsi="Times New Roman" w:cs="Times New Roman"/>
          <w:i w:val="0"/>
          <w:iCs w:val="0"/>
          <w:sz w:val="28"/>
          <w:szCs w:val="28"/>
        </w:rPr>
        <w:t>3.4.4.5 Enthalpy-entropy compensation of micellization</w:t>
      </w:r>
    </w:p>
    <w:p w14:paraId="0A6C719E">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A linear correlation between the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H</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and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S</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is commonly observed in aqueous solution [83,117]. The compensation phenomenon between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H</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eastAsiaTheme="minorEastAsia"/>
          <w:sz w:val="28"/>
          <w:szCs w:val="28"/>
        </w:rPr>
        <w:t xml:space="preserve"> </w:t>
      </w:r>
      <w:r>
        <w:rPr>
          <w:rFonts w:hint="default" w:ascii="Times New Roman" w:hAnsi="Times New Roman" w:cs="Times New Roman"/>
          <w:sz w:val="28"/>
          <w:szCs w:val="28"/>
        </w:rPr>
        <w:t xml:space="preserve">and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S</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can be described usually as following Eq.</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t>(3</w:t>
      </w:r>
      <w:r>
        <w:rPr>
          <w:rFonts w:hint="default" w:ascii="Times New Roman" w:hAnsi="Times New Roman" w:cs="Times New Roman"/>
          <w:sz w:val="28"/>
          <w:szCs w:val="28"/>
          <w:lang w:val="en-US" w:eastAsia="zh-CN"/>
        </w:rPr>
        <w:t>.13</w:t>
      </w:r>
      <w:r>
        <w:rPr>
          <w:rFonts w:hint="default" w:ascii="Times New Roman" w:hAnsi="Times New Roman" w:cs="Times New Roman"/>
          <w:sz w:val="28"/>
          <w:szCs w:val="28"/>
        </w:rPr>
        <w:t>).</w:t>
      </w:r>
    </w:p>
    <w:p w14:paraId="7D4F7943">
      <w:pPr>
        <w:widowControl/>
        <w:ind w:firstLine="709" w:firstLineChars="0"/>
        <w:jc w:val="right"/>
        <w:rPr>
          <w:rFonts w:hint="default" w:ascii="Times New Roman" w:hAnsi="Times New Roman" w:cs="Times New Roman"/>
          <w:sz w:val="28"/>
          <w:szCs w:val="28"/>
        </w:rPr>
      </w:pP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H</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H</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t>
            </m:r>
            <m:ctrlPr>
              <w:rPr>
                <w:rFonts w:hint="default" w:ascii="Cambria Math" w:hAnsi="Cambria Math" w:cs="Times New Roman"/>
                <w:sz w:val="28"/>
                <w:szCs w:val="28"/>
              </w:rPr>
            </m:ctrlPr>
          </m:sup>
        </m:sSubSup>
        <m:r>
          <m:rPr>
            <m:nor/>
            <m:sty m:val="p"/>
          </m:rPr>
          <w:rPr>
            <w:rFonts w:hint="default" w:ascii="Times New Roman" w:hAnsi="Times New Roman" w:cs="Times New Roman"/>
            <w:b w:val="0"/>
            <w:i w:val="0"/>
            <w:sz w:val="28"/>
            <w:szCs w:val="28"/>
          </w:rPr>
          <m:t>+</m:t>
        </m:r>
        <m:sSub>
          <m:sSubPr>
            <m:ctrlPr>
              <w:rPr>
                <w:rFonts w:hint="default" w:ascii="Cambria Math" w:hAnsi="Cambria Math" w:cs="Times New Roman"/>
                <w:sz w:val="28"/>
                <w:szCs w:val="28"/>
              </w:rPr>
            </m:ctrlPr>
          </m:sSubPr>
          <m:e>
            <m:r>
              <m:rPr>
                <m:nor/>
              </m:rPr>
              <w:rPr>
                <w:rFonts w:hint="default" w:ascii="Times New Roman" w:hAnsi="Times New Roman" w:cs="Times New Roman"/>
                <w:i/>
                <w:sz w:val="28"/>
                <w:szCs w:val="28"/>
              </w:rPr>
              <m:t>T</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c</m:t>
            </m:r>
            <m:ctrlPr>
              <w:rPr>
                <w:rFonts w:hint="default" w:ascii="Cambria Math" w:hAnsi="Cambria Math" w:cs="Times New Roman"/>
                <w:sz w:val="28"/>
                <w:szCs w:val="28"/>
              </w:rPr>
            </m:ctrlPr>
          </m:sub>
        </m:sSub>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S</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eastAsiaTheme="minorEastAsia"/>
          <w:sz w:val="28"/>
          <w:szCs w:val="28"/>
        </w:rPr>
        <w:t xml:space="preserve">                                      (3</w:t>
      </w:r>
      <w:r>
        <w:rPr>
          <w:rFonts w:hint="default" w:ascii="Times New Roman" w:hAnsi="Times New Roman" w:cs="Times New Roman" w:eastAsiaTheme="minorEastAsia"/>
          <w:sz w:val="28"/>
          <w:szCs w:val="28"/>
          <w:lang w:val="en-US" w:eastAsia="zh-CN"/>
        </w:rPr>
        <w:t>.13</w:t>
      </w:r>
      <w:r>
        <w:rPr>
          <w:rFonts w:hint="default" w:ascii="Times New Roman" w:hAnsi="Times New Roman" w:cs="Times New Roman" w:eastAsiaTheme="minorEastAsia"/>
          <w:sz w:val="28"/>
          <w:szCs w:val="28"/>
        </w:rPr>
        <w:t>)</w:t>
      </w:r>
    </w:p>
    <w:p w14:paraId="6CEBE863">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Where the slope </w:t>
      </w:r>
      <m:oMath>
        <m:sSub>
          <m:sSubPr>
            <m:ctrlPr>
              <w:rPr>
                <w:rFonts w:hint="default" w:ascii="Cambria Math" w:hAnsi="Cambria Math" w:cs="Times New Roman"/>
                <w:sz w:val="28"/>
                <w:szCs w:val="28"/>
              </w:rPr>
            </m:ctrlPr>
          </m:sSubPr>
          <m:e>
            <m:r>
              <m:rPr>
                <m:nor/>
              </m:rPr>
              <w:rPr>
                <w:rFonts w:hint="default" w:ascii="Times New Roman" w:hAnsi="Times New Roman" w:cs="Times New Roman"/>
                <w:i/>
                <w:sz w:val="28"/>
                <w:szCs w:val="28"/>
              </w:rPr>
              <m:t>T</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c</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(named compensation temperature) reflects the solute-solvent interactions characteristics which can be considered as a measure of the ‘desolvation’ part of the micellization process, meaning the dehydration of the hydrocarbon chain [83,118]. The intercept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H</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t>
            </m:r>
            <m:ctrlPr>
              <w:rPr>
                <w:rFonts w:hint="default" w:ascii="Cambria Math" w:hAnsi="Cambria Math" w:cs="Times New Roman"/>
                <w:sz w:val="28"/>
                <w:szCs w:val="28"/>
              </w:rPr>
            </m:ctrlPr>
          </m:sup>
        </m:sSubSup>
      </m:oMath>
      <w:r>
        <w:rPr>
          <w:rFonts w:hint="eastAsia" w:hAnsi="Cambria Math" w:cs="Times New Roman"/>
          <w:i w:val="0"/>
          <w:sz w:val="28"/>
          <w:szCs w:val="28"/>
          <w:lang w:val="en-US" w:eastAsia="zh-CN"/>
        </w:rPr>
        <w:t>,</w:t>
      </w:r>
      <w:r>
        <w:rPr>
          <w:rFonts w:hint="default" w:ascii="Times New Roman" w:hAnsi="Times New Roman" w:cs="Times New Roman"/>
          <w:sz w:val="28"/>
          <w:szCs w:val="28"/>
        </w:rPr>
        <w:t xml:space="preserve"> characterized the solute-solute interactions, represents the ‘chemical’ part under the condition of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S</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=0, signifying the aggregation of the hydrocarbon chain leading to micelle formation [83]. Correspondingly, the micellization is enthalpy-driven absolutely under the condition of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H</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=0, and the entropy term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S</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can be described as a characteristic of aggregation. A greater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S</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value indicates a stronger thermodynamic tendency toward self-assembly and enhanced micellar stability [83,118]. The linear relationships between enthalpy changes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H</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and the entropy changes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S</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are exhibited in Figure 3.7 and the relative fitting results are exhibited in Table </w:t>
      </w:r>
      <w:r>
        <w:rPr>
          <w:rFonts w:hint="default" w:ascii="Times New Roman" w:hAnsi="Times New Roman" w:cs="Times New Roman"/>
          <w:sz w:val="28"/>
          <w:szCs w:val="28"/>
          <w:lang w:val="en-US" w:eastAsia="zh-CN"/>
        </w:rPr>
        <w:t>3</w:t>
      </w:r>
      <w:r>
        <w:rPr>
          <w:rFonts w:hint="default" w:ascii="Times New Roman" w:hAnsi="Times New Roman" w:cs="Times New Roman"/>
          <w:sz w:val="28"/>
          <w:szCs w:val="28"/>
        </w:rPr>
        <w:t>.</w:t>
      </w:r>
      <w:r>
        <w:rPr>
          <w:rFonts w:hint="default" w:ascii="Times New Roman" w:hAnsi="Times New Roman" w:cs="Times New Roman"/>
          <w:sz w:val="28"/>
          <w:szCs w:val="28"/>
          <w:lang w:val="en-US" w:eastAsia="zh-CN"/>
        </w:rPr>
        <w:t>11</w:t>
      </w:r>
      <w:r>
        <w:rPr>
          <w:rFonts w:hint="default" w:ascii="Times New Roman" w:hAnsi="Times New Roman" w:cs="Times New Roman"/>
          <w:sz w:val="28"/>
          <w:szCs w:val="28"/>
        </w:rPr>
        <w:t xml:space="preserve"> [83,117].</w:t>
      </w:r>
    </w:p>
    <w:p w14:paraId="313F1148">
      <w:pPr>
        <w:widowControl/>
        <w:ind w:firstLine="709" w:firstLineChars="0"/>
        <w:rPr>
          <w:rFonts w:hint="default" w:ascii="Times New Roman" w:hAnsi="Times New Roman" w:cs="Times New Roman"/>
          <w:sz w:val="28"/>
          <w:szCs w:val="28"/>
        </w:rPr>
      </w:pPr>
    </w:p>
    <w:p w14:paraId="5B86BF9C">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sz w:val="28"/>
          <w:szCs w:val="28"/>
        </w:rPr>
        <w:drawing>
          <wp:inline distT="0" distB="0" distL="114300" distR="114300">
            <wp:extent cx="3553460" cy="2792095"/>
            <wp:effectExtent l="0" t="0" r="0" b="0"/>
            <wp:docPr id="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pic:cNvPicPr>
                      <a:picLocks noChangeAspect="1"/>
                    </pic:cNvPicPr>
                  </pic:nvPicPr>
                  <pic:blipFill>
                    <a:blip r:embed="rId33"/>
                    <a:stretch>
                      <a:fillRect/>
                    </a:stretch>
                  </pic:blipFill>
                  <pic:spPr>
                    <a:xfrm>
                      <a:off x="0" y="0"/>
                      <a:ext cx="3568081" cy="2803491"/>
                    </a:xfrm>
                    <a:prstGeom prst="rect">
                      <a:avLst/>
                    </a:prstGeom>
                    <a:noFill/>
                    <a:ln>
                      <a:noFill/>
                    </a:ln>
                  </pic:spPr>
                </pic:pic>
              </a:graphicData>
            </a:graphic>
          </wp:inline>
        </w:drawing>
      </w:r>
    </w:p>
    <w:p w14:paraId="5B71B650">
      <w:pPr>
        <w:widowControl/>
        <w:ind w:firstLine="0" w:firstLineChars="0"/>
        <w:jc w:val="center"/>
        <w:rPr>
          <w:rFonts w:hint="default" w:ascii="Times New Roman" w:hAnsi="Times New Roman" w:cs="Times New Roman" w:eastAsiaTheme="minorEastAsia"/>
          <w:sz w:val="28"/>
          <w:szCs w:val="28"/>
          <w:lang w:val="en-US" w:eastAsia="zh-CN"/>
        </w:rPr>
      </w:pPr>
      <w:r>
        <w:rPr>
          <w:rFonts w:hint="default" w:ascii="Times New Roman" w:hAnsi="Times New Roman" w:cs="Times New Roman" w:eastAsiaTheme="minorEastAsia"/>
          <w:sz w:val="28"/>
          <w:szCs w:val="28"/>
        </w:rPr>
        <w:t xml:space="preserve">Figure 3.7 </w:t>
      </w:r>
      <w:r>
        <w:rPr>
          <w:rFonts w:hint="default" w:ascii="Times New Roman" w:hAnsi="Times New Roman" w:cs="Times New Roman"/>
          <w:sz w:val="28"/>
          <w:szCs w:val="28"/>
        </w:rPr>
        <w:t>–</w:t>
      </w:r>
      <w:r>
        <w:rPr>
          <w:rFonts w:hint="default" w:ascii="Times New Roman" w:hAnsi="Times New Roman" w:cs="Times New Roman" w:eastAsiaTheme="minorEastAsia"/>
          <w:sz w:val="28"/>
          <w:szCs w:val="28"/>
        </w:rPr>
        <w:t xml:space="preserve"> Enthalpy-entropy compensation plot of micellization for three surfactants</w:t>
      </w:r>
      <w:r>
        <w:rPr>
          <w:rFonts w:hint="default" w:ascii="Times New Roman" w:hAnsi="Times New Roman" w:cs="Times New Roman" w:eastAsiaTheme="minorEastAsia"/>
          <w:sz w:val="28"/>
          <w:szCs w:val="28"/>
          <w:lang w:val="en-US" w:eastAsia="zh-CN"/>
        </w:rPr>
        <w:t>.</w:t>
      </w:r>
    </w:p>
    <w:p w14:paraId="43EEF14F">
      <w:pPr>
        <w:widowControl/>
        <w:ind w:firstLine="0" w:firstLineChars="0"/>
        <w:jc w:val="center"/>
        <w:rPr>
          <w:rFonts w:hint="default" w:ascii="Times New Roman" w:hAnsi="Times New Roman" w:cs="Times New Roman" w:eastAsiaTheme="minorEastAsia"/>
          <w:sz w:val="28"/>
          <w:szCs w:val="28"/>
          <w:lang w:val="en-US" w:eastAsia="zh-CN"/>
        </w:rPr>
      </w:pPr>
    </w:p>
    <w:p w14:paraId="2C1AD98A">
      <w:pPr>
        <w:widowControl/>
        <w:ind w:left="0" w:leftChars="0" w:firstLine="0" w:firstLineChars="0"/>
        <w:rPr>
          <w:rFonts w:hint="default" w:ascii="Times New Roman" w:hAnsi="Times New Roman" w:eastAsia="宋体" w:cs="Times New Roman"/>
          <w:sz w:val="28"/>
          <w:szCs w:val="28"/>
          <w:lang w:val="en-US" w:eastAsia="zh-CN"/>
        </w:rPr>
      </w:pPr>
      <w:r>
        <w:rPr>
          <w:rFonts w:hint="default" w:ascii="Times New Roman" w:hAnsi="Times New Roman" w:cs="Times New Roman" w:eastAsiaTheme="minorEastAsia"/>
          <w:sz w:val="28"/>
          <w:szCs w:val="28"/>
        </w:rPr>
        <w:t xml:space="preserve">Table 3.11 </w:t>
      </w:r>
      <w:r>
        <w:rPr>
          <w:rFonts w:hint="default" w:ascii="Times New Roman" w:hAnsi="Times New Roman" w:cs="Times New Roman"/>
          <w:sz w:val="28"/>
          <w:szCs w:val="28"/>
        </w:rPr>
        <w:t>–</w:t>
      </w:r>
      <w:r>
        <w:rPr>
          <w:rFonts w:hint="default" w:ascii="Times New Roman" w:hAnsi="Times New Roman" w:cs="Times New Roman" w:eastAsiaTheme="minorEastAsia"/>
          <w:sz w:val="28"/>
          <w:szCs w:val="28"/>
        </w:rPr>
        <w:t xml:space="preserve"> Compensation temperature </w:t>
      </w:r>
      <m:oMath>
        <m:sSub>
          <m:sSubPr>
            <m:ctrlPr>
              <w:rPr>
                <w:rFonts w:hint="default" w:ascii="Cambria Math" w:hAnsi="Cambria Math" w:cs="Times New Roman"/>
                <w:sz w:val="28"/>
                <w:szCs w:val="28"/>
              </w:rPr>
            </m:ctrlPr>
          </m:sSubPr>
          <m:e>
            <m:r>
              <m:rPr>
                <m:nor/>
              </m:rPr>
              <w:rPr>
                <w:rFonts w:hint="default" w:ascii="Times New Roman" w:hAnsi="Times New Roman" w:cs="Times New Roman"/>
                <w:i/>
                <w:sz w:val="28"/>
                <w:szCs w:val="28"/>
              </w:rPr>
              <m:t>T</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c</m:t>
            </m:r>
            <m:ctrlPr>
              <w:rPr>
                <w:rFonts w:hint="default" w:ascii="Cambria Math" w:hAnsi="Cambria Math" w:cs="Times New Roman"/>
                <w:sz w:val="28"/>
                <w:szCs w:val="28"/>
              </w:rPr>
            </m:ctrlPr>
          </m:sub>
        </m:sSub>
      </m:oMath>
      <w:r>
        <w:rPr>
          <w:rFonts w:hint="default" w:ascii="Times New Roman" w:hAnsi="Times New Roman" w:cs="Times New Roman" w:eastAsiaTheme="minorEastAsia"/>
          <w:sz w:val="28"/>
          <w:szCs w:val="28"/>
        </w:rPr>
        <w:t xml:space="preserve">, compensation enthalpy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H</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t>
            </m:r>
            <m:ctrlPr>
              <w:rPr>
                <w:rFonts w:hint="default" w:ascii="Cambria Math" w:hAnsi="Cambria Math" w:cs="Times New Roman"/>
                <w:sz w:val="28"/>
                <w:szCs w:val="28"/>
              </w:rPr>
            </m:ctrlPr>
          </m:sup>
        </m:sSubSup>
      </m:oMath>
      <w:r>
        <w:rPr>
          <w:rFonts w:hint="default" w:ascii="Times New Roman" w:hAnsi="Times New Roman" w:cs="Times New Roman" w:eastAsiaTheme="minorEastAsia"/>
          <w:sz w:val="28"/>
          <w:szCs w:val="28"/>
        </w:rPr>
        <w:t xml:space="preserve"> and compensation entropy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S</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t>
            </m:r>
            <m:ctrlPr>
              <w:rPr>
                <w:rFonts w:hint="default" w:ascii="Cambria Math" w:hAnsi="Cambria Math" w:cs="Times New Roman"/>
                <w:sz w:val="28"/>
                <w:szCs w:val="28"/>
              </w:rPr>
            </m:ctrlPr>
          </m:sup>
        </m:sSubSup>
      </m:oMath>
      <w:r>
        <w:rPr>
          <w:rFonts w:hint="default" w:ascii="Times New Roman" w:hAnsi="Times New Roman" w:cs="Times New Roman"/>
          <w:i w:val="0"/>
          <w:sz w:val="28"/>
          <w:szCs w:val="28"/>
          <w:lang w:val="en-US" w:eastAsia="zh-CN"/>
        </w:rPr>
        <w:t>.</w:t>
      </w:r>
    </w:p>
    <w:tbl>
      <w:tblPr>
        <w:tblStyle w:val="17"/>
        <w:tblW w:w="4998"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45"/>
        <w:gridCol w:w="1194"/>
        <w:gridCol w:w="1391"/>
        <w:gridCol w:w="2481"/>
        <w:gridCol w:w="2739"/>
      </w:tblGrid>
      <w:tr w14:paraId="6D0D7AE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038" w:type="pct"/>
            <w:tcBorders>
              <w:bottom w:val="single" w:color="auto" w:sz="4" w:space="0"/>
            </w:tcBorders>
            <w:vAlign w:val="center"/>
          </w:tcPr>
          <w:p w14:paraId="1D185A47">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Surfactant</w:t>
            </w:r>
          </w:p>
        </w:tc>
        <w:tc>
          <w:tcPr>
            <w:tcW w:w="606" w:type="pct"/>
            <w:tcBorders>
              <w:bottom w:val="single" w:color="auto" w:sz="4" w:space="0"/>
            </w:tcBorders>
            <w:vAlign w:val="center"/>
          </w:tcPr>
          <w:p w14:paraId="4A4C12C9">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r</w:t>
            </w:r>
          </w:p>
        </w:tc>
        <w:tc>
          <w:tcPr>
            <w:tcW w:w="706" w:type="pct"/>
            <w:tcBorders>
              <w:bottom w:val="single" w:color="auto" w:sz="4" w:space="0"/>
            </w:tcBorders>
            <w:vAlign w:val="center"/>
          </w:tcPr>
          <w:p w14:paraId="63797D50">
            <w:pPr>
              <w:widowControl/>
              <w:ind w:firstLine="0" w:firstLineChars="0"/>
              <w:jc w:val="center"/>
              <w:rPr>
                <w:rFonts w:hint="default" w:ascii="Times New Roman" w:hAnsi="Times New Roman" w:cs="Times New Roman"/>
                <w:sz w:val="28"/>
                <w:szCs w:val="28"/>
              </w:rPr>
            </w:pPr>
            <m:oMath>
              <m:sSub>
                <m:sSubPr>
                  <m:ctrlPr>
                    <w:rPr>
                      <w:rFonts w:hint="default" w:ascii="Cambria Math" w:hAnsi="Cambria Math" w:cs="Times New Roman"/>
                      <w:sz w:val="28"/>
                      <w:szCs w:val="28"/>
                    </w:rPr>
                  </m:ctrlPr>
                </m:sSubPr>
                <m:e>
                  <m:r>
                    <m:rPr>
                      <m:nor/>
                    </m:rPr>
                    <w:rPr>
                      <w:rFonts w:hint="default" w:ascii="Times New Roman" w:hAnsi="Times New Roman" w:cs="Times New Roman"/>
                      <w:i/>
                      <w:sz w:val="28"/>
                      <w:szCs w:val="28"/>
                    </w:rPr>
                    <m:t>T</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c</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(K)</w:t>
            </w:r>
          </w:p>
        </w:tc>
        <w:tc>
          <w:tcPr>
            <w:tcW w:w="1259" w:type="pct"/>
            <w:tcBorders>
              <w:bottom w:val="single" w:color="auto" w:sz="4" w:space="0"/>
            </w:tcBorders>
            <w:vAlign w:val="center"/>
          </w:tcPr>
          <w:p w14:paraId="46C94D2A">
            <w:pPr>
              <w:widowControl/>
              <w:ind w:firstLine="0" w:firstLineChars="0"/>
              <w:jc w:val="center"/>
              <w:rPr>
                <w:rFonts w:hint="default" w:ascii="Times New Roman" w:hAnsi="Times New Roman" w:cs="Times New Roman" w:eastAsiaTheme="minorEastAsia"/>
                <w:sz w:val="28"/>
                <w:szCs w:val="28"/>
              </w:rPr>
            </w:pP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H</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t>
                  </m:r>
                  <m:ctrlPr>
                    <w:rPr>
                      <w:rFonts w:hint="default" w:ascii="Cambria Math" w:hAnsi="Cambria Math" w:cs="Times New Roman"/>
                      <w:sz w:val="28"/>
                      <w:szCs w:val="28"/>
                    </w:rPr>
                  </m:ctrlPr>
                </m:sup>
              </m:sSubSup>
            </m:oMath>
            <w:r>
              <w:rPr>
                <w:rFonts w:hint="default" w:ascii="Times New Roman" w:hAnsi="Times New Roman" w:cs="Times New Roman" w:eastAsiaTheme="minorEastAsia"/>
                <w:sz w:val="28"/>
                <w:szCs w:val="28"/>
              </w:rPr>
              <w:t xml:space="preserve"> </w:t>
            </w:r>
            <w:r>
              <w:rPr>
                <w:rFonts w:hint="default" w:ascii="Times New Roman" w:hAnsi="Times New Roman" w:cs="Times New Roman"/>
                <w:sz w:val="28"/>
                <w:szCs w:val="28"/>
              </w:rPr>
              <w:t>(kJ·mol</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w:t>
            </w:r>
          </w:p>
        </w:tc>
        <w:tc>
          <w:tcPr>
            <w:tcW w:w="1390" w:type="pct"/>
            <w:tcBorders>
              <w:bottom w:val="single" w:color="auto" w:sz="4" w:space="0"/>
            </w:tcBorders>
            <w:vAlign w:val="center"/>
          </w:tcPr>
          <w:p w14:paraId="33A21BB3">
            <w:pPr>
              <w:widowControl/>
              <w:ind w:firstLine="0" w:firstLineChars="0"/>
              <w:jc w:val="center"/>
              <w:rPr>
                <w:rFonts w:hint="default" w:ascii="Times New Roman" w:hAnsi="Times New Roman" w:cs="Times New Roman" w:eastAsiaTheme="minorEastAsia"/>
                <w:sz w:val="28"/>
                <w:szCs w:val="28"/>
              </w:rPr>
            </w:pP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S</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t>
                  </m:r>
                  <m:ctrlPr>
                    <w:rPr>
                      <w:rFonts w:hint="default" w:ascii="Cambria Math" w:hAnsi="Cambria Math" w:cs="Times New Roman"/>
                      <w:sz w:val="28"/>
                      <w:szCs w:val="28"/>
                    </w:rPr>
                  </m:ctrlPr>
                </m:sup>
              </m:sSubSup>
            </m:oMath>
            <w:r>
              <w:rPr>
                <w:rFonts w:hint="default" w:ascii="Times New Roman" w:hAnsi="Times New Roman" w:cs="Times New Roman" w:eastAsiaTheme="minorEastAsia"/>
                <w:sz w:val="28"/>
                <w:szCs w:val="28"/>
              </w:rPr>
              <w:t xml:space="preserve"> </w:t>
            </w:r>
            <w:r>
              <w:rPr>
                <w:rFonts w:hint="default" w:ascii="Times New Roman" w:hAnsi="Times New Roman" w:cs="Times New Roman"/>
                <w:sz w:val="28"/>
                <w:szCs w:val="28"/>
              </w:rPr>
              <w:t>(J·mol</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·K</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w:t>
            </w:r>
          </w:p>
        </w:tc>
      </w:tr>
      <w:tr w14:paraId="4FB1964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038" w:type="pct"/>
            <w:tcBorders>
              <w:top w:val="single" w:color="auto" w:sz="4" w:space="0"/>
            </w:tcBorders>
            <w:vAlign w:val="center"/>
          </w:tcPr>
          <w:p w14:paraId="39306701">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C</w:t>
            </w:r>
            <w:r>
              <w:rPr>
                <w:rFonts w:hint="default" w:ascii="Times New Roman" w:hAnsi="Times New Roman" w:cs="Times New Roman" w:eastAsiaTheme="minorEastAsia"/>
                <w:sz w:val="28"/>
                <w:szCs w:val="28"/>
                <w:vertAlign w:val="subscript"/>
              </w:rPr>
              <w:t>12</w:t>
            </w:r>
            <w:r>
              <w:rPr>
                <w:rFonts w:hint="default" w:ascii="Times New Roman" w:hAnsi="Times New Roman" w:cs="Times New Roman" w:eastAsiaTheme="minorEastAsia"/>
                <w:sz w:val="28"/>
                <w:szCs w:val="28"/>
              </w:rPr>
              <w:t>NS</w:t>
            </w:r>
          </w:p>
        </w:tc>
        <w:tc>
          <w:tcPr>
            <w:tcW w:w="606" w:type="pct"/>
            <w:tcBorders>
              <w:top w:val="single" w:color="auto" w:sz="4" w:space="0"/>
            </w:tcBorders>
            <w:vAlign w:val="center"/>
          </w:tcPr>
          <w:p w14:paraId="10EC53AE">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0.998</w:t>
            </w:r>
          </w:p>
        </w:tc>
        <w:tc>
          <w:tcPr>
            <w:tcW w:w="706" w:type="pct"/>
            <w:tcBorders>
              <w:top w:val="single" w:color="auto" w:sz="4" w:space="0"/>
            </w:tcBorders>
            <w:vAlign w:val="center"/>
          </w:tcPr>
          <w:p w14:paraId="5552E42B">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313.08</w:t>
            </w:r>
          </w:p>
        </w:tc>
        <w:tc>
          <w:tcPr>
            <w:tcW w:w="1259" w:type="pct"/>
            <w:tcBorders>
              <w:top w:val="single" w:color="auto" w:sz="4" w:space="0"/>
            </w:tcBorders>
            <w:vAlign w:val="center"/>
          </w:tcPr>
          <w:p w14:paraId="68083B08">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-11.98</w:t>
            </w:r>
          </w:p>
        </w:tc>
        <w:tc>
          <w:tcPr>
            <w:tcW w:w="1390" w:type="pct"/>
            <w:tcBorders>
              <w:top w:val="single" w:color="auto" w:sz="4" w:space="0"/>
            </w:tcBorders>
            <w:vAlign w:val="center"/>
          </w:tcPr>
          <w:p w14:paraId="1ECD93F3">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38.26</w:t>
            </w:r>
          </w:p>
        </w:tc>
      </w:tr>
      <w:tr w14:paraId="788EC37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038" w:type="pct"/>
            <w:vAlign w:val="center"/>
          </w:tcPr>
          <w:p w14:paraId="6ADF5385">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C</w:t>
            </w:r>
            <w:r>
              <w:rPr>
                <w:rFonts w:hint="default" w:ascii="Times New Roman" w:hAnsi="Times New Roman" w:cs="Times New Roman" w:eastAsiaTheme="minorEastAsia"/>
                <w:sz w:val="28"/>
                <w:szCs w:val="28"/>
                <w:vertAlign w:val="subscript"/>
              </w:rPr>
              <w:t>12</w:t>
            </w:r>
            <w:r>
              <w:rPr>
                <w:rFonts w:hint="default" w:ascii="Times New Roman" w:hAnsi="Times New Roman" w:cs="Times New Roman" w:eastAsiaTheme="minorEastAsia"/>
                <w:sz w:val="28"/>
                <w:szCs w:val="28"/>
              </w:rPr>
              <w:t>P</w:t>
            </w:r>
            <w:r>
              <w:rPr>
                <w:rFonts w:hint="default" w:ascii="Times New Roman" w:hAnsi="Times New Roman" w:cs="Times New Roman" w:eastAsiaTheme="minorEastAsia"/>
                <w:sz w:val="28"/>
                <w:szCs w:val="28"/>
                <w:vertAlign w:val="subscript"/>
              </w:rPr>
              <w:t>3</w:t>
            </w:r>
            <w:r>
              <w:rPr>
                <w:rFonts w:hint="default" w:ascii="Times New Roman" w:hAnsi="Times New Roman" w:cs="Times New Roman" w:eastAsiaTheme="minorEastAsia"/>
                <w:sz w:val="28"/>
                <w:szCs w:val="28"/>
              </w:rPr>
              <w:t>NS</w:t>
            </w:r>
          </w:p>
        </w:tc>
        <w:tc>
          <w:tcPr>
            <w:tcW w:w="606" w:type="pct"/>
            <w:vAlign w:val="center"/>
          </w:tcPr>
          <w:p w14:paraId="14940FD4">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0.982</w:t>
            </w:r>
          </w:p>
        </w:tc>
        <w:tc>
          <w:tcPr>
            <w:tcW w:w="706" w:type="pct"/>
            <w:vAlign w:val="center"/>
          </w:tcPr>
          <w:p w14:paraId="0F2FEAE5">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310.91</w:t>
            </w:r>
          </w:p>
        </w:tc>
        <w:tc>
          <w:tcPr>
            <w:tcW w:w="1259" w:type="pct"/>
            <w:vAlign w:val="center"/>
          </w:tcPr>
          <w:p w14:paraId="3C53137B">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-16.68</w:t>
            </w:r>
          </w:p>
        </w:tc>
        <w:tc>
          <w:tcPr>
            <w:tcW w:w="1390" w:type="pct"/>
            <w:vAlign w:val="center"/>
          </w:tcPr>
          <w:p w14:paraId="5A1F29AD">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53.65</w:t>
            </w:r>
          </w:p>
        </w:tc>
      </w:tr>
      <w:tr w14:paraId="3F0674A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038" w:type="pct"/>
            <w:vAlign w:val="center"/>
          </w:tcPr>
          <w:p w14:paraId="17EC879E">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C</w:t>
            </w:r>
            <w:r>
              <w:rPr>
                <w:rFonts w:hint="default" w:ascii="Times New Roman" w:hAnsi="Times New Roman" w:cs="Times New Roman" w:eastAsiaTheme="minorEastAsia"/>
                <w:sz w:val="28"/>
                <w:szCs w:val="28"/>
                <w:vertAlign w:val="subscript"/>
              </w:rPr>
              <w:t>12</w:t>
            </w:r>
            <w:r>
              <w:rPr>
                <w:rFonts w:hint="default" w:ascii="Times New Roman" w:hAnsi="Times New Roman" w:cs="Times New Roman" w:eastAsiaTheme="minorEastAsia"/>
                <w:sz w:val="28"/>
                <w:szCs w:val="28"/>
              </w:rPr>
              <w:t>P</w:t>
            </w:r>
            <w:r>
              <w:rPr>
                <w:rFonts w:hint="default" w:ascii="Times New Roman" w:hAnsi="Times New Roman" w:cs="Times New Roman" w:eastAsiaTheme="minorEastAsia"/>
                <w:sz w:val="28"/>
                <w:szCs w:val="28"/>
                <w:vertAlign w:val="subscript"/>
              </w:rPr>
              <w:t>3</w:t>
            </w:r>
            <w:r>
              <w:rPr>
                <w:rFonts w:hint="default" w:ascii="Times New Roman" w:hAnsi="Times New Roman" w:cs="Times New Roman" w:eastAsiaTheme="minorEastAsia"/>
                <w:sz w:val="28"/>
                <w:szCs w:val="28"/>
              </w:rPr>
              <w:t>E</w:t>
            </w:r>
            <w:r>
              <w:rPr>
                <w:rFonts w:hint="default" w:ascii="Times New Roman" w:hAnsi="Times New Roman" w:cs="Times New Roman" w:eastAsiaTheme="minorEastAsia"/>
                <w:sz w:val="28"/>
                <w:szCs w:val="28"/>
                <w:vertAlign w:val="subscript"/>
              </w:rPr>
              <w:t>3</w:t>
            </w:r>
            <w:r>
              <w:rPr>
                <w:rFonts w:hint="default" w:ascii="Times New Roman" w:hAnsi="Times New Roman" w:cs="Times New Roman" w:eastAsiaTheme="minorEastAsia"/>
                <w:sz w:val="28"/>
                <w:szCs w:val="28"/>
              </w:rPr>
              <w:t>NS</w:t>
            </w:r>
          </w:p>
        </w:tc>
        <w:tc>
          <w:tcPr>
            <w:tcW w:w="606" w:type="pct"/>
            <w:vAlign w:val="center"/>
          </w:tcPr>
          <w:p w14:paraId="681B6979">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0.980</w:t>
            </w:r>
          </w:p>
        </w:tc>
        <w:tc>
          <w:tcPr>
            <w:tcW w:w="706" w:type="pct"/>
            <w:vAlign w:val="center"/>
          </w:tcPr>
          <w:p w14:paraId="7EAA462F">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309.87</w:t>
            </w:r>
          </w:p>
        </w:tc>
        <w:tc>
          <w:tcPr>
            <w:tcW w:w="1259" w:type="pct"/>
            <w:vAlign w:val="center"/>
          </w:tcPr>
          <w:p w14:paraId="6553633F">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-16.94</w:t>
            </w:r>
          </w:p>
        </w:tc>
        <w:tc>
          <w:tcPr>
            <w:tcW w:w="1390" w:type="pct"/>
            <w:vAlign w:val="center"/>
          </w:tcPr>
          <w:p w14:paraId="4B135090">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54.67</w:t>
            </w:r>
          </w:p>
        </w:tc>
      </w:tr>
    </w:tbl>
    <w:p w14:paraId="75B56043">
      <w:pPr>
        <w:widowControl/>
        <w:ind w:firstLine="709" w:firstLineChars="0"/>
        <w:rPr>
          <w:rFonts w:hint="default" w:ascii="Times New Roman" w:hAnsi="Times New Roman" w:cs="Times New Roman"/>
          <w:sz w:val="28"/>
          <w:szCs w:val="28"/>
        </w:rPr>
      </w:pPr>
    </w:p>
    <w:p w14:paraId="4A3ADC61">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As shown in Figure 3.7, the enthalpy terms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H</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were plotted linearly against the corresponding entropy terms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S</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revealing a clear enthalpy–entropy compensation behavior in the micellization process. The nearly parallel lines suggest that the surfactants exhibit similar compensation temperatures, indicating a consistent thermodynamic balance between enthalpic and entropic contributions across the different molecules [83]. The characteristic order of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H</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values, as summarized in Table 3.11, follows the sequence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NS &gt;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&gt;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 xml:space="preserve">NS. In contrast, the corresponding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S</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values show an opposite trend, reflecting the inverse relationship between enthalpy and entropy contributions. The incorporation of PO groups enhances both the micellization tendency and the stability of the resulting micelles, which can be attributed to the stronger hydrophobic interactions in the hydrocarbon segment introduced by PO units [83]. These interactions facilitate tighter molecular packing and more energetically favorable micelle formation [83]. On the other hand, variations in the number of EO groups have relatively minor effects on </w:t>
      </w: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H</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and the compensation temperature (</w:t>
      </w:r>
      <w:r>
        <w:rPr>
          <w:rFonts w:hint="default" w:ascii="Times New Roman" w:hAnsi="Times New Roman" w:cs="Times New Roman"/>
          <w:i/>
          <w:iCs/>
          <w:sz w:val="28"/>
          <w:szCs w:val="28"/>
        </w:rPr>
        <w:t>T</w:t>
      </w:r>
      <w:r>
        <w:rPr>
          <w:rFonts w:hint="default" w:ascii="Times New Roman" w:hAnsi="Times New Roman" w:cs="Times New Roman"/>
          <w:sz w:val="28"/>
          <w:szCs w:val="28"/>
          <w:vertAlign w:val="subscript"/>
        </w:rPr>
        <w:t>c</w:t>
      </w:r>
      <w:r>
        <w:rPr>
          <w:rFonts w:hint="default" w:ascii="Times New Roman" w:hAnsi="Times New Roman" w:cs="Times New Roman"/>
          <w:sz w:val="28"/>
          <w:szCs w:val="28"/>
        </w:rPr>
        <w:t>), consistent with previous literature reports [112]. Overall, these observations demonstrate that molecular modifications, particularly PO incorporation, play a critical role in modulating the thermodynamic driving forces and stability of micelle formation in extended amphoteric surfactants.</w:t>
      </w:r>
    </w:p>
    <w:p w14:paraId="4F2560C3">
      <w:pPr>
        <w:pStyle w:val="4"/>
        <w:keepNext w:val="0"/>
        <w:keepLines w:val="0"/>
        <w:widowControl/>
        <w:spacing w:line="240" w:lineRule="auto"/>
        <w:ind w:firstLine="709"/>
        <w:jc w:val="both"/>
        <w:rPr>
          <w:rFonts w:hint="default" w:ascii="Times New Roman" w:hAnsi="Times New Roman" w:cs="Times New Roman"/>
          <w:bCs w:val="0"/>
          <w:i w:val="0"/>
          <w:iCs w:val="0"/>
          <w:sz w:val="28"/>
          <w:szCs w:val="28"/>
        </w:rPr>
      </w:pPr>
      <w:bookmarkStart w:id="499" w:name="_Toc5974"/>
      <w:bookmarkStart w:id="500" w:name="_Toc6199"/>
      <w:bookmarkStart w:id="501" w:name="_Toc265"/>
      <w:bookmarkStart w:id="502" w:name="_Toc21604"/>
      <w:bookmarkStart w:id="503" w:name="_Toc11254"/>
      <w:bookmarkStart w:id="504" w:name="_Toc22493"/>
      <w:bookmarkStart w:id="505" w:name="_Toc30275"/>
      <w:r>
        <w:rPr>
          <w:rFonts w:hint="default" w:ascii="Times New Roman" w:hAnsi="Times New Roman" w:cs="Times New Roman"/>
          <w:bCs w:val="0"/>
          <w:i w:val="0"/>
          <w:iCs w:val="0"/>
          <w:sz w:val="28"/>
          <w:szCs w:val="28"/>
        </w:rPr>
        <w:t xml:space="preserve">3.4.5 Interface </w:t>
      </w:r>
      <w:bookmarkEnd w:id="499"/>
      <w:bookmarkEnd w:id="500"/>
      <w:bookmarkEnd w:id="501"/>
      <w:r>
        <w:rPr>
          <w:rFonts w:hint="default" w:ascii="Times New Roman" w:hAnsi="Times New Roman" w:cs="Times New Roman"/>
          <w:bCs w:val="0"/>
          <w:i w:val="0"/>
          <w:iCs w:val="0"/>
          <w:sz w:val="28"/>
          <w:szCs w:val="28"/>
        </w:rPr>
        <w:t>properties</w:t>
      </w:r>
      <w:bookmarkEnd w:id="502"/>
      <w:bookmarkEnd w:id="503"/>
      <w:bookmarkEnd w:id="504"/>
      <w:bookmarkEnd w:id="505"/>
    </w:p>
    <w:p w14:paraId="67FDE56A">
      <w:pPr>
        <w:widowControl/>
        <w:ind w:firstLine="709" w:firstLineChars="0"/>
        <w:rPr>
          <w:rFonts w:hint="default" w:ascii="Times New Roman" w:hAnsi="Times New Roman" w:cs="Times New Roman"/>
          <w:i w:val="0"/>
          <w:iCs w:val="0"/>
          <w:sz w:val="28"/>
          <w:szCs w:val="28"/>
        </w:rPr>
      </w:pPr>
      <w:r>
        <w:rPr>
          <w:rFonts w:hint="default" w:ascii="Times New Roman" w:hAnsi="Times New Roman" w:cs="Times New Roman"/>
          <w:i w:val="0"/>
          <w:iCs w:val="0"/>
          <w:sz w:val="28"/>
          <w:szCs w:val="28"/>
        </w:rPr>
        <w:t>3.4.5.1 Interface tension between surfactants solution and oil</w:t>
      </w:r>
    </w:p>
    <w:p w14:paraId="125705C7">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Interfacial tension (IFT) plays a critical role in EOR by governing capillary forces, fluid mobilization, and displacement efficiency in porous media. Reducing IFT lowers capillary pressure, thereby facilitating the mobilization of trapped residual oil, particularly in low-permeability or oil-wet reservoirs. Surfactant-based EOR aims to achieve ultra-low IFT, which increases the capillary number and enhances oil detachment and transport through pore throats. Previous studies have demonstrated that IFT reduction is directly correlated with improved displacement efficiency and oil recovery, as it promotes emulsification, mobilization of isolated oil clusters, and more effective pore-scale displacement [11, 119–122]. To evaluate the salt tolerance of the prepared surfactants, 0.1 wt% aqueous solutions were formulated using distilled water, and NaCl was added to adjust salinity in the range of 0–20 wt%. The IFT between three surfactant solutions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NS,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and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and crude oil Z27 as well as kerosene was measured at 60 ℃. The results are presented in Figure 3.8.</w:t>
      </w:r>
    </w:p>
    <w:p w14:paraId="2F8556D8">
      <w:pPr>
        <w:widowControl/>
        <w:ind w:firstLine="709" w:firstLineChars="0"/>
        <w:rPr>
          <w:rFonts w:hint="default" w:ascii="Times New Roman" w:hAnsi="Times New Roman" w:cs="Times New Roman"/>
          <w:sz w:val="28"/>
          <w:szCs w:val="28"/>
        </w:rPr>
      </w:pPr>
    </w:p>
    <w:tbl>
      <w:tblPr>
        <w:tblStyle w:val="1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6"/>
        <w:gridCol w:w="4416"/>
      </w:tblGrid>
      <w:tr w14:paraId="333D2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167" w:type="dxa"/>
            <w:vAlign w:val="center"/>
          </w:tcPr>
          <w:p w14:paraId="2961751C">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2558415" cy="1908175"/>
                  <wp:effectExtent l="0" t="0" r="13335" b="15875"/>
                  <wp:docPr id="3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5"/>
                          <pic:cNvPicPr>
                            <a:picLocks noChangeAspect="1"/>
                          </pic:cNvPicPr>
                        </pic:nvPicPr>
                        <pic:blipFill>
                          <a:blip r:embed="rId34"/>
                          <a:stretch>
                            <a:fillRect/>
                          </a:stretch>
                        </pic:blipFill>
                        <pic:spPr>
                          <a:xfrm>
                            <a:off x="0" y="0"/>
                            <a:ext cx="2558415" cy="1908175"/>
                          </a:xfrm>
                          <a:prstGeom prst="rect">
                            <a:avLst/>
                          </a:prstGeom>
                          <a:noFill/>
                          <a:ln>
                            <a:noFill/>
                          </a:ln>
                        </pic:spPr>
                      </pic:pic>
                    </a:graphicData>
                  </a:graphic>
                </wp:inline>
              </w:drawing>
            </w:r>
          </w:p>
        </w:tc>
        <w:tc>
          <w:tcPr>
            <w:tcW w:w="4337" w:type="dxa"/>
            <w:vAlign w:val="center"/>
          </w:tcPr>
          <w:p w14:paraId="1AD6887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2661920" cy="1908175"/>
                  <wp:effectExtent l="0" t="0" r="5080" b="15875"/>
                  <wp:docPr id="3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6"/>
                          <pic:cNvPicPr>
                            <a:picLocks noChangeAspect="1"/>
                          </pic:cNvPicPr>
                        </pic:nvPicPr>
                        <pic:blipFill>
                          <a:blip r:embed="rId35"/>
                          <a:stretch>
                            <a:fillRect/>
                          </a:stretch>
                        </pic:blipFill>
                        <pic:spPr>
                          <a:xfrm>
                            <a:off x="0" y="0"/>
                            <a:ext cx="2661920" cy="1908175"/>
                          </a:xfrm>
                          <a:prstGeom prst="rect">
                            <a:avLst/>
                          </a:prstGeom>
                          <a:noFill/>
                          <a:ln>
                            <a:noFill/>
                          </a:ln>
                        </pic:spPr>
                      </pic:pic>
                    </a:graphicData>
                  </a:graphic>
                </wp:inline>
              </w:drawing>
            </w:r>
          </w:p>
        </w:tc>
      </w:tr>
      <w:tr w14:paraId="0ED23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04" w:type="dxa"/>
            <w:gridSpan w:val="2"/>
            <w:vAlign w:val="center"/>
          </w:tcPr>
          <w:p w14:paraId="4BDA3FE6">
            <w:pPr>
              <w:widowControl/>
              <w:ind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Figure 3.8 – Effect of salinity on IFT with crude oil Z27 and kerosene</w:t>
            </w:r>
            <w:r>
              <w:rPr>
                <w:rFonts w:hint="default" w:ascii="Times New Roman" w:hAnsi="Times New Roman" w:cs="Times New Roman"/>
                <w:sz w:val="28"/>
                <w:szCs w:val="28"/>
                <w:lang w:val="en-US" w:eastAsia="zh-CN"/>
              </w:rPr>
              <w:t>.</w:t>
            </w:r>
          </w:p>
        </w:tc>
      </w:tr>
    </w:tbl>
    <w:p w14:paraId="31C651A4">
      <w:pPr>
        <w:widowControl/>
        <w:ind w:firstLine="709" w:firstLineChars="0"/>
        <w:rPr>
          <w:rFonts w:hint="default" w:ascii="Times New Roman" w:hAnsi="Times New Roman" w:cs="Times New Roman"/>
          <w:sz w:val="28"/>
          <w:szCs w:val="28"/>
        </w:rPr>
      </w:pPr>
    </w:p>
    <w:p w14:paraId="2036C37E">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As illustrated in Figure 3.8, the interfacial tension (IFT) between the surfactant solutions and crude oil Z27 as well as kerosene exhibits a typical salinity-dependent behavior: the IFT first decreases with increasing salinity, reaches a minimum, and then increases slightly at higher salinities. This trend indicates the existence of an optimum salinity at which the balance between surfactant hydrophilicity and lipophilicity is achieved, leading to the most efficient interfacial adsorption and the lowest interfacial free energy. The initial decrease in IFT with increasing salinity arises from the compression of the electrical double layer and interfacial adsorption layer by added electrolytes. This screening of electrostatic repulsion between headgroups allows surfactant molecules to pack more densely at the oil–water interface, strengthening hydrophobic interactions with the oil phase and thus lowering the interfacial tension [25,84]. However, at high salinity, excessive electrolyte concentration leads to partial dehydration of the headgroups and even phase separation of the surfactant solution, reducing the effective concentration of interfacially active species and causing the IFT to increase again [120].</w:t>
      </w:r>
    </w:p>
    <w:p w14:paraId="6FF6741D">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As illustrated in Figure 3.8, the interfacial tension (IFT) between the surfactant solutions and crude oil Z27 as well as kerosene exhibits a typical salinity-dependent behavior: the IFT first decreases with increasing salinity, reaches a minimum, and then increases slightly at higher salinities. This trend indicates the existence of an optimum salinity at which the balance between surfactant hydrophilicity and lipophilicity is achieved, leading to the most efficient interfacial adsorption and the lowest interfacial free energy. The initial decrease in IFT with increasing salinity arises from the compression of the electrical double layer and interfacial adsorption layer by added electrolytes. This screening of electrostatic repulsion between headgroups allows surfactant molecules to pack more densely at the oil–water interface, strengthening hydrophobic interactions with the oil phase and thus lowering the interfacial tension [25,84]. However, at high salinity, excessive electrolyte concentration leads to partial dehydration of the headgroups and even phase separation of the surfactant solution, reducing the effective concentration of interfacially active species and causing the IFT to increase again [120].</w:t>
      </w:r>
    </w:p>
    <w:p w14:paraId="5CD17757">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For crude oil Z27,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NS exhibits the strongest ability to reduce oil–water interfacial tension (IFT), achieving ultralow values on the order of 10</w:t>
      </w:r>
      <w:r>
        <w:rPr>
          <w:rFonts w:hint="default" w:ascii="Times New Roman" w:hAnsi="Times New Roman" w:cs="Times New Roman"/>
          <w:sz w:val="28"/>
          <w:szCs w:val="28"/>
          <w:vertAlign w:val="superscript"/>
        </w:rPr>
        <w:t>-3</w:t>
      </w:r>
      <w:r>
        <w:rPr>
          <w:rFonts w:hint="default" w:ascii="Times New Roman" w:hAnsi="Times New Roman" w:cs="Times New Roman"/>
          <w:sz w:val="28"/>
          <w:szCs w:val="28"/>
        </w:rPr>
        <w:t xml:space="preserve">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at intermediate salinities.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shows slightly higher but still very low IFT, whereas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displays significantly higher IFT across the entire salinity range, remaining at 10</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–10</w:t>
      </w:r>
      <w:r>
        <w:rPr>
          <w:rFonts w:hint="default" w:ascii="Times New Roman" w:hAnsi="Times New Roman" w:cs="Times New Roman"/>
          <w:sz w:val="28"/>
          <w:szCs w:val="28"/>
          <w:vertAlign w:val="superscript"/>
        </w:rPr>
        <w:t>0</w:t>
      </w:r>
      <w:r>
        <w:rPr>
          <w:rFonts w:hint="default" w:ascii="Times New Roman" w:hAnsi="Times New Roman" w:cs="Times New Roman"/>
          <w:sz w:val="28"/>
          <w:szCs w:val="28"/>
        </w:rPr>
        <w:t xml:space="preserve">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indicating much weaker interfacial activity. In the kerosene system,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achieves the lowest IFT over most of the salinity range, reaching approximately 10</w:t>
      </w:r>
      <w:r>
        <w:rPr>
          <w:rFonts w:hint="default" w:ascii="Times New Roman" w:hAnsi="Times New Roman" w:cs="Times New Roman"/>
          <w:sz w:val="28"/>
          <w:szCs w:val="28"/>
          <w:vertAlign w:val="superscript"/>
        </w:rPr>
        <w:t>-3</w:t>
      </w:r>
      <w:r>
        <w:rPr>
          <w:rFonts w:hint="default" w:ascii="Times New Roman" w:hAnsi="Times New Roman" w:cs="Times New Roman"/>
          <w:sz w:val="28"/>
          <w:szCs w:val="28"/>
        </w:rPr>
        <w:t xml:space="preserve">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at high salinity, reflecting strong hydrophobic interactions and compact interfacial packing.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NS exhibits slightly higher IFT, achieving ultralow values around 10</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 xml:space="preserve">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while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maintains much higher IFT (10</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–10</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 xml:space="preserve">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throughout the salinity range, demonstrating poor interfacial activity toward kerosene. These differences can be attributed to the polarity of the oil phase. Z27 crude oil contains more aromatic and polar components, which makes the adsorption and packing of surfactant molecules more sensitive to the hydrophilic–lipophilic balance (HLB), allowing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NS to effectively reduce IFT through strong hydrophobic interactions and dense interfacial packing. In contrast, kerosene is largely nonpolar, with weaker intermolecular interactions; the PO-modified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can enhance hydrophobicity and molecular flexibility, promoting better anchoring at the nonpolar oil–water interface, while EO-modified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suffers from strong headgroup hydration and steric hindrance, resulting in loose interfacial packing and reduced activity [123-126].</w:t>
      </w:r>
    </w:p>
    <w:p w14:paraId="6ADC39B7">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Structural factors play a critical role in determining the salinity response and interfacial performance of the surfactants. The incorporation of PO units enhances hydrophobicity and interfacial anchoring, enabling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to maintain relatively low interfacial tension even under high-salinity conditions. In contrast, excessive EO substitution increases headgroup hydration and steric repulsion, which weakens interfacial adsorption and results in higher interfacial tension for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Overall, PO modification tends to promote interfacial activity by strengthening hydrophobic interactions and improving interfacial packing, whereas EO segments enhance hydrophilicity and broaden salinity tolerance. The performance of the surfactant system therefore depends on the balance between EO and PO segments, which governs the optimal hydrophilic–lipophilic balance (HLB) and determines the interfacial behavior under varying salinity conditions. This provides insight into the rational design of extended amphoteric surfactants for achieving both ultralow interfacial tension and wide salinity adaptability.</w:t>
      </w:r>
    </w:p>
    <w:p w14:paraId="1D9F1E04">
      <w:pPr>
        <w:widowControl/>
        <w:ind w:firstLine="709" w:firstLineChars="0"/>
        <w:rPr>
          <w:rFonts w:hint="default" w:ascii="Times New Roman" w:hAnsi="Times New Roman" w:cs="Times New Roman"/>
          <w:i w:val="0"/>
          <w:iCs w:val="0"/>
          <w:sz w:val="28"/>
          <w:szCs w:val="28"/>
        </w:rPr>
      </w:pPr>
      <w:r>
        <w:rPr>
          <w:rFonts w:hint="default" w:ascii="Times New Roman" w:hAnsi="Times New Roman" w:cs="Times New Roman"/>
          <w:i w:val="0"/>
          <w:iCs w:val="0"/>
          <w:sz w:val="28"/>
          <w:szCs w:val="28"/>
        </w:rPr>
        <w:t>3.4.5.2 Interfacial tension between surfactant solution and n-alkane</w:t>
      </w:r>
    </w:p>
    <w:p w14:paraId="7C4F2EBB">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Surfactant regulation of oil–water interfacial tension (IFT) is a fundamental microscopic mechanism in chemical enhanced oil recovery (EOR), as capillary forces and rock wettability—which trap a significant fraction of crude oil after conventional water flooding—are directly proportional to IFT. Adsorption of surfactant molecules at the interface between water and n-alkanes, representative components of crude oil, lowers IFT, weakens capillary forces, and enables displacement of previously immobile oil, thereby enhancing microscopic displacement efficiency and overall recovery. Modern reservoirs, often characterized by high temperature, high salinity, and strong heterogeneity, require surfactants with high interfacial activity and stability under harsh conditions. Studying surfactant–n-alkane IFT provides a simplified yet physically meaningful model to elucidate molecular adsorption, interfacial packing, and film formation, which in turn guides the design of low-CMC, high-performance surfactants. In this study, the IFT of prepared surfactants against n-alkanes was measured, and the effect of salinity on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solutions was systematically evaluated (Figure 3.9), providing key insights for development of efficient EOR formulations [129,130].</w:t>
      </w:r>
    </w:p>
    <w:p w14:paraId="04C0AD61">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From Figure 3.9, the three surfactants exhibit a clear performance order in reducing IFT, namely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&gt;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NS &gt;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indicating that the introduction of propylene oxide (PO) units markedly enhances interfacial activity, whereas further incorporation of ethylene oxide (EO) groups weakens this effect. For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NS, the IFT first increases with increasing alkane carbon number and then slightly decreases, reaching a minimum around C14, which suggests an optimal matching between the hydrophobic chain of the surfactant and the oil phase, leading to a more compact interfacial film and thus a lower IFT. In contrast,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exhibits low IFT values on the order of 10</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 xml:space="preserve">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over the entire alkane range, with a minimum observed for C14, demonstrating that the PO segments significantly strengthen hydrophobic interactions and interfacial adsorption, thereby forming a highly efficient interfacial film. However,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maintains relatively high IFTs (close to 1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with little dependence on alkane carbon number, which can be attributed to the strong hydration and steric hindrance of EO groups that hinder tight molecular packing at the oil–water interface [126,127,131].</w:t>
      </w:r>
    </w:p>
    <w:p w14:paraId="6EC81603">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As Figure 3.9 illustrated, the effect of salinity on the IFT between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and different n-alkanes was explored. For C8–C14, the IFT initially increases and then decreases with increasing salinity, exhibiting a maximum at intermediate salinity (approximately 3–5 wt%). This non-monotonic behavior reflects the competing effects of electrolyte screening and salting-out. At low salinity, the compression of the electrical double layer slightly weakens surfactant adsorption at the interface, leading to a moderate increase in IFT. At higher salinity, however, the salting-out effect becomes dominant, promoting the migration of surfactant molecules toward the oil–water interface and resulting in the formation of a denser interfacial film, thereby reducing the IFT. In contrast, for the longer-chain alkane C16, the IFT decreases monotonically with increasing salinity, indicating that the strong hydrophobicity of the oil phase amplifies the salting-out effect and continuously enhances interfacial adsorption [126,127]. Overall,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maintains low IFT values (10</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–10</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 xml:space="preserve">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over a wide salinity range, particularly under medium-to-high salinity conditions, highlighting its strong adaptability to high-salinity reservoirs and its promising potential for enhanced oil recovery applications.</w:t>
      </w:r>
    </w:p>
    <w:p w14:paraId="0D015EA3">
      <w:pPr>
        <w:widowControl/>
        <w:ind w:firstLine="709" w:firstLineChars="0"/>
        <w:rPr>
          <w:rFonts w:hint="default" w:ascii="Times New Roman" w:hAnsi="Times New Roman" w:cs="Times New Roman"/>
          <w:sz w:val="28"/>
          <w:szCs w:val="28"/>
        </w:rPr>
      </w:pPr>
    </w:p>
    <w:tbl>
      <w:tblPr>
        <w:tblStyle w:val="1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57"/>
        <w:gridCol w:w="4386"/>
      </w:tblGrid>
      <w:tr w14:paraId="43DAD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276" w:type="dxa"/>
          </w:tcPr>
          <w:p w14:paraId="08985C46">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2629535" cy="1986280"/>
                  <wp:effectExtent l="0" t="0" r="0" b="0"/>
                  <wp:docPr id="1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
                          <pic:cNvPicPr>
                            <a:picLocks noChangeAspect="1"/>
                          </pic:cNvPicPr>
                        </pic:nvPicPr>
                        <pic:blipFill>
                          <a:blip r:embed="rId36"/>
                          <a:stretch>
                            <a:fillRect/>
                          </a:stretch>
                        </pic:blipFill>
                        <pic:spPr>
                          <a:xfrm>
                            <a:off x="0" y="0"/>
                            <a:ext cx="2629535" cy="1986280"/>
                          </a:xfrm>
                          <a:prstGeom prst="rect">
                            <a:avLst/>
                          </a:prstGeom>
                          <a:noFill/>
                          <a:ln>
                            <a:noFill/>
                          </a:ln>
                        </pic:spPr>
                      </pic:pic>
                    </a:graphicData>
                  </a:graphic>
                </wp:inline>
              </w:drawing>
            </w:r>
          </w:p>
        </w:tc>
        <w:tc>
          <w:tcPr>
            <w:tcW w:w="4218" w:type="dxa"/>
          </w:tcPr>
          <w:p w14:paraId="5818A0BA">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2630805" cy="1979930"/>
                  <wp:effectExtent l="0" t="0" r="17145" b="0"/>
                  <wp:docPr id="2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
                          <pic:cNvPicPr>
                            <a:picLocks noChangeAspect="1"/>
                          </pic:cNvPicPr>
                        </pic:nvPicPr>
                        <pic:blipFill>
                          <a:blip r:embed="rId37"/>
                          <a:stretch>
                            <a:fillRect/>
                          </a:stretch>
                        </pic:blipFill>
                        <pic:spPr>
                          <a:xfrm>
                            <a:off x="0" y="0"/>
                            <a:ext cx="2630805" cy="1979930"/>
                          </a:xfrm>
                          <a:prstGeom prst="rect">
                            <a:avLst/>
                          </a:prstGeom>
                          <a:noFill/>
                          <a:ln>
                            <a:noFill/>
                          </a:ln>
                        </pic:spPr>
                      </pic:pic>
                    </a:graphicData>
                  </a:graphic>
                </wp:inline>
              </w:drawing>
            </w:r>
          </w:p>
        </w:tc>
      </w:tr>
      <w:tr w14:paraId="24A98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494" w:type="dxa"/>
            <w:gridSpan w:val="2"/>
          </w:tcPr>
          <w:p w14:paraId="073E9A09">
            <w:pPr>
              <w:widowControl/>
              <w:ind w:firstLine="0" w:firstLineChars="0"/>
              <w:jc w:val="center"/>
              <w:rPr>
                <w:rFonts w:hint="default" w:ascii="Times New Roman" w:hAnsi="Times New Roman" w:cs="Times New Roman"/>
                <w:sz w:val="28"/>
                <w:szCs w:val="28"/>
                <w:lang w:val="en-US" w:eastAsia="zh-CN"/>
              </w:rPr>
            </w:pPr>
            <w:r>
              <w:rPr>
                <w:rFonts w:hint="default" w:ascii="Times New Roman" w:hAnsi="Times New Roman" w:cs="Times New Roman"/>
                <w:sz w:val="28"/>
                <w:szCs w:val="28"/>
              </w:rPr>
              <w:t>Figure 3.9 – IFT of three surfactants solution against n-alkanes and IFT of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solution against n-alkanes as a function of salinity</w:t>
            </w:r>
            <w:r>
              <w:rPr>
                <w:rFonts w:hint="default" w:ascii="Times New Roman" w:hAnsi="Times New Roman" w:cs="Times New Roman"/>
                <w:sz w:val="28"/>
                <w:szCs w:val="28"/>
                <w:lang w:val="en-US" w:eastAsia="zh-CN"/>
              </w:rPr>
              <w:t>.</w:t>
            </w:r>
          </w:p>
          <w:p w14:paraId="6FC3535B">
            <w:pPr>
              <w:widowControl/>
              <w:ind w:firstLine="0" w:firstLineChars="0"/>
              <w:jc w:val="center"/>
              <w:rPr>
                <w:rFonts w:hint="default" w:ascii="Times New Roman" w:hAnsi="Times New Roman" w:cs="Times New Roman"/>
                <w:sz w:val="28"/>
                <w:szCs w:val="28"/>
                <w:lang w:val="en-US" w:eastAsia="zh-CN"/>
              </w:rPr>
            </w:pPr>
          </w:p>
        </w:tc>
      </w:tr>
    </w:tbl>
    <w:p w14:paraId="796EEC03">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506" w:name="_Toc3549"/>
      <w:bookmarkStart w:id="507" w:name="_Toc5744"/>
      <w:bookmarkStart w:id="508" w:name="_Toc19947"/>
      <w:bookmarkStart w:id="509" w:name="_Toc31441"/>
      <w:bookmarkStart w:id="510" w:name="_Toc30267"/>
      <w:bookmarkStart w:id="511" w:name="_Toc19283"/>
      <w:bookmarkStart w:id="512" w:name="_Toc27262"/>
      <w:r>
        <w:rPr>
          <w:rFonts w:hint="default" w:ascii="Times New Roman" w:hAnsi="Times New Roman" w:cs="Times New Roman"/>
          <w:i w:val="0"/>
          <w:iCs w:val="0"/>
          <w:sz w:val="28"/>
          <w:szCs w:val="28"/>
        </w:rPr>
        <w:t>3.4.6 Emulsification performance</w:t>
      </w:r>
      <w:bookmarkEnd w:id="506"/>
      <w:bookmarkEnd w:id="507"/>
      <w:bookmarkEnd w:id="508"/>
      <w:bookmarkEnd w:id="509"/>
      <w:bookmarkEnd w:id="510"/>
      <w:bookmarkEnd w:id="511"/>
      <w:bookmarkEnd w:id="512"/>
    </w:p>
    <w:p w14:paraId="2F6122C8">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phase volume evolution of emulsions stabilized by three extended amphoteric surfactants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NS,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and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across a salinity gradient (Figure 3.10) reveals clear structure–performance relationships consistent with interfacial tension (IFT) measurements against kerosene.</w:t>
      </w:r>
    </w:p>
    <w:p w14:paraId="3C801784">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For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NS, both the upper aqueous and lower oil interfaces remain nearly constant over the entire salinity range, indicating rapid stabilization with minimal sensitivity to ionic strength. The narrow interface separation reflects moderate emulsification and limited phase inversion, consistent with its relatively high baseline IFT (~0.01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and poor salt tolerance.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shows pronounced salinity-dependent behavior. At low salinity, the lower oil interface remains near the bottom, suggesting weak emulsification and limited oil solubilization, correlating with moderate IFT. As salinity increases, the lower interface rises sharply toward the upper interface, indicating enhanced emulsification and more balanced oil–water dispersion. This effect arises from the introduction of PO segments, which improve salinity responsiveness and drive optimal emulsification at intermediate salinity, consistent with ultralow IFT (~0.001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exhibits a more complex trend. At low salinity, emulsification is weak, but with increasing salinity, the upper aqueous interface peaks while the lower interface rises steadily, reflecting substantial emulsified phase formation and a highly swollen middle phase. At higher salinity, both interfaces stabilize with elevated emulsified volume, demonstrating a wide salinity window. Although its baseline IFT is higher (&gt;0.1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the combined PO and EO segments enable robust emulsification across broad salinity ranges, highlighting the synergistic effect of extended chains in enhancing salt tolerance. Overall, the introduction of EO/PO chains markedly improves emulsification and salinity tolerance.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NS is the least responsive with moderate emulsification.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achieves optimal emulsification and ultralow IFT at intermediate salinity. And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delivers the most robust emulsification over a wide salinity range, albeit with slightly higher IFT. These insights provide guidance for designing surfactant formulations tailored to harsh reservoir conditions in chemical enhanced oil recovery (EOR). These emulsification behaviors are consistent with the IFT results and packing parameter analysis, confirming that molecular structure governs both interfacial adsorption and bulk aggregation.</w:t>
      </w:r>
    </w:p>
    <w:p w14:paraId="1912FA06">
      <w:pPr>
        <w:widowControl/>
        <w:ind w:firstLine="709" w:firstLineChars="0"/>
        <w:rPr>
          <w:rFonts w:hint="default" w:ascii="Times New Roman" w:hAnsi="Times New Roman" w:cs="Times New Roman"/>
          <w:sz w:val="28"/>
          <w:szCs w:val="28"/>
        </w:rPr>
      </w:pPr>
    </w:p>
    <w:tbl>
      <w:tblPr>
        <w:tblStyle w:val="1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126"/>
        <w:gridCol w:w="2895"/>
        <w:gridCol w:w="3066"/>
      </w:tblGrid>
      <w:tr w14:paraId="4E2B3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44" w:type="dxa"/>
            <w:vAlign w:val="center"/>
          </w:tcPr>
          <w:p w14:paraId="080E6E35">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1831975" cy="1403985"/>
                  <wp:effectExtent l="0" t="0" r="15875" b="5715"/>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38"/>
                          <a:stretch>
                            <a:fillRect/>
                          </a:stretch>
                        </pic:blipFill>
                        <pic:spPr>
                          <a:xfrm>
                            <a:off x="0" y="0"/>
                            <a:ext cx="1831975" cy="1403985"/>
                          </a:xfrm>
                          <a:prstGeom prst="rect">
                            <a:avLst/>
                          </a:prstGeom>
                          <a:noFill/>
                          <a:ln>
                            <a:noFill/>
                          </a:ln>
                        </pic:spPr>
                      </pic:pic>
                    </a:graphicData>
                  </a:graphic>
                </wp:inline>
              </w:drawing>
            </w:r>
          </w:p>
        </w:tc>
        <w:tc>
          <w:tcPr>
            <w:tcW w:w="2888" w:type="dxa"/>
            <w:vAlign w:val="center"/>
          </w:tcPr>
          <w:p w14:paraId="2CA6994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1701165" cy="1336040"/>
                  <wp:effectExtent l="0" t="0" r="0" b="0"/>
                  <wp:docPr id="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7"/>
                          <pic:cNvPicPr>
                            <a:picLocks noChangeAspect="1"/>
                          </pic:cNvPicPr>
                        </pic:nvPicPr>
                        <pic:blipFill>
                          <a:blip r:embed="rId39"/>
                          <a:stretch>
                            <a:fillRect/>
                          </a:stretch>
                        </pic:blipFill>
                        <pic:spPr>
                          <a:xfrm>
                            <a:off x="0" y="0"/>
                            <a:ext cx="1701165" cy="1336040"/>
                          </a:xfrm>
                          <a:prstGeom prst="rect">
                            <a:avLst/>
                          </a:prstGeom>
                          <a:noFill/>
                          <a:ln>
                            <a:noFill/>
                          </a:ln>
                        </pic:spPr>
                      </pic:pic>
                    </a:graphicData>
                  </a:graphic>
                </wp:inline>
              </w:drawing>
            </w:r>
          </w:p>
        </w:tc>
        <w:tc>
          <w:tcPr>
            <w:tcW w:w="2888" w:type="dxa"/>
            <w:vAlign w:val="center"/>
          </w:tcPr>
          <w:p w14:paraId="0E542C1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1791335" cy="1403985"/>
                  <wp:effectExtent l="0" t="0" r="18415" b="5715"/>
                  <wp:docPr id="3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7"/>
                          <pic:cNvPicPr>
                            <a:picLocks noChangeAspect="1"/>
                          </pic:cNvPicPr>
                        </pic:nvPicPr>
                        <pic:blipFill>
                          <a:blip r:embed="rId40"/>
                          <a:stretch>
                            <a:fillRect/>
                          </a:stretch>
                        </pic:blipFill>
                        <pic:spPr>
                          <a:xfrm>
                            <a:off x="0" y="0"/>
                            <a:ext cx="1791335" cy="1403985"/>
                          </a:xfrm>
                          <a:prstGeom prst="rect">
                            <a:avLst/>
                          </a:prstGeom>
                          <a:noFill/>
                          <a:ln>
                            <a:noFill/>
                          </a:ln>
                        </pic:spPr>
                      </pic:pic>
                    </a:graphicData>
                  </a:graphic>
                </wp:inline>
              </w:drawing>
            </w:r>
          </w:p>
        </w:tc>
      </w:tr>
      <w:tr w14:paraId="5B89E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720" w:type="dxa"/>
            <w:gridSpan w:val="3"/>
            <w:vAlign w:val="center"/>
          </w:tcPr>
          <w:p w14:paraId="6BC76566">
            <w:pPr>
              <w:widowControl/>
              <w:ind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Figure 3.10 – Volume changes of each phase emulsified by prepared surfactants solution</w:t>
            </w:r>
            <w:r>
              <w:rPr>
                <w:rFonts w:hint="default" w:ascii="Times New Roman" w:hAnsi="Times New Roman" w:cs="Times New Roman"/>
                <w:sz w:val="28"/>
                <w:szCs w:val="28"/>
                <w:lang w:val="en-US" w:eastAsia="zh-CN"/>
              </w:rPr>
              <w:t>.</w:t>
            </w:r>
          </w:p>
        </w:tc>
      </w:tr>
      <w:bookmarkEnd w:id="479"/>
    </w:tbl>
    <w:p w14:paraId="2A6CD193">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513" w:name="_Toc24021"/>
      <w:r>
        <w:rPr>
          <w:rFonts w:hint="default" w:ascii="Times New Roman" w:hAnsi="Times New Roman" w:cs="Times New Roman"/>
          <w:i w:val="0"/>
          <w:iCs w:val="0"/>
          <w:sz w:val="28"/>
          <w:szCs w:val="28"/>
        </w:rPr>
        <w:t>3.4.7 Summary</w:t>
      </w:r>
      <w:bookmarkEnd w:id="513"/>
    </w:p>
    <w:p w14:paraId="2BB0BE35">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In this chapter, a series of extended amphoteric surfactants were synthesized and characterized by FTIR and </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H·NMR, and their surface, interfacial, emulsification, and thermodynamic properties were systematically investigated. The results show that cmc decreases with increasing temperature and with the introduction of PO and EO groups, indicating enhanced micellization ability. Meanwhile, </w:t>
      </w:r>
      <m:oMath>
        <m:sSub>
          <m:sSubPr>
            <m:ctrlPr>
              <w:rPr>
                <w:rFonts w:hint="default" w:ascii="Cambria Math" w:hAnsi="Cambria Math" w:cs="Times New Roman"/>
                <w:color w:val="000000" w:themeColor="text1"/>
                <w:sz w:val="28"/>
                <w:szCs w:val="28"/>
                <w14:textFill>
                  <w14:solidFill>
                    <w14:schemeClr w14:val="tx1"/>
                  </w14:solidFill>
                </w14:textFill>
              </w:rPr>
            </m:ctrlPr>
          </m:sSubPr>
          <m:e>
            <m:r>
              <m:rPr>
                <m:nor/>
              </m:rPr>
              <w:rPr>
                <w:rFonts w:hint="default" w:ascii="Times New Roman" w:hAnsi="Times New Roman" w:cs="Times New Roman"/>
                <w:b w:val="0"/>
                <w:i/>
                <w:iCs/>
                <w:color w:val="000000" w:themeColor="text1"/>
                <w:sz w:val="28"/>
                <w:szCs w:val="28"/>
                <w14:textFill>
                  <w14:solidFill>
                    <w14:schemeClr w14:val="tx1"/>
                  </w14:solidFill>
                </w14:textFill>
              </w:rPr>
              <m:t>Γ</m:t>
            </m:r>
            <m:ctrlPr>
              <w:rPr>
                <w:rFonts w:hint="default" w:ascii="Cambria Math" w:hAnsi="Cambria Math" w:cs="Times New Roman"/>
                <w:color w:val="000000" w:themeColor="text1"/>
                <w:sz w:val="28"/>
                <w:szCs w:val="28"/>
                <w14:textFill>
                  <w14:solidFill>
                    <w14:schemeClr w14:val="tx1"/>
                  </w14:solidFill>
                </w14:textFill>
              </w:rPr>
            </m:ctrlPr>
          </m:e>
          <m:sub>
            <m:r>
              <m:rPr>
                <m:nor/>
                <m:sty m:val="p"/>
              </m:rPr>
              <w:rPr>
                <w:rFonts w:hint="default" w:ascii="Times New Roman" w:hAnsi="Times New Roman" w:cs="Times New Roman"/>
                <w:b w:val="0"/>
                <w:i w:val="0"/>
                <w:color w:val="000000" w:themeColor="text1"/>
                <w:sz w:val="28"/>
                <w:szCs w:val="28"/>
                <w14:textFill>
                  <w14:solidFill>
                    <w14:schemeClr w14:val="tx1"/>
                  </w14:solidFill>
                </w14:textFill>
              </w:rPr>
              <m:t>max</m:t>
            </m:r>
            <m:ctrlPr>
              <w:rPr>
                <w:rFonts w:hint="default" w:ascii="Cambria Math" w:hAnsi="Cambria Math" w:cs="Times New Roman"/>
                <w:color w:val="000000" w:themeColor="text1"/>
                <w:sz w:val="28"/>
                <w:szCs w:val="28"/>
                <w14:textFill>
                  <w14:solidFill>
                    <w14:schemeClr w14:val="tx1"/>
                  </w14:solidFill>
                </w14:textFill>
              </w:rPr>
            </m:ctrlPr>
          </m:sub>
        </m:sSub>
      </m:oMath>
      <w:r>
        <w:rPr>
          <w:rFonts w:hint="default" w:ascii="Times New Roman" w:hAnsi="Times New Roman" w:cs="Times New Roman"/>
          <w:sz w:val="28"/>
          <w:szCs w:val="28"/>
        </w:rPr>
        <w:t xml:space="preserve"> decreases, whereas </w:t>
      </w:r>
      <m:oMath>
        <m:sSub>
          <m:sSubPr>
            <m:ctrlPr>
              <w:rPr>
                <w:rFonts w:hint="default" w:ascii="Cambria Math" w:hAnsi="Cambria Math" w:cs="Times New Roman"/>
                <w:color w:val="000000" w:themeColor="text1"/>
                <w:sz w:val="28"/>
                <w:szCs w:val="28"/>
                <w14:textFill>
                  <w14:solidFill>
                    <w14:schemeClr w14:val="tx1"/>
                  </w14:solidFill>
                </w14:textFill>
              </w:rPr>
            </m:ctrlPr>
          </m:sSubPr>
          <m:e>
            <m:r>
              <m:rPr>
                <m:nor/>
              </m:rPr>
              <w:rPr>
                <w:rFonts w:hint="default" w:ascii="Times New Roman" w:hAnsi="Times New Roman" w:cs="Times New Roman"/>
                <w:i/>
                <w:color w:val="000000" w:themeColor="text1"/>
                <w:sz w:val="28"/>
                <w:szCs w:val="28"/>
                <w14:textFill>
                  <w14:solidFill>
                    <w14:schemeClr w14:val="tx1"/>
                  </w14:solidFill>
                </w14:textFill>
              </w:rPr>
              <m:t>A</m:t>
            </m:r>
            <m:ctrlPr>
              <w:rPr>
                <w:rFonts w:hint="default" w:ascii="Cambria Math" w:hAnsi="Cambria Math" w:cs="Times New Roman"/>
                <w:color w:val="000000" w:themeColor="text1"/>
                <w:sz w:val="28"/>
                <w:szCs w:val="28"/>
                <w14:textFill>
                  <w14:solidFill>
                    <w14:schemeClr w14:val="tx1"/>
                  </w14:solidFill>
                </w14:textFill>
              </w:rPr>
            </m:ctrlPr>
          </m:e>
          <m:sub>
            <m:r>
              <m:rPr>
                <m:nor/>
                <m:sty m:val="p"/>
              </m:rPr>
              <w:rPr>
                <w:rFonts w:hint="default" w:ascii="Times New Roman" w:hAnsi="Times New Roman" w:cs="Times New Roman"/>
                <w:b w:val="0"/>
                <w:i w:val="0"/>
                <w:color w:val="000000" w:themeColor="text1"/>
                <w:sz w:val="28"/>
                <w:szCs w:val="28"/>
                <w14:textFill>
                  <w14:solidFill>
                    <w14:schemeClr w14:val="tx1"/>
                  </w14:solidFill>
                </w14:textFill>
              </w:rPr>
              <m:t>min</m:t>
            </m:r>
            <m:ctrlPr>
              <w:rPr>
                <w:rFonts w:hint="default" w:ascii="Cambria Math" w:hAnsi="Cambria Math" w:cs="Times New Roman"/>
                <w:color w:val="000000" w:themeColor="text1"/>
                <w:sz w:val="28"/>
                <w:szCs w:val="28"/>
                <w14:textFill>
                  <w14:solidFill>
                    <w14:schemeClr w14:val="tx1"/>
                  </w14:solidFill>
                </w14:textFill>
              </w:rPr>
            </m:ctrlPr>
          </m:sub>
        </m:sSub>
      </m:oMath>
      <w:r>
        <w:rPr>
          <w:rFonts w:hint="default" w:ascii="Times New Roman" w:hAnsi="Times New Roman" w:cs="Times New Roman"/>
          <w:color w:val="000000" w:themeColor="text1"/>
          <w:sz w:val="28"/>
          <w:szCs w:val="28"/>
          <w14:textFill>
            <w14:solidFill>
              <w14:schemeClr w14:val="tx1"/>
            </w14:solidFill>
          </w14:textFill>
        </w:rPr>
        <w:t xml:space="preserve"> and </w:t>
      </w:r>
      <m:oMath>
        <m:sSub>
          <m:sSubPr>
            <m:ctrlPr>
              <w:rPr>
                <w:rFonts w:hint="default" w:ascii="Cambria Math" w:hAnsi="Cambria Math" w:cs="Times New Roman"/>
                <w:color w:val="000000" w:themeColor="text1"/>
                <w:sz w:val="28"/>
                <w:szCs w:val="28"/>
                <w14:textFill>
                  <w14:solidFill>
                    <w14:schemeClr w14:val="tx1"/>
                  </w14:solidFill>
                </w14:textFill>
              </w:rPr>
            </m:ctrlPr>
          </m:sSubPr>
          <m:e>
            <m:r>
              <m:rPr>
                <m:nor/>
              </m:rPr>
              <w:rPr>
                <w:rFonts w:hint="default" w:ascii="Times New Roman" w:hAnsi="Times New Roman" w:cs="Times New Roman"/>
                <w:i/>
                <w:color w:val="000000" w:themeColor="text1"/>
                <w:sz w:val="28"/>
                <w:szCs w:val="28"/>
                <w14:textFill>
                  <w14:solidFill>
                    <w14:schemeClr w14:val="tx1"/>
                  </w14:solidFill>
                </w14:textFill>
              </w:rPr>
              <m:t>pC</m:t>
            </m:r>
            <m:ctrlPr>
              <w:rPr>
                <w:rFonts w:hint="default" w:ascii="Cambria Math" w:hAnsi="Cambria Math" w:cs="Times New Roman"/>
                <w:color w:val="000000" w:themeColor="text1"/>
                <w:sz w:val="28"/>
                <w:szCs w:val="28"/>
                <w14:textFill>
                  <w14:solidFill>
                    <w14:schemeClr w14:val="tx1"/>
                  </w14:solidFill>
                </w14:textFill>
              </w:rPr>
            </m:ctrlPr>
          </m:e>
          <m:sub>
            <m:r>
              <m:rPr>
                <m:nor/>
                <m:sty m:val="p"/>
              </m:rPr>
              <w:rPr>
                <w:rFonts w:hint="default" w:ascii="Times New Roman" w:hAnsi="Times New Roman" w:cs="Times New Roman"/>
                <w:b w:val="0"/>
                <w:i w:val="0"/>
                <w:color w:val="000000" w:themeColor="text1"/>
                <w:sz w:val="28"/>
                <w:szCs w:val="28"/>
                <w14:textFill>
                  <w14:solidFill>
                    <w14:schemeClr w14:val="tx1"/>
                  </w14:solidFill>
                </w14:textFill>
              </w:rPr>
              <m:t>20</m:t>
            </m:r>
            <m:ctrlPr>
              <w:rPr>
                <w:rFonts w:hint="default" w:ascii="Cambria Math" w:hAnsi="Cambria Math" w:cs="Times New Roman"/>
                <w:color w:val="000000" w:themeColor="text1"/>
                <w:sz w:val="28"/>
                <w:szCs w:val="28"/>
                <w14:textFill>
                  <w14:solidFill>
                    <w14:schemeClr w14:val="tx1"/>
                  </w14:solidFill>
                </w14:textFill>
              </w:rPr>
            </m:ctrlPr>
          </m:sub>
        </m:sSub>
      </m:oMath>
      <w:r>
        <w:rPr>
          <w:rFonts w:hint="default" w:ascii="Times New Roman" w:hAnsi="Times New Roman" w:cs="Times New Roman"/>
          <w:sz w:val="28"/>
          <w:szCs w:val="28"/>
        </w:rPr>
        <w:t xml:space="preserve"> increase, suggesting more efficient molecular packing and stronger interfacial adsorption. Thermodynamic analysis indicates that </w:t>
      </w:r>
      <m:oMath>
        <m:r>
          <m:rPr>
            <m:nor/>
            <m:sty m:val="p"/>
          </m:rPr>
          <w:rPr>
            <w:rFonts w:hint="default" w:ascii="Times New Roman" w:hAnsi="Times New Roman" w:cs="Times New Roman"/>
            <w:b w:val="0"/>
            <w:i w:val="0"/>
            <w:color w:val="000000" w:themeColor="text1"/>
            <w:sz w:val="28"/>
            <w:szCs w:val="28"/>
            <w14:textFill>
              <w14:solidFill>
                <w14:schemeClr w14:val="tx1"/>
              </w14:solidFill>
            </w14:textFill>
          </w:rPr>
          <m:t>∆</m:t>
        </m:r>
        <m:sSubSup>
          <m:sSubSupPr>
            <m:ctrlPr>
              <w:rPr>
                <w:rFonts w:hint="default" w:ascii="Cambria Math" w:hAnsi="Cambria Math" w:cs="Times New Roman"/>
                <w:color w:val="000000" w:themeColor="text1"/>
                <w:sz w:val="28"/>
                <w:szCs w:val="28"/>
                <w14:textFill>
                  <w14:solidFill>
                    <w14:schemeClr w14:val="tx1"/>
                  </w14:solidFill>
                </w14:textFill>
              </w:rPr>
            </m:ctrlPr>
          </m:sSubSupPr>
          <m:e>
            <m:r>
              <m:rPr>
                <m:nor/>
              </m:rPr>
              <w:rPr>
                <w:rFonts w:hint="default" w:ascii="Times New Roman" w:hAnsi="Times New Roman" w:cs="Times New Roman"/>
                <w:i/>
                <w:color w:val="000000" w:themeColor="text1"/>
                <w:sz w:val="28"/>
                <w:szCs w:val="28"/>
                <w14:textFill>
                  <w14:solidFill>
                    <w14:schemeClr w14:val="tx1"/>
                  </w14:solidFill>
                </w14:textFill>
              </w:rPr>
              <m:t>H</m:t>
            </m:r>
            <m:ctrlPr>
              <w:rPr>
                <w:rFonts w:hint="default" w:ascii="Cambria Math" w:hAnsi="Cambria Math" w:cs="Times New Roman"/>
                <w:color w:val="000000" w:themeColor="text1"/>
                <w:sz w:val="28"/>
                <w:szCs w:val="28"/>
                <w14:textFill>
                  <w14:solidFill>
                    <w14:schemeClr w14:val="tx1"/>
                  </w14:solidFill>
                </w14:textFill>
              </w:rPr>
            </m:ctrlPr>
          </m:e>
          <m:sub>
            <m:r>
              <m:rPr>
                <m:nor/>
                <m:sty m:val="p"/>
              </m:rPr>
              <w:rPr>
                <w:rFonts w:hint="default" w:ascii="Times New Roman" w:hAnsi="Times New Roman" w:cs="Times New Roman"/>
                <w:b w:val="0"/>
                <w:i w:val="0"/>
                <w:color w:val="000000" w:themeColor="text1"/>
                <w:sz w:val="28"/>
                <w:szCs w:val="28"/>
                <w14:textFill>
                  <w14:solidFill>
                    <w14:schemeClr w14:val="tx1"/>
                  </w14:solidFill>
                </w14:textFill>
              </w:rPr>
              <m:t>mic</m:t>
            </m:r>
            <m:ctrlPr>
              <w:rPr>
                <w:rFonts w:hint="default" w:ascii="Cambria Math" w:hAnsi="Cambria Math" w:cs="Times New Roman"/>
                <w:color w:val="000000" w:themeColor="text1"/>
                <w:sz w:val="28"/>
                <w:szCs w:val="28"/>
                <w14:textFill>
                  <w14:solidFill>
                    <w14:schemeClr w14:val="tx1"/>
                  </w14:solidFill>
                </w14:textFill>
              </w:rPr>
            </m:ctrlPr>
          </m:sub>
          <m:sup>
            <m:r>
              <m:rPr>
                <m:nor/>
                <m:sty m:val="p"/>
              </m:rPr>
              <w:rPr>
                <w:rFonts w:hint="default" w:ascii="Times New Roman" w:hAnsi="Times New Roman" w:cs="Times New Roman"/>
                <w:b w:val="0"/>
                <w:i w:val="0"/>
                <w:color w:val="000000" w:themeColor="text1"/>
                <w:sz w:val="28"/>
                <w:szCs w:val="28"/>
                <w14:textFill>
                  <w14:solidFill>
                    <w14:schemeClr w14:val="tx1"/>
                  </w14:solidFill>
                </w14:textFill>
              </w:rPr>
              <m:t>θ</m:t>
            </m:r>
            <m:ctrlPr>
              <w:rPr>
                <w:rFonts w:hint="default" w:ascii="Cambria Math" w:hAnsi="Cambria Math" w:cs="Times New Roman"/>
                <w:color w:val="000000" w:themeColor="text1"/>
                <w:sz w:val="28"/>
                <w:szCs w:val="28"/>
                <w14:textFill>
                  <w14:solidFill>
                    <w14:schemeClr w14:val="tx1"/>
                  </w14:solidFill>
                </w14:textFill>
              </w:rPr>
            </m:ctrlPr>
          </m:sup>
        </m:sSubSup>
      </m:oMath>
      <w:r>
        <w:rPr>
          <w:rFonts w:hint="default" w:ascii="Times New Roman" w:hAnsi="Times New Roman" w:cs="Times New Roman"/>
          <w:color w:val="000000" w:themeColor="text1"/>
          <w:sz w:val="28"/>
          <w:szCs w:val="28"/>
          <w14:textFill>
            <w14:solidFill>
              <w14:schemeClr w14:val="tx1"/>
            </w14:solidFill>
          </w14:textFill>
        </w:rPr>
        <w:t xml:space="preserve">, </w:t>
      </w:r>
      <m:oMath>
        <m:r>
          <m:rPr>
            <m:nor/>
            <m:sty m:val="p"/>
          </m:rPr>
          <w:rPr>
            <w:rFonts w:hint="default" w:ascii="Times New Roman" w:hAnsi="Times New Roman" w:cs="Times New Roman"/>
            <w:b w:val="0"/>
            <w:i w:val="0"/>
            <w:color w:val="000000" w:themeColor="text1"/>
            <w:sz w:val="28"/>
            <w:szCs w:val="28"/>
            <w14:textFill>
              <w14:solidFill>
                <w14:schemeClr w14:val="tx1"/>
              </w14:solidFill>
            </w14:textFill>
          </w:rPr>
          <m:t>∆</m:t>
        </m:r>
        <m:sSubSup>
          <m:sSubSupPr>
            <m:ctrlPr>
              <w:rPr>
                <w:rFonts w:hint="default" w:ascii="Cambria Math" w:hAnsi="Cambria Math" w:cs="Times New Roman"/>
                <w:color w:val="000000" w:themeColor="text1"/>
                <w:sz w:val="28"/>
                <w:szCs w:val="28"/>
                <w14:textFill>
                  <w14:solidFill>
                    <w14:schemeClr w14:val="tx1"/>
                  </w14:solidFill>
                </w14:textFill>
              </w:rPr>
            </m:ctrlPr>
          </m:sSubSupPr>
          <m:e>
            <m:r>
              <m:rPr>
                <m:nor/>
              </m:rPr>
              <w:rPr>
                <w:rFonts w:hint="default" w:ascii="Times New Roman" w:hAnsi="Times New Roman" w:cs="Times New Roman"/>
                <w:i/>
                <w:color w:val="000000" w:themeColor="text1"/>
                <w:sz w:val="28"/>
                <w:szCs w:val="28"/>
                <w14:textFill>
                  <w14:solidFill>
                    <w14:schemeClr w14:val="tx1"/>
                  </w14:solidFill>
                </w14:textFill>
              </w:rPr>
              <m:t>S</m:t>
            </m:r>
            <m:ctrlPr>
              <w:rPr>
                <w:rFonts w:hint="default" w:ascii="Cambria Math" w:hAnsi="Cambria Math" w:cs="Times New Roman"/>
                <w:color w:val="000000" w:themeColor="text1"/>
                <w:sz w:val="28"/>
                <w:szCs w:val="28"/>
                <w14:textFill>
                  <w14:solidFill>
                    <w14:schemeClr w14:val="tx1"/>
                  </w14:solidFill>
                </w14:textFill>
              </w:rPr>
            </m:ctrlPr>
          </m:e>
          <m:sub>
            <m:r>
              <m:rPr>
                <m:nor/>
                <m:sty m:val="p"/>
              </m:rPr>
              <w:rPr>
                <w:rFonts w:hint="default" w:ascii="Times New Roman" w:hAnsi="Times New Roman" w:cs="Times New Roman"/>
                <w:b w:val="0"/>
                <w:i w:val="0"/>
                <w:color w:val="000000" w:themeColor="text1"/>
                <w:sz w:val="28"/>
                <w:szCs w:val="28"/>
                <w14:textFill>
                  <w14:solidFill>
                    <w14:schemeClr w14:val="tx1"/>
                  </w14:solidFill>
                </w14:textFill>
              </w:rPr>
              <m:t>mic</m:t>
            </m:r>
            <m:ctrlPr>
              <w:rPr>
                <w:rFonts w:hint="default" w:ascii="Cambria Math" w:hAnsi="Cambria Math" w:cs="Times New Roman"/>
                <w:color w:val="000000" w:themeColor="text1"/>
                <w:sz w:val="28"/>
                <w:szCs w:val="28"/>
                <w14:textFill>
                  <w14:solidFill>
                    <w14:schemeClr w14:val="tx1"/>
                  </w14:solidFill>
                </w14:textFill>
              </w:rPr>
            </m:ctrlPr>
          </m:sub>
          <m:sup>
            <m:r>
              <m:rPr>
                <m:nor/>
                <m:sty m:val="p"/>
              </m:rPr>
              <w:rPr>
                <w:rFonts w:hint="default" w:ascii="Times New Roman" w:hAnsi="Times New Roman" w:cs="Times New Roman"/>
                <w:b w:val="0"/>
                <w:i w:val="0"/>
                <w:color w:val="000000" w:themeColor="text1"/>
                <w:sz w:val="28"/>
                <w:szCs w:val="28"/>
                <w14:textFill>
                  <w14:solidFill>
                    <w14:schemeClr w14:val="tx1"/>
                  </w14:solidFill>
                </w14:textFill>
              </w:rPr>
              <m:t>θ</m:t>
            </m:r>
            <m:ctrlPr>
              <w:rPr>
                <w:rFonts w:hint="default" w:ascii="Cambria Math" w:hAnsi="Cambria Math" w:cs="Times New Roman"/>
                <w:color w:val="000000" w:themeColor="text1"/>
                <w:sz w:val="28"/>
                <w:szCs w:val="28"/>
                <w14:textFill>
                  <w14:solidFill>
                    <w14:schemeClr w14:val="tx1"/>
                  </w14:solidFill>
                </w14:textFill>
              </w:rPr>
            </m:ctrlPr>
          </m:sup>
        </m:sSubSup>
      </m:oMath>
      <w:r>
        <w:rPr>
          <w:rFonts w:hint="default" w:ascii="Times New Roman" w:hAnsi="Times New Roman" w:cs="Times New Roman"/>
          <w:color w:val="000000" w:themeColor="text1"/>
          <w:sz w:val="28"/>
          <w:szCs w:val="28"/>
          <w14:textFill>
            <w14:solidFill>
              <w14:schemeClr w14:val="tx1"/>
            </w14:solidFill>
          </w14:textFill>
        </w:rPr>
        <w:t xml:space="preserve">, </w:t>
      </w:r>
      <m:oMath>
        <m:r>
          <m:rPr>
            <m:nor/>
            <m:sty m:val="p"/>
          </m:rPr>
          <w:rPr>
            <w:rFonts w:hint="default" w:ascii="Times New Roman" w:hAnsi="Times New Roman" w:cs="Times New Roman"/>
            <w:b w:val="0"/>
            <w:i w:val="0"/>
            <w:color w:val="000000" w:themeColor="text1"/>
            <w:sz w:val="28"/>
            <w:szCs w:val="28"/>
            <w14:textFill>
              <w14:solidFill>
                <w14:schemeClr w14:val="tx1"/>
              </w14:solidFill>
            </w14:textFill>
          </w:rPr>
          <m:t>∆</m:t>
        </m:r>
        <m:sSubSup>
          <m:sSubSupPr>
            <m:ctrlPr>
              <w:rPr>
                <w:rFonts w:hint="default" w:ascii="Cambria Math" w:hAnsi="Cambria Math" w:cs="Times New Roman"/>
                <w:color w:val="000000" w:themeColor="text1"/>
                <w:sz w:val="28"/>
                <w:szCs w:val="28"/>
                <w14:textFill>
                  <w14:solidFill>
                    <w14:schemeClr w14:val="tx1"/>
                  </w14:solidFill>
                </w14:textFill>
              </w:rPr>
            </m:ctrlPr>
          </m:sSubSupPr>
          <m:e>
            <m:r>
              <m:rPr>
                <m:nor/>
              </m:rPr>
              <w:rPr>
                <w:rFonts w:hint="default" w:ascii="Times New Roman" w:hAnsi="Times New Roman" w:cs="Times New Roman"/>
                <w:i/>
                <w:color w:val="000000" w:themeColor="text1"/>
                <w:sz w:val="28"/>
                <w:szCs w:val="28"/>
                <w14:textFill>
                  <w14:solidFill>
                    <w14:schemeClr w14:val="tx1"/>
                  </w14:solidFill>
                </w14:textFill>
              </w:rPr>
              <m:t>G</m:t>
            </m:r>
            <m:ctrlPr>
              <w:rPr>
                <w:rFonts w:hint="default" w:ascii="Cambria Math" w:hAnsi="Cambria Math" w:cs="Times New Roman"/>
                <w:color w:val="000000" w:themeColor="text1"/>
                <w:sz w:val="28"/>
                <w:szCs w:val="28"/>
                <w14:textFill>
                  <w14:solidFill>
                    <w14:schemeClr w14:val="tx1"/>
                  </w14:solidFill>
                </w14:textFill>
              </w:rPr>
            </m:ctrlPr>
          </m:e>
          <m:sub>
            <m:r>
              <m:rPr>
                <m:nor/>
                <m:sty m:val="p"/>
              </m:rPr>
              <w:rPr>
                <w:rFonts w:hint="default" w:ascii="Times New Roman" w:hAnsi="Times New Roman" w:cs="Times New Roman"/>
                <w:b w:val="0"/>
                <w:i w:val="0"/>
                <w:color w:val="000000" w:themeColor="text1"/>
                <w:sz w:val="28"/>
                <w:szCs w:val="28"/>
                <w14:textFill>
                  <w14:solidFill>
                    <w14:schemeClr w14:val="tx1"/>
                  </w14:solidFill>
                </w14:textFill>
              </w:rPr>
              <m:t>mic</m:t>
            </m:r>
            <m:ctrlPr>
              <w:rPr>
                <w:rFonts w:hint="default" w:ascii="Cambria Math" w:hAnsi="Cambria Math" w:cs="Times New Roman"/>
                <w:color w:val="000000" w:themeColor="text1"/>
                <w:sz w:val="28"/>
                <w:szCs w:val="28"/>
                <w14:textFill>
                  <w14:solidFill>
                    <w14:schemeClr w14:val="tx1"/>
                  </w14:solidFill>
                </w14:textFill>
              </w:rPr>
            </m:ctrlPr>
          </m:sub>
          <m:sup>
            <m:r>
              <m:rPr>
                <m:nor/>
                <m:sty m:val="p"/>
              </m:rPr>
              <w:rPr>
                <w:rFonts w:hint="default" w:ascii="Times New Roman" w:hAnsi="Times New Roman" w:cs="Times New Roman"/>
                <w:b w:val="0"/>
                <w:i w:val="0"/>
                <w:color w:val="000000" w:themeColor="text1"/>
                <w:sz w:val="28"/>
                <w:szCs w:val="28"/>
                <w14:textFill>
                  <w14:solidFill>
                    <w14:schemeClr w14:val="tx1"/>
                  </w14:solidFill>
                </w14:textFill>
              </w:rPr>
              <m:t>θ</m:t>
            </m:r>
            <m:ctrlPr>
              <w:rPr>
                <w:rFonts w:hint="default" w:ascii="Cambria Math" w:hAnsi="Cambria Math" w:cs="Times New Roman"/>
                <w:color w:val="000000" w:themeColor="text1"/>
                <w:sz w:val="28"/>
                <w:szCs w:val="28"/>
                <w14:textFill>
                  <w14:solidFill>
                    <w14:schemeClr w14:val="tx1"/>
                  </w14:solidFill>
                </w14:textFill>
              </w:rPr>
            </m:ctrlPr>
          </m:sup>
        </m:sSubSup>
      </m:oMath>
      <w:r>
        <w:rPr>
          <w:rFonts w:hint="default" w:ascii="Times New Roman" w:hAnsi="Times New Roman" w:cs="Times New Roman"/>
          <w:color w:val="000000" w:themeColor="text1"/>
          <w:sz w:val="28"/>
          <w:szCs w:val="28"/>
          <w14:textFill>
            <w14:solidFill>
              <w14:schemeClr w14:val="tx1"/>
            </w14:solidFill>
          </w14:textFill>
        </w:rPr>
        <w:t xml:space="preserve"> and </w:t>
      </w:r>
      <m:oMath>
        <m:r>
          <m:rPr>
            <m:nor/>
            <m:sty m:val="p"/>
          </m:rPr>
          <w:rPr>
            <w:rFonts w:hint="default" w:ascii="Times New Roman" w:hAnsi="Times New Roman" w:cs="Times New Roman"/>
            <w:b w:val="0"/>
            <w:i w:val="0"/>
            <w:color w:val="000000" w:themeColor="text1"/>
            <w:sz w:val="28"/>
            <w:szCs w:val="28"/>
            <w14:textFill>
              <w14:solidFill>
                <w14:schemeClr w14:val="tx1"/>
              </w14:solidFill>
            </w14:textFill>
          </w:rPr>
          <m:t>∆</m:t>
        </m:r>
        <m:sSubSup>
          <m:sSubSupPr>
            <m:ctrlPr>
              <w:rPr>
                <w:rFonts w:hint="default" w:ascii="Cambria Math" w:hAnsi="Cambria Math" w:cs="Times New Roman"/>
                <w:color w:val="000000" w:themeColor="text1"/>
                <w:sz w:val="28"/>
                <w:szCs w:val="28"/>
                <w14:textFill>
                  <w14:solidFill>
                    <w14:schemeClr w14:val="tx1"/>
                  </w14:solidFill>
                </w14:textFill>
              </w:rPr>
            </m:ctrlPr>
          </m:sSubSupPr>
          <m:e>
            <m:r>
              <m:rPr>
                <m:nor/>
              </m:rPr>
              <w:rPr>
                <w:rFonts w:hint="default" w:ascii="Times New Roman" w:hAnsi="Times New Roman" w:cs="Times New Roman"/>
                <w:i/>
                <w:color w:val="000000" w:themeColor="text1"/>
                <w:sz w:val="28"/>
                <w:szCs w:val="28"/>
                <w14:textFill>
                  <w14:solidFill>
                    <w14:schemeClr w14:val="tx1"/>
                  </w14:solidFill>
                </w14:textFill>
              </w:rPr>
              <m:t>G</m:t>
            </m:r>
            <m:ctrlPr>
              <w:rPr>
                <w:rFonts w:hint="default" w:ascii="Cambria Math" w:hAnsi="Cambria Math" w:cs="Times New Roman"/>
                <w:color w:val="000000" w:themeColor="text1"/>
                <w:sz w:val="28"/>
                <w:szCs w:val="28"/>
                <w14:textFill>
                  <w14:solidFill>
                    <w14:schemeClr w14:val="tx1"/>
                  </w14:solidFill>
                </w14:textFill>
              </w:rPr>
            </m:ctrlPr>
          </m:e>
          <m:sub>
            <m:r>
              <m:rPr>
                <m:nor/>
                <m:sty m:val="p"/>
              </m:rPr>
              <w:rPr>
                <w:rFonts w:hint="default" w:ascii="Times New Roman" w:hAnsi="Times New Roman" w:cs="Times New Roman"/>
                <w:b w:val="0"/>
                <w:i w:val="0"/>
                <w:color w:val="000000" w:themeColor="text1"/>
                <w:sz w:val="28"/>
                <w:szCs w:val="28"/>
                <w14:textFill>
                  <w14:solidFill>
                    <w14:schemeClr w14:val="tx1"/>
                  </w14:solidFill>
                </w14:textFill>
              </w:rPr>
              <m:t>ads</m:t>
            </m:r>
            <m:ctrlPr>
              <w:rPr>
                <w:rFonts w:hint="default" w:ascii="Cambria Math" w:hAnsi="Cambria Math" w:cs="Times New Roman"/>
                <w:color w:val="000000" w:themeColor="text1"/>
                <w:sz w:val="28"/>
                <w:szCs w:val="28"/>
                <w14:textFill>
                  <w14:solidFill>
                    <w14:schemeClr w14:val="tx1"/>
                  </w14:solidFill>
                </w14:textFill>
              </w:rPr>
            </m:ctrlPr>
          </m:sub>
          <m:sup>
            <m:r>
              <m:rPr>
                <m:nor/>
                <m:sty m:val="p"/>
              </m:rPr>
              <w:rPr>
                <w:rFonts w:hint="default" w:ascii="Times New Roman" w:hAnsi="Times New Roman" w:cs="Times New Roman"/>
                <w:b w:val="0"/>
                <w:i w:val="0"/>
                <w:color w:val="000000" w:themeColor="text1"/>
                <w:sz w:val="28"/>
                <w:szCs w:val="28"/>
                <w14:textFill>
                  <w14:solidFill>
                    <w14:schemeClr w14:val="tx1"/>
                  </w14:solidFill>
                </w14:textFill>
              </w:rPr>
              <m:t>θ</m:t>
            </m:r>
            <m:ctrlPr>
              <w:rPr>
                <w:rFonts w:hint="default" w:ascii="Cambria Math" w:hAnsi="Cambria Math" w:cs="Times New Roman"/>
                <w:color w:val="000000" w:themeColor="text1"/>
                <w:sz w:val="28"/>
                <w:szCs w:val="28"/>
                <w14:textFill>
                  <w14:solidFill>
                    <w14:schemeClr w14:val="tx1"/>
                  </w14:solidFill>
                </w14:textFill>
              </w:rPr>
            </m:ctrlPr>
          </m:sup>
        </m:sSubSup>
      </m:oMath>
      <w:r>
        <w:rPr>
          <w:rFonts w:hint="default" w:ascii="Times New Roman" w:hAnsi="Times New Roman" w:cs="Times New Roman"/>
          <w:sz w:val="28"/>
          <w:szCs w:val="28"/>
        </w:rPr>
        <w:t xml:space="preserve"> increase with temperature, and </w:t>
      </w:r>
      <m:oMath>
        <m:r>
          <m:rPr>
            <m:nor/>
            <m:sty m:val="p"/>
          </m:rPr>
          <w:rPr>
            <w:rFonts w:hint="default" w:ascii="Times New Roman" w:hAnsi="Times New Roman" w:cs="Times New Roman"/>
            <w:b w:val="0"/>
            <w:i w:val="0"/>
            <w:color w:val="000000" w:themeColor="text1"/>
            <w:sz w:val="28"/>
            <w:szCs w:val="28"/>
            <w14:textFill>
              <w14:solidFill>
                <w14:schemeClr w14:val="tx1"/>
              </w14:solidFill>
            </w14:textFill>
          </w:rPr>
          <m:t>∆</m:t>
        </m:r>
        <m:sSubSup>
          <m:sSubSupPr>
            <m:ctrlPr>
              <w:rPr>
                <w:rFonts w:hint="default" w:ascii="Cambria Math" w:hAnsi="Cambria Math" w:cs="Times New Roman"/>
                <w:color w:val="000000" w:themeColor="text1"/>
                <w:sz w:val="28"/>
                <w:szCs w:val="28"/>
                <w14:textFill>
                  <w14:solidFill>
                    <w14:schemeClr w14:val="tx1"/>
                  </w14:solidFill>
                </w14:textFill>
              </w:rPr>
            </m:ctrlPr>
          </m:sSubSupPr>
          <m:e>
            <m:r>
              <m:rPr>
                <m:nor/>
              </m:rPr>
              <w:rPr>
                <w:rFonts w:hint="default" w:ascii="Times New Roman" w:hAnsi="Times New Roman" w:cs="Times New Roman"/>
                <w:i/>
                <w:color w:val="000000" w:themeColor="text1"/>
                <w:sz w:val="28"/>
                <w:szCs w:val="28"/>
                <w14:textFill>
                  <w14:solidFill>
                    <w14:schemeClr w14:val="tx1"/>
                  </w14:solidFill>
                </w14:textFill>
              </w:rPr>
              <m:t>G</m:t>
            </m:r>
            <m:ctrlPr>
              <w:rPr>
                <w:rFonts w:hint="default" w:ascii="Cambria Math" w:hAnsi="Cambria Math" w:cs="Times New Roman"/>
                <w:color w:val="000000" w:themeColor="text1"/>
                <w:sz w:val="28"/>
                <w:szCs w:val="28"/>
                <w14:textFill>
                  <w14:solidFill>
                    <w14:schemeClr w14:val="tx1"/>
                  </w14:solidFill>
                </w14:textFill>
              </w:rPr>
            </m:ctrlPr>
          </m:e>
          <m:sub>
            <m:r>
              <m:rPr>
                <m:nor/>
                <m:sty m:val="p"/>
              </m:rPr>
              <w:rPr>
                <w:rFonts w:hint="default" w:ascii="Times New Roman" w:hAnsi="Times New Roman" w:cs="Times New Roman"/>
                <w:b w:val="0"/>
                <w:i w:val="0"/>
                <w:color w:val="000000" w:themeColor="text1"/>
                <w:sz w:val="28"/>
                <w:szCs w:val="28"/>
                <w14:textFill>
                  <w14:solidFill>
                    <w14:schemeClr w14:val="tx1"/>
                  </w14:solidFill>
                </w14:textFill>
              </w:rPr>
              <m:t>ads</m:t>
            </m:r>
            <m:ctrlPr>
              <w:rPr>
                <w:rFonts w:hint="default" w:ascii="Cambria Math" w:hAnsi="Cambria Math" w:cs="Times New Roman"/>
                <w:color w:val="000000" w:themeColor="text1"/>
                <w:sz w:val="28"/>
                <w:szCs w:val="28"/>
                <w14:textFill>
                  <w14:solidFill>
                    <w14:schemeClr w14:val="tx1"/>
                  </w14:solidFill>
                </w14:textFill>
              </w:rPr>
            </m:ctrlPr>
          </m:sub>
          <m:sup>
            <m:r>
              <m:rPr>
                <m:nor/>
                <m:sty m:val="p"/>
              </m:rPr>
              <w:rPr>
                <w:rFonts w:hint="default" w:ascii="Times New Roman" w:hAnsi="Times New Roman" w:cs="Times New Roman"/>
                <w:b w:val="0"/>
                <w:i w:val="0"/>
                <w:color w:val="000000" w:themeColor="text1"/>
                <w:sz w:val="28"/>
                <w:szCs w:val="28"/>
                <w14:textFill>
                  <w14:solidFill>
                    <w14:schemeClr w14:val="tx1"/>
                  </w14:solidFill>
                </w14:textFill>
              </w:rPr>
              <m:t>θ</m:t>
            </m:r>
            <m:ctrlPr>
              <w:rPr>
                <w:rFonts w:hint="default" w:ascii="Cambria Math" w:hAnsi="Cambria Math" w:cs="Times New Roman"/>
                <w:color w:val="000000" w:themeColor="text1"/>
                <w:sz w:val="28"/>
                <w:szCs w:val="28"/>
                <w14:textFill>
                  <w14:solidFill>
                    <w14:schemeClr w14:val="tx1"/>
                  </w14:solidFill>
                </w14:textFill>
              </w:rPr>
            </m:ctrlPr>
          </m:sup>
        </m:sSubSup>
      </m:oMath>
      <w:r>
        <w:rPr>
          <w:rFonts w:hint="default" w:ascii="Times New Roman" w:hAnsi="Times New Roman" w:cs="Times New Roman"/>
          <w:sz w:val="28"/>
          <w:szCs w:val="28"/>
        </w:rPr>
        <w:t xml:space="preserve"> is more negative than </w:t>
      </w:r>
      <m:oMath>
        <m:r>
          <m:rPr>
            <m:nor/>
            <m:sty m:val="p"/>
          </m:rPr>
          <w:rPr>
            <w:rFonts w:hint="default" w:ascii="Times New Roman" w:hAnsi="Times New Roman" w:cs="Times New Roman"/>
            <w:b w:val="0"/>
            <w:i w:val="0"/>
            <w:color w:val="000000" w:themeColor="text1"/>
            <w:sz w:val="28"/>
            <w:szCs w:val="28"/>
            <w14:textFill>
              <w14:solidFill>
                <w14:schemeClr w14:val="tx1"/>
              </w14:solidFill>
            </w14:textFill>
          </w:rPr>
          <m:t>∆</m:t>
        </m:r>
        <m:sSubSup>
          <m:sSubSupPr>
            <m:ctrlPr>
              <w:rPr>
                <w:rFonts w:hint="default" w:ascii="Cambria Math" w:hAnsi="Cambria Math" w:cs="Times New Roman"/>
                <w:color w:val="000000" w:themeColor="text1"/>
                <w:sz w:val="28"/>
                <w:szCs w:val="28"/>
                <w14:textFill>
                  <w14:solidFill>
                    <w14:schemeClr w14:val="tx1"/>
                  </w14:solidFill>
                </w14:textFill>
              </w:rPr>
            </m:ctrlPr>
          </m:sSubSupPr>
          <m:e>
            <m:r>
              <m:rPr>
                <m:nor/>
              </m:rPr>
              <w:rPr>
                <w:rFonts w:hint="default" w:ascii="Times New Roman" w:hAnsi="Times New Roman" w:cs="Times New Roman"/>
                <w:i/>
                <w:color w:val="000000" w:themeColor="text1"/>
                <w:sz w:val="28"/>
                <w:szCs w:val="28"/>
                <w14:textFill>
                  <w14:solidFill>
                    <w14:schemeClr w14:val="tx1"/>
                  </w14:solidFill>
                </w14:textFill>
              </w:rPr>
              <m:t>G</m:t>
            </m:r>
            <m:ctrlPr>
              <w:rPr>
                <w:rFonts w:hint="default" w:ascii="Cambria Math" w:hAnsi="Cambria Math" w:cs="Times New Roman"/>
                <w:color w:val="000000" w:themeColor="text1"/>
                <w:sz w:val="28"/>
                <w:szCs w:val="28"/>
                <w14:textFill>
                  <w14:solidFill>
                    <w14:schemeClr w14:val="tx1"/>
                  </w14:solidFill>
                </w14:textFill>
              </w:rPr>
            </m:ctrlPr>
          </m:e>
          <m:sub>
            <m:r>
              <m:rPr>
                <m:nor/>
                <m:sty m:val="p"/>
              </m:rPr>
              <w:rPr>
                <w:rFonts w:hint="default" w:ascii="Times New Roman" w:hAnsi="Times New Roman" w:cs="Times New Roman"/>
                <w:b w:val="0"/>
                <w:i w:val="0"/>
                <w:color w:val="000000" w:themeColor="text1"/>
                <w:sz w:val="28"/>
                <w:szCs w:val="28"/>
                <w14:textFill>
                  <w14:solidFill>
                    <w14:schemeClr w14:val="tx1"/>
                  </w14:solidFill>
                </w14:textFill>
              </w:rPr>
              <m:t>mic</m:t>
            </m:r>
            <m:ctrlPr>
              <w:rPr>
                <w:rFonts w:hint="default" w:ascii="Cambria Math" w:hAnsi="Cambria Math" w:cs="Times New Roman"/>
                <w:color w:val="000000" w:themeColor="text1"/>
                <w:sz w:val="28"/>
                <w:szCs w:val="28"/>
                <w14:textFill>
                  <w14:solidFill>
                    <w14:schemeClr w14:val="tx1"/>
                  </w14:solidFill>
                </w14:textFill>
              </w:rPr>
            </m:ctrlPr>
          </m:sub>
          <m:sup>
            <m:r>
              <m:rPr>
                <m:nor/>
                <m:sty m:val="p"/>
              </m:rPr>
              <w:rPr>
                <w:rFonts w:hint="default" w:ascii="Times New Roman" w:hAnsi="Times New Roman" w:cs="Times New Roman"/>
                <w:b w:val="0"/>
                <w:i w:val="0"/>
                <w:color w:val="000000" w:themeColor="text1"/>
                <w:sz w:val="28"/>
                <w:szCs w:val="28"/>
                <w14:textFill>
                  <w14:solidFill>
                    <w14:schemeClr w14:val="tx1"/>
                  </w14:solidFill>
                </w14:textFill>
              </w:rPr>
              <m:t>θ</m:t>
            </m:r>
            <m:ctrlPr>
              <w:rPr>
                <w:rFonts w:hint="default" w:ascii="Cambria Math" w:hAnsi="Cambria Math" w:cs="Times New Roman"/>
                <w:color w:val="000000" w:themeColor="text1"/>
                <w:sz w:val="28"/>
                <w:szCs w:val="28"/>
                <w14:textFill>
                  <w14:solidFill>
                    <w14:schemeClr w14:val="tx1"/>
                  </w14:solidFill>
                </w14:textFill>
              </w:rPr>
            </m:ctrlPr>
          </m:sup>
        </m:sSubSup>
      </m:oMath>
      <w:r>
        <w:rPr>
          <w:rFonts w:hint="default" w:ascii="Times New Roman" w:hAnsi="Times New Roman" w:cs="Times New Roman"/>
          <w:sz w:val="28"/>
          <w:szCs w:val="28"/>
        </w:rPr>
        <w:t>, confirming that adsorption is more favorable than micellization. The incorporation of PO and EO groups further promotes both processes. In addition, all surfactants exhibit a clear enthalpy–entropy compensation effect with similar compensation temperatures. In terms of interfacial and emulsification properties, the introduction of PO segments enhances interfacial activity and enables ultralow interfacial tension under suitable salinity, while EO segments broaden the salinity tolerance and improve emulsion stability. Overall, a clear relationship between molecular structure and interfacial performance is established, providing a theoretical basis for the subsequent study of intermolecular interactions and composite surfactant systems.</w:t>
      </w:r>
    </w:p>
    <w:p w14:paraId="367DCDDF">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However, single-component systems still have limitations, such as insufficient interfacial film strength, limited emulsification stability, and poor adaptability to complex reservoir conditions. To address these issues, it is necessary to develop composite surfactant systems through intermolecular interactions. Such systems can utilize synergistic effects to improve interfacial behavior, enhance emulsion stability, and optimize multiple EOR mechanisms. Therefore, based on the results, the following chapter focuses on the interaction behavior in composite surfactant systems and their synergistic mechanisms.</w:t>
      </w:r>
      <w:r>
        <w:rPr>
          <w:rFonts w:hint="default" w:ascii="Times New Roman" w:hAnsi="Times New Roman" w:cs="Times New Roman"/>
          <w:sz w:val="28"/>
          <w:szCs w:val="28"/>
        </w:rPr>
        <w:br w:type="page"/>
      </w:r>
    </w:p>
    <w:p w14:paraId="134FBCF4">
      <w:pPr>
        <w:pStyle w:val="2"/>
        <w:keepNext w:val="0"/>
        <w:keepLines w:val="0"/>
        <w:widowControl/>
        <w:spacing w:before="0" w:beforeLines="0" w:after="0" w:afterLines="0" w:line="240" w:lineRule="auto"/>
        <w:ind w:firstLine="560" w:firstLineChars="200"/>
        <w:jc w:val="both"/>
        <w:rPr>
          <w:rFonts w:hint="default" w:ascii="Times New Roman" w:hAnsi="Times New Roman" w:eastAsia="宋体" w:cs="Times New Roman"/>
          <w:szCs w:val="28"/>
          <w:lang w:val="en-US" w:eastAsia="zh-CN"/>
        </w:rPr>
      </w:pPr>
      <w:bookmarkStart w:id="514" w:name="_Toc14588"/>
      <w:bookmarkStart w:id="515" w:name="_Toc10590"/>
      <w:bookmarkStart w:id="516" w:name="_Toc401"/>
      <w:bookmarkStart w:id="517" w:name="_Toc16274"/>
      <w:bookmarkStart w:id="518" w:name="_Toc9693"/>
      <w:bookmarkStart w:id="519" w:name="_Toc15638"/>
      <w:bookmarkStart w:id="520" w:name="_Toc25958"/>
      <w:r>
        <w:rPr>
          <w:rFonts w:hint="default" w:ascii="Times New Roman" w:hAnsi="Times New Roman" w:cs="Times New Roman"/>
          <w:szCs w:val="28"/>
        </w:rPr>
        <w:t>C</w:t>
      </w:r>
      <w:r>
        <w:rPr>
          <w:rFonts w:hint="default" w:ascii="Times New Roman" w:hAnsi="Times New Roman" w:cs="Times New Roman"/>
          <w:szCs w:val="28"/>
          <w:lang w:val="en-US" w:eastAsia="zh-CN"/>
        </w:rPr>
        <w:t>HAPTER</w:t>
      </w:r>
      <w:r>
        <w:rPr>
          <w:rFonts w:hint="default" w:ascii="Times New Roman" w:hAnsi="Times New Roman" w:cs="Times New Roman"/>
          <w:szCs w:val="28"/>
        </w:rPr>
        <w:t xml:space="preserve"> 4</w:t>
      </w:r>
      <w:bookmarkEnd w:id="514"/>
      <w:r>
        <w:rPr>
          <w:rFonts w:hint="default" w:ascii="Times New Roman" w:hAnsi="Times New Roman" w:cs="Times New Roman"/>
          <w:szCs w:val="28"/>
        </w:rPr>
        <w:t xml:space="preserve"> I</w:t>
      </w:r>
      <w:r>
        <w:rPr>
          <w:rFonts w:hint="default" w:ascii="Times New Roman" w:hAnsi="Times New Roman" w:cs="Times New Roman"/>
          <w:szCs w:val="28"/>
          <w:lang w:val="en-US" w:eastAsia="zh-CN"/>
        </w:rPr>
        <w:t>NTERACTION</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OF</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AN</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EXTENDED</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AMPHOTERIC</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SURFACTANT</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COMBINING</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WITH</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A</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NONIONIC</w:t>
      </w:r>
      <w:r>
        <w:rPr>
          <w:rFonts w:hint="default" w:ascii="Times New Roman" w:hAnsi="Times New Roman" w:cs="Times New Roman"/>
          <w:szCs w:val="28"/>
        </w:rPr>
        <w:t xml:space="preserve"> </w:t>
      </w:r>
      <w:bookmarkEnd w:id="515"/>
      <w:bookmarkEnd w:id="516"/>
      <w:bookmarkEnd w:id="517"/>
      <w:bookmarkEnd w:id="518"/>
      <w:bookmarkEnd w:id="519"/>
      <w:r>
        <w:rPr>
          <w:rFonts w:hint="default" w:ascii="Times New Roman" w:hAnsi="Times New Roman" w:cs="Times New Roman"/>
          <w:szCs w:val="28"/>
          <w:lang w:val="en-US" w:eastAsia="zh-CN"/>
        </w:rPr>
        <w:t>SURFACTANT</w:t>
      </w:r>
      <w:bookmarkEnd w:id="520"/>
    </w:p>
    <w:p w14:paraId="2C20377B">
      <w:pPr>
        <w:widowControl/>
        <w:ind w:firstLine="709" w:firstLineChars="0"/>
        <w:rPr>
          <w:rFonts w:hint="default" w:ascii="Times New Roman" w:hAnsi="Times New Roman" w:cs="Times New Roman"/>
          <w:sz w:val="28"/>
          <w:szCs w:val="28"/>
        </w:rPr>
      </w:pPr>
      <w:bookmarkStart w:id="521" w:name="_Toc131344064"/>
    </w:p>
    <w:p w14:paraId="7510A76B">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combination of extended amphoteric and nonionic surfactants holds both theoretical and practical significance for enhanced oil recovery (EOR). Extended amphoteric surfactants, containing both positive and negative charges, maintain high interfacial activity and solution stability across wide pH and high-salinity conditions, exhibiting strong resistance to electrolytes. Nonionic surfactants, being insensitive to temperature, salinity, and shear, offer excellent thermal stability and compatibility. Together, they form a compact and stable adsorption layer at the oil–water interface, markedly reducing interfacial tension, modifying rock wettability, and overcoming capillary trapping of residual oil, thereby improving displacement efficiency. Additionally, such mixed systems reduce adsorption losses, enhance surfactant utilization, and broaden applicability to challenging reservoirs, including high-temperature, high-salinity, and low-permeability formations. Systematic study of their interfacial behavior, synergistic effects, and displacement mechanisms is therefore crucial for developing high-performance EOR formulations.</w:t>
      </w:r>
    </w:p>
    <w:p w14:paraId="0E287E81">
      <w:pPr>
        <w:pStyle w:val="3"/>
        <w:keepNext w:val="0"/>
        <w:keepLines w:val="0"/>
        <w:widowControl/>
        <w:spacing w:line="240" w:lineRule="auto"/>
        <w:ind w:firstLine="709"/>
        <w:jc w:val="both"/>
        <w:rPr>
          <w:rFonts w:hint="default" w:ascii="Times New Roman" w:hAnsi="Times New Roman" w:cs="Times New Roman"/>
          <w:b/>
          <w:bCs w:val="0"/>
          <w:i w:val="0"/>
          <w:iCs w:val="0"/>
          <w:sz w:val="28"/>
          <w:szCs w:val="28"/>
        </w:rPr>
      </w:pPr>
      <w:bookmarkStart w:id="522" w:name="_Toc31571"/>
      <w:bookmarkStart w:id="523" w:name="_Toc19825"/>
      <w:bookmarkStart w:id="524" w:name="_Toc27860"/>
      <w:bookmarkStart w:id="525" w:name="_Toc32013"/>
      <w:bookmarkStart w:id="526" w:name="_Toc9675"/>
      <w:bookmarkStart w:id="527" w:name="_Toc28040"/>
      <w:bookmarkStart w:id="528" w:name="_Toc29922"/>
      <w:r>
        <w:rPr>
          <w:rFonts w:hint="default" w:ascii="Times New Roman" w:hAnsi="Times New Roman" w:cs="Times New Roman"/>
          <w:b/>
          <w:bCs w:val="0"/>
          <w:i w:val="0"/>
          <w:iCs w:val="0"/>
          <w:sz w:val="28"/>
          <w:szCs w:val="28"/>
        </w:rPr>
        <w:t xml:space="preserve">4.1 </w:t>
      </w:r>
      <w:bookmarkEnd w:id="521"/>
      <w:r>
        <w:rPr>
          <w:rFonts w:hint="default" w:ascii="Times New Roman" w:hAnsi="Times New Roman" w:cs="Times New Roman"/>
          <w:b/>
          <w:bCs w:val="0"/>
          <w:i w:val="0"/>
          <w:iCs w:val="0"/>
          <w:sz w:val="28"/>
          <w:szCs w:val="28"/>
        </w:rPr>
        <w:t xml:space="preserve">Experimental </w:t>
      </w:r>
      <w:bookmarkEnd w:id="522"/>
      <w:r>
        <w:rPr>
          <w:rFonts w:hint="default" w:ascii="Times New Roman" w:hAnsi="Times New Roman" w:cs="Times New Roman"/>
          <w:b/>
          <w:bCs w:val="0"/>
          <w:i w:val="0"/>
          <w:iCs w:val="0"/>
          <w:sz w:val="28"/>
          <w:szCs w:val="28"/>
        </w:rPr>
        <w:t>parts</w:t>
      </w:r>
      <w:bookmarkEnd w:id="523"/>
      <w:bookmarkEnd w:id="524"/>
      <w:bookmarkEnd w:id="525"/>
      <w:bookmarkEnd w:id="526"/>
      <w:bookmarkEnd w:id="527"/>
      <w:bookmarkEnd w:id="528"/>
    </w:p>
    <w:p w14:paraId="4289CB1E">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529" w:name="_Toc22971"/>
      <w:bookmarkStart w:id="530" w:name="_Toc10698"/>
      <w:bookmarkStart w:id="531" w:name="_Toc14504"/>
      <w:bookmarkStart w:id="532" w:name="_Toc21756"/>
      <w:bookmarkStart w:id="533" w:name="_Toc15836"/>
      <w:bookmarkStart w:id="534" w:name="_Toc32751"/>
      <w:bookmarkStart w:id="535" w:name="_Toc24145"/>
      <w:r>
        <w:rPr>
          <w:rFonts w:hint="default" w:ascii="Times New Roman" w:hAnsi="Times New Roman" w:cs="Times New Roman"/>
          <w:i w:val="0"/>
          <w:iCs w:val="0"/>
          <w:sz w:val="28"/>
          <w:szCs w:val="28"/>
        </w:rPr>
        <w:t xml:space="preserve">4.1.1 </w:t>
      </w:r>
      <w:bookmarkEnd w:id="529"/>
      <w:bookmarkEnd w:id="530"/>
      <w:bookmarkEnd w:id="531"/>
      <w:r>
        <w:rPr>
          <w:rFonts w:hint="default" w:ascii="Times New Roman" w:hAnsi="Times New Roman" w:cs="Times New Roman"/>
          <w:i w:val="0"/>
          <w:iCs w:val="0"/>
          <w:sz w:val="28"/>
          <w:szCs w:val="28"/>
        </w:rPr>
        <w:t>Materials and agents</w:t>
      </w:r>
      <w:bookmarkEnd w:id="532"/>
      <w:bookmarkEnd w:id="533"/>
      <w:bookmarkEnd w:id="534"/>
      <w:bookmarkEnd w:id="535"/>
    </w:p>
    <w:p w14:paraId="3B4216D7">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Sodium chloride (AR) </w:t>
      </w:r>
      <w:r>
        <w:rPr>
          <w:rFonts w:hint="eastAsia" w:cs="Times New Roman"/>
          <w:sz w:val="28"/>
          <w:szCs w:val="28"/>
          <w:lang w:val="en-US" w:eastAsia="zh-CN"/>
        </w:rPr>
        <w:t xml:space="preserve">and </w:t>
      </w:r>
      <w:r>
        <w:rPr>
          <w:rFonts w:hint="default" w:ascii="Times New Roman" w:hAnsi="Times New Roman" w:cs="Times New Roman"/>
          <w:sz w:val="28"/>
          <w:szCs w:val="28"/>
        </w:rPr>
        <w:t>sodium hydroxide (AR) were provided by Tianjin Zhiyuan Chemical Reagent Co., Ltd., China. Surfactant APG</w:t>
      </w:r>
      <w:r>
        <w:rPr>
          <w:rFonts w:hint="default" w:ascii="Times New Roman" w:hAnsi="Times New Roman" w:cs="Times New Roman"/>
          <w:sz w:val="28"/>
          <w:szCs w:val="28"/>
          <w:vertAlign w:val="subscript"/>
        </w:rPr>
        <w:t>0810</w:t>
      </w:r>
      <w:r>
        <w:rPr>
          <w:rFonts w:hint="default" w:ascii="Times New Roman" w:hAnsi="Times New Roman" w:cs="Times New Roman"/>
          <w:sz w:val="28"/>
          <w:szCs w:val="28"/>
        </w:rPr>
        <w:t>, with purity of 40% w</w:t>
      </w:r>
      <w:r>
        <w:rPr>
          <w:rFonts w:hint="eastAsia" w:cs="Times New Roman"/>
          <w:sz w:val="28"/>
          <w:szCs w:val="28"/>
          <w:lang w:val="en-US" w:eastAsia="zh-CN"/>
        </w:rPr>
        <w:t>as</w:t>
      </w:r>
      <w:r>
        <w:rPr>
          <w:rFonts w:hint="default" w:ascii="Times New Roman" w:hAnsi="Times New Roman" w:cs="Times New Roman"/>
          <w:sz w:val="28"/>
          <w:szCs w:val="28"/>
        </w:rPr>
        <w:t xml:space="preserve"> supplied by Tianjin Zhonghe Shengzhang Chemical Co., Ltd., China. Crude oil Z27 with details exhibiting in Table 3.1 was obtained from Changqing Oilfield, China. Kerosene was supplied by Jingmen Petrochemical, China.</w:t>
      </w:r>
      <w:r>
        <w:rPr>
          <w:rFonts w:hint="default" w:ascii="Times New Roman" w:hAnsi="Times New Roman" w:cs="Times New Roman"/>
          <w:kern w:val="0"/>
          <w:sz w:val="28"/>
          <w:szCs w:val="28"/>
        </w:rPr>
        <w:t xml:space="preserve"> The core used for core flooding experiments and formation water w</w:t>
      </w:r>
      <w:r>
        <w:rPr>
          <w:rFonts w:hint="eastAsia" w:cs="Times New Roman"/>
          <w:kern w:val="0"/>
          <w:sz w:val="28"/>
          <w:szCs w:val="28"/>
          <w:lang w:val="en-US" w:eastAsia="zh-CN"/>
        </w:rPr>
        <w:t xml:space="preserve">ere </w:t>
      </w:r>
      <w:r>
        <w:rPr>
          <w:rFonts w:hint="default" w:ascii="Times New Roman" w:hAnsi="Times New Roman" w:cs="Times New Roman"/>
          <w:kern w:val="0"/>
          <w:sz w:val="28"/>
          <w:szCs w:val="28"/>
        </w:rPr>
        <w:t>supplied by Changqing Oilfield, China</w:t>
      </w:r>
      <w:r>
        <w:rPr>
          <w:rFonts w:hint="default" w:ascii="Times New Roman" w:hAnsi="Times New Roman" w:cs="Times New Roman"/>
          <w:sz w:val="28"/>
          <w:szCs w:val="28"/>
        </w:rPr>
        <w:t>, with details displaced in Table 4.1 and 4</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rPr>
        <w:t>2 [132].</w:t>
      </w:r>
    </w:p>
    <w:p w14:paraId="717300E2">
      <w:pPr>
        <w:widowControl/>
        <w:ind w:firstLine="709" w:firstLineChars="0"/>
        <w:rPr>
          <w:rFonts w:hint="default" w:ascii="Times New Roman" w:hAnsi="Times New Roman" w:cs="Times New Roman"/>
          <w:sz w:val="28"/>
          <w:szCs w:val="28"/>
        </w:rPr>
      </w:pPr>
    </w:p>
    <w:p w14:paraId="63F5C294">
      <w:pPr>
        <w:widowControl/>
        <w:ind w:left="0" w:leftChars="0" w:firstLine="0" w:firstLineChars="0"/>
        <w:rPr>
          <w:rFonts w:hint="default" w:ascii="Times New Roman" w:hAnsi="Times New Roman" w:cs="Times New Roman"/>
          <w:sz w:val="28"/>
          <w:szCs w:val="28"/>
        </w:rPr>
      </w:pPr>
      <w:r>
        <w:rPr>
          <w:rFonts w:hint="default" w:ascii="Times New Roman" w:hAnsi="Times New Roman" w:cs="Times New Roman"/>
          <w:sz w:val="28"/>
          <w:szCs w:val="28"/>
        </w:rPr>
        <w:t>Table 4.1 – The ionic composition of formation water.</w:t>
      </w:r>
    </w:p>
    <w:tbl>
      <w:tblPr>
        <w:tblStyle w:val="16"/>
        <w:tblW w:w="5000" w:type="pct"/>
        <w:jc w:val="center"/>
        <w:tblBorders>
          <w:top w:val="single" w:color="auto" w:sz="8" w:space="0"/>
          <w:left w:val="none" w:color="auto" w:sz="0" w:space="0"/>
          <w:bottom w:val="single" w:color="auto" w:sz="8"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533"/>
        <w:gridCol w:w="1261"/>
        <w:gridCol w:w="1313"/>
        <w:gridCol w:w="1141"/>
        <w:gridCol w:w="1326"/>
        <w:gridCol w:w="1372"/>
        <w:gridCol w:w="1908"/>
      </w:tblGrid>
      <w:tr w14:paraId="15BF8F9D">
        <w:tblPrEx>
          <w:tblBorders>
            <w:top w:val="single" w:color="auto" w:sz="8" w:space="0"/>
            <w:left w:val="none" w:color="auto" w:sz="0" w:space="0"/>
            <w:bottom w:val="single" w:color="auto" w:sz="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645" w:hRule="atLeast"/>
          <w:jc w:val="center"/>
        </w:trPr>
        <w:tc>
          <w:tcPr>
            <w:tcW w:w="778" w:type="pct"/>
            <w:tcBorders>
              <w:top w:val="single" w:color="auto" w:sz="12" w:space="0"/>
              <w:bottom w:val="single" w:color="auto" w:sz="6" w:space="0"/>
            </w:tcBorders>
            <w:vAlign w:val="center"/>
          </w:tcPr>
          <w:p w14:paraId="663697EE">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Na</w:t>
            </w:r>
            <w:r>
              <w:rPr>
                <w:rFonts w:hint="default" w:ascii="Times New Roman" w:hAnsi="Times New Roman" w:cs="Times New Roman"/>
                <w:kern w:val="0"/>
                <w:sz w:val="28"/>
                <w:szCs w:val="28"/>
                <w:vertAlign w:val="superscript"/>
              </w:rPr>
              <w:t>+</w:t>
            </w:r>
            <w:r>
              <w:rPr>
                <w:rFonts w:hint="default" w:ascii="Times New Roman" w:hAnsi="Times New Roman" w:cs="Times New Roman"/>
                <w:kern w:val="0"/>
                <w:sz w:val="28"/>
                <w:szCs w:val="28"/>
              </w:rPr>
              <w:t>+K</w:t>
            </w:r>
            <w:r>
              <w:rPr>
                <w:rFonts w:hint="default" w:ascii="Times New Roman" w:hAnsi="Times New Roman" w:cs="Times New Roman"/>
                <w:kern w:val="0"/>
                <w:sz w:val="28"/>
                <w:szCs w:val="28"/>
                <w:vertAlign w:val="superscript"/>
              </w:rPr>
              <w:t>+</w:t>
            </w:r>
            <w:r>
              <w:rPr>
                <w:rFonts w:hint="default" w:ascii="Times New Roman" w:hAnsi="Times New Roman" w:cs="Times New Roman"/>
                <w:kern w:val="0"/>
                <w:sz w:val="28"/>
                <w:szCs w:val="28"/>
              </w:rPr>
              <w:t xml:space="preserve"> (mg/L)</w:t>
            </w:r>
          </w:p>
        </w:tc>
        <w:tc>
          <w:tcPr>
            <w:tcW w:w="640" w:type="pct"/>
            <w:tcBorders>
              <w:top w:val="single" w:color="auto" w:sz="12" w:space="0"/>
              <w:bottom w:val="single" w:color="auto" w:sz="6" w:space="0"/>
            </w:tcBorders>
            <w:vAlign w:val="center"/>
          </w:tcPr>
          <w:p w14:paraId="576F8271">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Ca</w:t>
            </w:r>
            <w:r>
              <w:rPr>
                <w:rFonts w:hint="default" w:ascii="Times New Roman" w:hAnsi="Times New Roman" w:cs="Times New Roman"/>
                <w:kern w:val="0"/>
                <w:sz w:val="28"/>
                <w:szCs w:val="28"/>
                <w:vertAlign w:val="superscript"/>
              </w:rPr>
              <w:t>2+</w:t>
            </w:r>
            <w:r>
              <w:rPr>
                <w:rFonts w:hint="default" w:ascii="Times New Roman" w:hAnsi="Times New Roman" w:cs="Times New Roman"/>
                <w:kern w:val="0"/>
                <w:sz w:val="28"/>
                <w:szCs w:val="28"/>
              </w:rPr>
              <w:t xml:space="preserve"> (mg/L)</w:t>
            </w:r>
          </w:p>
        </w:tc>
        <w:tc>
          <w:tcPr>
            <w:tcW w:w="666" w:type="pct"/>
            <w:tcBorders>
              <w:top w:val="single" w:color="auto" w:sz="12" w:space="0"/>
              <w:bottom w:val="single" w:color="auto" w:sz="6" w:space="0"/>
            </w:tcBorders>
            <w:vAlign w:val="center"/>
          </w:tcPr>
          <w:p w14:paraId="6BEC01FD">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Mg</w:t>
            </w:r>
            <w:r>
              <w:rPr>
                <w:rFonts w:hint="default" w:ascii="Times New Roman" w:hAnsi="Times New Roman" w:cs="Times New Roman"/>
                <w:kern w:val="0"/>
                <w:sz w:val="28"/>
                <w:szCs w:val="28"/>
                <w:vertAlign w:val="superscript"/>
              </w:rPr>
              <w:t>2+</w:t>
            </w:r>
            <w:r>
              <w:rPr>
                <w:rFonts w:hint="default" w:ascii="Times New Roman" w:hAnsi="Times New Roman" w:cs="Times New Roman"/>
                <w:kern w:val="0"/>
                <w:sz w:val="28"/>
                <w:szCs w:val="28"/>
              </w:rPr>
              <w:t xml:space="preserve"> (mg/L)</w:t>
            </w:r>
          </w:p>
        </w:tc>
        <w:tc>
          <w:tcPr>
            <w:tcW w:w="579" w:type="pct"/>
            <w:tcBorders>
              <w:top w:val="single" w:color="auto" w:sz="12" w:space="0"/>
              <w:bottom w:val="single" w:color="auto" w:sz="6" w:space="0"/>
            </w:tcBorders>
            <w:vAlign w:val="center"/>
          </w:tcPr>
          <w:p w14:paraId="5815380D">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Cl</w:t>
            </w:r>
            <w:r>
              <w:rPr>
                <w:rFonts w:hint="default" w:ascii="Times New Roman" w:hAnsi="Times New Roman" w:cs="Times New Roman"/>
                <w:kern w:val="0"/>
                <w:sz w:val="28"/>
                <w:szCs w:val="28"/>
                <w:vertAlign w:val="superscript"/>
              </w:rPr>
              <w:t>-</w:t>
            </w:r>
            <w:r>
              <w:rPr>
                <w:rFonts w:hint="default" w:ascii="Times New Roman" w:hAnsi="Times New Roman" w:cs="Times New Roman"/>
                <w:kern w:val="0"/>
                <w:sz w:val="28"/>
                <w:szCs w:val="28"/>
              </w:rPr>
              <w:t xml:space="preserve"> (mg/L)</w:t>
            </w:r>
          </w:p>
        </w:tc>
        <w:tc>
          <w:tcPr>
            <w:tcW w:w="673" w:type="pct"/>
            <w:tcBorders>
              <w:top w:val="single" w:color="auto" w:sz="12" w:space="0"/>
              <w:bottom w:val="single" w:color="auto" w:sz="6" w:space="0"/>
            </w:tcBorders>
            <w:vAlign w:val="center"/>
          </w:tcPr>
          <w:p w14:paraId="41142F5A">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SO</w:t>
            </w:r>
            <w:r>
              <w:rPr>
                <w:rFonts w:hint="default" w:ascii="Times New Roman" w:hAnsi="Times New Roman" w:cs="Times New Roman"/>
                <w:kern w:val="0"/>
                <w:sz w:val="28"/>
                <w:szCs w:val="28"/>
                <w:vertAlign w:val="subscript"/>
              </w:rPr>
              <w:t>4</w:t>
            </w:r>
            <w:r>
              <w:rPr>
                <w:rFonts w:hint="default" w:ascii="Times New Roman" w:hAnsi="Times New Roman" w:cs="Times New Roman"/>
                <w:kern w:val="0"/>
                <w:sz w:val="28"/>
                <w:szCs w:val="28"/>
                <w:vertAlign w:val="superscript"/>
              </w:rPr>
              <w:t>2-</w:t>
            </w:r>
            <w:r>
              <w:rPr>
                <w:rFonts w:hint="default" w:ascii="Times New Roman" w:hAnsi="Times New Roman" w:cs="Times New Roman"/>
                <w:kern w:val="0"/>
                <w:sz w:val="28"/>
                <w:szCs w:val="28"/>
              </w:rPr>
              <w:t xml:space="preserve"> (mg/L)</w:t>
            </w:r>
          </w:p>
        </w:tc>
        <w:tc>
          <w:tcPr>
            <w:tcW w:w="696" w:type="pct"/>
            <w:tcBorders>
              <w:top w:val="single" w:color="auto" w:sz="12" w:space="0"/>
              <w:bottom w:val="single" w:color="auto" w:sz="6" w:space="0"/>
            </w:tcBorders>
            <w:vAlign w:val="center"/>
          </w:tcPr>
          <w:p w14:paraId="3E69675D">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HCO</w:t>
            </w:r>
            <w:r>
              <w:rPr>
                <w:rFonts w:hint="default" w:ascii="Times New Roman" w:hAnsi="Times New Roman" w:cs="Times New Roman"/>
                <w:kern w:val="0"/>
                <w:sz w:val="28"/>
                <w:szCs w:val="28"/>
                <w:vertAlign w:val="subscript"/>
              </w:rPr>
              <w:t>3</w:t>
            </w:r>
            <w:r>
              <w:rPr>
                <w:rFonts w:hint="default" w:ascii="Times New Roman" w:hAnsi="Times New Roman" w:cs="Times New Roman"/>
                <w:kern w:val="0"/>
                <w:sz w:val="28"/>
                <w:szCs w:val="28"/>
                <w:vertAlign w:val="superscript"/>
              </w:rPr>
              <w:t>-</w:t>
            </w:r>
            <w:r>
              <w:rPr>
                <w:rFonts w:hint="default" w:ascii="Times New Roman" w:hAnsi="Times New Roman" w:cs="Times New Roman"/>
                <w:kern w:val="0"/>
                <w:sz w:val="28"/>
                <w:szCs w:val="28"/>
              </w:rPr>
              <w:t xml:space="preserve"> (mg/L)</w:t>
            </w:r>
          </w:p>
        </w:tc>
        <w:tc>
          <w:tcPr>
            <w:tcW w:w="968" w:type="pct"/>
            <w:tcBorders>
              <w:top w:val="single" w:color="auto" w:sz="12" w:space="0"/>
              <w:bottom w:val="single" w:color="auto" w:sz="6" w:space="0"/>
            </w:tcBorders>
            <w:vAlign w:val="center"/>
          </w:tcPr>
          <w:p w14:paraId="6CAF2230">
            <w:pPr>
              <w:widowControl/>
              <w:ind w:firstLine="0" w:firstLineChars="0"/>
              <w:jc w:val="center"/>
              <w:rPr>
                <w:rFonts w:hint="default" w:ascii="Times New Roman" w:hAnsi="Times New Roman" w:cs="Times New Roman"/>
                <w:kern w:val="0"/>
                <w:sz w:val="28"/>
                <w:szCs w:val="28"/>
                <w:lang w:val="fr-FR"/>
              </w:rPr>
            </w:pPr>
            <w:r>
              <w:rPr>
                <w:rFonts w:hint="default" w:ascii="Times New Roman" w:hAnsi="Times New Roman" w:cs="Times New Roman"/>
                <w:kern w:val="0"/>
                <w:sz w:val="28"/>
                <w:szCs w:val="28"/>
                <w:lang w:val="fr-FR"/>
              </w:rPr>
              <w:t xml:space="preserve">Total salinity </w:t>
            </w:r>
            <w:r>
              <w:rPr>
                <w:rFonts w:hint="default" w:ascii="Times New Roman" w:hAnsi="Times New Roman" w:cs="Times New Roman"/>
                <w:kern w:val="0"/>
                <w:sz w:val="28"/>
                <w:szCs w:val="28"/>
              </w:rPr>
              <w:t>(mg/L)</w:t>
            </w:r>
          </w:p>
        </w:tc>
      </w:tr>
      <w:tr w14:paraId="2BA6798E">
        <w:tblPrEx>
          <w:tblBorders>
            <w:top w:val="single" w:color="auto" w:sz="8" w:space="0"/>
            <w:left w:val="none" w:color="auto" w:sz="0" w:space="0"/>
            <w:bottom w:val="single" w:color="auto" w:sz="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83" w:hRule="atLeast"/>
          <w:jc w:val="center"/>
        </w:trPr>
        <w:tc>
          <w:tcPr>
            <w:tcW w:w="778" w:type="pct"/>
            <w:tcBorders>
              <w:top w:val="single" w:color="auto" w:sz="6" w:space="0"/>
              <w:bottom w:val="single" w:color="auto" w:sz="12" w:space="0"/>
            </w:tcBorders>
            <w:vAlign w:val="center"/>
          </w:tcPr>
          <w:p w14:paraId="70F53D65">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27058</w:t>
            </w:r>
          </w:p>
        </w:tc>
        <w:tc>
          <w:tcPr>
            <w:tcW w:w="640" w:type="pct"/>
            <w:tcBorders>
              <w:top w:val="single" w:color="auto" w:sz="6" w:space="0"/>
              <w:bottom w:val="single" w:color="auto" w:sz="12" w:space="0"/>
            </w:tcBorders>
            <w:vAlign w:val="center"/>
          </w:tcPr>
          <w:p w14:paraId="0B4130D9">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306</w:t>
            </w:r>
          </w:p>
        </w:tc>
        <w:tc>
          <w:tcPr>
            <w:tcW w:w="666" w:type="pct"/>
            <w:tcBorders>
              <w:top w:val="single" w:color="auto" w:sz="6" w:space="0"/>
              <w:bottom w:val="single" w:color="auto" w:sz="12" w:space="0"/>
            </w:tcBorders>
            <w:vAlign w:val="center"/>
          </w:tcPr>
          <w:p w14:paraId="5EFBB0B3">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119</w:t>
            </w:r>
          </w:p>
        </w:tc>
        <w:tc>
          <w:tcPr>
            <w:tcW w:w="579" w:type="pct"/>
            <w:tcBorders>
              <w:top w:val="single" w:color="auto" w:sz="6" w:space="0"/>
              <w:bottom w:val="single" w:color="auto" w:sz="12" w:space="0"/>
            </w:tcBorders>
            <w:vAlign w:val="center"/>
          </w:tcPr>
          <w:p w14:paraId="78B6A1E2">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41282</w:t>
            </w:r>
          </w:p>
        </w:tc>
        <w:tc>
          <w:tcPr>
            <w:tcW w:w="673" w:type="pct"/>
            <w:tcBorders>
              <w:top w:val="single" w:color="auto" w:sz="6" w:space="0"/>
              <w:bottom w:val="single" w:color="auto" w:sz="12" w:space="0"/>
            </w:tcBorders>
            <w:vAlign w:val="center"/>
          </w:tcPr>
          <w:p w14:paraId="116D59A9">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336</w:t>
            </w:r>
          </w:p>
        </w:tc>
        <w:tc>
          <w:tcPr>
            <w:tcW w:w="696" w:type="pct"/>
            <w:tcBorders>
              <w:top w:val="single" w:color="auto" w:sz="6" w:space="0"/>
              <w:bottom w:val="single" w:color="auto" w:sz="12" w:space="0"/>
            </w:tcBorders>
            <w:vAlign w:val="center"/>
          </w:tcPr>
          <w:p w14:paraId="2B1553EE">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1828</w:t>
            </w:r>
          </w:p>
        </w:tc>
        <w:tc>
          <w:tcPr>
            <w:tcW w:w="968" w:type="pct"/>
            <w:tcBorders>
              <w:top w:val="single" w:color="auto" w:sz="6" w:space="0"/>
              <w:bottom w:val="single" w:color="auto" w:sz="12" w:space="0"/>
            </w:tcBorders>
            <w:vAlign w:val="center"/>
          </w:tcPr>
          <w:p w14:paraId="6C419964">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70929</w:t>
            </w:r>
          </w:p>
        </w:tc>
      </w:tr>
    </w:tbl>
    <w:p w14:paraId="2C92098A">
      <w:pPr>
        <w:widowControl/>
        <w:ind w:firstLine="709" w:firstLineChars="0"/>
        <w:rPr>
          <w:rFonts w:hint="default" w:ascii="Times New Roman" w:hAnsi="Times New Roman" w:cs="Times New Roman"/>
          <w:b/>
          <w:bCs/>
          <w:kern w:val="0"/>
          <w:sz w:val="28"/>
          <w:szCs w:val="28"/>
        </w:rPr>
      </w:pPr>
    </w:p>
    <w:p w14:paraId="7984BB83">
      <w:pPr>
        <w:widowControl/>
        <w:ind w:left="0" w:leftChars="0" w:firstLine="0"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Table 4.2 </w:t>
      </w:r>
      <w:r>
        <w:rPr>
          <w:rFonts w:hint="default" w:ascii="Times New Roman" w:hAnsi="Times New Roman" w:cs="Times New Roman"/>
          <w:sz w:val="28"/>
          <w:szCs w:val="28"/>
        </w:rPr>
        <w:t>–</w:t>
      </w:r>
      <w:r>
        <w:rPr>
          <w:rFonts w:hint="default" w:ascii="Times New Roman" w:hAnsi="Times New Roman" w:cs="Times New Roman"/>
          <w:kern w:val="0"/>
          <w:sz w:val="28"/>
          <w:szCs w:val="28"/>
        </w:rPr>
        <w:t xml:space="preserve"> Basic physical parameters of cores.</w:t>
      </w:r>
    </w:p>
    <w:tbl>
      <w:tblPr>
        <w:tblStyle w:val="17"/>
        <w:tblW w:w="4998" w:type="pct"/>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60"/>
        <w:gridCol w:w="1935"/>
        <w:gridCol w:w="2223"/>
        <w:gridCol w:w="1973"/>
        <w:gridCol w:w="2759"/>
      </w:tblGrid>
      <w:tr w14:paraId="5DBCA02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jc w:val="center"/>
        </w:trPr>
        <w:tc>
          <w:tcPr>
            <w:tcW w:w="487" w:type="pct"/>
            <w:tcBorders>
              <w:bottom w:val="single" w:color="auto" w:sz="4" w:space="0"/>
            </w:tcBorders>
            <w:vAlign w:val="center"/>
          </w:tcPr>
          <w:p w14:paraId="741A7C42">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Core</w:t>
            </w:r>
          </w:p>
        </w:tc>
        <w:tc>
          <w:tcPr>
            <w:tcW w:w="982" w:type="pct"/>
            <w:tcBorders>
              <w:bottom w:val="single" w:color="auto" w:sz="4" w:space="0"/>
            </w:tcBorders>
            <w:vAlign w:val="center"/>
          </w:tcPr>
          <w:p w14:paraId="371DF0EE">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Length (cm)</w:t>
            </w:r>
          </w:p>
        </w:tc>
        <w:tc>
          <w:tcPr>
            <w:tcW w:w="1128" w:type="pct"/>
            <w:tcBorders>
              <w:bottom w:val="single" w:color="auto" w:sz="4" w:space="0"/>
            </w:tcBorders>
            <w:vAlign w:val="center"/>
          </w:tcPr>
          <w:p w14:paraId="12B0A52B">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Diameter (cm)</w:t>
            </w:r>
          </w:p>
        </w:tc>
        <w:tc>
          <w:tcPr>
            <w:tcW w:w="1001" w:type="pct"/>
            <w:tcBorders>
              <w:bottom w:val="single" w:color="auto" w:sz="4" w:space="0"/>
            </w:tcBorders>
            <w:vAlign w:val="center"/>
          </w:tcPr>
          <w:p w14:paraId="1DBD19C5">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Porosity (%)</w:t>
            </w:r>
          </w:p>
        </w:tc>
        <w:tc>
          <w:tcPr>
            <w:tcW w:w="1400" w:type="pct"/>
            <w:tcBorders>
              <w:bottom w:val="single" w:color="auto" w:sz="4" w:space="0"/>
            </w:tcBorders>
            <w:vAlign w:val="center"/>
          </w:tcPr>
          <w:p w14:paraId="7A92686A">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Permeability (mD)</w:t>
            </w:r>
          </w:p>
        </w:tc>
      </w:tr>
      <w:tr w14:paraId="1CE0440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7" w:type="pct"/>
            <w:tcBorders>
              <w:top w:val="single" w:color="auto" w:sz="4" w:space="0"/>
            </w:tcBorders>
            <w:vAlign w:val="center"/>
          </w:tcPr>
          <w:p w14:paraId="28588C2D">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1</w:t>
            </w:r>
          </w:p>
        </w:tc>
        <w:tc>
          <w:tcPr>
            <w:tcW w:w="982" w:type="pct"/>
            <w:tcBorders>
              <w:top w:val="single" w:color="auto" w:sz="4" w:space="0"/>
            </w:tcBorders>
            <w:vAlign w:val="center"/>
          </w:tcPr>
          <w:p w14:paraId="680660EE">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3.472</w:t>
            </w:r>
          </w:p>
        </w:tc>
        <w:tc>
          <w:tcPr>
            <w:tcW w:w="1128" w:type="pct"/>
            <w:tcBorders>
              <w:top w:val="single" w:color="auto" w:sz="4" w:space="0"/>
            </w:tcBorders>
            <w:vAlign w:val="center"/>
          </w:tcPr>
          <w:p w14:paraId="57C16858">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2.501</w:t>
            </w:r>
          </w:p>
        </w:tc>
        <w:tc>
          <w:tcPr>
            <w:tcW w:w="1001" w:type="pct"/>
            <w:tcBorders>
              <w:top w:val="single" w:color="auto" w:sz="4" w:space="0"/>
            </w:tcBorders>
            <w:vAlign w:val="center"/>
          </w:tcPr>
          <w:p w14:paraId="31CCE8A9">
            <w:pPr>
              <w:widowControl/>
              <w:ind w:firstLine="0" w:firstLineChars="0"/>
              <w:jc w:val="center"/>
              <w:rPr>
                <w:rFonts w:hint="default" w:ascii="Times New Roman" w:hAnsi="Times New Roman" w:cs="Times New Roman"/>
                <w:kern w:val="0"/>
                <w:sz w:val="28"/>
                <w:szCs w:val="28"/>
              </w:rPr>
            </w:pPr>
            <w:r>
              <w:rPr>
                <w:rFonts w:hint="eastAsia" w:cs="Times New Roman"/>
                <w:kern w:val="0"/>
                <w:sz w:val="28"/>
                <w:szCs w:val="28"/>
                <w:lang w:val="en-US" w:eastAsia="zh-CN"/>
              </w:rPr>
              <w:t>10.75</w:t>
            </w:r>
          </w:p>
        </w:tc>
        <w:tc>
          <w:tcPr>
            <w:tcW w:w="1400" w:type="pct"/>
            <w:tcBorders>
              <w:top w:val="single" w:color="auto" w:sz="4" w:space="0"/>
            </w:tcBorders>
            <w:vAlign w:val="center"/>
          </w:tcPr>
          <w:p w14:paraId="1D067C6E">
            <w:pPr>
              <w:widowControl/>
              <w:ind w:firstLine="0" w:firstLineChars="0"/>
              <w:jc w:val="center"/>
              <w:rPr>
                <w:rFonts w:hint="default" w:cs="Times New Roman"/>
                <w:kern w:val="0"/>
                <w:sz w:val="28"/>
                <w:szCs w:val="28"/>
                <w:lang w:val="en-US" w:eastAsia="zh-CN"/>
              </w:rPr>
            </w:pPr>
            <w:r>
              <w:rPr>
                <w:rFonts w:hint="eastAsia" w:cs="Times New Roman"/>
                <w:kern w:val="0"/>
                <w:sz w:val="28"/>
                <w:szCs w:val="28"/>
                <w:lang w:val="en-US" w:eastAsia="zh-CN"/>
              </w:rPr>
              <w:t>0.094</w:t>
            </w:r>
          </w:p>
        </w:tc>
      </w:tr>
      <w:tr w14:paraId="198627F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7" w:type="pct"/>
            <w:vAlign w:val="center"/>
          </w:tcPr>
          <w:p w14:paraId="629F9A7C">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2</w:t>
            </w:r>
          </w:p>
        </w:tc>
        <w:tc>
          <w:tcPr>
            <w:tcW w:w="982" w:type="pct"/>
            <w:vAlign w:val="center"/>
          </w:tcPr>
          <w:p w14:paraId="1FF6793D">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3.580</w:t>
            </w:r>
          </w:p>
        </w:tc>
        <w:tc>
          <w:tcPr>
            <w:tcW w:w="1128" w:type="pct"/>
            <w:vAlign w:val="center"/>
          </w:tcPr>
          <w:p w14:paraId="4D95EC1B">
            <w:pPr>
              <w:widowControl/>
              <w:ind w:firstLine="0" w:firstLineChars="0"/>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2.500</w:t>
            </w:r>
          </w:p>
        </w:tc>
        <w:tc>
          <w:tcPr>
            <w:tcW w:w="1001" w:type="pct"/>
            <w:vAlign w:val="center"/>
          </w:tcPr>
          <w:p w14:paraId="0B8FA493">
            <w:pPr>
              <w:widowControl/>
              <w:ind w:firstLine="0" w:firstLineChars="0"/>
              <w:jc w:val="center"/>
              <w:rPr>
                <w:rFonts w:hint="default" w:ascii="Times New Roman" w:hAnsi="Times New Roman" w:cs="Times New Roman"/>
                <w:kern w:val="0"/>
                <w:sz w:val="28"/>
                <w:szCs w:val="28"/>
              </w:rPr>
            </w:pPr>
            <w:r>
              <w:rPr>
                <w:rFonts w:hint="eastAsia" w:cs="Times New Roman"/>
                <w:kern w:val="0"/>
                <w:sz w:val="28"/>
                <w:szCs w:val="28"/>
                <w:lang w:val="en-US" w:eastAsia="zh-CN"/>
              </w:rPr>
              <w:t>5.39</w:t>
            </w:r>
          </w:p>
        </w:tc>
        <w:tc>
          <w:tcPr>
            <w:tcW w:w="1400" w:type="pct"/>
            <w:vAlign w:val="center"/>
          </w:tcPr>
          <w:p w14:paraId="20A949EF">
            <w:pPr>
              <w:widowControl/>
              <w:ind w:firstLine="0" w:firstLineChars="0"/>
              <w:jc w:val="center"/>
              <w:rPr>
                <w:rFonts w:hint="default" w:cs="Times New Roman"/>
                <w:kern w:val="0"/>
                <w:sz w:val="28"/>
                <w:szCs w:val="28"/>
                <w:lang w:val="en-US" w:eastAsia="zh-CN"/>
              </w:rPr>
            </w:pPr>
            <w:r>
              <w:rPr>
                <w:rFonts w:hint="eastAsia" w:cs="Times New Roman"/>
                <w:kern w:val="0"/>
                <w:sz w:val="28"/>
                <w:szCs w:val="28"/>
                <w:lang w:val="en-US" w:eastAsia="zh-CN"/>
              </w:rPr>
              <w:t>0.010</w:t>
            </w:r>
          </w:p>
        </w:tc>
      </w:tr>
    </w:tbl>
    <w:p w14:paraId="6946E3A1">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536" w:name="_Toc31436"/>
      <w:bookmarkStart w:id="537" w:name="_Toc650"/>
      <w:bookmarkStart w:id="538" w:name="_Toc3930"/>
      <w:bookmarkStart w:id="539" w:name="_Toc12922"/>
      <w:bookmarkStart w:id="540" w:name="_Toc14954"/>
      <w:bookmarkStart w:id="541" w:name="_Toc30216"/>
      <w:bookmarkStart w:id="542" w:name="_Toc32540"/>
    </w:p>
    <w:p w14:paraId="74E1E09C">
      <w:pPr>
        <w:pStyle w:val="4"/>
        <w:keepNext w:val="0"/>
        <w:keepLines w:val="0"/>
        <w:widowControl/>
        <w:spacing w:line="240" w:lineRule="auto"/>
        <w:ind w:firstLine="709"/>
        <w:jc w:val="both"/>
        <w:rPr>
          <w:rFonts w:hint="default" w:ascii="Times New Roman" w:hAnsi="Times New Roman" w:cs="Times New Roman"/>
          <w:i w:val="0"/>
          <w:iCs w:val="0"/>
          <w:sz w:val="28"/>
          <w:szCs w:val="28"/>
        </w:rPr>
      </w:pPr>
      <w:r>
        <w:rPr>
          <w:rFonts w:hint="default" w:ascii="Times New Roman" w:hAnsi="Times New Roman" w:cs="Times New Roman"/>
          <w:i w:val="0"/>
          <w:iCs w:val="0"/>
          <w:sz w:val="28"/>
          <w:szCs w:val="28"/>
        </w:rPr>
        <w:t>4.1.2 Experimental instruments</w:t>
      </w:r>
      <w:bookmarkEnd w:id="536"/>
      <w:bookmarkEnd w:id="537"/>
      <w:bookmarkEnd w:id="538"/>
      <w:bookmarkEnd w:id="539"/>
      <w:bookmarkEnd w:id="540"/>
      <w:bookmarkEnd w:id="541"/>
      <w:bookmarkEnd w:id="542"/>
    </w:p>
    <w:p w14:paraId="1872B50A">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Electronic balance (BS124S) w</w:t>
      </w:r>
      <w:r>
        <w:rPr>
          <w:rFonts w:hint="eastAsia" w:cs="Times New Roman"/>
          <w:sz w:val="28"/>
          <w:szCs w:val="28"/>
          <w:lang w:val="en-US" w:eastAsia="zh-CN"/>
        </w:rPr>
        <w:t>as</w:t>
      </w:r>
      <w:r>
        <w:rPr>
          <w:rFonts w:hint="default" w:ascii="Times New Roman" w:hAnsi="Times New Roman" w:cs="Times New Roman"/>
          <w:sz w:val="28"/>
          <w:szCs w:val="28"/>
        </w:rPr>
        <w:t xml:space="preserve"> provided by Sadolis Scientific Instruments (Beijing) Co., Ltd., China. K11 Automatic Surface Tension Meter w</w:t>
      </w:r>
      <w:r>
        <w:rPr>
          <w:rFonts w:hint="eastAsia" w:cs="Times New Roman"/>
          <w:sz w:val="28"/>
          <w:szCs w:val="28"/>
          <w:lang w:val="en-US" w:eastAsia="zh-CN"/>
        </w:rPr>
        <w:t>as</w:t>
      </w:r>
      <w:r>
        <w:rPr>
          <w:rFonts w:hint="default" w:ascii="Times New Roman" w:hAnsi="Times New Roman" w:cs="Times New Roman"/>
          <w:sz w:val="28"/>
          <w:szCs w:val="28"/>
        </w:rPr>
        <w:t xml:space="preserve"> obtained from KRUSS, Germany. Electronic balance (BS124S) w</w:t>
      </w:r>
      <w:r>
        <w:rPr>
          <w:rFonts w:hint="eastAsia" w:cs="Times New Roman"/>
          <w:sz w:val="28"/>
          <w:szCs w:val="28"/>
          <w:lang w:val="en-US" w:eastAsia="zh-CN"/>
        </w:rPr>
        <w:t>as</w:t>
      </w:r>
      <w:r>
        <w:rPr>
          <w:rFonts w:hint="default" w:ascii="Times New Roman" w:hAnsi="Times New Roman" w:cs="Times New Roman"/>
          <w:sz w:val="28"/>
          <w:szCs w:val="28"/>
        </w:rPr>
        <w:t xml:space="preserve"> provided by Sadolis Scientific Instruments (Beijing) Co., Ltd., China. Rotating droplet interfacial tensiometer (TX500C) w</w:t>
      </w:r>
      <w:r>
        <w:rPr>
          <w:rFonts w:hint="eastAsia" w:cs="Times New Roman"/>
          <w:sz w:val="28"/>
          <w:szCs w:val="28"/>
          <w:lang w:val="en-US" w:eastAsia="zh-CN"/>
        </w:rPr>
        <w:t>as</w:t>
      </w:r>
      <w:r>
        <w:rPr>
          <w:rFonts w:hint="default" w:ascii="Times New Roman" w:hAnsi="Times New Roman" w:cs="Times New Roman"/>
          <w:sz w:val="28"/>
          <w:szCs w:val="28"/>
        </w:rPr>
        <w:t xml:space="preserve"> provided by Corona Industries Inc., USA. Ultrasonic cell grinder (JY92-ⅡN) w</w:t>
      </w:r>
      <w:r>
        <w:rPr>
          <w:rFonts w:hint="eastAsia" w:cs="Times New Roman"/>
          <w:sz w:val="28"/>
          <w:szCs w:val="28"/>
          <w:lang w:val="en-US" w:eastAsia="zh-CN"/>
        </w:rPr>
        <w:t>as</w:t>
      </w:r>
      <w:r>
        <w:rPr>
          <w:rFonts w:hint="default" w:ascii="Times New Roman" w:hAnsi="Times New Roman" w:cs="Times New Roman"/>
          <w:sz w:val="28"/>
          <w:szCs w:val="28"/>
        </w:rPr>
        <w:t xml:space="preserve"> supplied by Ningbo Xinzhi Biotechnology Co., Ltd., China. Contact angle measuring instrument (JC2000D1) w</w:t>
      </w:r>
      <w:r>
        <w:rPr>
          <w:rFonts w:hint="eastAsia" w:cs="Times New Roman"/>
          <w:sz w:val="28"/>
          <w:szCs w:val="28"/>
          <w:lang w:val="en-US" w:eastAsia="zh-CN"/>
        </w:rPr>
        <w:t>as</w:t>
      </w:r>
      <w:r>
        <w:rPr>
          <w:rFonts w:hint="default" w:ascii="Times New Roman" w:hAnsi="Times New Roman" w:cs="Times New Roman"/>
          <w:sz w:val="28"/>
          <w:szCs w:val="28"/>
        </w:rPr>
        <w:t xml:space="preserve"> obtained </w:t>
      </w:r>
      <w:r>
        <w:rPr>
          <w:rFonts w:hint="eastAsia" w:cs="Times New Roman"/>
          <w:sz w:val="28"/>
          <w:szCs w:val="28"/>
          <w:lang w:val="en-US" w:eastAsia="zh-CN"/>
        </w:rPr>
        <w:t>from</w:t>
      </w:r>
      <w:r>
        <w:rPr>
          <w:rFonts w:hint="default" w:ascii="Times New Roman" w:hAnsi="Times New Roman" w:cs="Times New Roman"/>
          <w:sz w:val="28"/>
          <w:szCs w:val="28"/>
        </w:rPr>
        <w:t xml:space="preserve"> Shanghai Zhongchen Digital Technology Equipment Co., Ltd., China.</w:t>
      </w:r>
    </w:p>
    <w:p w14:paraId="0397F78F">
      <w:pPr>
        <w:pStyle w:val="3"/>
        <w:keepNext w:val="0"/>
        <w:keepLines w:val="0"/>
        <w:widowControl/>
        <w:spacing w:line="240" w:lineRule="auto"/>
        <w:ind w:firstLine="709"/>
        <w:jc w:val="both"/>
        <w:rPr>
          <w:rFonts w:hint="default" w:ascii="Times New Roman" w:hAnsi="Times New Roman" w:cs="Times New Roman"/>
          <w:b/>
          <w:bCs w:val="0"/>
          <w:i w:val="0"/>
          <w:iCs w:val="0"/>
          <w:sz w:val="28"/>
          <w:szCs w:val="28"/>
        </w:rPr>
      </w:pPr>
      <w:bookmarkStart w:id="543" w:name="_Toc8212"/>
      <w:bookmarkStart w:id="544" w:name="_Toc29236"/>
      <w:bookmarkStart w:id="545" w:name="_Toc18857"/>
      <w:bookmarkStart w:id="546" w:name="_Toc131344065"/>
      <w:bookmarkStart w:id="547" w:name="_Toc11475"/>
      <w:bookmarkStart w:id="548" w:name="_Toc18589"/>
      <w:bookmarkStart w:id="549" w:name="_Toc17756"/>
      <w:bookmarkStart w:id="550" w:name="_Toc1617"/>
      <w:r>
        <w:rPr>
          <w:rFonts w:hint="default" w:ascii="Times New Roman" w:hAnsi="Times New Roman" w:cs="Times New Roman"/>
          <w:b/>
          <w:bCs w:val="0"/>
          <w:i w:val="0"/>
          <w:iCs w:val="0"/>
          <w:sz w:val="28"/>
          <w:szCs w:val="28"/>
        </w:rPr>
        <w:t xml:space="preserve">4.2 </w:t>
      </w:r>
      <w:bookmarkEnd w:id="543"/>
      <w:bookmarkEnd w:id="544"/>
      <w:bookmarkEnd w:id="545"/>
      <w:bookmarkEnd w:id="546"/>
      <w:bookmarkEnd w:id="547"/>
      <w:r>
        <w:rPr>
          <w:rFonts w:hint="default" w:ascii="Times New Roman" w:hAnsi="Times New Roman" w:cs="Times New Roman"/>
          <w:b/>
          <w:bCs w:val="0"/>
          <w:i w:val="0"/>
          <w:iCs w:val="0"/>
          <w:sz w:val="28"/>
          <w:szCs w:val="28"/>
        </w:rPr>
        <w:t>Methods</w:t>
      </w:r>
      <w:bookmarkEnd w:id="548"/>
      <w:bookmarkEnd w:id="549"/>
      <w:bookmarkEnd w:id="550"/>
    </w:p>
    <w:p w14:paraId="7800E1E4">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551" w:name="_Toc9740"/>
      <w:bookmarkStart w:id="552" w:name="_Toc11703"/>
      <w:bookmarkStart w:id="553" w:name="_Toc17655"/>
      <w:bookmarkStart w:id="554" w:name="_Toc29709"/>
      <w:bookmarkStart w:id="555" w:name="_Toc9632"/>
      <w:bookmarkStart w:id="556" w:name="_Toc25608"/>
      <w:bookmarkStart w:id="557" w:name="_Toc15457"/>
      <w:r>
        <w:rPr>
          <w:rFonts w:hint="default" w:ascii="Times New Roman" w:hAnsi="Times New Roman" w:cs="Times New Roman"/>
          <w:i w:val="0"/>
          <w:iCs w:val="0"/>
          <w:sz w:val="28"/>
          <w:szCs w:val="28"/>
        </w:rPr>
        <w:t>4.2.1 Surface tension determination</w:t>
      </w:r>
      <w:bookmarkEnd w:id="551"/>
      <w:bookmarkEnd w:id="552"/>
      <w:bookmarkEnd w:id="553"/>
      <w:bookmarkEnd w:id="554"/>
      <w:bookmarkEnd w:id="555"/>
      <w:bookmarkEnd w:id="556"/>
      <w:bookmarkEnd w:id="557"/>
    </w:p>
    <w:p w14:paraId="54E6E9D4">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According to section 3.3.2.1, the surface tensions (γ) of a series of surfactant solutions were systematically investigated at 25 ℃ using the Wilhelmy plate method with a K11 Automatic Surface Tension Meter (KRUSS, Germany). The critical micelle concentration (cmc) and the corresponding surface tension at the cmc (γ</w:t>
      </w:r>
      <w:r>
        <w:rPr>
          <w:rFonts w:hint="default" w:ascii="Times New Roman" w:hAnsi="Times New Roman" w:cs="Times New Roman"/>
          <w:sz w:val="28"/>
          <w:szCs w:val="28"/>
          <w:vertAlign w:val="subscript"/>
        </w:rPr>
        <w:t>cmc</w:t>
      </w:r>
      <w:r>
        <w:rPr>
          <w:rFonts w:hint="default" w:ascii="Times New Roman" w:hAnsi="Times New Roman" w:cs="Times New Roman"/>
          <w:sz w:val="28"/>
          <w:szCs w:val="28"/>
        </w:rPr>
        <w:t>) were determined from the breakpoint in the surface tension versus logarithmic concentration (log [c]) curve, which indicates the onset of micelle formation. For reference, the surface tension of distilled water used to prepare the solutions was measured as 72.4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at 25 ℃.</w:t>
      </w:r>
    </w:p>
    <w:p w14:paraId="39A5498D">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558" w:name="_Toc2758"/>
      <w:bookmarkStart w:id="559" w:name="_Toc7706"/>
      <w:bookmarkStart w:id="560" w:name="_Toc20759"/>
      <w:bookmarkStart w:id="561" w:name="_Toc13842"/>
      <w:bookmarkStart w:id="562" w:name="_Toc18394"/>
      <w:bookmarkStart w:id="563" w:name="_Toc9378"/>
      <w:bookmarkStart w:id="564" w:name="_Toc18514"/>
      <w:r>
        <w:rPr>
          <w:rFonts w:hint="default" w:ascii="Times New Roman" w:hAnsi="Times New Roman" w:cs="Times New Roman"/>
          <w:i w:val="0"/>
          <w:iCs w:val="0"/>
          <w:sz w:val="28"/>
          <w:szCs w:val="28"/>
        </w:rPr>
        <w:t>4.2.2 Calculation of interaction parameters</w:t>
      </w:r>
      <w:bookmarkEnd w:id="558"/>
      <w:bookmarkEnd w:id="559"/>
      <w:bookmarkEnd w:id="560"/>
      <w:bookmarkEnd w:id="561"/>
      <w:bookmarkEnd w:id="562"/>
      <w:bookmarkEnd w:id="563"/>
      <w:bookmarkEnd w:id="564"/>
    </w:p>
    <w:p w14:paraId="15037068">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In this section, the mixed micelle properties of extended amphoteric surfactants combined with nonionic surfactants were systematically investigated. Mixed surfactant solutions were prepared at different molar ratios, and their surface tensions were measured to evaluate the effects of composition on micellization behavior. This approach allows for the assessment of synergistic or antagonistic interactions between surfactant components and their influence on the critical micelle concentration (cmc) of the mixtures. To quantitatively analyze the interactions within the mixed surfactant systems, the regular solution theory [76,92,132] was applied. According to this theory, the degree of interaction between the two surfactants is represented by the interaction parameter (</w:t>
      </w:r>
      <m:oMath>
        <m:sSup>
          <m:sSupPr>
            <m:ctrlPr>
              <w:rPr>
                <w:rFonts w:hint="default" w:ascii="Cambria Math" w:hAnsi="Cambria Math" w:cs="Times New Roman"/>
                <w:i/>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i/>
                <w:sz w:val="28"/>
                <w:szCs w:val="28"/>
              </w:rPr>
            </m:ctrlPr>
          </m:e>
          <m:sup>
            <m:r>
              <m:rPr>
                <m:nor/>
              </m:rPr>
              <w:rPr>
                <w:rFonts w:hint="default" w:ascii="Times New Roman" w:hAnsi="Times New Roman" w:cs="Times New Roman"/>
                <w:i/>
                <w:sz w:val="28"/>
                <w:szCs w:val="28"/>
              </w:rPr>
              <m:t>m</m:t>
            </m:r>
            <m:ctrlPr>
              <w:rPr>
                <w:rFonts w:hint="default" w:ascii="Cambria Math" w:hAnsi="Cambria Math" w:cs="Times New Roman"/>
                <w:i/>
                <w:sz w:val="28"/>
                <w:szCs w:val="28"/>
              </w:rPr>
            </m:ctrlPr>
          </m:sup>
        </m:sSup>
      </m:oMath>
      <w:r>
        <w:rPr>
          <w:rFonts w:hint="default" w:ascii="Times New Roman" w:hAnsi="Times New Roman" w:cs="Times New Roman"/>
          <w:sz w:val="28"/>
          <w:szCs w:val="28"/>
        </w:rPr>
        <w:t xml:space="preserve">), which can be calculated using the non-ideal solution model for mixed micelles. A negative </w:t>
      </w:r>
      <m:oMath>
        <m:sSup>
          <m:sSupPr>
            <m:ctrlPr>
              <w:rPr>
                <w:rFonts w:hint="default" w:ascii="Cambria Math" w:hAnsi="Cambria Math" w:cs="Times New Roman"/>
                <w:i/>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i/>
                <w:sz w:val="28"/>
                <w:szCs w:val="28"/>
              </w:rPr>
            </m:ctrlPr>
          </m:e>
          <m:sup>
            <m:r>
              <m:rPr>
                <m:nor/>
              </m:rPr>
              <w:rPr>
                <w:rFonts w:hint="default" w:ascii="Times New Roman" w:hAnsi="Times New Roman" w:cs="Times New Roman"/>
                <w:i/>
                <w:sz w:val="28"/>
                <w:szCs w:val="28"/>
              </w:rPr>
              <m:t>m</m:t>
            </m:r>
            <m:ctrlPr>
              <w:rPr>
                <w:rFonts w:hint="default" w:ascii="Cambria Math" w:hAnsi="Cambria Math" w:cs="Times New Roman"/>
                <w:i/>
                <w:sz w:val="28"/>
                <w:szCs w:val="28"/>
              </w:rPr>
            </m:ctrlPr>
          </m:sup>
        </m:sSup>
      </m:oMath>
      <w:r>
        <w:rPr>
          <w:rFonts w:hint="default" w:ascii="Times New Roman" w:hAnsi="Times New Roman" w:cs="Times New Roman"/>
          <w:sz w:val="28"/>
          <w:szCs w:val="28"/>
        </w:rPr>
        <w:t xml:space="preserve"> value indicates synergistic interactions, where the presence of one surfactant promotes the micellization of the other, leading to a lower mixed cmc than predicted for an ideal mixture. Conversely, a positive </w:t>
      </w:r>
      <m:oMath>
        <m:sSup>
          <m:sSupPr>
            <m:ctrlPr>
              <w:rPr>
                <w:rFonts w:hint="default" w:ascii="Cambria Math" w:hAnsi="Cambria Math" w:cs="Times New Roman"/>
                <w:i/>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i/>
                <w:sz w:val="28"/>
                <w:szCs w:val="28"/>
              </w:rPr>
            </m:ctrlPr>
          </m:e>
          <m:sup>
            <m:r>
              <m:rPr>
                <m:nor/>
              </m:rPr>
              <w:rPr>
                <w:rFonts w:hint="default" w:ascii="Times New Roman" w:hAnsi="Times New Roman" w:cs="Times New Roman"/>
                <w:i/>
                <w:sz w:val="28"/>
                <w:szCs w:val="28"/>
              </w:rPr>
              <m:t>m</m:t>
            </m:r>
            <m:ctrlPr>
              <w:rPr>
                <w:rFonts w:hint="default" w:ascii="Cambria Math" w:hAnsi="Cambria Math" w:cs="Times New Roman"/>
                <w:i/>
                <w:sz w:val="28"/>
                <w:szCs w:val="28"/>
              </w:rPr>
            </m:ctrlPr>
          </m:sup>
        </m:sSup>
      </m:oMath>
      <w:r>
        <w:rPr>
          <w:rFonts w:hint="default" w:ascii="Times New Roman" w:hAnsi="Times New Roman" w:cs="Times New Roman"/>
          <w:sz w:val="28"/>
          <w:szCs w:val="28"/>
        </w:rPr>
        <w:t xml:space="preserve"> suggests antagonistic interactions, reflecting less favorable co-aggregation. The calculation of </w:t>
      </w:r>
      <m:oMath>
        <m:sSup>
          <m:sSupPr>
            <m:ctrlPr>
              <w:rPr>
                <w:rFonts w:hint="default" w:ascii="Cambria Math" w:hAnsi="Cambria Math" w:cs="Times New Roman"/>
                <w:i/>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i/>
                <w:sz w:val="28"/>
                <w:szCs w:val="28"/>
              </w:rPr>
            </m:ctrlPr>
          </m:e>
          <m:sup>
            <m:r>
              <m:rPr>
                <m:nor/>
              </m:rPr>
              <w:rPr>
                <w:rFonts w:hint="default" w:ascii="Times New Roman" w:hAnsi="Times New Roman" w:cs="Times New Roman"/>
                <w:i/>
                <w:sz w:val="28"/>
                <w:szCs w:val="28"/>
              </w:rPr>
              <m:t>m</m:t>
            </m:r>
            <m:ctrlPr>
              <w:rPr>
                <w:rFonts w:hint="default" w:ascii="Cambria Math" w:hAnsi="Cambria Math" w:cs="Times New Roman"/>
                <w:i/>
                <w:sz w:val="28"/>
                <w:szCs w:val="28"/>
              </w:rPr>
            </m:ctrlPr>
          </m:sup>
        </m:sSup>
      </m:oMath>
      <w:r>
        <w:rPr>
          <w:rFonts w:hint="default" w:ascii="Times New Roman" w:hAnsi="Times New Roman" w:cs="Times New Roman"/>
          <w:sz w:val="28"/>
          <w:szCs w:val="28"/>
        </w:rPr>
        <w:t>, together with the ideal cmc values (</w:t>
      </w:r>
      <m:oMath>
        <m:sSubSup>
          <m:sSubSupPr>
            <m:ctrlPr>
              <w:rPr>
                <w:rFonts w:hint="default" w:ascii="Cambria Math" w:hAnsi="Cambria Math" w:cs="Times New Roman"/>
                <w:i/>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12</m:t>
            </m:r>
            <m:ctrlPr>
              <w:rPr>
                <w:rFonts w:hint="default" w:ascii="Cambria Math" w:hAnsi="Cambria Math" w:cs="Times New Roman"/>
                <w:i/>
                <w:sz w:val="28"/>
                <w:szCs w:val="28"/>
              </w:rPr>
            </m:ctrlPr>
          </m:sub>
          <m:sup>
            <m:r>
              <m:rPr>
                <m:nor/>
              </m:rPr>
              <w:rPr>
                <w:rFonts w:hint="default" w:ascii="Times New Roman" w:hAnsi="Times New Roman" w:cs="Times New Roman"/>
                <w:i/>
                <w:sz w:val="28"/>
                <w:szCs w:val="28"/>
              </w:rPr>
              <m:t>id</m:t>
            </m:r>
            <m:ctrlPr>
              <w:rPr>
                <w:rFonts w:hint="default" w:ascii="Cambria Math" w:hAnsi="Cambria Math" w:cs="Times New Roman"/>
                <w:i/>
                <w:sz w:val="28"/>
                <w:szCs w:val="28"/>
              </w:rPr>
            </m:ctrlPr>
          </m:sup>
        </m:sSubSup>
      </m:oMath>
      <w:r>
        <w:rPr>
          <w:rFonts w:hint="default" w:ascii="Times New Roman" w:hAnsi="Times New Roman" w:cs="Times New Roman"/>
          <w:sz w:val="28"/>
          <w:szCs w:val="28"/>
        </w:rPr>
        <w:t>) and activity coefficients (</w:t>
      </w:r>
      <m:oMath>
        <m:sSubSup>
          <m:sSubSupPr>
            <m:ctrlPr>
              <w:rPr>
                <w:rFonts w:hint="default" w:ascii="Cambria Math" w:hAnsi="Cambria Math" w:cs="Times New Roman"/>
                <w:i/>
                <w:sz w:val="28"/>
                <w:szCs w:val="28"/>
              </w:rPr>
            </m:ctrlPr>
          </m:sSubSupPr>
          <m:e>
            <m:r>
              <m:rPr>
                <m:nor/>
              </m:rPr>
              <w:rPr>
                <w:rFonts w:hint="default" w:ascii="Times New Roman" w:hAnsi="Times New Roman" w:cs="Times New Roman"/>
                <w:i/>
                <w:sz w:val="28"/>
                <w:szCs w:val="28"/>
              </w:rPr>
              <m:t>f</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up>
            <m:r>
              <m:rPr>
                <m:nor/>
              </m:rPr>
              <w:rPr>
                <w:rFonts w:hint="default" w:ascii="Times New Roman" w:hAnsi="Times New Roman" w:cs="Times New Roman"/>
                <w:i/>
                <w:sz w:val="28"/>
                <w:szCs w:val="28"/>
              </w:rPr>
              <m:t>m</m:t>
            </m:r>
            <m:ctrlPr>
              <w:rPr>
                <w:rFonts w:hint="default" w:ascii="Cambria Math" w:hAnsi="Cambria Math" w:cs="Times New Roman"/>
                <w:i/>
                <w:sz w:val="28"/>
                <w:szCs w:val="28"/>
              </w:rPr>
            </m:ctrlPr>
          </m:sup>
        </m:sSubSup>
      </m:oMath>
      <w:r>
        <w:rPr>
          <w:rFonts w:hint="default" w:ascii="Times New Roman" w:hAnsi="Times New Roman" w:cs="Times New Roman"/>
          <w:sz w:val="28"/>
          <w:szCs w:val="28"/>
        </w:rPr>
        <w:t>) provides insights into the synergistic or antagonistic interactions between different surfactant components at the interface, which are critical for optimizing mixed surfactant formulations for applications such as enhanced oil recovery. The comprehensive analysis of both individual and mixture properties allows for a more rational design of surfactant systems with improved surface activity and interfacial performance [132].</w:t>
      </w:r>
    </w:p>
    <w:p w14:paraId="3FFBF284">
      <w:pPr>
        <w:widowControl/>
        <w:adjustRightInd w:val="0"/>
        <w:ind w:firstLine="709" w:firstLineChars="0"/>
        <w:rPr>
          <w:rFonts w:hint="default" w:ascii="Times New Roman" w:hAnsi="Times New Roman" w:cs="Times New Roman"/>
          <w:sz w:val="28"/>
          <w:szCs w:val="28"/>
        </w:rPr>
      </w:pPr>
      <w:bookmarkStart w:id="565" w:name="OLE_LINK78"/>
      <m:oMathPara>
        <m:oMathParaPr>
          <m:jc m:val="right"/>
        </m:oMathParaPr>
        <m:oMath>
          <m:r>
            <m:rPr>
              <m:nor/>
              <m:sty m:val="p"/>
            </m:rPr>
            <w:rPr>
              <w:rFonts w:hint="default" w:ascii="Times New Roman" w:hAnsi="Times New Roman" w:cs="Times New Roman"/>
              <w:b w:val="0"/>
              <w:i w:val="0"/>
              <w:sz w:val="28"/>
              <w:szCs w:val="28"/>
            </w:rPr>
            <m:t>1=</m:t>
          </m:r>
          <m:f>
            <m:fPr>
              <m:ctrlPr>
                <w:rPr>
                  <w:rFonts w:hint="default" w:ascii="Cambria Math" w:hAnsi="Cambria Math" w:cs="Times New Roman"/>
                  <w:i/>
                  <w:sz w:val="28"/>
                  <w:szCs w:val="28"/>
                </w:rPr>
              </m:ctrlPr>
            </m:fPr>
            <m:num>
              <m:sSup>
                <m:sSupPr>
                  <m:ctrlPr>
                    <w:rPr>
                      <w:rFonts w:hint="default" w:ascii="Cambria Math" w:hAnsi="Cambria Math" w:cs="Times New Roman"/>
                      <w:i/>
                      <w:sz w:val="28"/>
                      <w:szCs w:val="28"/>
                    </w:rPr>
                  </m:ctrlPr>
                </m:sSupPr>
                <m:e>
                  <m:d>
                    <m:dPr>
                      <m:ctrlPr>
                        <w:rPr>
                          <w:rFonts w:hint="default" w:ascii="Cambria Math" w:hAnsi="Cambria Math" w:cs="Times New Roman"/>
                          <w:i/>
                          <w:kern w:val="0"/>
                          <w:sz w:val="28"/>
                          <w:szCs w:val="28"/>
                        </w:rPr>
                      </m:ctrlPr>
                    </m:dPr>
                    <m:e>
                      <m:sSubSup>
                        <m:sSubSupPr>
                          <m:ctrlPr>
                            <w:rPr>
                              <w:rFonts w:hint="default" w:ascii="Cambria Math" w:hAnsi="Cambria Math" w:cs="Times New Roman"/>
                              <w:i/>
                              <w:sz w:val="28"/>
                              <w:szCs w:val="28"/>
                            </w:rPr>
                          </m:ctrlPr>
                        </m:sSubSupPr>
                        <m:e>
                          <m:r>
                            <m:rPr>
                              <m:nor/>
                            </m:rPr>
                            <w:rPr>
                              <w:rFonts w:hint="default" w:ascii="Times New Roman" w:hAnsi="Times New Roman" w:cs="Times New Roman"/>
                              <w:i/>
                              <w:kern w:val="0"/>
                              <w:sz w:val="28"/>
                              <w:szCs w:val="28"/>
                            </w:rPr>
                            <m:t>X</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kern w:val="0"/>
                              <w:sz w:val="28"/>
                              <w:szCs w:val="28"/>
                            </w:rPr>
                            <m:t>1</m:t>
                          </m:r>
                          <m:ctrlPr>
                            <w:rPr>
                              <w:rFonts w:hint="default" w:ascii="Cambria Math" w:hAnsi="Cambria Math" w:cs="Times New Roman"/>
                              <w:i/>
                              <w:sz w:val="28"/>
                              <w:szCs w:val="28"/>
                            </w:rPr>
                          </m:ctrlPr>
                        </m:sub>
                        <m:sup>
                          <m:r>
                            <m:rPr>
                              <m:nor/>
                            </m:rPr>
                            <w:rPr>
                              <w:rFonts w:hint="default" w:ascii="Times New Roman" w:hAnsi="Times New Roman" w:cs="Times New Roman"/>
                              <w:i/>
                              <w:kern w:val="0"/>
                              <w:sz w:val="28"/>
                              <w:szCs w:val="28"/>
                            </w:rPr>
                            <m:t>m</m:t>
                          </m:r>
                          <m:ctrlPr>
                            <w:rPr>
                              <w:rFonts w:hint="default" w:ascii="Cambria Math" w:hAnsi="Cambria Math" w:cs="Times New Roman"/>
                              <w:i/>
                              <w:sz w:val="28"/>
                              <w:szCs w:val="28"/>
                            </w:rPr>
                          </m:ctrlPr>
                        </m:sup>
                      </m:sSubSup>
                      <m:ctrlPr>
                        <w:rPr>
                          <w:rFonts w:hint="default" w:ascii="Cambria Math" w:hAnsi="Cambria Math" w:cs="Times New Roman"/>
                          <w:i/>
                          <w:kern w:val="0"/>
                          <w:sz w:val="28"/>
                          <w:szCs w:val="28"/>
                        </w:rPr>
                      </m:ctrlPr>
                    </m:e>
                  </m:d>
                  <m:ctrlPr>
                    <w:rPr>
                      <w:rFonts w:hint="default" w:ascii="Cambria Math" w:hAnsi="Cambria Math" w:cs="Times New Roman"/>
                      <w:i/>
                      <w:sz w:val="28"/>
                      <w:szCs w:val="28"/>
                    </w:rPr>
                  </m:ctrlPr>
                </m:e>
                <m:sup>
                  <m:r>
                    <m:rPr>
                      <m:nor/>
                      <m:sty m:val="p"/>
                    </m:rPr>
                    <w:rPr>
                      <w:rFonts w:hint="default" w:ascii="Times New Roman" w:hAnsi="Times New Roman" w:cs="Times New Roman"/>
                      <w:b w:val="0"/>
                      <w:i w:val="0"/>
                      <w:sz w:val="28"/>
                      <w:szCs w:val="28"/>
                    </w:rPr>
                    <m:t>2</m:t>
                  </m:r>
                  <m:ctrlPr>
                    <w:rPr>
                      <w:rFonts w:hint="default" w:ascii="Cambria Math" w:hAnsi="Cambria Math" w:cs="Times New Roman"/>
                      <w:i/>
                      <w:sz w:val="28"/>
                      <w:szCs w:val="28"/>
                    </w:rPr>
                  </m:ctrlPr>
                </m:sup>
              </m:sSup>
              <m:func>
                <m:funcPr>
                  <m:ctrlPr>
                    <w:rPr>
                      <w:rFonts w:hint="default" w:ascii="Cambria Math" w:hAnsi="Cambria Math" w:cs="Times New Roman"/>
                      <w:i/>
                      <w:sz w:val="28"/>
                      <w:szCs w:val="28"/>
                    </w:rPr>
                  </m:ctrlPr>
                </m:funcPr>
                <m:fName>
                  <m:r>
                    <m:rPr>
                      <m:nor/>
                    </m:rPr>
                    <w:rPr>
                      <w:rFonts w:hint="default" w:ascii="Times New Roman" w:hAnsi="Times New Roman" w:cs="Times New Roman"/>
                      <w:i/>
                      <w:sz w:val="28"/>
                      <w:szCs w:val="28"/>
                    </w:rPr>
                    <m:t>ln</m:t>
                  </m:r>
                  <m:ctrlPr>
                    <w:rPr>
                      <w:rFonts w:hint="default" w:ascii="Cambria Math" w:hAnsi="Cambria Math" w:cs="Times New Roman"/>
                      <w:i/>
                      <w:sz w:val="28"/>
                      <w:szCs w:val="28"/>
                    </w:rPr>
                  </m:ctrlPr>
                </m:fName>
                <m:e>
                  <m:f>
                    <m:fPr>
                      <m:ctrlPr>
                        <w:rPr>
                          <w:rFonts w:hint="default" w:ascii="Cambria Math" w:hAnsi="Cambria Math" w:cs="Times New Roman"/>
                          <w:i/>
                          <w:sz w:val="28"/>
                          <w:szCs w:val="28"/>
                        </w:rPr>
                      </m:ctrlPr>
                    </m:fPr>
                    <m:num>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α</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Sub>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C</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12</m:t>
                          </m:r>
                          <m:ctrlPr>
                            <w:rPr>
                              <w:rFonts w:hint="default" w:ascii="Cambria Math" w:hAnsi="Cambria Math" w:cs="Times New Roman"/>
                              <w:i/>
                              <w:sz w:val="28"/>
                              <w:szCs w:val="28"/>
                            </w:rPr>
                          </m:ctrlPr>
                        </m:sub>
                      </m:sSub>
                      <m:ctrlPr>
                        <w:rPr>
                          <w:rFonts w:hint="default" w:ascii="Cambria Math" w:hAnsi="Cambria Math" w:cs="Times New Roman"/>
                          <w:i/>
                          <w:sz w:val="28"/>
                          <w:szCs w:val="28"/>
                        </w:rPr>
                      </m:ctrlPr>
                    </m:num>
                    <m:den>
                      <m:sSubSup>
                        <m:sSubSupPr>
                          <m:ctrlPr>
                            <w:rPr>
                              <w:rFonts w:hint="default" w:ascii="Cambria Math" w:hAnsi="Cambria Math" w:cs="Times New Roman"/>
                              <w:i/>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up>
                          <m:r>
                            <m:rPr>
                              <m:nor/>
                            </m:rPr>
                            <w:rPr>
                              <w:rFonts w:hint="default" w:ascii="Times New Roman" w:hAnsi="Times New Roman" w:cs="Times New Roman"/>
                              <w:i/>
                              <w:sz w:val="28"/>
                              <w:szCs w:val="28"/>
                            </w:rPr>
                            <m:t>m</m:t>
                          </m:r>
                          <m:ctrlPr>
                            <w:rPr>
                              <w:rFonts w:hint="default" w:ascii="Cambria Math" w:hAnsi="Cambria Math" w:cs="Times New Roman"/>
                              <w:i/>
                              <w:sz w:val="28"/>
                              <w:szCs w:val="28"/>
                            </w:rPr>
                          </m:ctrlPr>
                        </m:sup>
                      </m:sSubSup>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C</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Sub>
                      <m:ctrlPr>
                        <w:rPr>
                          <w:rFonts w:hint="default" w:ascii="Cambria Math" w:hAnsi="Cambria Math" w:cs="Times New Roman"/>
                          <w:i/>
                          <w:sz w:val="28"/>
                          <w:szCs w:val="28"/>
                        </w:rPr>
                      </m:ctrlPr>
                    </m:den>
                  </m:f>
                  <m:ctrlPr>
                    <w:rPr>
                      <w:rFonts w:hint="default" w:ascii="Cambria Math" w:hAnsi="Cambria Math" w:cs="Times New Roman"/>
                      <w:i/>
                      <w:sz w:val="28"/>
                      <w:szCs w:val="28"/>
                    </w:rPr>
                  </m:ctrlPr>
                </m:e>
              </m:func>
              <m:ctrlPr>
                <w:rPr>
                  <w:rFonts w:hint="default" w:ascii="Cambria Math" w:hAnsi="Cambria Math" w:cs="Times New Roman"/>
                  <w:i/>
                  <w:sz w:val="28"/>
                  <w:szCs w:val="28"/>
                </w:rPr>
              </m:ctrlPr>
            </m:num>
            <m:den>
              <m:sSup>
                <m:sSupPr>
                  <m:ctrlPr>
                    <w:rPr>
                      <w:rFonts w:hint="default" w:ascii="Cambria Math" w:hAnsi="Cambria Math" w:cs="Times New Roman"/>
                      <w:i/>
                      <w:sz w:val="28"/>
                      <w:szCs w:val="28"/>
                    </w:rPr>
                  </m:ctrlPr>
                </m:sSupPr>
                <m:e>
                  <m:d>
                    <m:dPr>
                      <m:ctrlPr>
                        <w:rPr>
                          <w:rFonts w:hint="default" w:ascii="Cambria Math" w:hAnsi="Cambria Math" w:cs="Times New Roman"/>
                          <w:i/>
                          <w:sz w:val="28"/>
                          <w:szCs w:val="28"/>
                        </w:rPr>
                      </m:ctrlPr>
                    </m:dPr>
                    <m:e>
                      <m:r>
                        <m:rPr>
                          <m:nor/>
                          <m:sty m:val="p"/>
                        </m:rPr>
                        <w:rPr>
                          <w:rFonts w:hint="default" w:ascii="Times New Roman" w:hAnsi="Times New Roman" w:cs="Times New Roman"/>
                          <w:b w:val="0"/>
                          <w:i w:val="0"/>
                          <w:sz w:val="28"/>
                          <w:szCs w:val="28"/>
                        </w:rPr>
                        <m:t>1-</m:t>
                      </m:r>
                      <m:sSubSup>
                        <m:sSubSupPr>
                          <m:ctrlPr>
                            <w:rPr>
                              <w:rFonts w:hint="default" w:ascii="Cambria Math" w:hAnsi="Cambria Math" w:cs="Times New Roman"/>
                              <w:i/>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up>
                          <m:r>
                            <m:rPr>
                              <m:nor/>
                            </m:rPr>
                            <w:rPr>
                              <w:rFonts w:hint="default" w:ascii="Times New Roman" w:hAnsi="Times New Roman" w:cs="Times New Roman"/>
                              <w:i/>
                              <w:sz w:val="28"/>
                              <w:szCs w:val="28"/>
                            </w:rPr>
                            <m:t>m</m:t>
                          </m:r>
                          <m:ctrlPr>
                            <w:rPr>
                              <w:rFonts w:hint="default" w:ascii="Cambria Math" w:hAnsi="Cambria Math" w:cs="Times New Roman"/>
                              <w:i/>
                              <w:sz w:val="28"/>
                              <w:szCs w:val="28"/>
                            </w:rPr>
                          </m:ctrlPr>
                        </m:sup>
                      </m:sSubSup>
                      <m:ctrlPr>
                        <w:rPr>
                          <w:rFonts w:hint="default" w:ascii="Cambria Math" w:hAnsi="Cambria Math" w:cs="Times New Roman"/>
                          <w:i/>
                          <w:sz w:val="28"/>
                          <w:szCs w:val="28"/>
                        </w:rPr>
                      </m:ctrlPr>
                    </m:e>
                  </m:d>
                  <m:ctrlPr>
                    <w:rPr>
                      <w:rFonts w:hint="default" w:ascii="Cambria Math" w:hAnsi="Cambria Math" w:cs="Times New Roman"/>
                      <w:i/>
                      <w:sz w:val="28"/>
                      <w:szCs w:val="28"/>
                    </w:rPr>
                  </m:ctrlPr>
                </m:e>
                <m:sup>
                  <m:r>
                    <m:rPr>
                      <m:nor/>
                      <m:sty m:val="p"/>
                    </m:rPr>
                    <w:rPr>
                      <w:rFonts w:hint="default" w:ascii="Times New Roman" w:hAnsi="Times New Roman" w:cs="Times New Roman"/>
                      <w:b w:val="0"/>
                      <w:i w:val="0"/>
                      <w:sz w:val="28"/>
                      <w:szCs w:val="28"/>
                    </w:rPr>
                    <m:t>2</m:t>
                  </m:r>
                  <m:ctrlPr>
                    <w:rPr>
                      <w:rFonts w:hint="default" w:ascii="Cambria Math" w:hAnsi="Cambria Math" w:cs="Times New Roman"/>
                      <w:i/>
                      <w:sz w:val="28"/>
                      <w:szCs w:val="28"/>
                    </w:rPr>
                  </m:ctrlPr>
                </m:sup>
              </m:sSup>
              <m:func>
                <m:funcPr>
                  <m:ctrlPr>
                    <w:rPr>
                      <w:rFonts w:hint="default" w:ascii="Cambria Math" w:hAnsi="Cambria Math" w:cs="Times New Roman"/>
                      <w:i/>
                      <w:sz w:val="28"/>
                      <w:szCs w:val="28"/>
                    </w:rPr>
                  </m:ctrlPr>
                </m:funcPr>
                <m:fName>
                  <m:r>
                    <m:rPr>
                      <m:nor/>
                    </m:rPr>
                    <w:rPr>
                      <w:rFonts w:hint="default" w:ascii="Times New Roman" w:hAnsi="Times New Roman" w:cs="Times New Roman"/>
                      <w:i/>
                      <w:sz w:val="28"/>
                      <w:szCs w:val="28"/>
                    </w:rPr>
                    <m:t>ln</m:t>
                  </m:r>
                  <m:ctrlPr>
                    <w:rPr>
                      <w:rFonts w:hint="default" w:ascii="Cambria Math" w:hAnsi="Cambria Math" w:cs="Times New Roman"/>
                      <w:i/>
                      <w:sz w:val="28"/>
                      <w:szCs w:val="28"/>
                    </w:rPr>
                  </m:ctrlPr>
                </m:fName>
                <m:e>
                  <m:f>
                    <m:fPr>
                      <m:ctrlPr>
                        <w:rPr>
                          <w:rFonts w:hint="default" w:ascii="Cambria Math" w:hAnsi="Cambria Math" w:cs="Times New Roman"/>
                          <w:i/>
                          <w:sz w:val="28"/>
                          <w:szCs w:val="28"/>
                        </w:rPr>
                      </m:ctrlPr>
                    </m:fPr>
                    <m:num>
                      <m:d>
                        <m:dPr>
                          <m:ctrlPr>
                            <w:rPr>
                              <w:rFonts w:hint="default" w:ascii="Cambria Math" w:hAnsi="Cambria Math" w:cs="Times New Roman"/>
                              <w:i/>
                              <w:sz w:val="28"/>
                              <w:szCs w:val="28"/>
                            </w:rPr>
                          </m:ctrlPr>
                        </m:dPr>
                        <m:e>
                          <m:r>
                            <m:rPr>
                              <m:nor/>
                              <m:sty m:val="p"/>
                            </m:rPr>
                            <w:rPr>
                              <w:rFonts w:hint="default" w:ascii="Times New Roman" w:hAnsi="Times New Roman" w:cs="Times New Roman"/>
                              <w:b w:val="0"/>
                              <w:i w:val="0"/>
                              <w:sz w:val="28"/>
                              <w:szCs w:val="28"/>
                            </w:rPr>
                            <m:t>1-</m:t>
                          </m:r>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α</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Sub>
                          <m:ctrlPr>
                            <w:rPr>
                              <w:rFonts w:hint="default" w:ascii="Cambria Math" w:hAnsi="Cambria Math" w:cs="Times New Roman"/>
                              <w:i/>
                              <w:sz w:val="28"/>
                              <w:szCs w:val="28"/>
                            </w:rPr>
                          </m:ctrlPr>
                        </m:e>
                      </m:d>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C</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12</m:t>
                          </m:r>
                          <m:ctrlPr>
                            <w:rPr>
                              <w:rFonts w:hint="default" w:ascii="Cambria Math" w:hAnsi="Cambria Math" w:cs="Times New Roman"/>
                              <w:i/>
                              <w:sz w:val="28"/>
                              <w:szCs w:val="28"/>
                            </w:rPr>
                          </m:ctrlPr>
                        </m:sub>
                      </m:sSub>
                      <m:ctrlPr>
                        <w:rPr>
                          <w:rFonts w:hint="default" w:ascii="Cambria Math" w:hAnsi="Cambria Math" w:cs="Times New Roman"/>
                          <w:i/>
                          <w:sz w:val="28"/>
                          <w:szCs w:val="28"/>
                        </w:rPr>
                      </m:ctrlPr>
                    </m:num>
                    <m:den>
                      <m:d>
                        <m:dPr>
                          <m:ctrlPr>
                            <w:rPr>
                              <w:rFonts w:hint="default" w:ascii="Cambria Math" w:hAnsi="Cambria Math" w:cs="Times New Roman"/>
                              <w:i/>
                              <w:sz w:val="28"/>
                              <w:szCs w:val="28"/>
                            </w:rPr>
                          </m:ctrlPr>
                        </m:dPr>
                        <m:e>
                          <m:r>
                            <m:rPr>
                              <m:nor/>
                              <m:sty m:val="p"/>
                            </m:rPr>
                            <w:rPr>
                              <w:rFonts w:hint="default" w:ascii="Times New Roman" w:hAnsi="Times New Roman" w:cs="Times New Roman"/>
                              <w:b w:val="0"/>
                              <w:i w:val="0"/>
                              <w:sz w:val="28"/>
                              <w:szCs w:val="28"/>
                            </w:rPr>
                            <m:t>1-</m:t>
                          </m:r>
                          <m:sSubSup>
                            <m:sSubSupPr>
                              <m:ctrlPr>
                                <w:rPr>
                                  <w:rFonts w:hint="default" w:ascii="Cambria Math" w:hAnsi="Cambria Math" w:cs="Times New Roman"/>
                                  <w:i/>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up>
                              <m:r>
                                <m:rPr>
                                  <m:nor/>
                                </m:rPr>
                                <w:rPr>
                                  <w:rFonts w:hint="default" w:ascii="Times New Roman" w:hAnsi="Times New Roman" w:cs="Times New Roman"/>
                                  <w:i/>
                                  <w:sz w:val="28"/>
                                  <w:szCs w:val="28"/>
                                </w:rPr>
                                <m:t>m</m:t>
                              </m:r>
                              <m:ctrlPr>
                                <w:rPr>
                                  <w:rFonts w:hint="default" w:ascii="Cambria Math" w:hAnsi="Cambria Math" w:cs="Times New Roman"/>
                                  <w:i/>
                                  <w:sz w:val="28"/>
                                  <w:szCs w:val="28"/>
                                </w:rPr>
                              </m:ctrlPr>
                            </m:sup>
                          </m:sSubSup>
                          <m:ctrlPr>
                            <w:rPr>
                              <w:rFonts w:hint="default" w:ascii="Cambria Math" w:hAnsi="Cambria Math" w:cs="Times New Roman"/>
                              <w:i/>
                              <w:sz w:val="28"/>
                              <w:szCs w:val="28"/>
                            </w:rPr>
                          </m:ctrlPr>
                        </m:e>
                      </m:d>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C</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2</m:t>
                          </m:r>
                          <m:ctrlPr>
                            <w:rPr>
                              <w:rFonts w:hint="default" w:ascii="Cambria Math" w:hAnsi="Cambria Math" w:cs="Times New Roman"/>
                              <w:i/>
                              <w:sz w:val="28"/>
                              <w:szCs w:val="28"/>
                            </w:rPr>
                          </m:ctrlPr>
                        </m:sub>
                      </m:sSub>
                      <m:ctrlPr>
                        <w:rPr>
                          <w:rFonts w:hint="default" w:ascii="Cambria Math" w:hAnsi="Cambria Math" w:cs="Times New Roman"/>
                          <w:i/>
                          <w:sz w:val="28"/>
                          <w:szCs w:val="28"/>
                        </w:rPr>
                      </m:ctrlPr>
                    </m:den>
                  </m:f>
                  <m:ctrlPr>
                    <w:rPr>
                      <w:rFonts w:hint="default" w:ascii="Cambria Math" w:hAnsi="Cambria Math" w:cs="Times New Roman"/>
                      <w:i/>
                      <w:sz w:val="28"/>
                      <w:szCs w:val="28"/>
                    </w:rPr>
                  </m:ctrlPr>
                </m:e>
              </m:func>
              <m:ctrlPr>
                <w:rPr>
                  <w:rFonts w:hint="default" w:ascii="Cambria Math" w:hAnsi="Cambria Math" w:cs="Times New Roman"/>
                  <w:i/>
                  <w:sz w:val="28"/>
                  <w:szCs w:val="28"/>
                </w:rPr>
              </m:ctrlPr>
            </m:den>
          </m:f>
          <m:r>
            <m:rPr>
              <m:nor/>
              <m:sty m:val="p"/>
            </m:rPr>
            <w:rPr>
              <w:rFonts w:hint="default" w:ascii="Times New Roman" w:hAnsi="Times New Roman" w:cs="Times New Roman"/>
              <w:b w:val="0"/>
              <w:i w:val="0"/>
              <w:sz w:val="28"/>
              <w:szCs w:val="28"/>
            </w:rPr>
            <m:t xml:space="preserve">                                             </m:t>
          </m:r>
          <m:d>
            <m:dPr>
              <m:ctrlPr>
                <w:rPr>
                  <w:rFonts w:hint="default" w:ascii="Cambria Math" w:hAnsi="Cambria Math" w:cs="Times New Roman"/>
                  <w:i/>
                  <w:sz w:val="28"/>
                  <w:szCs w:val="28"/>
                </w:rPr>
              </m:ctrlPr>
            </m:dPr>
            <m:e>
              <m:r>
                <m:rPr>
                  <m:nor/>
                  <m:sty m:val="p"/>
                </m:rPr>
                <w:rPr>
                  <w:rFonts w:hint="default" w:ascii="Times New Roman" w:hAnsi="Times New Roman" w:cs="Times New Roman"/>
                  <w:b w:val="0"/>
                  <w:i w:val="0"/>
                  <w:sz w:val="28"/>
                  <w:szCs w:val="28"/>
                </w:rPr>
                <m:t>4</m:t>
              </m:r>
              <m:r>
                <m:rPr>
                  <m:nor/>
                  <m:sty m:val="p"/>
                </m:rPr>
                <w:rPr>
                  <w:rFonts w:hint="default" w:ascii="Times New Roman" w:hAnsi="Times New Roman" w:cs="Times New Roman"/>
                  <w:b w:val="0"/>
                  <w:i w:val="0"/>
                  <w:sz w:val="28"/>
                  <w:szCs w:val="28"/>
                  <w:lang w:val="en-US" w:eastAsia="zh-CN"/>
                </w:rPr>
                <m:t>.1</m:t>
              </m:r>
              <m:ctrlPr>
                <w:rPr>
                  <w:rFonts w:hint="default" w:ascii="Cambria Math" w:hAnsi="Cambria Math" w:cs="Times New Roman"/>
                  <w:i/>
                  <w:sz w:val="28"/>
                  <w:szCs w:val="28"/>
                </w:rPr>
              </m:ctrlPr>
            </m:e>
          </m:d>
        </m:oMath>
      </m:oMathPara>
    </w:p>
    <w:p w14:paraId="3F93764A">
      <w:pPr>
        <w:widowControl/>
        <w:adjustRightInd w:val="0"/>
        <w:ind w:firstLine="709" w:firstLineChars="0"/>
        <w:rPr>
          <w:rFonts w:hint="default" w:ascii="Times New Roman" w:hAnsi="Times New Roman" w:cs="Times New Roman"/>
          <w:sz w:val="28"/>
          <w:szCs w:val="28"/>
        </w:rPr>
      </w:pPr>
      <m:oMathPara>
        <m:oMathParaPr>
          <m:jc m:val="right"/>
        </m:oMathParaPr>
        <m:oMath>
          <m:r>
            <m:rPr>
              <m:nor/>
              <m:sty m:val="p"/>
            </m:rPr>
            <w:rPr>
              <w:rFonts w:hint="default" w:ascii="Times New Roman" w:hAnsi="Times New Roman" w:cs="Times New Roman"/>
              <w:b w:val="0"/>
              <w:i w:val="0"/>
              <w:sz w:val="28"/>
              <w:szCs w:val="28"/>
            </w:rPr>
            <m:t xml:space="preserve">                                                      </m:t>
          </m:r>
          <m:sSup>
            <m:sSupPr>
              <m:ctrlPr>
                <w:rPr>
                  <w:rFonts w:hint="default" w:ascii="Cambria Math" w:hAnsi="Cambria Math" w:cs="Times New Roman"/>
                  <w:i/>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i/>
                  <w:sz w:val="28"/>
                  <w:szCs w:val="28"/>
                </w:rPr>
              </m:ctrlPr>
            </m:e>
            <m:sup>
              <m:r>
                <m:rPr>
                  <m:nor/>
                </m:rPr>
                <w:rPr>
                  <w:rFonts w:hint="default" w:ascii="Times New Roman" w:hAnsi="Times New Roman" w:cs="Times New Roman"/>
                  <w:i/>
                  <w:sz w:val="28"/>
                  <w:szCs w:val="28"/>
                </w:rPr>
                <m:t>m</m:t>
              </m:r>
              <m:ctrlPr>
                <w:rPr>
                  <w:rFonts w:hint="default" w:ascii="Cambria Math" w:hAnsi="Cambria Math" w:cs="Times New Roman"/>
                  <w:i/>
                  <w:sz w:val="28"/>
                  <w:szCs w:val="28"/>
                </w:rPr>
              </m:ctrlPr>
            </m:sup>
          </m:sSup>
          <m:r>
            <m:rPr>
              <m:nor/>
              <m:sty m:val="p"/>
            </m:rPr>
            <w:rPr>
              <w:rFonts w:hint="default" w:ascii="Times New Roman" w:hAnsi="Times New Roman" w:cs="Times New Roman"/>
              <w:b w:val="0"/>
              <w:i w:val="0"/>
              <w:sz w:val="28"/>
              <w:szCs w:val="28"/>
            </w:rPr>
            <m:t>=</m:t>
          </m:r>
          <m:f>
            <m:fPr>
              <m:ctrlPr>
                <w:rPr>
                  <w:rFonts w:hint="default" w:ascii="Cambria Math" w:hAnsi="Cambria Math" w:cs="Times New Roman"/>
                  <w:i/>
                  <w:sz w:val="28"/>
                  <w:szCs w:val="28"/>
                </w:rPr>
              </m:ctrlPr>
            </m:fPr>
            <m:num>
              <m:func>
                <m:funcPr>
                  <m:ctrlPr>
                    <w:rPr>
                      <w:rFonts w:hint="default" w:ascii="Cambria Math" w:hAnsi="Cambria Math" w:cs="Times New Roman"/>
                      <w:i/>
                      <w:sz w:val="28"/>
                      <w:szCs w:val="28"/>
                    </w:rPr>
                  </m:ctrlPr>
                </m:funcPr>
                <m:fName>
                  <m:r>
                    <m:rPr>
                      <m:nor/>
                    </m:rPr>
                    <w:rPr>
                      <w:rFonts w:hint="default" w:ascii="Times New Roman" w:hAnsi="Times New Roman" w:cs="Times New Roman"/>
                      <w:i/>
                      <w:sz w:val="28"/>
                      <w:szCs w:val="28"/>
                    </w:rPr>
                    <m:t>ln</m:t>
                  </m:r>
                  <m:ctrlPr>
                    <w:rPr>
                      <w:rFonts w:hint="default" w:ascii="Cambria Math" w:hAnsi="Cambria Math" w:cs="Times New Roman"/>
                      <w:i/>
                      <w:sz w:val="28"/>
                      <w:szCs w:val="28"/>
                    </w:rPr>
                  </m:ctrlPr>
                </m:fName>
                <m:e>
                  <m:f>
                    <m:fPr>
                      <m:ctrlPr>
                        <w:rPr>
                          <w:rFonts w:hint="default" w:ascii="Cambria Math" w:hAnsi="Cambria Math" w:cs="Times New Roman"/>
                          <w:i/>
                          <w:sz w:val="28"/>
                          <w:szCs w:val="28"/>
                        </w:rPr>
                      </m:ctrlPr>
                    </m:fPr>
                    <m:num>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α</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Sub>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C</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12</m:t>
                          </m:r>
                          <m:ctrlPr>
                            <w:rPr>
                              <w:rFonts w:hint="default" w:ascii="Cambria Math" w:hAnsi="Cambria Math" w:cs="Times New Roman"/>
                              <w:i/>
                              <w:sz w:val="28"/>
                              <w:szCs w:val="28"/>
                            </w:rPr>
                          </m:ctrlPr>
                        </m:sub>
                      </m:sSub>
                      <m:ctrlPr>
                        <w:rPr>
                          <w:rFonts w:hint="default" w:ascii="Cambria Math" w:hAnsi="Cambria Math" w:cs="Times New Roman"/>
                          <w:i/>
                          <w:sz w:val="28"/>
                          <w:szCs w:val="28"/>
                        </w:rPr>
                      </m:ctrlPr>
                    </m:num>
                    <m:den>
                      <m:sSubSup>
                        <m:sSubSupPr>
                          <m:ctrlPr>
                            <w:rPr>
                              <w:rFonts w:hint="default" w:ascii="Cambria Math" w:hAnsi="Cambria Math" w:cs="Times New Roman"/>
                              <w:i/>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up>
                          <m:r>
                            <m:rPr>
                              <m:nor/>
                            </m:rPr>
                            <w:rPr>
                              <w:rFonts w:hint="default" w:ascii="Times New Roman" w:hAnsi="Times New Roman" w:cs="Times New Roman"/>
                              <w:i/>
                              <w:sz w:val="28"/>
                              <w:szCs w:val="28"/>
                            </w:rPr>
                            <m:t>m</m:t>
                          </m:r>
                          <m:ctrlPr>
                            <w:rPr>
                              <w:rFonts w:hint="default" w:ascii="Cambria Math" w:hAnsi="Cambria Math" w:cs="Times New Roman"/>
                              <w:i/>
                              <w:sz w:val="28"/>
                              <w:szCs w:val="28"/>
                            </w:rPr>
                          </m:ctrlPr>
                        </m:sup>
                      </m:sSubSup>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C</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Sub>
                      <m:ctrlPr>
                        <w:rPr>
                          <w:rFonts w:hint="default" w:ascii="Cambria Math" w:hAnsi="Cambria Math" w:cs="Times New Roman"/>
                          <w:i/>
                          <w:sz w:val="28"/>
                          <w:szCs w:val="28"/>
                        </w:rPr>
                      </m:ctrlPr>
                    </m:den>
                  </m:f>
                  <m:ctrlPr>
                    <w:rPr>
                      <w:rFonts w:hint="default" w:ascii="Cambria Math" w:hAnsi="Cambria Math" w:cs="Times New Roman"/>
                      <w:i/>
                      <w:sz w:val="28"/>
                      <w:szCs w:val="28"/>
                    </w:rPr>
                  </m:ctrlPr>
                </m:e>
              </m:func>
              <m:ctrlPr>
                <w:rPr>
                  <w:rFonts w:hint="default" w:ascii="Cambria Math" w:hAnsi="Cambria Math" w:cs="Times New Roman"/>
                  <w:i/>
                  <w:sz w:val="28"/>
                  <w:szCs w:val="28"/>
                </w:rPr>
              </m:ctrlPr>
            </m:num>
            <m:den>
              <m:sSup>
                <m:sSupPr>
                  <m:ctrlPr>
                    <w:rPr>
                      <w:rFonts w:hint="default" w:ascii="Cambria Math" w:hAnsi="Cambria Math" w:cs="Times New Roman"/>
                      <w:i/>
                      <w:sz w:val="28"/>
                      <w:szCs w:val="28"/>
                    </w:rPr>
                  </m:ctrlPr>
                </m:sSupPr>
                <m:e>
                  <m:d>
                    <m:dPr>
                      <m:ctrlPr>
                        <w:rPr>
                          <w:rFonts w:hint="default" w:ascii="Cambria Math" w:hAnsi="Cambria Math" w:cs="Times New Roman"/>
                          <w:i/>
                          <w:sz w:val="28"/>
                          <w:szCs w:val="28"/>
                        </w:rPr>
                      </m:ctrlPr>
                    </m:dPr>
                    <m:e>
                      <m:r>
                        <m:rPr>
                          <m:nor/>
                          <m:sty m:val="p"/>
                        </m:rPr>
                        <w:rPr>
                          <w:rFonts w:hint="default" w:ascii="Times New Roman" w:hAnsi="Times New Roman" w:cs="Times New Roman"/>
                          <w:b w:val="0"/>
                          <w:i w:val="0"/>
                          <w:sz w:val="28"/>
                          <w:szCs w:val="28"/>
                        </w:rPr>
                        <m:t>1-</m:t>
                      </m:r>
                      <m:sSubSup>
                        <m:sSubSupPr>
                          <m:ctrlPr>
                            <w:rPr>
                              <w:rFonts w:hint="default" w:ascii="Cambria Math" w:hAnsi="Cambria Math" w:cs="Times New Roman"/>
                              <w:i/>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up>
                          <m:r>
                            <m:rPr>
                              <m:nor/>
                            </m:rPr>
                            <w:rPr>
                              <w:rFonts w:hint="default" w:ascii="Times New Roman" w:hAnsi="Times New Roman" w:cs="Times New Roman"/>
                              <w:i/>
                              <w:sz w:val="28"/>
                              <w:szCs w:val="28"/>
                            </w:rPr>
                            <m:t>m</m:t>
                          </m:r>
                          <m:ctrlPr>
                            <w:rPr>
                              <w:rFonts w:hint="default" w:ascii="Cambria Math" w:hAnsi="Cambria Math" w:cs="Times New Roman"/>
                              <w:i/>
                              <w:sz w:val="28"/>
                              <w:szCs w:val="28"/>
                            </w:rPr>
                          </m:ctrlPr>
                        </m:sup>
                      </m:sSubSup>
                      <m:ctrlPr>
                        <w:rPr>
                          <w:rFonts w:hint="default" w:ascii="Cambria Math" w:hAnsi="Cambria Math" w:cs="Times New Roman"/>
                          <w:i/>
                          <w:sz w:val="28"/>
                          <w:szCs w:val="28"/>
                        </w:rPr>
                      </m:ctrlPr>
                    </m:e>
                  </m:d>
                  <m:ctrlPr>
                    <w:rPr>
                      <w:rFonts w:hint="default" w:ascii="Cambria Math" w:hAnsi="Cambria Math" w:cs="Times New Roman"/>
                      <w:i/>
                      <w:sz w:val="28"/>
                      <w:szCs w:val="28"/>
                    </w:rPr>
                  </m:ctrlPr>
                </m:e>
                <m:sup>
                  <m:r>
                    <m:rPr>
                      <m:nor/>
                      <m:sty m:val="p"/>
                    </m:rPr>
                    <w:rPr>
                      <w:rFonts w:hint="default" w:ascii="Times New Roman" w:hAnsi="Times New Roman" w:cs="Times New Roman"/>
                      <w:b w:val="0"/>
                      <w:i w:val="0"/>
                      <w:sz w:val="28"/>
                      <w:szCs w:val="28"/>
                    </w:rPr>
                    <m:t>2</m:t>
                  </m:r>
                  <m:ctrlPr>
                    <w:rPr>
                      <w:rFonts w:hint="default" w:ascii="Cambria Math" w:hAnsi="Cambria Math" w:cs="Times New Roman"/>
                      <w:i/>
                      <w:sz w:val="28"/>
                      <w:szCs w:val="28"/>
                    </w:rPr>
                  </m:ctrlPr>
                </m:sup>
              </m:sSup>
              <m:ctrlPr>
                <w:rPr>
                  <w:rFonts w:hint="default" w:ascii="Cambria Math" w:hAnsi="Cambria Math" w:cs="Times New Roman"/>
                  <w:i/>
                  <w:sz w:val="28"/>
                  <w:szCs w:val="28"/>
                </w:rPr>
              </m:ctrlPr>
            </m:den>
          </m:f>
          <m:r>
            <m:rPr>
              <m:nor/>
              <m:sty m:val="p"/>
            </m:rPr>
            <w:rPr>
              <w:rFonts w:hint="default" w:ascii="Times New Roman" w:hAnsi="Times New Roman" w:cs="Times New Roman"/>
              <w:b w:val="0"/>
              <w:i w:val="0"/>
              <w:sz w:val="28"/>
              <w:szCs w:val="28"/>
            </w:rPr>
            <m:t xml:space="preserve">                                                   </m:t>
          </m:r>
          <m:d>
            <m:dPr>
              <m:ctrlPr>
                <w:rPr>
                  <w:rFonts w:hint="default" w:ascii="Cambria Math" w:hAnsi="Cambria Math" w:cs="Times New Roman"/>
                  <w:i/>
                  <w:sz w:val="28"/>
                  <w:szCs w:val="28"/>
                </w:rPr>
              </m:ctrlPr>
            </m:dPr>
            <m:e>
              <m:r>
                <m:rPr>
                  <m:nor/>
                  <m:sty m:val="p"/>
                </m:rPr>
                <w:rPr>
                  <w:rFonts w:hint="default" w:ascii="Times New Roman" w:hAnsi="Times New Roman" w:cs="Times New Roman"/>
                  <w:b w:val="0"/>
                  <w:i w:val="0"/>
                  <w:sz w:val="28"/>
                  <w:szCs w:val="28"/>
                </w:rPr>
                <m:t>4</m:t>
              </m:r>
              <m:r>
                <m:rPr>
                  <m:nor/>
                  <m:sty m:val="p"/>
                </m:rPr>
                <w:rPr>
                  <w:rFonts w:hint="default" w:ascii="Times New Roman" w:hAnsi="Times New Roman" w:cs="Times New Roman"/>
                  <w:b w:val="0"/>
                  <w:i w:val="0"/>
                  <w:sz w:val="28"/>
                  <w:szCs w:val="28"/>
                  <w:lang w:val="en-US" w:eastAsia="zh-CN"/>
                </w:rPr>
                <m:t>.</m:t>
              </m:r>
              <m:r>
                <m:rPr>
                  <m:nor/>
                  <m:sty m:val="p"/>
                </m:rPr>
                <w:rPr>
                  <w:rFonts w:hint="default" w:ascii="Times New Roman" w:hAnsi="Times New Roman" w:cs="Times New Roman"/>
                  <w:b w:val="0"/>
                  <w:i w:val="0"/>
                  <w:sz w:val="28"/>
                  <w:szCs w:val="28"/>
                </w:rPr>
                <m:t>2</m:t>
              </m:r>
              <m:ctrlPr>
                <w:rPr>
                  <w:rFonts w:hint="default" w:ascii="Cambria Math" w:hAnsi="Cambria Math" w:cs="Times New Roman"/>
                  <w:i/>
                  <w:sz w:val="28"/>
                  <w:szCs w:val="28"/>
                </w:rPr>
              </m:ctrlPr>
            </m:e>
          </m:d>
        </m:oMath>
      </m:oMathPara>
    </w:p>
    <w:bookmarkEnd w:id="565"/>
    <w:p w14:paraId="172DC18A">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Where </w:t>
      </w:r>
      <m:oMath>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C</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Sub>
      </m:oMath>
      <w:r>
        <w:rPr>
          <w:rFonts w:hint="default" w:ascii="Times New Roman" w:hAnsi="Times New Roman" w:cs="Times New Roman"/>
          <w:sz w:val="28"/>
          <w:szCs w:val="28"/>
        </w:rPr>
        <w:t xml:space="preserve">, </w:t>
      </w:r>
      <m:oMath>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C</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2</m:t>
            </m:r>
            <m:ctrlPr>
              <w:rPr>
                <w:rFonts w:hint="default" w:ascii="Cambria Math" w:hAnsi="Cambria Math" w:cs="Times New Roman"/>
                <w:i/>
                <w:sz w:val="28"/>
                <w:szCs w:val="28"/>
              </w:rPr>
            </m:ctrlPr>
          </m:sub>
        </m:sSub>
      </m:oMath>
      <w:r>
        <w:rPr>
          <w:rFonts w:hint="default" w:ascii="Times New Roman" w:hAnsi="Times New Roman" w:cs="Times New Roman"/>
          <w:sz w:val="28"/>
          <w:szCs w:val="28"/>
        </w:rPr>
        <w:t xml:space="preserve">, and </w:t>
      </w:r>
      <m:oMath>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C</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12</m:t>
            </m:r>
            <m:ctrlPr>
              <w:rPr>
                <w:rFonts w:hint="default" w:ascii="Cambria Math" w:hAnsi="Cambria Math" w:cs="Times New Roman"/>
                <w:i/>
                <w:sz w:val="28"/>
                <w:szCs w:val="28"/>
              </w:rPr>
            </m:ctrlPr>
          </m:sub>
        </m:sSub>
      </m:oMath>
      <w:r>
        <w:rPr>
          <w:rFonts w:hint="default" w:ascii="Times New Roman" w:hAnsi="Times New Roman" w:cs="Times New Roman"/>
          <w:sz w:val="28"/>
          <w:szCs w:val="28"/>
        </w:rPr>
        <w:t xml:space="preserve"> represent the cmc of single surfactants and the cmc of a mixed solution (mmol·L</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w:t>
      </w:r>
      <m:oMath>
        <m:sSubSup>
          <m:sSubSupPr>
            <m:ctrlPr>
              <w:rPr>
                <w:rFonts w:hint="default" w:ascii="Cambria Math" w:hAnsi="Cambria Math" w:cs="Times New Roman"/>
                <w:i/>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up>
            <m:r>
              <m:rPr>
                <m:nor/>
              </m:rPr>
              <w:rPr>
                <w:rFonts w:hint="default" w:ascii="Times New Roman" w:hAnsi="Times New Roman" w:cs="Times New Roman"/>
                <w:i/>
                <w:sz w:val="28"/>
                <w:szCs w:val="28"/>
              </w:rPr>
              <m:t>m</m:t>
            </m:r>
            <m:ctrlPr>
              <w:rPr>
                <w:rFonts w:hint="default" w:ascii="Cambria Math" w:hAnsi="Cambria Math" w:cs="Times New Roman"/>
                <w:i/>
                <w:sz w:val="28"/>
                <w:szCs w:val="28"/>
              </w:rPr>
            </m:ctrlPr>
          </m:sup>
        </m:sSubSup>
      </m:oMath>
      <w:r>
        <w:rPr>
          <w:rFonts w:hint="default" w:ascii="Times New Roman" w:hAnsi="Times New Roman" w:cs="Times New Roman"/>
          <w:sz w:val="28"/>
          <w:szCs w:val="28"/>
        </w:rPr>
        <w:t xml:space="preserve"> denotes the mole fraction of component (1) in the mixed micelles. </w:t>
      </w:r>
      <m:oMath>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α</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Sub>
      </m:oMath>
      <w:r>
        <w:rPr>
          <w:rFonts w:hint="default" w:ascii="Times New Roman" w:hAnsi="Times New Roman" w:cs="Times New Roman"/>
          <w:sz w:val="28"/>
          <w:szCs w:val="28"/>
        </w:rPr>
        <w:t xml:space="preserve"> is the molar fraction of component (1) in the mixed solution to the mixed surfactant.</w:t>
      </w:r>
    </w:p>
    <w:p w14:paraId="516677A4">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By using the relationship in Eq. (4</w:t>
      </w:r>
      <w:r>
        <w:rPr>
          <w:rFonts w:hint="default" w:ascii="Times New Roman" w:hAnsi="Times New Roman" w:cs="Times New Roman"/>
          <w:sz w:val="28"/>
          <w:szCs w:val="28"/>
          <w:lang w:val="en-US" w:eastAsia="zh-CN"/>
        </w:rPr>
        <w:t>.3</w:t>
      </w:r>
      <w:r>
        <w:rPr>
          <w:rFonts w:hint="default" w:ascii="Times New Roman" w:hAnsi="Times New Roman" w:cs="Times New Roman"/>
          <w:sz w:val="28"/>
          <w:szCs w:val="28"/>
        </w:rPr>
        <w:t xml:space="preserve">), the critical micelle concentration </w:t>
      </w:r>
      <m:oMath>
        <m:sSubSup>
          <m:sSubSupPr>
            <m:ctrlPr>
              <w:rPr>
                <w:rFonts w:hint="default" w:ascii="Cambria Math" w:hAnsi="Cambria Math" w:cs="Times New Roman"/>
                <w:i/>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12</m:t>
            </m:r>
            <m:ctrlPr>
              <w:rPr>
                <w:rFonts w:hint="default" w:ascii="Cambria Math" w:hAnsi="Cambria Math" w:cs="Times New Roman"/>
                <w:i/>
                <w:sz w:val="28"/>
                <w:szCs w:val="28"/>
              </w:rPr>
            </m:ctrlPr>
          </m:sub>
          <m:sup>
            <m:r>
              <m:rPr>
                <m:nor/>
              </m:rPr>
              <w:rPr>
                <w:rFonts w:hint="default" w:ascii="Times New Roman" w:hAnsi="Times New Roman" w:cs="Times New Roman"/>
                <w:i/>
                <w:sz w:val="28"/>
                <w:szCs w:val="28"/>
              </w:rPr>
              <m:t>id</m:t>
            </m:r>
            <m:ctrlPr>
              <w:rPr>
                <w:rFonts w:hint="default" w:ascii="Cambria Math" w:hAnsi="Cambria Math" w:cs="Times New Roman"/>
                <w:i/>
                <w:sz w:val="28"/>
                <w:szCs w:val="28"/>
              </w:rPr>
            </m:ctrlPr>
          </m:sup>
        </m:sSubSup>
      </m:oMath>
      <w:r>
        <w:rPr>
          <w:rFonts w:hint="default" w:ascii="Times New Roman" w:hAnsi="Times New Roman" w:cs="Times New Roman"/>
          <w:sz w:val="28"/>
          <w:szCs w:val="28"/>
        </w:rPr>
        <w:t xml:space="preserve"> of the ideal mixed solution can be calculated, and the molar fraction </w:t>
      </w:r>
      <m:oMath>
        <m:r>
          <m:rPr>
            <m:nor/>
            <m:sty m:val="p"/>
          </m:rPr>
          <w:rPr>
            <w:rFonts w:hint="default" w:ascii="Times New Roman" w:hAnsi="Times New Roman" w:cs="Times New Roman"/>
            <w:b w:val="0"/>
            <w:i w:val="0"/>
            <w:sz w:val="28"/>
            <w:szCs w:val="28"/>
          </w:rPr>
          <m:t xml:space="preserve"> </m:t>
        </m:r>
        <m:sSubSup>
          <m:sSubSupPr>
            <m:ctrlPr>
              <w:rPr>
                <w:rFonts w:hint="default" w:ascii="Cambria Math" w:hAnsi="Cambria Math" w:cs="Times New Roman"/>
                <w:i/>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up>
            <m:r>
              <m:rPr>
                <m:nor/>
              </m:rPr>
              <w:rPr>
                <w:rFonts w:hint="default" w:ascii="Times New Roman" w:hAnsi="Times New Roman" w:cs="Times New Roman"/>
                <w:i/>
                <w:sz w:val="28"/>
                <w:szCs w:val="28"/>
              </w:rPr>
              <m:t>id</m:t>
            </m:r>
            <m:ctrlPr>
              <w:rPr>
                <w:rFonts w:hint="default" w:ascii="Cambria Math" w:hAnsi="Cambria Math" w:cs="Times New Roman"/>
                <w:i/>
                <w:sz w:val="28"/>
                <w:szCs w:val="28"/>
              </w:rPr>
            </m:ctrlPr>
          </m:sup>
        </m:sSubSup>
      </m:oMath>
      <w:r>
        <w:rPr>
          <w:rFonts w:hint="default" w:ascii="Times New Roman" w:hAnsi="Times New Roman" w:cs="Times New Roman"/>
          <w:sz w:val="28"/>
          <w:szCs w:val="28"/>
        </w:rPr>
        <w:t xml:space="preserve"> of component (1) in the ideal mixed solution micelles can be obtained from Eq. (4</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rPr>
        <w:t>4) [132,133].</w:t>
      </w:r>
    </w:p>
    <w:p w14:paraId="6308A45F">
      <w:pPr>
        <w:widowControl/>
        <w:adjustRightInd w:val="0"/>
        <w:ind w:firstLine="709" w:firstLineChars="0"/>
        <w:rPr>
          <w:rFonts w:hint="default" w:ascii="Times New Roman" w:hAnsi="Times New Roman" w:cs="Times New Roman"/>
          <w:iCs/>
          <w:sz w:val="28"/>
          <w:szCs w:val="28"/>
        </w:rPr>
      </w:pPr>
      <m:oMathPara>
        <m:oMathParaPr>
          <m:jc m:val="right"/>
        </m:oMathParaPr>
        <m:oMath>
          <m:r>
            <m:rPr>
              <m:nor/>
              <m:sty m:val="p"/>
            </m:rPr>
            <w:rPr>
              <w:rFonts w:hint="default" w:ascii="Times New Roman" w:hAnsi="Times New Roman" w:cs="Times New Roman"/>
              <w:b w:val="0"/>
              <w:i w:val="0"/>
              <w:sz w:val="28"/>
              <w:szCs w:val="28"/>
            </w:rPr>
            <m:t xml:space="preserve">     </m:t>
          </m:r>
          <m:f>
            <w:bookmarkStart w:id="566" w:name="OLE_LINK86"/>
            <m:fPr>
              <m:ctrlPr>
                <w:rPr>
                  <w:rFonts w:hint="default" w:ascii="Cambria Math" w:hAnsi="Cambria Math" w:cs="Times New Roman"/>
                  <w:i/>
                  <w:sz w:val="28"/>
                  <w:szCs w:val="28"/>
                </w:rPr>
              </m:ctrlPr>
            </m:fPr>
            <m:num>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num>
            <m:den>
              <m:sSubSup>
                <m:sSubSupPr>
                  <m:ctrlPr>
                    <w:rPr>
                      <w:rFonts w:hint="default" w:ascii="Cambria Math" w:hAnsi="Cambria Math" w:cs="Times New Roman"/>
                      <w:i/>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12</m:t>
                  </m:r>
                  <m:ctrlPr>
                    <w:rPr>
                      <w:rFonts w:hint="default" w:ascii="Cambria Math" w:hAnsi="Cambria Math" w:cs="Times New Roman"/>
                      <w:i/>
                      <w:sz w:val="28"/>
                      <w:szCs w:val="28"/>
                    </w:rPr>
                  </m:ctrlPr>
                </m:sub>
                <m:sup>
                  <m:r>
                    <m:rPr>
                      <m:nor/>
                    </m:rPr>
                    <w:rPr>
                      <w:rFonts w:hint="default" w:ascii="Times New Roman" w:hAnsi="Times New Roman" w:cs="Times New Roman"/>
                      <w:i/>
                      <w:sz w:val="28"/>
                      <w:szCs w:val="28"/>
                    </w:rPr>
                    <m:t>id</m:t>
                  </m:r>
                  <m:ctrlPr>
                    <w:rPr>
                      <w:rFonts w:hint="default" w:ascii="Cambria Math" w:hAnsi="Cambria Math" w:cs="Times New Roman"/>
                      <w:i/>
                      <w:sz w:val="28"/>
                      <w:szCs w:val="28"/>
                    </w:rPr>
                  </m:ctrlPr>
                </m:sup>
              </m:sSubSup>
              <m:ctrlPr>
                <w:rPr>
                  <w:rFonts w:hint="default" w:ascii="Cambria Math" w:hAnsi="Cambria Math" w:cs="Times New Roman"/>
                  <w:i/>
                  <w:sz w:val="28"/>
                  <w:szCs w:val="28"/>
                </w:rPr>
              </m:ctrlPr>
            </m:den>
          </m:f>
          <m:r>
            <m:rPr>
              <m:nor/>
              <m:sty m:val="p"/>
            </m:rPr>
            <w:rPr>
              <w:rFonts w:hint="default" w:ascii="Times New Roman" w:hAnsi="Times New Roman" w:cs="Times New Roman"/>
              <w:b w:val="0"/>
              <w:i w:val="0"/>
              <w:sz w:val="28"/>
              <w:szCs w:val="28"/>
            </w:rPr>
            <m:t>=</m:t>
          </m:r>
          <m:f>
            <m:fPr>
              <m:ctrlPr>
                <w:rPr>
                  <w:rFonts w:hint="default" w:ascii="Cambria Math" w:hAnsi="Cambria Math" w:cs="Times New Roman"/>
                  <w:i/>
                  <w:sz w:val="28"/>
                  <w:szCs w:val="28"/>
                </w:rPr>
              </m:ctrlPr>
            </m:fPr>
            <m:num>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α</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Sub>
              <m:ctrlPr>
                <w:rPr>
                  <w:rFonts w:hint="default" w:ascii="Cambria Math" w:hAnsi="Cambria Math" w:cs="Times New Roman"/>
                  <w:i/>
                  <w:sz w:val="28"/>
                  <w:szCs w:val="28"/>
                </w:rPr>
              </m:ctrlPr>
            </m:num>
            <m:den>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C</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Sub>
              <m:ctrlPr>
                <w:rPr>
                  <w:rFonts w:hint="default" w:ascii="Cambria Math" w:hAnsi="Cambria Math" w:cs="Times New Roman"/>
                  <w:i/>
                  <w:sz w:val="28"/>
                  <w:szCs w:val="28"/>
                </w:rPr>
              </m:ctrlPr>
            </m:den>
          </m:f>
          <m:r>
            <m:rPr>
              <m:nor/>
              <m:sty m:val="p"/>
            </m:rPr>
            <w:rPr>
              <w:rFonts w:hint="default" w:ascii="Times New Roman" w:hAnsi="Times New Roman" w:cs="Times New Roman"/>
              <w:b w:val="0"/>
              <w:i w:val="0"/>
              <w:sz w:val="28"/>
              <w:szCs w:val="28"/>
            </w:rPr>
            <m:t>+</m:t>
          </m:r>
          <m:f>
            <m:fPr>
              <m:ctrlPr>
                <w:rPr>
                  <w:rFonts w:hint="default" w:ascii="Cambria Math" w:hAnsi="Cambria Math" w:cs="Times New Roman"/>
                  <w:i/>
                  <w:sz w:val="28"/>
                  <w:szCs w:val="28"/>
                </w:rPr>
              </m:ctrlPr>
            </m:fPr>
            <m:num>
              <m:r>
                <m:rPr>
                  <m:nor/>
                  <m:sty m:val="p"/>
                </m:rPr>
                <w:rPr>
                  <w:rFonts w:hint="default" w:ascii="Times New Roman" w:hAnsi="Times New Roman" w:cs="Times New Roman"/>
                  <w:b w:val="0"/>
                  <w:i w:val="0"/>
                  <w:sz w:val="28"/>
                  <w:szCs w:val="28"/>
                </w:rPr>
                <m:t>1-</m:t>
              </m:r>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α</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Sub>
              <m:ctrlPr>
                <w:rPr>
                  <w:rFonts w:hint="default" w:ascii="Cambria Math" w:hAnsi="Cambria Math" w:cs="Times New Roman"/>
                  <w:i/>
                  <w:sz w:val="28"/>
                  <w:szCs w:val="28"/>
                </w:rPr>
              </m:ctrlPr>
            </m:num>
            <m:den>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C</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2</m:t>
                  </m:r>
                  <m:ctrlPr>
                    <w:rPr>
                      <w:rFonts w:hint="default" w:ascii="Cambria Math" w:hAnsi="Cambria Math" w:cs="Times New Roman"/>
                      <w:i/>
                      <w:sz w:val="28"/>
                      <w:szCs w:val="28"/>
                    </w:rPr>
                  </m:ctrlPr>
                </m:sub>
              </m:sSub>
              <m:ctrlPr>
                <w:rPr>
                  <w:rFonts w:hint="default" w:ascii="Cambria Math" w:hAnsi="Cambria Math" w:cs="Times New Roman"/>
                  <w:i/>
                  <w:sz w:val="28"/>
                  <w:szCs w:val="28"/>
                </w:rPr>
              </m:ctrlPr>
            </m:den>
          </m:f>
          <m:r>
            <m:rPr>
              <m:nor/>
              <m:sty m:val="p"/>
            </m:rPr>
            <w:rPr>
              <w:rFonts w:hint="default" w:ascii="Times New Roman" w:hAnsi="Times New Roman" w:cs="Times New Roman"/>
              <w:b w:val="0"/>
              <w:i w:val="0"/>
              <w:sz w:val="28"/>
              <w:szCs w:val="28"/>
            </w:rPr>
            <m:t xml:space="preserve">                                                  </m:t>
          </m:r>
          <w:bookmarkEnd w:id="566"/>
          <m:d>
            <m:dPr>
              <m:ctrlPr>
                <w:rPr>
                  <w:rFonts w:hint="default" w:ascii="Cambria Math" w:hAnsi="Cambria Math" w:cs="Times New Roman"/>
                  <w:iCs/>
                  <w:sz w:val="28"/>
                  <w:szCs w:val="28"/>
                </w:rPr>
              </m:ctrlPr>
            </m:dPr>
            <m:e>
              <m:r>
                <m:rPr>
                  <m:nor/>
                  <m:sty m:val="p"/>
                </m:rPr>
                <w:rPr>
                  <w:rFonts w:hint="default" w:ascii="Times New Roman" w:hAnsi="Times New Roman" w:cs="Times New Roman"/>
                  <w:b w:val="0"/>
                  <w:i w:val="0"/>
                  <w:iCs/>
                  <w:sz w:val="28"/>
                  <w:szCs w:val="28"/>
                </w:rPr>
                <m:t>4</m:t>
              </m:r>
              <m:r>
                <m:rPr>
                  <m:nor/>
                  <m:sty m:val="p"/>
                </m:rPr>
                <w:rPr>
                  <w:rFonts w:hint="default" w:ascii="Times New Roman" w:hAnsi="Times New Roman" w:cs="Times New Roman"/>
                  <w:b w:val="0"/>
                  <w:i w:val="0"/>
                  <w:sz w:val="28"/>
                  <w:szCs w:val="28"/>
                  <w:lang w:val="en-US" w:eastAsia="zh-CN"/>
                </w:rPr>
                <m:t>.</m:t>
              </m:r>
              <m:r>
                <m:rPr>
                  <m:nor/>
                  <m:sty m:val="p"/>
                </m:rPr>
                <w:rPr>
                  <w:rFonts w:hint="default" w:ascii="Times New Roman" w:hAnsi="Times New Roman" w:cs="Times New Roman"/>
                  <w:b w:val="0"/>
                  <w:i w:val="0"/>
                  <w:sz w:val="28"/>
                  <w:szCs w:val="28"/>
                </w:rPr>
                <m:t>3</m:t>
              </m:r>
              <m:ctrlPr>
                <w:rPr>
                  <w:rFonts w:hint="default" w:ascii="Cambria Math" w:hAnsi="Cambria Math" w:cs="Times New Roman"/>
                  <w:iCs/>
                  <w:sz w:val="28"/>
                  <w:szCs w:val="28"/>
                </w:rPr>
              </m:ctrlPr>
            </m:e>
          </m:d>
        </m:oMath>
      </m:oMathPara>
    </w:p>
    <w:p w14:paraId="5D96A986">
      <w:pPr>
        <w:widowControl/>
        <w:adjustRightInd w:val="0"/>
        <w:ind w:firstLine="709" w:firstLineChars="0"/>
        <w:rPr>
          <w:rFonts w:hint="default" w:ascii="Times New Roman" w:hAnsi="Times New Roman" w:cs="Times New Roman"/>
          <w:iCs/>
          <w:sz w:val="28"/>
          <w:szCs w:val="28"/>
        </w:rPr>
      </w:pPr>
      <m:oMathPara>
        <m:oMathParaPr>
          <m:jc m:val="right"/>
        </m:oMathParaPr>
        <m:oMath>
          <w:bookmarkStart w:id="567" w:name="OLE_LINK88"/>
          <m:r>
            <m:rPr>
              <m:nor/>
              <m:sty m:val="p"/>
            </m:rPr>
            <w:rPr>
              <w:rFonts w:hint="default" w:ascii="Times New Roman" w:hAnsi="Times New Roman" w:cs="Times New Roman"/>
              <w:b w:val="0"/>
              <w:i w:val="0"/>
              <w:sz w:val="28"/>
              <w:szCs w:val="28"/>
            </w:rPr>
            <m:t xml:space="preserve">     </m:t>
          </m:r>
          <m:sSubSup>
            <m:sSubSupPr>
              <m:ctrlPr>
                <w:rPr>
                  <w:rFonts w:hint="default" w:ascii="Cambria Math" w:hAnsi="Cambria Math" w:cs="Times New Roman"/>
                  <w:i/>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up>
              <m:r>
                <m:rPr>
                  <m:nor/>
                </m:rPr>
                <w:rPr>
                  <w:rFonts w:hint="default" w:ascii="Times New Roman" w:hAnsi="Times New Roman" w:cs="Times New Roman"/>
                  <w:i/>
                  <w:sz w:val="28"/>
                  <w:szCs w:val="28"/>
                </w:rPr>
                <m:t>id</m:t>
              </m:r>
              <m:ctrlPr>
                <w:rPr>
                  <w:rFonts w:hint="default" w:ascii="Cambria Math" w:hAnsi="Cambria Math" w:cs="Times New Roman"/>
                  <w:i/>
                  <w:sz w:val="28"/>
                  <w:szCs w:val="28"/>
                </w:rPr>
              </m:ctrlPr>
            </m:sup>
          </m:sSubSup>
          <m:r>
            <m:rPr>
              <m:nor/>
              <m:sty m:val="p"/>
            </m:rPr>
            <w:rPr>
              <w:rFonts w:hint="default" w:ascii="Times New Roman" w:hAnsi="Times New Roman" w:cs="Times New Roman"/>
              <w:b w:val="0"/>
              <w:i w:val="0"/>
              <w:sz w:val="28"/>
              <w:szCs w:val="28"/>
            </w:rPr>
            <m:t>=</m:t>
          </m:r>
          <m:f>
            <m:fPr>
              <m:ctrlPr>
                <w:rPr>
                  <w:rFonts w:hint="default" w:ascii="Cambria Math" w:hAnsi="Cambria Math" w:cs="Times New Roman"/>
                  <w:sz w:val="28"/>
                  <w:szCs w:val="28"/>
                </w:rPr>
              </m:ctrlPr>
            </m:fPr>
            <m:num>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α</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Sub>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c</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2</m:t>
                  </m:r>
                  <m:ctrlPr>
                    <w:rPr>
                      <w:rFonts w:hint="default" w:ascii="Cambria Math" w:hAnsi="Cambria Math" w:cs="Times New Roman"/>
                      <w:i/>
                      <w:sz w:val="28"/>
                      <w:szCs w:val="28"/>
                    </w:rPr>
                  </m:ctrlPr>
                </m:sub>
              </m:sSub>
              <m:ctrlPr>
                <w:rPr>
                  <w:rFonts w:hint="default" w:ascii="Cambria Math" w:hAnsi="Cambria Math" w:cs="Times New Roman"/>
                  <w:sz w:val="28"/>
                  <w:szCs w:val="28"/>
                </w:rPr>
              </m:ctrlPr>
            </m:num>
            <m:den>
              <m:sSub>
                <m:sSubPr>
                  <m:ctrlPr>
                    <w:rPr>
                      <w:rFonts w:hint="default" w:ascii="Cambria Math" w:hAnsi="Cambria Math" w:cs="Times New Roman"/>
                      <w:sz w:val="28"/>
                      <w:szCs w:val="28"/>
                    </w:rPr>
                  </m:ctrlPr>
                </m:sSubPr>
                <m:e>
                  <m:r>
                    <m:rPr>
                      <m:nor/>
                    </m:rPr>
                    <w:rPr>
                      <w:rFonts w:hint="default" w:ascii="Times New Roman" w:hAnsi="Times New Roman" w:cs="Times New Roman"/>
                      <w:i/>
                      <w:sz w:val="28"/>
                      <w:szCs w:val="28"/>
                    </w:rPr>
                    <m:t>α</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Sub>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c</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2</m:t>
                  </m:r>
                  <m:ctrlPr>
                    <w:rPr>
                      <w:rFonts w:hint="default" w:ascii="Cambria Math" w:hAnsi="Cambria Math" w:cs="Times New Roman"/>
                      <w:i/>
                      <w:sz w:val="28"/>
                      <w:szCs w:val="28"/>
                    </w:rPr>
                  </m:ctrlPr>
                </m:sub>
              </m:sSub>
              <m:r>
                <m:rPr>
                  <m:nor/>
                  <m:sty m:val="p"/>
                </m:rPr>
                <w:rPr>
                  <w:rFonts w:hint="default" w:ascii="Times New Roman" w:hAnsi="Times New Roman" w:cs="Times New Roman"/>
                  <w:b w:val="0"/>
                  <w:i w:val="0"/>
                  <w:sz w:val="28"/>
                  <w:szCs w:val="28"/>
                </w:rPr>
                <m:t>+</m:t>
              </m:r>
              <m:d>
                <m:dPr>
                  <m:ctrlPr>
                    <w:rPr>
                      <w:rFonts w:hint="default" w:ascii="Cambria Math" w:hAnsi="Cambria Math" w:cs="Times New Roman"/>
                      <w:i/>
                      <w:sz w:val="28"/>
                      <w:szCs w:val="28"/>
                    </w:rPr>
                  </m:ctrlPr>
                </m:dPr>
                <m:e>
                  <m:r>
                    <m:rPr>
                      <m:nor/>
                      <m:sty m:val="p"/>
                    </m:rPr>
                    <w:rPr>
                      <w:rFonts w:hint="default" w:ascii="Times New Roman" w:hAnsi="Times New Roman" w:cs="Times New Roman"/>
                      <w:b w:val="0"/>
                      <w:i w:val="0"/>
                      <w:sz w:val="28"/>
                      <w:szCs w:val="28"/>
                    </w:rPr>
                    <m:t>1-</m:t>
                  </m:r>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α</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Sub>
                  <m:ctrlPr>
                    <w:rPr>
                      <w:rFonts w:hint="default" w:ascii="Cambria Math" w:hAnsi="Cambria Math" w:cs="Times New Roman"/>
                      <w:i/>
                      <w:sz w:val="28"/>
                      <w:szCs w:val="28"/>
                    </w:rPr>
                  </m:ctrlPr>
                </m:e>
              </m:d>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c</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Sub>
              <m:ctrlPr>
                <w:rPr>
                  <w:rFonts w:hint="default" w:ascii="Cambria Math" w:hAnsi="Cambria Math" w:cs="Times New Roman"/>
                  <w:sz w:val="28"/>
                  <w:szCs w:val="28"/>
                </w:rPr>
              </m:ctrlPr>
            </m:den>
          </m:f>
          <m:r>
            <m:rPr>
              <m:nor/>
              <m:sty m:val="p"/>
            </m:rPr>
            <w:rPr>
              <w:rFonts w:hint="default" w:ascii="Times New Roman" w:hAnsi="Times New Roman" w:cs="Times New Roman"/>
              <w:b w:val="0"/>
              <w:i w:val="0"/>
              <w:sz w:val="28"/>
              <w:szCs w:val="28"/>
            </w:rPr>
            <m:t xml:space="preserve">                                            </m:t>
          </m:r>
          <m:d>
            <m:dPr>
              <m:ctrlPr>
                <w:rPr>
                  <w:rFonts w:hint="default" w:ascii="Cambria Math" w:hAnsi="Cambria Math" w:cs="Times New Roman"/>
                  <w:iCs/>
                  <w:sz w:val="28"/>
                  <w:szCs w:val="28"/>
                </w:rPr>
              </m:ctrlPr>
            </m:dPr>
            <m:e>
              <m:r>
                <m:rPr>
                  <m:nor/>
                  <m:sty m:val="p"/>
                </m:rPr>
                <w:rPr>
                  <w:rFonts w:hint="default" w:ascii="Times New Roman" w:hAnsi="Times New Roman" w:cs="Times New Roman"/>
                  <w:b w:val="0"/>
                  <w:i w:val="0"/>
                  <w:sz w:val="28"/>
                  <w:szCs w:val="28"/>
                </w:rPr>
                <m:t>4</m:t>
              </m:r>
              <m:r>
                <m:rPr>
                  <m:nor/>
                  <m:sty m:val="p"/>
                </m:rPr>
                <w:rPr>
                  <w:rFonts w:hint="default" w:ascii="Times New Roman" w:hAnsi="Times New Roman" w:cs="Times New Roman"/>
                  <w:b w:val="0"/>
                  <w:i w:val="0"/>
                  <w:sz w:val="28"/>
                  <w:szCs w:val="28"/>
                  <w:lang w:val="en-US" w:eastAsia="zh-CN"/>
                </w:rPr>
                <m:t>.</m:t>
              </m:r>
              <m:r>
                <m:rPr>
                  <m:nor/>
                  <m:sty m:val="p"/>
                </m:rPr>
                <w:rPr>
                  <w:rFonts w:hint="default" w:ascii="Times New Roman" w:hAnsi="Times New Roman" w:cs="Times New Roman"/>
                  <w:b w:val="0"/>
                  <w:i w:val="0"/>
                  <w:sz w:val="28"/>
                  <w:szCs w:val="28"/>
                </w:rPr>
                <m:t>4</m:t>
              </m:r>
              <m:ctrlPr>
                <w:rPr>
                  <w:rFonts w:hint="default" w:ascii="Cambria Math" w:hAnsi="Cambria Math" w:cs="Times New Roman"/>
                  <w:iCs/>
                  <w:sz w:val="28"/>
                  <w:szCs w:val="28"/>
                </w:rPr>
              </m:ctrlPr>
            </m:e>
          </m:d>
        </m:oMath>
      </m:oMathPara>
    </w:p>
    <w:bookmarkEnd w:id="567"/>
    <w:p w14:paraId="77F271C9">
      <w:pPr>
        <w:widowControl/>
        <w:ind w:firstLine="709" w:firstLineChars="0"/>
        <w:rPr>
          <w:rFonts w:hint="default" w:ascii="Times New Roman" w:hAnsi="Times New Roman" w:cs="Times New Roman"/>
          <w:iCs/>
          <w:sz w:val="28"/>
          <w:szCs w:val="28"/>
          <w:lang w:val="pt-BR"/>
        </w:rPr>
      </w:pPr>
      <w:r>
        <w:rPr>
          <w:rFonts w:hint="default" w:ascii="Times New Roman" w:hAnsi="Times New Roman" w:cs="Times New Roman"/>
          <w:iCs/>
          <w:sz w:val="28"/>
          <w:szCs w:val="28"/>
        </w:rPr>
        <w:t xml:space="preserve">The activity coefficients </w:t>
      </w:r>
      <m:oMath>
        <m:r>
          <m:rPr>
            <m:nor/>
            <m:sty m:val="p"/>
          </m:rPr>
          <w:rPr>
            <w:rFonts w:hint="default" w:ascii="Times New Roman" w:hAnsi="Times New Roman" w:cs="Times New Roman"/>
            <w:b w:val="0"/>
            <w:i w:val="0"/>
            <w:sz w:val="28"/>
            <w:szCs w:val="28"/>
          </w:rPr>
          <m:t xml:space="preserve"> </m:t>
        </m:r>
        <m:sSubSup>
          <m:sSubSupPr>
            <m:ctrlPr>
              <w:rPr>
                <w:rFonts w:hint="default" w:ascii="Cambria Math" w:hAnsi="Cambria Math" w:cs="Times New Roman"/>
                <w:i/>
                <w:sz w:val="28"/>
                <w:szCs w:val="28"/>
              </w:rPr>
            </m:ctrlPr>
          </m:sSubSupPr>
          <m:e>
            <m:r>
              <m:rPr>
                <m:nor/>
              </m:rPr>
              <w:rPr>
                <w:rFonts w:hint="default" w:ascii="Times New Roman" w:hAnsi="Times New Roman" w:cs="Times New Roman"/>
                <w:i/>
                <w:sz w:val="28"/>
                <w:szCs w:val="28"/>
              </w:rPr>
              <m:t>f</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up>
            <m:r>
              <m:rPr>
                <m:nor/>
              </m:rPr>
              <w:rPr>
                <w:rFonts w:hint="default" w:ascii="Times New Roman" w:hAnsi="Times New Roman" w:cs="Times New Roman"/>
                <w:i/>
                <w:sz w:val="28"/>
                <w:szCs w:val="28"/>
              </w:rPr>
              <m:t>m</m:t>
            </m:r>
            <m:ctrlPr>
              <w:rPr>
                <w:rFonts w:hint="default" w:ascii="Cambria Math" w:hAnsi="Cambria Math" w:cs="Times New Roman"/>
                <w:i/>
                <w:sz w:val="28"/>
                <w:szCs w:val="28"/>
              </w:rPr>
            </m:ctrlPr>
          </m:sup>
        </m:sSubSup>
      </m:oMath>
      <w:r>
        <w:rPr>
          <w:rFonts w:hint="default" w:ascii="Times New Roman" w:hAnsi="Times New Roman" w:cs="Times New Roman"/>
          <w:iCs/>
          <w:sz w:val="28"/>
          <w:szCs w:val="28"/>
        </w:rPr>
        <w:t xml:space="preserve"> and </w:t>
      </w:r>
      <m:oMath>
        <m:sSubSup>
          <m:sSubSupPr>
            <m:ctrlPr>
              <w:rPr>
                <w:rFonts w:hint="default" w:ascii="Cambria Math" w:hAnsi="Cambria Math" w:cs="Times New Roman"/>
                <w:i/>
                <w:sz w:val="28"/>
                <w:szCs w:val="28"/>
              </w:rPr>
            </m:ctrlPr>
          </m:sSubSupPr>
          <m:e>
            <m:r>
              <m:rPr>
                <m:nor/>
              </m:rPr>
              <w:rPr>
                <w:rFonts w:hint="default" w:ascii="Times New Roman" w:hAnsi="Times New Roman" w:cs="Times New Roman"/>
                <w:i/>
                <w:sz w:val="28"/>
                <w:szCs w:val="28"/>
              </w:rPr>
              <m:t>f</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2</m:t>
            </m:r>
            <m:ctrlPr>
              <w:rPr>
                <w:rFonts w:hint="default" w:ascii="Cambria Math" w:hAnsi="Cambria Math" w:cs="Times New Roman"/>
                <w:i/>
                <w:sz w:val="28"/>
                <w:szCs w:val="28"/>
              </w:rPr>
            </m:ctrlPr>
          </m:sub>
          <m:sup>
            <m:r>
              <m:rPr>
                <m:nor/>
              </m:rPr>
              <w:rPr>
                <w:rFonts w:hint="default" w:ascii="Times New Roman" w:hAnsi="Times New Roman" w:cs="Times New Roman"/>
                <w:i/>
                <w:sz w:val="28"/>
                <w:szCs w:val="28"/>
              </w:rPr>
              <m:t>m</m:t>
            </m:r>
            <m:ctrlPr>
              <w:rPr>
                <w:rFonts w:hint="default" w:ascii="Cambria Math" w:hAnsi="Cambria Math" w:cs="Times New Roman"/>
                <w:i/>
                <w:sz w:val="28"/>
                <w:szCs w:val="28"/>
              </w:rPr>
            </m:ctrlPr>
          </m:sup>
        </m:sSubSup>
      </m:oMath>
      <w:r>
        <w:rPr>
          <w:rFonts w:hint="default" w:ascii="Times New Roman" w:hAnsi="Times New Roman" w:cs="Times New Roman"/>
          <w:iCs/>
          <w:sz w:val="28"/>
          <w:szCs w:val="28"/>
        </w:rPr>
        <w:t xml:space="preserve"> of the two surfactant components in mixed micelles can be obtained using Eqs. </w:t>
      </w:r>
      <w:r>
        <w:rPr>
          <w:rFonts w:hint="default" w:ascii="Times New Roman" w:hAnsi="Times New Roman" w:cs="Times New Roman"/>
          <w:iCs/>
          <w:sz w:val="28"/>
          <w:szCs w:val="28"/>
          <w:lang w:val="pt-BR"/>
        </w:rPr>
        <w:t>(4</w:t>
      </w:r>
      <w:r>
        <w:rPr>
          <w:rFonts w:hint="default" w:ascii="Times New Roman" w:hAnsi="Times New Roman" w:cs="Times New Roman"/>
          <w:iCs/>
          <w:sz w:val="28"/>
          <w:szCs w:val="28"/>
          <w:lang w:val="en-US" w:eastAsia="zh-CN"/>
        </w:rPr>
        <w:t>.</w:t>
      </w:r>
      <w:r>
        <w:rPr>
          <w:rFonts w:hint="default" w:ascii="Times New Roman" w:hAnsi="Times New Roman" w:cs="Times New Roman"/>
          <w:iCs/>
          <w:sz w:val="28"/>
          <w:szCs w:val="28"/>
          <w:lang w:val="pt-BR"/>
        </w:rPr>
        <w:t>5) and (4</w:t>
      </w:r>
      <w:r>
        <w:rPr>
          <w:rFonts w:hint="default" w:ascii="Times New Roman" w:hAnsi="Times New Roman" w:cs="Times New Roman"/>
          <w:iCs/>
          <w:sz w:val="28"/>
          <w:szCs w:val="28"/>
          <w:lang w:val="en-US" w:eastAsia="zh-CN"/>
        </w:rPr>
        <w:t>.</w:t>
      </w:r>
      <w:r>
        <w:rPr>
          <w:rFonts w:hint="default" w:ascii="Times New Roman" w:hAnsi="Times New Roman" w:cs="Times New Roman"/>
          <w:iCs/>
          <w:sz w:val="28"/>
          <w:szCs w:val="28"/>
          <w:lang w:val="pt-BR"/>
        </w:rPr>
        <w:t>6).</w:t>
      </w:r>
    </w:p>
    <w:p w14:paraId="2B0432BE">
      <w:pPr>
        <w:widowControl/>
        <w:adjustRightInd w:val="0"/>
        <w:ind w:firstLine="709" w:firstLineChars="0"/>
        <w:rPr>
          <w:rFonts w:hint="default" w:ascii="Times New Roman" w:hAnsi="Times New Roman" w:cs="Times New Roman"/>
          <w:i/>
          <w:sz w:val="28"/>
          <w:szCs w:val="28"/>
          <w:lang w:val="pt-BR"/>
        </w:rPr>
      </w:pPr>
      <w:bookmarkStart w:id="568" w:name="OLE_LINK25"/>
      <m:oMathPara>
        <m:oMathParaPr>
          <m:jc m:val="right"/>
        </m:oMathParaPr>
        <m:oMath>
          <m:r>
            <m:rPr>
              <m:nor/>
              <m:sty m:val="p"/>
            </m:rPr>
            <w:rPr>
              <w:rFonts w:hint="default" w:ascii="Times New Roman" w:hAnsi="Times New Roman" w:cs="Times New Roman"/>
              <w:b w:val="0"/>
              <w:i w:val="0"/>
              <w:sz w:val="28"/>
              <w:szCs w:val="28"/>
              <w:lang w:val="pt-BR"/>
            </w:rPr>
            <m:t xml:space="preserve">  </m:t>
          </m:r>
          <m:sSubSup>
            <m:sSubSupPr>
              <m:ctrlPr>
                <w:rPr>
                  <w:rFonts w:hint="default" w:ascii="Cambria Math" w:hAnsi="Cambria Math" w:cs="Times New Roman"/>
                  <w:i/>
                  <w:sz w:val="28"/>
                  <w:szCs w:val="28"/>
                </w:rPr>
              </m:ctrlPr>
            </m:sSubSupPr>
            <m:e>
              <m:r>
                <m:rPr>
                  <m:nor/>
                </m:rPr>
                <w:rPr>
                  <w:rFonts w:hint="default" w:ascii="Times New Roman" w:hAnsi="Times New Roman" w:cs="Times New Roman"/>
                  <w:i/>
                  <w:sz w:val="28"/>
                  <w:szCs w:val="28"/>
                  <w:lang w:val="pt-BR"/>
                </w:rPr>
                <m:t>f</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lang w:val="pt-BR"/>
                </w:rPr>
                <m:t>1</m:t>
              </m:r>
              <m:ctrlPr>
                <w:rPr>
                  <w:rFonts w:hint="default" w:ascii="Cambria Math" w:hAnsi="Cambria Math" w:cs="Times New Roman"/>
                  <w:i/>
                  <w:sz w:val="28"/>
                  <w:szCs w:val="28"/>
                </w:rPr>
              </m:ctrlPr>
            </m:sub>
            <m:sup>
              <m:r>
                <m:rPr>
                  <m:nor/>
                </m:rPr>
                <w:rPr>
                  <w:rFonts w:hint="default" w:ascii="Times New Roman" w:hAnsi="Times New Roman" w:cs="Times New Roman"/>
                  <w:i/>
                  <w:sz w:val="28"/>
                  <w:szCs w:val="28"/>
                  <w:lang w:val="pt-BR"/>
                </w:rPr>
                <m:t>m</m:t>
              </m:r>
              <m:ctrlPr>
                <w:rPr>
                  <w:rFonts w:hint="default" w:ascii="Cambria Math" w:hAnsi="Cambria Math" w:cs="Times New Roman"/>
                  <w:i/>
                  <w:sz w:val="28"/>
                  <w:szCs w:val="28"/>
                </w:rPr>
              </m:ctrlPr>
            </m:sup>
          </m:sSubSup>
          <m:r>
            <m:rPr>
              <m:nor/>
              <m:sty m:val="p"/>
            </m:rPr>
            <w:rPr>
              <w:rFonts w:hint="default" w:ascii="Times New Roman" w:hAnsi="Times New Roman" w:cs="Times New Roman"/>
              <w:b w:val="0"/>
              <w:i w:val="0"/>
              <w:sz w:val="28"/>
              <w:szCs w:val="28"/>
              <w:lang w:val="pt-BR"/>
            </w:rPr>
            <m:t>=</m:t>
          </m:r>
          <m:r>
            <m:rPr>
              <m:nor/>
            </m:rPr>
            <w:rPr>
              <w:rFonts w:hint="default" w:ascii="Times New Roman" w:hAnsi="Times New Roman" w:cs="Times New Roman"/>
              <w:i/>
              <w:sz w:val="28"/>
              <w:szCs w:val="28"/>
              <w:lang w:val="pt-BR"/>
            </w:rPr>
            <m:t>ex</m:t>
          </m:r>
          <m:func>
            <m:funcPr>
              <m:ctrlPr>
                <w:rPr>
                  <w:rFonts w:hint="default" w:ascii="Cambria Math" w:hAnsi="Cambria Math" w:cs="Times New Roman"/>
                  <w:i/>
                  <w:sz w:val="28"/>
                  <w:szCs w:val="28"/>
                </w:rPr>
              </m:ctrlPr>
            </m:funcPr>
            <m:fName>
              <m:r>
                <m:rPr>
                  <m:nor/>
                </m:rPr>
                <w:rPr>
                  <w:rFonts w:hint="default" w:ascii="Times New Roman" w:hAnsi="Times New Roman" w:cs="Times New Roman"/>
                  <w:i/>
                  <w:sz w:val="28"/>
                  <w:szCs w:val="28"/>
                  <w:lang w:val="pt-BR"/>
                </w:rPr>
                <m:t>p</m:t>
              </m:r>
              <m:ctrlPr>
                <w:rPr>
                  <w:rFonts w:hint="default" w:ascii="Cambria Math" w:hAnsi="Cambria Math" w:cs="Times New Roman"/>
                  <w:i/>
                  <w:sz w:val="28"/>
                  <w:szCs w:val="28"/>
                </w:rPr>
              </m:ctrlPr>
            </m:fName>
            <m:e>
              <m:d>
                <m:dPr>
                  <m:begChr m:val="{"/>
                  <m:endChr m:val="}"/>
                  <m:ctrlPr>
                    <w:rPr>
                      <w:rFonts w:hint="default" w:ascii="Cambria Math" w:hAnsi="Cambria Math" w:cs="Times New Roman"/>
                      <w:i/>
                      <w:sz w:val="28"/>
                      <w:szCs w:val="28"/>
                    </w:rPr>
                  </m:ctrlPr>
                </m:dPr>
                <m:e>
                  <m:sSup>
                    <m:sSupPr>
                      <m:ctrlPr>
                        <w:rPr>
                          <w:rFonts w:hint="default" w:ascii="Cambria Math" w:hAnsi="Cambria Math" w:cs="Times New Roman"/>
                          <w:i/>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i/>
                          <w:sz w:val="28"/>
                          <w:szCs w:val="28"/>
                        </w:rPr>
                      </m:ctrlPr>
                    </m:e>
                    <m:sup>
                      <m:r>
                        <m:rPr>
                          <m:nor/>
                        </m:rPr>
                        <w:rPr>
                          <w:rFonts w:hint="default" w:ascii="Times New Roman" w:hAnsi="Times New Roman" w:cs="Times New Roman"/>
                          <w:i/>
                          <w:sz w:val="28"/>
                          <w:szCs w:val="28"/>
                          <w:lang w:val="pt-BR"/>
                        </w:rPr>
                        <m:t>m</m:t>
                      </m:r>
                      <m:ctrlPr>
                        <w:rPr>
                          <w:rFonts w:hint="default" w:ascii="Cambria Math" w:hAnsi="Cambria Math" w:cs="Times New Roman"/>
                          <w:i/>
                          <w:sz w:val="28"/>
                          <w:szCs w:val="28"/>
                        </w:rPr>
                      </m:ctrlPr>
                    </m:sup>
                  </m:sSup>
                  <m:sSup>
                    <m:sSupPr>
                      <m:ctrlPr>
                        <w:rPr>
                          <w:rFonts w:hint="default" w:ascii="Cambria Math" w:hAnsi="Cambria Math" w:cs="Times New Roman"/>
                          <w:i/>
                          <w:sz w:val="28"/>
                          <w:szCs w:val="28"/>
                        </w:rPr>
                      </m:ctrlPr>
                    </m:sSupPr>
                    <m:e>
                      <m:d>
                        <m:dPr>
                          <m:ctrlPr>
                            <w:rPr>
                              <w:rFonts w:hint="default" w:ascii="Cambria Math" w:hAnsi="Cambria Math" w:cs="Times New Roman"/>
                              <w:i/>
                              <w:sz w:val="28"/>
                              <w:szCs w:val="28"/>
                            </w:rPr>
                          </m:ctrlPr>
                        </m:dPr>
                        <m:e>
                          <m:r>
                            <m:rPr>
                              <m:nor/>
                              <m:sty m:val="p"/>
                            </m:rPr>
                            <w:rPr>
                              <w:rFonts w:hint="default" w:ascii="Times New Roman" w:hAnsi="Times New Roman" w:cs="Times New Roman"/>
                              <w:b w:val="0"/>
                              <w:i w:val="0"/>
                              <w:sz w:val="28"/>
                              <w:szCs w:val="28"/>
                              <w:lang w:val="pt-BR"/>
                            </w:rPr>
                            <m:t>1-</m:t>
                          </m:r>
                          <m:sSubSup>
                            <m:sSubSupPr>
                              <m:ctrlPr>
                                <w:rPr>
                                  <w:rFonts w:hint="default" w:ascii="Cambria Math" w:hAnsi="Cambria Math" w:cs="Times New Roman"/>
                                  <w:i/>
                                  <w:sz w:val="28"/>
                                  <w:szCs w:val="28"/>
                                </w:rPr>
                              </m:ctrlPr>
                            </m:sSubSupPr>
                            <m:e>
                              <m:r>
                                <m:rPr>
                                  <m:nor/>
                                </m:rPr>
                                <w:rPr>
                                  <w:rFonts w:hint="default" w:ascii="Times New Roman" w:hAnsi="Times New Roman" w:cs="Times New Roman"/>
                                  <w:i/>
                                  <w:sz w:val="28"/>
                                  <w:szCs w:val="28"/>
                                  <w:lang w:val="pt-BR"/>
                                </w:rPr>
                                <m:t>X</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lang w:val="pt-BR"/>
                                </w:rPr>
                                <m:t>1</m:t>
                              </m:r>
                              <m:ctrlPr>
                                <w:rPr>
                                  <w:rFonts w:hint="default" w:ascii="Cambria Math" w:hAnsi="Cambria Math" w:cs="Times New Roman"/>
                                  <w:i/>
                                  <w:sz w:val="28"/>
                                  <w:szCs w:val="28"/>
                                </w:rPr>
                              </m:ctrlPr>
                            </m:sub>
                            <m:sup>
                              <m:r>
                                <m:rPr>
                                  <m:nor/>
                                </m:rPr>
                                <w:rPr>
                                  <w:rFonts w:hint="default" w:ascii="Times New Roman" w:hAnsi="Times New Roman" w:cs="Times New Roman"/>
                                  <w:i/>
                                  <w:sz w:val="28"/>
                                  <w:szCs w:val="28"/>
                                  <w:lang w:val="pt-BR"/>
                                </w:rPr>
                                <m:t>m</m:t>
                              </m:r>
                              <m:ctrlPr>
                                <w:rPr>
                                  <w:rFonts w:hint="default" w:ascii="Cambria Math" w:hAnsi="Cambria Math" w:cs="Times New Roman"/>
                                  <w:i/>
                                  <w:sz w:val="28"/>
                                  <w:szCs w:val="28"/>
                                </w:rPr>
                              </m:ctrlPr>
                            </m:sup>
                          </m:sSubSup>
                          <m:ctrlPr>
                            <w:rPr>
                              <w:rFonts w:hint="default" w:ascii="Cambria Math" w:hAnsi="Cambria Math" w:cs="Times New Roman"/>
                              <w:i/>
                              <w:sz w:val="28"/>
                              <w:szCs w:val="28"/>
                            </w:rPr>
                          </m:ctrlPr>
                        </m:e>
                      </m:d>
                      <m:ctrlPr>
                        <w:rPr>
                          <w:rFonts w:hint="default" w:ascii="Cambria Math" w:hAnsi="Cambria Math" w:cs="Times New Roman"/>
                          <w:i/>
                          <w:sz w:val="28"/>
                          <w:szCs w:val="28"/>
                        </w:rPr>
                      </m:ctrlPr>
                    </m:e>
                    <m:sup>
                      <m:r>
                        <m:rPr>
                          <m:nor/>
                          <m:sty m:val="p"/>
                        </m:rPr>
                        <w:rPr>
                          <w:rFonts w:hint="default" w:ascii="Times New Roman" w:hAnsi="Times New Roman" w:cs="Times New Roman"/>
                          <w:b w:val="0"/>
                          <w:i w:val="0"/>
                          <w:sz w:val="28"/>
                          <w:szCs w:val="28"/>
                          <w:lang w:val="pt-BR"/>
                        </w:rPr>
                        <m:t>2</m:t>
                      </m:r>
                      <m:ctrlPr>
                        <w:rPr>
                          <w:rFonts w:hint="default" w:ascii="Cambria Math" w:hAnsi="Cambria Math" w:cs="Times New Roman"/>
                          <w:i/>
                          <w:sz w:val="28"/>
                          <w:szCs w:val="28"/>
                        </w:rPr>
                      </m:ctrlPr>
                    </m:sup>
                  </m:sSup>
                  <m:ctrlPr>
                    <w:rPr>
                      <w:rFonts w:hint="default" w:ascii="Cambria Math" w:hAnsi="Cambria Math" w:cs="Times New Roman"/>
                      <w:i/>
                      <w:sz w:val="28"/>
                      <w:szCs w:val="28"/>
                    </w:rPr>
                  </m:ctrlPr>
                </m:e>
              </m:d>
              <m:ctrlPr>
                <w:rPr>
                  <w:rFonts w:hint="default" w:ascii="Cambria Math" w:hAnsi="Cambria Math" w:cs="Times New Roman"/>
                  <w:i/>
                  <w:sz w:val="28"/>
                  <w:szCs w:val="28"/>
                </w:rPr>
              </m:ctrlPr>
            </m:e>
          </m:func>
          <m:r>
            <m:rPr>
              <m:nor/>
              <m:sty m:val="p"/>
            </m:rPr>
            <w:rPr>
              <w:rFonts w:hint="default" w:ascii="Times New Roman" w:hAnsi="Times New Roman" w:cs="Times New Roman"/>
              <w:b w:val="0"/>
              <w:i w:val="0"/>
              <w:sz w:val="28"/>
              <w:szCs w:val="28"/>
              <w:lang w:val="pt-BR"/>
            </w:rPr>
            <m:t xml:space="preserve">                                          </m:t>
          </m:r>
          <m:d>
            <m:dPr>
              <m:ctrlPr>
                <w:rPr>
                  <w:rFonts w:hint="default" w:ascii="Cambria Math" w:hAnsi="Cambria Math" w:cs="Times New Roman"/>
                  <w:i/>
                  <w:sz w:val="28"/>
                  <w:szCs w:val="28"/>
                </w:rPr>
              </m:ctrlPr>
            </m:dPr>
            <m:e>
              <m:r>
                <m:rPr>
                  <m:nor/>
                  <m:sty m:val="p"/>
                </m:rPr>
                <w:rPr>
                  <w:rFonts w:hint="default" w:ascii="Times New Roman" w:hAnsi="Times New Roman" w:cs="Times New Roman"/>
                  <w:b w:val="0"/>
                  <w:i w:val="0"/>
                  <w:sz w:val="28"/>
                  <w:szCs w:val="28"/>
                  <w:lang w:val="pt-BR"/>
                </w:rPr>
                <m:t>4</m:t>
              </m:r>
              <m:r>
                <m:rPr>
                  <m:nor/>
                  <m:sty m:val="p"/>
                </m:rPr>
                <w:rPr>
                  <w:rFonts w:hint="default" w:ascii="Times New Roman" w:hAnsi="Times New Roman" w:cs="Times New Roman"/>
                  <w:b w:val="0"/>
                  <w:i w:val="0"/>
                  <w:sz w:val="28"/>
                  <w:szCs w:val="28"/>
                  <w:lang w:val="en-US" w:eastAsia="zh-CN"/>
                </w:rPr>
                <m:t>.</m:t>
              </m:r>
              <m:r>
                <m:rPr>
                  <m:nor/>
                  <m:sty m:val="p"/>
                </m:rPr>
                <w:rPr>
                  <w:rFonts w:hint="default" w:ascii="Times New Roman" w:hAnsi="Times New Roman" w:cs="Times New Roman"/>
                  <w:b w:val="0"/>
                  <w:i w:val="0"/>
                  <w:sz w:val="28"/>
                  <w:szCs w:val="28"/>
                  <w:lang w:val="pt-BR"/>
                </w:rPr>
                <m:t>5</m:t>
              </m:r>
              <m:ctrlPr>
                <w:rPr>
                  <w:rFonts w:hint="default" w:ascii="Cambria Math" w:hAnsi="Cambria Math" w:cs="Times New Roman"/>
                  <w:i/>
                  <w:sz w:val="28"/>
                  <w:szCs w:val="28"/>
                </w:rPr>
              </m:ctrlPr>
            </m:e>
          </m:d>
        </m:oMath>
      </m:oMathPara>
    </w:p>
    <w:p w14:paraId="5B1B6D47">
      <w:pPr>
        <w:widowControl/>
        <w:adjustRightInd w:val="0"/>
        <w:ind w:firstLine="709" w:firstLineChars="0"/>
        <w:rPr>
          <w:rFonts w:hint="default" w:ascii="Times New Roman" w:hAnsi="Times New Roman" w:cs="Times New Roman"/>
          <w:i/>
          <w:sz w:val="28"/>
          <w:szCs w:val="28"/>
        </w:rPr>
      </w:pPr>
      <m:oMathPara>
        <m:oMathParaPr>
          <m:jc m:val="right"/>
        </m:oMathParaPr>
        <m:oMath>
          <m:r>
            <m:rPr>
              <m:nor/>
              <m:sty m:val="p"/>
            </m:rPr>
            <w:rPr>
              <w:rFonts w:hint="default" w:ascii="Times New Roman" w:hAnsi="Times New Roman" w:cs="Times New Roman"/>
              <w:b w:val="0"/>
              <w:i w:val="0"/>
              <w:sz w:val="28"/>
              <w:szCs w:val="28"/>
              <w:lang w:val="pt-BR"/>
            </w:rPr>
            <m:t xml:space="preserve">  </m:t>
          </m:r>
          <m:sSubSup>
            <m:sSubSupPr>
              <m:ctrlPr>
                <w:rPr>
                  <w:rFonts w:hint="default" w:ascii="Cambria Math" w:hAnsi="Cambria Math" w:cs="Times New Roman"/>
                  <w:i/>
                  <w:sz w:val="28"/>
                  <w:szCs w:val="28"/>
                </w:rPr>
              </m:ctrlPr>
            </m:sSubSupPr>
            <m:e>
              <m:r>
                <m:rPr>
                  <m:nor/>
                </m:rPr>
                <w:rPr>
                  <w:rFonts w:hint="default" w:ascii="Times New Roman" w:hAnsi="Times New Roman" w:cs="Times New Roman"/>
                  <w:i/>
                  <w:sz w:val="28"/>
                  <w:szCs w:val="28"/>
                  <w:lang w:val="pt-BR"/>
                </w:rPr>
                <m:t>f</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lang w:val="pt-BR"/>
                </w:rPr>
                <m:t>2</m:t>
              </m:r>
              <m:ctrlPr>
                <w:rPr>
                  <w:rFonts w:hint="default" w:ascii="Cambria Math" w:hAnsi="Cambria Math" w:cs="Times New Roman"/>
                  <w:i/>
                  <w:sz w:val="28"/>
                  <w:szCs w:val="28"/>
                </w:rPr>
              </m:ctrlPr>
            </m:sub>
            <m:sup>
              <m:r>
                <m:rPr>
                  <m:nor/>
                </m:rPr>
                <w:rPr>
                  <w:rFonts w:hint="default" w:ascii="Times New Roman" w:hAnsi="Times New Roman" w:cs="Times New Roman"/>
                  <w:i/>
                  <w:sz w:val="28"/>
                  <w:szCs w:val="28"/>
                  <w:lang w:val="pt-BR"/>
                </w:rPr>
                <m:t>m</m:t>
              </m:r>
              <m:ctrlPr>
                <w:rPr>
                  <w:rFonts w:hint="default" w:ascii="Cambria Math" w:hAnsi="Cambria Math" w:cs="Times New Roman"/>
                  <w:i/>
                  <w:sz w:val="28"/>
                  <w:szCs w:val="28"/>
                </w:rPr>
              </m:ctrlPr>
            </m:sup>
          </m:sSubSup>
          <m:r>
            <m:rPr>
              <m:nor/>
              <m:sty m:val="p"/>
            </m:rPr>
            <w:rPr>
              <w:rFonts w:hint="default" w:ascii="Times New Roman" w:hAnsi="Times New Roman" w:cs="Times New Roman"/>
              <w:b w:val="0"/>
              <w:i w:val="0"/>
              <w:sz w:val="28"/>
              <w:szCs w:val="28"/>
              <w:lang w:val="pt-BR"/>
            </w:rPr>
            <m:t>=</m:t>
          </m:r>
          <m:r>
            <m:rPr>
              <m:nor/>
            </m:rPr>
            <w:rPr>
              <w:rFonts w:hint="default" w:ascii="Times New Roman" w:hAnsi="Times New Roman" w:cs="Times New Roman"/>
              <w:i/>
              <w:sz w:val="28"/>
              <w:szCs w:val="28"/>
              <w:lang w:val="pt-BR"/>
            </w:rPr>
            <m:t>ex</m:t>
          </m:r>
          <m:func>
            <m:funcPr>
              <m:ctrlPr>
                <w:rPr>
                  <w:rFonts w:hint="default" w:ascii="Cambria Math" w:hAnsi="Cambria Math" w:cs="Times New Roman"/>
                  <w:i/>
                  <w:sz w:val="28"/>
                  <w:szCs w:val="28"/>
                </w:rPr>
              </m:ctrlPr>
            </m:funcPr>
            <m:fName>
              <m:r>
                <m:rPr>
                  <m:nor/>
                </m:rPr>
                <w:rPr>
                  <w:rFonts w:hint="default" w:ascii="Times New Roman" w:hAnsi="Times New Roman" w:cs="Times New Roman"/>
                  <w:i/>
                  <w:sz w:val="28"/>
                  <w:szCs w:val="28"/>
                  <w:lang w:val="pt-BR"/>
                </w:rPr>
                <m:t>p</m:t>
              </m:r>
              <m:ctrlPr>
                <w:rPr>
                  <w:rFonts w:hint="default" w:ascii="Cambria Math" w:hAnsi="Cambria Math" w:cs="Times New Roman"/>
                  <w:i/>
                  <w:sz w:val="28"/>
                  <w:szCs w:val="28"/>
                </w:rPr>
              </m:ctrlPr>
            </m:fName>
            <m:e>
              <m:d>
                <m:dPr>
                  <m:begChr m:val="{"/>
                  <m:endChr m:val="}"/>
                  <m:ctrlPr>
                    <w:rPr>
                      <w:rFonts w:hint="default" w:ascii="Cambria Math" w:hAnsi="Cambria Math" w:cs="Times New Roman"/>
                      <w:i/>
                      <w:sz w:val="28"/>
                      <w:szCs w:val="28"/>
                    </w:rPr>
                  </m:ctrlPr>
                </m:dPr>
                <m:e>
                  <m:sSup>
                    <m:sSupPr>
                      <m:ctrlPr>
                        <w:rPr>
                          <w:rFonts w:hint="default" w:ascii="Cambria Math" w:hAnsi="Cambria Math" w:cs="Times New Roman"/>
                          <w:i/>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i/>
                          <w:sz w:val="28"/>
                          <w:szCs w:val="28"/>
                        </w:rPr>
                      </m:ctrlPr>
                    </m:e>
                    <m:sup>
                      <m:r>
                        <m:rPr>
                          <m:nor/>
                        </m:rPr>
                        <w:rPr>
                          <w:rFonts w:hint="default" w:ascii="Times New Roman" w:hAnsi="Times New Roman" w:cs="Times New Roman"/>
                          <w:i/>
                          <w:sz w:val="28"/>
                          <w:szCs w:val="28"/>
                          <w:lang w:val="pt-BR"/>
                        </w:rPr>
                        <m:t>m</m:t>
                      </m:r>
                      <m:ctrlPr>
                        <w:rPr>
                          <w:rFonts w:hint="default" w:ascii="Cambria Math" w:hAnsi="Cambria Math" w:cs="Times New Roman"/>
                          <w:i/>
                          <w:sz w:val="28"/>
                          <w:szCs w:val="28"/>
                        </w:rPr>
                      </m:ctrlPr>
                    </m:sup>
                  </m:sSup>
                  <m:sSup>
                    <m:sSupPr>
                      <m:ctrlPr>
                        <w:rPr>
                          <w:rFonts w:hint="default" w:ascii="Cambria Math" w:hAnsi="Cambria Math" w:cs="Times New Roman"/>
                          <w:i/>
                          <w:sz w:val="28"/>
                          <w:szCs w:val="28"/>
                        </w:rPr>
                      </m:ctrlPr>
                    </m:sSupPr>
                    <m:e>
                      <m:sSubSup>
                        <m:sSubSupPr>
                          <m:ctrlPr>
                            <w:rPr>
                              <w:rFonts w:hint="default" w:ascii="Cambria Math" w:hAnsi="Cambria Math" w:cs="Times New Roman"/>
                              <w:i/>
                              <w:sz w:val="28"/>
                              <w:szCs w:val="28"/>
                            </w:rPr>
                          </m:ctrlPr>
                        </m:sSubSupPr>
                        <m:e>
                          <m:r>
                            <m:rPr>
                              <m:nor/>
                              <m:sty m:val="p"/>
                            </m:rPr>
                            <w:rPr>
                              <w:rFonts w:hint="default" w:ascii="Times New Roman" w:hAnsi="Times New Roman" w:cs="Times New Roman"/>
                              <w:b w:val="0"/>
                              <w:i w:val="0"/>
                              <w:sz w:val="28"/>
                              <w:szCs w:val="28"/>
                              <w:lang w:val="pt-BR"/>
                            </w:rPr>
                            <m:t>(</m:t>
                          </m:r>
                          <m:r>
                            <m:rPr>
                              <m:nor/>
                            </m:rPr>
                            <w:rPr>
                              <w:rFonts w:hint="default" w:ascii="Times New Roman" w:hAnsi="Times New Roman" w:cs="Times New Roman"/>
                              <w:i/>
                              <w:sz w:val="28"/>
                              <w:szCs w:val="28"/>
                              <w:lang w:val="pt-BR"/>
                            </w:rPr>
                            <m:t>X</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lang w:val="pt-BR"/>
                            </w:rPr>
                            <m:t>1</m:t>
                          </m:r>
                          <m:ctrlPr>
                            <w:rPr>
                              <w:rFonts w:hint="default" w:ascii="Cambria Math" w:hAnsi="Cambria Math" w:cs="Times New Roman"/>
                              <w:i/>
                              <w:sz w:val="28"/>
                              <w:szCs w:val="28"/>
                            </w:rPr>
                          </m:ctrlPr>
                        </m:sub>
                        <m:sup>
                          <m:r>
                            <m:rPr>
                              <m:nor/>
                            </m:rPr>
                            <w:rPr>
                              <w:rFonts w:hint="default" w:ascii="Times New Roman" w:hAnsi="Times New Roman" w:cs="Times New Roman"/>
                              <w:i/>
                              <w:sz w:val="28"/>
                              <w:szCs w:val="28"/>
                              <w:lang w:val="pt-BR"/>
                            </w:rPr>
                            <m:t>m</m:t>
                          </m:r>
                          <m:ctrlPr>
                            <w:rPr>
                              <w:rFonts w:hint="default" w:ascii="Cambria Math" w:hAnsi="Cambria Math" w:cs="Times New Roman"/>
                              <w:i/>
                              <w:sz w:val="28"/>
                              <w:szCs w:val="28"/>
                            </w:rPr>
                          </m:ctrlPr>
                        </m:sup>
                      </m:sSubSup>
                      <m:r>
                        <m:rPr>
                          <m:nor/>
                          <m:sty m:val="p"/>
                        </m:rPr>
                        <w:rPr>
                          <w:rFonts w:hint="default" w:ascii="Times New Roman" w:hAnsi="Times New Roman" w:cs="Times New Roman"/>
                          <w:b w:val="0"/>
                          <w:i w:val="0"/>
                          <w:sz w:val="28"/>
                          <w:szCs w:val="28"/>
                          <w:lang w:val="pt-BR"/>
                        </w:rPr>
                        <m:t>)</m:t>
                      </m:r>
                      <m:ctrlPr>
                        <w:rPr>
                          <w:rFonts w:hint="default" w:ascii="Cambria Math" w:hAnsi="Cambria Math" w:cs="Times New Roman"/>
                          <w:i/>
                          <w:sz w:val="28"/>
                          <w:szCs w:val="28"/>
                        </w:rPr>
                      </m:ctrlPr>
                    </m:e>
                    <m:sup>
                      <m:r>
                        <m:rPr>
                          <m:nor/>
                          <m:sty m:val="p"/>
                        </m:rPr>
                        <w:rPr>
                          <w:rFonts w:hint="default" w:ascii="Times New Roman" w:hAnsi="Times New Roman" w:cs="Times New Roman"/>
                          <w:b w:val="0"/>
                          <w:i w:val="0"/>
                          <w:sz w:val="28"/>
                          <w:szCs w:val="28"/>
                          <w:lang w:val="pt-BR"/>
                        </w:rPr>
                        <m:t>2</m:t>
                      </m:r>
                      <m:ctrlPr>
                        <w:rPr>
                          <w:rFonts w:hint="default" w:ascii="Cambria Math" w:hAnsi="Cambria Math" w:cs="Times New Roman"/>
                          <w:i/>
                          <w:sz w:val="28"/>
                          <w:szCs w:val="28"/>
                        </w:rPr>
                      </m:ctrlPr>
                    </m:sup>
                  </m:sSup>
                  <m:ctrlPr>
                    <w:rPr>
                      <w:rFonts w:hint="default" w:ascii="Cambria Math" w:hAnsi="Cambria Math" w:cs="Times New Roman"/>
                      <w:i/>
                      <w:sz w:val="28"/>
                      <w:szCs w:val="28"/>
                    </w:rPr>
                  </m:ctrlPr>
                </m:e>
              </m:d>
              <m:ctrlPr>
                <w:rPr>
                  <w:rFonts w:hint="default" w:ascii="Cambria Math" w:hAnsi="Cambria Math" w:cs="Times New Roman"/>
                  <w:i/>
                  <w:sz w:val="28"/>
                  <w:szCs w:val="28"/>
                </w:rPr>
              </m:ctrlPr>
            </m:e>
          </m:func>
          <m:r>
            <m:rPr>
              <m:nor/>
              <m:sty m:val="p"/>
            </m:rPr>
            <w:rPr>
              <w:rFonts w:hint="default" w:ascii="Times New Roman" w:hAnsi="Times New Roman" w:cs="Times New Roman"/>
              <w:b w:val="0"/>
              <w:i w:val="0"/>
              <w:sz w:val="28"/>
              <w:szCs w:val="28"/>
              <w:lang w:val="pt-BR"/>
            </w:rPr>
            <m:t xml:space="preserve">                                        </m:t>
          </m:r>
          <w:bookmarkEnd w:id="568"/>
          <m:d>
            <m:dPr>
              <m:ctrlPr>
                <w:rPr>
                  <w:rFonts w:hint="default" w:ascii="Cambria Math" w:hAnsi="Cambria Math" w:cs="Times New Roman"/>
                  <w:i/>
                  <w:sz w:val="28"/>
                  <w:szCs w:val="28"/>
                </w:rPr>
              </m:ctrlPr>
            </m:dPr>
            <m:e>
              <m:r>
                <m:rPr>
                  <m:nor/>
                  <m:sty m:val="p"/>
                </m:rPr>
                <w:rPr>
                  <w:rFonts w:hint="default" w:ascii="Times New Roman" w:hAnsi="Times New Roman" w:cs="Times New Roman"/>
                  <w:b w:val="0"/>
                  <w:i w:val="0"/>
                  <w:sz w:val="28"/>
                  <w:szCs w:val="28"/>
                  <w:lang w:val="pt-BR"/>
                </w:rPr>
                <m:t>4</m:t>
              </m:r>
              <m:r>
                <m:rPr>
                  <m:nor/>
                  <m:sty m:val="p"/>
                </m:rPr>
                <w:rPr>
                  <w:rFonts w:hint="default" w:ascii="Times New Roman" w:hAnsi="Times New Roman" w:cs="Times New Roman"/>
                  <w:b w:val="0"/>
                  <w:i w:val="0"/>
                  <w:sz w:val="28"/>
                  <w:szCs w:val="28"/>
                  <w:lang w:val="en-US" w:eastAsia="zh-CN"/>
                </w:rPr>
                <m:t>.</m:t>
              </m:r>
              <m:r>
                <m:rPr>
                  <m:nor/>
                  <m:sty m:val="p"/>
                </m:rPr>
                <w:rPr>
                  <w:rFonts w:hint="default" w:ascii="Times New Roman" w:hAnsi="Times New Roman" w:cs="Times New Roman"/>
                  <w:b w:val="0"/>
                  <w:i w:val="0"/>
                  <w:sz w:val="28"/>
                  <w:szCs w:val="28"/>
                  <w:lang w:val="pt-BR"/>
                </w:rPr>
                <m:t>6</m:t>
              </m:r>
              <m:ctrlPr>
                <w:rPr>
                  <w:rFonts w:hint="default" w:ascii="Cambria Math" w:hAnsi="Cambria Math" w:cs="Times New Roman"/>
                  <w:i/>
                  <w:sz w:val="28"/>
                  <w:szCs w:val="28"/>
                </w:rPr>
              </m:ctrlPr>
            </m:e>
          </m:d>
        </m:oMath>
      </m:oMathPara>
    </w:p>
    <w:p w14:paraId="463C16DB">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569" w:name="_Toc366"/>
      <w:bookmarkStart w:id="570" w:name="_Toc11524"/>
      <w:bookmarkStart w:id="571" w:name="_Toc13790"/>
      <w:bookmarkStart w:id="572" w:name="_Toc59"/>
      <w:bookmarkStart w:id="573" w:name="_Toc10475"/>
      <w:bookmarkStart w:id="574" w:name="_Toc24434"/>
      <w:bookmarkStart w:id="575" w:name="_Toc20224"/>
      <w:r>
        <w:rPr>
          <w:rFonts w:hint="default" w:ascii="Times New Roman" w:hAnsi="Times New Roman" w:cs="Times New Roman"/>
          <w:i w:val="0"/>
          <w:iCs w:val="0"/>
          <w:sz w:val="28"/>
          <w:szCs w:val="28"/>
        </w:rPr>
        <w:t>4.2.3 Surface viscoelasticity determination</w:t>
      </w:r>
      <w:bookmarkEnd w:id="569"/>
      <w:bookmarkEnd w:id="570"/>
      <w:bookmarkEnd w:id="571"/>
      <w:bookmarkEnd w:id="572"/>
      <w:bookmarkEnd w:id="573"/>
      <w:bookmarkEnd w:id="574"/>
      <w:bookmarkEnd w:id="575"/>
    </w:p>
    <w:p w14:paraId="0A45B624">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dilatational viscoelastic properties of the surfactant solutions were measured at a controlled temperature of 25±0.1 ℃ using a KRÜSS DSA 100 tensiometer (KRÜSS GmbH, Germany). Initially, air bubbles with a fixed initial volume of 5 μL were generated in the surfactant solution through a capillary needle. The dynamic surface tension of the static bubbles as a function of adsorption time was obtained by analyzing the bubble shape recorded by a high-resolution camera, and the surface tension values were calculated based on the Young–Laplace equation. Subsequently, the dilatational viscoelasticity was determined by imposing periodic sinusoidal oscillations on the bubble volume, during which the interfacial area and the corresponding surface tension were continuously monitored in real time. The oscillation frequency was varied by adjusting the oscillation period, while the oscillation amplitude was maintained at 10% of the initial bubble volume to ensure operation within the linear viscoelastic regime. The complex dilatational modulus was then calculated from the phase shift and amplitude ratio between the interfacial tension response and the imposed area deformation, providing quantitative information on the elastic and viscous components of the interfacial film [132,133].</w:t>
      </w:r>
    </w:p>
    <w:p w14:paraId="2F6929BE">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576" w:name="_Toc246"/>
      <w:bookmarkStart w:id="577" w:name="_Toc3898"/>
      <w:bookmarkStart w:id="578" w:name="_Toc25905"/>
      <w:bookmarkStart w:id="579" w:name="_Toc20116"/>
      <w:bookmarkStart w:id="580" w:name="_Toc31763"/>
      <w:bookmarkStart w:id="581" w:name="_Toc17931"/>
      <w:bookmarkStart w:id="582" w:name="_Toc11030"/>
      <w:r>
        <w:rPr>
          <w:rFonts w:hint="default" w:ascii="Times New Roman" w:hAnsi="Times New Roman" w:cs="Times New Roman"/>
          <w:i w:val="0"/>
          <w:iCs w:val="0"/>
          <w:sz w:val="28"/>
          <w:szCs w:val="28"/>
        </w:rPr>
        <w:t>4.2.4 DLS measurement</w:t>
      </w:r>
      <w:bookmarkEnd w:id="576"/>
      <w:bookmarkEnd w:id="577"/>
      <w:bookmarkEnd w:id="578"/>
      <w:bookmarkEnd w:id="579"/>
      <w:bookmarkEnd w:id="580"/>
      <w:bookmarkEnd w:id="581"/>
      <w:bookmarkEnd w:id="582"/>
    </w:p>
    <w:p w14:paraId="70732D5F">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Dynamic light scattering (DLS) measurements were performed using a Zetasizer Nano ZS instrument (Malvern Instruments Ltd., Worcestershire, UK) to determine the hydrodynamic size of micelles in aqueous surfactant solutions. All measurements were conducted at a fixed scattering angle of 90° using a He–Ne laser with a wavelength of 632.8 nm, and the temperature was maintained at 25 ℃ throughout the experiments. Prior to measurement, surfactant solutions were prepared at a concentration equal to twice their respective critical micelle concentration (2cmc) to ensure complete micellization and stable aggregate formation in solution. The samples were equilibrated for a sufficient period to achieve thermodynamic stability before analysis. For each sample, at least three independent measurements were performed, and the reported micelle size was obtained by averaging the results to improve data reliability and reproducibility. The hydrodynamic diameter and size distribution of the micelles were calculated using the cumulant and CONTIN analysis methods provided by the instrument software [132,134].</w:t>
      </w:r>
    </w:p>
    <w:p w14:paraId="0DA07D11">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583" w:name="_Toc17028"/>
      <w:bookmarkStart w:id="584" w:name="_Toc16539"/>
      <w:bookmarkStart w:id="585" w:name="_Toc25777"/>
      <w:bookmarkStart w:id="586" w:name="_Toc5749"/>
      <w:bookmarkStart w:id="587" w:name="_Toc23262"/>
      <w:bookmarkStart w:id="588" w:name="_Toc28317"/>
      <w:bookmarkStart w:id="589" w:name="_Toc17650"/>
      <w:r>
        <w:rPr>
          <w:rFonts w:hint="default" w:ascii="Times New Roman" w:hAnsi="Times New Roman" w:cs="Times New Roman"/>
          <w:i w:val="0"/>
          <w:iCs w:val="0"/>
          <w:sz w:val="28"/>
          <w:szCs w:val="28"/>
        </w:rPr>
        <w:t>4.2.5 Transmission electron microscopy (TEM)</w:t>
      </w:r>
      <w:bookmarkEnd w:id="583"/>
      <w:bookmarkEnd w:id="584"/>
      <w:bookmarkEnd w:id="585"/>
      <w:bookmarkEnd w:id="586"/>
      <w:bookmarkEnd w:id="587"/>
      <w:bookmarkEnd w:id="588"/>
      <w:bookmarkEnd w:id="589"/>
    </w:p>
    <w:p w14:paraId="60EAA9D9">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aggregate morphology of the compounded surfactants in aqueous solutions was characterized using a JEM-2100 transmission electron microscope (TEM, JEOL Ltd., Tokyo, Japan). The surfactant solutions were prepared at a concentration corresponding to twice the critical micelle concentration (2 cmc) to ensure the formation of stable aggregates. For sample preparation, a droplet of the surfactant solution was carefully deposited onto a 300-mesh carbon-coated copper grid, and the excess liquid was gently removed using filter paper. Subsequently, negative staining was performed by adding a drop of 2.0 wt% uranyl acetate aqueous solution onto the grid and allowing it to stand for 30 s to enhance image contrast. The excess staining solution was then blotted off with filter paper, and the grid was dried naturally under ambient conditions prior to observation. TEM images were recorded under an accelerating voltage of 200 kV, enabling direct visualization of the size, shape, and aggregation state of the surfactant assemblies [78,132].</w:t>
      </w:r>
    </w:p>
    <w:p w14:paraId="2582DE46">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590" w:name="_Toc4861"/>
      <w:bookmarkStart w:id="591" w:name="_Toc27934"/>
      <w:bookmarkStart w:id="592" w:name="_Toc7073"/>
      <w:bookmarkStart w:id="593" w:name="_Toc26212"/>
      <w:bookmarkStart w:id="594" w:name="_Toc27383"/>
      <w:bookmarkStart w:id="595" w:name="_Toc16944"/>
      <w:bookmarkStart w:id="596" w:name="_Toc10677"/>
      <w:r>
        <w:rPr>
          <w:rFonts w:hint="default" w:ascii="Times New Roman" w:hAnsi="Times New Roman" w:cs="Times New Roman"/>
          <w:i w:val="0"/>
          <w:iCs w:val="0"/>
          <w:sz w:val="28"/>
          <w:szCs w:val="28"/>
        </w:rPr>
        <w:t>4.2.6 Interface tension measurement</w:t>
      </w:r>
      <w:bookmarkEnd w:id="590"/>
      <w:bookmarkEnd w:id="591"/>
      <w:bookmarkEnd w:id="592"/>
      <w:bookmarkEnd w:id="593"/>
      <w:bookmarkEnd w:id="594"/>
      <w:bookmarkEnd w:id="595"/>
      <w:bookmarkEnd w:id="596"/>
    </w:p>
    <w:p w14:paraId="2895E13F">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Referring to the interfacial tension measurement method in section 3.3.3, a 0.1 wt% compound surfactant solution was prepared using distilled water as the medium. The interfacial tension of the compound surfactant system was measured at 60 ℃ using Changqing crude oil Z27 and kerosene as the oil phase, and the effect of NaCl on the interfacial tension of the compound surfactant solution was investigated.</w:t>
      </w:r>
    </w:p>
    <w:p w14:paraId="18EF021C">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597" w:name="_Toc8149"/>
      <w:bookmarkStart w:id="598" w:name="_Toc26926"/>
      <w:bookmarkStart w:id="599" w:name="_Toc30882"/>
      <w:bookmarkStart w:id="600" w:name="_Toc25614"/>
      <w:bookmarkStart w:id="601" w:name="_Toc22253"/>
      <w:bookmarkStart w:id="602" w:name="_Toc13069"/>
      <w:bookmarkStart w:id="603" w:name="_Toc30034"/>
      <w:r>
        <w:rPr>
          <w:rFonts w:hint="default" w:ascii="Times New Roman" w:hAnsi="Times New Roman" w:cs="Times New Roman"/>
          <w:i w:val="0"/>
          <w:iCs w:val="0"/>
          <w:sz w:val="28"/>
          <w:szCs w:val="28"/>
        </w:rPr>
        <w:t>4.2.7 Coreflooding experiment</w:t>
      </w:r>
      <w:bookmarkEnd w:id="597"/>
      <w:bookmarkEnd w:id="598"/>
      <w:bookmarkEnd w:id="599"/>
      <w:bookmarkEnd w:id="600"/>
      <w:bookmarkEnd w:id="601"/>
      <w:bookmarkEnd w:id="602"/>
      <w:bookmarkEnd w:id="603"/>
    </w:p>
    <w:p w14:paraId="2430A5F2">
      <w:pPr>
        <w:widowControl/>
        <w:autoSpaceDE w:val="0"/>
        <w:autoSpaceDN w:val="0"/>
        <w:adjustRightInd w:val="0"/>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sandstone core was cleaned thoroughly with a mixed solvent of toluene and methanol in a Soxhlet setup and saturated with formation water under vacuum to determine the pore volume and porosity according to Eqs. (4</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rPr>
        <w:t>7) and (4</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rPr>
        <w:t>8). Subsequently, the formation water was injected into the core to measure absolute permeability according to Eq. (4</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rPr>
        <w:t>9) at the rate of 0.5 mL·min</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Then the crude oil Z27 was injected for 2PV with quite a low flow rate of about 0.04-0.07 mL·min</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to guarantee the best possible sweep efficiency by a stable front advance. After that, about 10 PV of oil was injected </w:t>
      </w:r>
      <w:r>
        <w:rPr>
          <w:rFonts w:hint="eastAsia" w:cs="Times New Roman"/>
          <w:sz w:val="28"/>
          <w:szCs w:val="28"/>
          <w:lang w:val="en-US" w:eastAsia="zh-CN"/>
        </w:rPr>
        <w:t>in</w:t>
      </w:r>
      <w:r>
        <w:rPr>
          <w:rFonts w:hint="default" w:ascii="Times New Roman" w:hAnsi="Times New Roman" w:cs="Times New Roman"/>
          <w:sz w:val="28"/>
          <w:szCs w:val="28"/>
        </w:rPr>
        <w:t>to the system with the oil inject</w:t>
      </w:r>
      <w:r>
        <w:rPr>
          <w:rFonts w:hint="eastAsia" w:cs="Times New Roman"/>
          <w:sz w:val="28"/>
          <w:szCs w:val="28"/>
          <w:lang w:val="en-US" w:eastAsia="zh-CN"/>
        </w:rPr>
        <w:t>ion</w:t>
      </w:r>
      <w:r>
        <w:rPr>
          <w:rFonts w:hint="default" w:ascii="Times New Roman" w:hAnsi="Times New Roman" w:cs="Times New Roman"/>
          <w:sz w:val="28"/>
          <w:szCs w:val="28"/>
        </w:rPr>
        <w:t xml:space="preserve"> rate increasing to about 0.5, 1, 1.5, and 2 mL·min</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to ensure that all the mobile water was recovered. The observed recovered water was collected in the separator which was considered as the connate water saturation. Additionally, the core holder was held in a vertical situation during the oil flooding step and oil was injected from its top [132,135]. Afterward, the core was injected with formation water at the same rate until the water cut reached 100% to simulate a water flooding process. Thereafter, a 2000 mg·L</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optimized formulation surfactant solution, prepared with formation water, was injected into the core at the same rate until no oil was observed in the effluent samples. Finally, the chasing water flooding was carried out at a rate of 0.5 mL·min</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until no more oil was observed. The pressure drop and oil recovery efficiency at each stage were recorded during the displacement process [132,136,137]. All oil displacement experiments were conducted at 60 ℃ with the definite confining pressure (10 MPa) by using a core flooding setup as shown in Figure (4</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rPr>
        <w:t>1).</w:t>
      </w:r>
    </w:p>
    <w:p w14:paraId="795AEA1C">
      <w:pPr>
        <w:widowControl/>
        <w:ind w:firstLine="709" w:firstLineChars="0"/>
        <w:rPr>
          <w:rFonts w:hint="default" w:ascii="Times New Roman" w:hAnsi="Times New Roman" w:cs="Times New Roman"/>
          <w:sz w:val="28"/>
          <w:szCs w:val="28"/>
        </w:rPr>
      </w:pPr>
      <m:oMathPara>
        <m:oMathParaPr>
          <m:jc m:val="right"/>
        </m:oMathParaPr>
        <m:oMath>
          <m:r>
            <m:rPr>
              <m:nor/>
              <m:sty m:val="p"/>
            </m:rPr>
            <w:rPr>
              <w:rFonts w:hint="default" w:ascii="Times New Roman" w:hAnsi="Times New Roman" w:cs="Times New Roman"/>
              <w:b w:val="0"/>
              <w:i w:val="0"/>
              <w:sz w:val="28"/>
              <w:szCs w:val="28"/>
            </w:rPr>
            <m:t>Pore volume=</m:t>
          </m:r>
          <m:f>
            <m:fPr>
              <m:ctrlPr>
                <w:rPr>
                  <w:rFonts w:hint="default" w:ascii="Cambria Math" w:hAnsi="Cambria Math" w:cs="Times New Roman"/>
                  <w:sz w:val="28"/>
                  <w:szCs w:val="28"/>
                </w:rPr>
              </m:ctrlPr>
            </m:fPr>
            <m:num>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sz w:val="28"/>
                  <w:szCs w:val="28"/>
                </w:rPr>
                <m:t>m</m:t>
              </m:r>
              <m:ctrlPr>
                <w:rPr>
                  <w:rFonts w:hint="default" w:ascii="Cambria Math" w:hAnsi="Cambria Math" w:cs="Times New Roman"/>
                  <w:sz w:val="28"/>
                  <w:szCs w:val="28"/>
                </w:rPr>
              </m:ctrlPr>
            </m:num>
            <m:den>
              <m:sSub>
                <m:sSubPr>
                  <m:ctrlPr>
                    <w:rPr>
                      <w:rFonts w:hint="default" w:ascii="Cambria Math" w:hAnsi="Cambria Math" w:cs="Times New Roman"/>
                      <w:sz w:val="28"/>
                      <w:szCs w:val="28"/>
                    </w:rPr>
                  </m:ctrlPr>
                </m:sSubPr>
                <m:e>
                  <m:r>
                    <m:rPr>
                      <m:nor/>
                    </m:rPr>
                    <w:rPr>
                      <w:rFonts w:hint="default" w:ascii="Times New Roman" w:hAnsi="Times New Roman" w:cs="Times New Roman"/>
                      <w:i/>
                      <w:sz w:val="28"/>
                      <w:szCs w:val="28"/>
                    </w:rPr>
                    <m:t>ρ</m:t>
                  </m:r>
                  <m:ctrlPr>
                    <w:rPr>
                      <w:rFonts w:hint="default" w:ascii="Cambria Math" w:hAnsi="Cambria Math" w:cs="Times New Roman"/>
                      <w:sz w:val="28"/>
                      <w:szCs w:val="28"/>
                    </w:rPr>
                  </m:ctrlPr>
                </m:e>
                <m:sub>
                  <m:r>
                    <m:rPr>
                      <m:nor/>
                    </m:rPr>
                    <w:rPr>
                      <w:rFonts w:hint="default" w:ascii="Times New Roman" w:hAnsi="Times New Roman" w:cs="Times New Roman"/>
                      <w:i/>
                      <w:sz w:val="28"/>
                      <w:szCs w:val="28"/>
                    </w:rPr>
                    <m:t>w</m:t>
                  </m:r>
                  <m:ctrlPr>
                    <w:rPr>
                      <w:rFonts w:hint="default" w:ascii="Cambria Math" w:hAnsi="Cambria Math" w:cs="Times New Roman"/>
                      <w:sz w:val="28"/>
                      <w:szCs w:val="28"/>
                    </w:rPr>
                  </m:ctrlPr>
                </m:sub>
              </m:sSub>
              <m:ctrlPr>
                <w:rPr>
                  <w:rFonts w:hint="default" w:ascii="Cambria Math" w:hAnsi="Cambria Math" w:cs="Times New Roman"/>
                  <w:sz w:val="28"/>
                  <w:szCs w:val="28"/>
                </w:rPr>
              </m:ctrlPr>
            </m:den>
          </m:f>
          <m:r>
            <m:rPr>
              <m:nor/>
              <m:sty m:val="p"/>
            </m:rPr>
            <w:rPr>
              <w:rFonts w:hint="default" w:ascii="Times New Roman" w:hAnsi="Times New Roman" w:cs="Times New Roman"/>
              <w:b w:val="0"/>
              <w:i w:val="0"/>
              <w:sz w:val="28"/>
              <w:szCs w:val="28"/>
            </w:rPr>
            <m:t xml:space="preserve">            </m:t>
          </m:r>
          <m:r>
            <m:rPr>
              <m:nor/>
              <m:sty m:val="p"/>
            </m:rPr>
            <w:rPr>
              <w:rFonts w:hint="default" w:ascii="Times New Roman" w:hAnsi="Times New Roman" w:cs="Times New Roman"/>
              <w:b w:val="0"/>
              <w:i w:val="0"/>
              <w:sz w:val="28"/>
              <w:szCs w:val="28"/>
              <w:lang w:val="en-US" w:eastAsia="zh-CN"/>
            </w:rPr>
            <m:t xml:space="preserve">  </m:t>
          </m:r>
          <m:r>
            <m:rPr>
              <m:nor/>
              <m:sty m:val="p"/>
            </m:rPr>
            <w:rPr>
              <w:rFonts w:hint="default" w:ascii="Times New Roman" w:hAnsi="Times New Roman" w:cs="Times New Roman"/>
              <w:b w:val="0"/>
              <w:i w:val="0"/>
              <w:sz w:val="28"/>
              <w:szCs w:val="28"/>
            </w:rPr>
            <m:t xml:space="preserve">   </m:t>
          </m:r>
          <m:r>
            <m:rPr>
              <m:nor/>
              <m:sty m:val="p"/>
            </m:rPr>
            <w:rPr>
              <w:rFonts w:hint="default" w:ascii="Times New Roman" w:hAnsi="Times New Roman" w:cs="Times New Roman"/>
              <w:b w:val="0"/>
              <w:i w:val="0"/>
              <w:sz w:val="28"/>
              <w:szCs w:val="28"/>
              <w:lang w:val="en-US" w:eastAsia="zh-CN"/>
            </w:rPr>
            <m:t xml:space="preserve">        </m:t>
          </m:r>
          <m:r>
            <m:rPr>
              <m:nor/>
              <m:sty m:val="p"/>
            </m:rPr>
            <w:rPr>
              <w:rFonts w:hint="default" w:ascii="Times New Roman" w:hAnsi="Times New Roman" w:cs="Times New Roman"/>
              <w:b w:val="0"/>
              <w:i w:val="0"/>
              <w:sz w:val="28"/>
              <w:szCs w:val="28"/>
            </w:rPr>
            <m:t xml:space="preserve">                    (4</m:t>
          </m:r>
          <m:r>
            <m:rPr>
              <m:nor/>
              <m:sty m:val="p"/>
            </m:rPr>
            <w:rPr>
              <w:rFonts w:hint="default" w:ascii="Times New Roman" w:hAnsi="Times New Roman" w:cs="Times New Roman"/>
              <w:b w:val="0"/>
              <w:i w:val="0"/>
              <w:sz w:val="28"/>
              <w:szCs w:val="28"/>
              <w:lang w:val="en-US" w:eastAsia="zh-CN"/>
            </w:rPr>
            <m:t>.</m:t>
          </m:r>
          <m:r>
            <m:rPr>
              <m:nor/>
              <m:sty m:val="p"/>
            </m:rPr>
            <w:rPr>
              <w:rFonts w:hint="default" w:ascii="Times New Roman" w:hAnsi="Times New Roman" w:cs="Times New Roman"/>
              <w:b w:val="0"/>
              <w:i w:val="0"/>
              <w:sz w:val="28"/>
              <w:szCs w:val="28"/>
            </w:rPr>
            <m:t>7)</m:t>
          </m:r>
        </m:oMath>
      </m:oMathPara>
    </w:p>
    <w:p w14:paraId="2FD43307">
      <w:pPr>
        <w:widowControl/>
        <w:ind w:firstLine="709" w:firstLineChars="0"/>
        <w:rPr>
          <w:rFonts w:hint="default" w:ascii="Times New Roman" w:hAnsi="Times New Roman" w:cs="Times New Roman"/>
          <w:i w:val="0"/>
          <w:sz w:val="28"/>
          <w:szCs w:val="28"/>
        </w:rPr>
      </w:pPr>
      <m:oMathPara>
        <m:oMathParaPr>
          <m:jc m:val="right"/>
        </m:oMathParaPr>
        <m:oMath>
          <m:r>
            <m:rPr>
              <m:nor/>
              <m:sty m:val="p"/>
            </m:rPr>
            <w:rPr>
              <w:rFonts w:hint="default" w:ascii="Times New Roman" w:hAnsi="Times New Roman" w:cs="Times New Roman"/>
              <w:b w:val="0"/>
              <w:i w:val="0"/>
              <w:sz w:val="28"/>
              <w:szCs w:val="28"/>
            </w:rPr>
            <m:t>Porosity=</m:t>
          </m:r>
          <m:f>
            <m:fPr>
              <m:ctrlPr>
                <w:rPr>
                  <w:rFonts w:hint="default" w:ascii="Cambria Math" w:hAnsi="Cambria Math" w:cs="Times New Roman"/>
                  <w:bCs/>
                  <w:sz w:val="28"/>
                  <w:szCs w:val="28"/>
                </w:rPr>
              </m:ctrlPr>
            </m:fPr>
            <m:num>
              <m:sSub>
                <m:sSubPr>
                  <m:ctrlPr>
                    <w:rPr>
                      <w:rFonts w:hint="default" w:ascii="Cambria Math" w:hAnsi="Cambria Math" w:cs="Times New Roman"/>
                      <w:bCs/>
                      <w:sz w:val="28"/>
                      <w:szCs w:val="28"/>
                    </w:rPr>
                  </m:ctrlPr>
                </m:sSubPr>
                <m:e>
                  <m:r>
                    <m:rPr>
                      <m:nor/>
                    </m:rPr>
                    <w:rPr>
                      <w:rFonts w:hint="default" w:ascii="Times New Roman" w:hAnsi="Times New Roman" w:cs="Times New Roman"/>
                      <w:i/>
                      <w:sz w:val="28"/>
                      <w:szCs w:val="28"/>
                    </w:rPr>
                    <m:t>V</m:t>
                  </m:r>
                  <m:ctrlPr>
                    <w:rPr>
                      <w:rFonts w:hint="default" w:ascii="Cambria Math" w:hAnsi="Cambria Math" w:cs="Times New Roman"/>
                      <w:bCs/>
                      <w:sz w:val="28"/>
                      <w:szCs w:val="28"/>
                    </w:rPr>
                  </m:ctrlPr>
                </m:e>
                <m:sub>
                  <m:r>
                    <m:rPr>
                      <m:nor/>
                    </m:rPr>
                    <w:rPr>
                      <w:rFonts w:hint="default" w:ascii="Times New Roman" w:hAnsi="Times New Roman" w:cs="Times New Roman"/>
                      <w:i/>
                      <w:sz w:val="28"/>
                      <w:szCs w:val="28"/>
                    </w:rPr>
                    <m:t>p</m:t>
                  </m:r>
                  <m:ctrlPr>
                    <w:rPr>
                      <w:rFonts w:hint="default" w:ascii="Cambria Math" w:hAnsi="Cambria Math" w:cs="Times New Roman"/>
                      <w:bCs/>
                      <w:sz w:val="28"/>
                      <w:szCs w:val="28"/>
                    </w:rPr>
                  </m:ctrlPr>
                </m:sub>
              </m:sSub>
              <m:ctrlPr>
                <w:rPr>
                  <w:rFonts w:hint="default" w:ascii="Cambria Math" w:hAnsi="Cambria Math" w:cs="Times New Roman"/>
                  <w:bCs/>
                  <w:sz w:val="28"/>
                  <w:szCs w:val="28"/>
                </w:rPr>
              </m:ctrlPr>
            </m:num>
            <m:den>
              <m:sSub>
                <m:sSubPr>
                  <m:ctrlPr>
                    <w:rPr>
                      <w:rFonts w:hint="default" w:ascii="Cambria Math" w:hAnsi="Cambria Math" w:cs="Times New Roman"/>
                      <w:bCs/>
                      <w:sz w:val="28"/>
                      <w:szCs w:val="28"/>
                    </w:rPr>
                  </m:ctrlPr>
                </m:sSubPr>
                <m:e>
                  <m:r>
                    <m:rPr>
                      <m:nor/>
                    </m:rPr>
                    <w:rPr>
                      <w:rFonts w:hint="default" w:ascii="Times New Roman" w:hAnsi="Times New Roman" w:cs="Times New Roman"/>
                      <w:i/>
                      <w:sz w:val="28"/>
                      <w:szCs w:val="28"/>
                    </w:rPr>
                    <m:t>V</m:t>
                  </m:r>
                  <m:ctrlPr>
                    <w:rPr>
                      <w:rFonts w:hint="default" w:ascii="Cambria Math" w:hAnsi="Cambria Math" w:cs="Times New Roman"/>
                      <w:bCs/>
                      <w:sz w:val="28"/>
                      <w:szCs w:val="28"/>
                    </w:rPr>
                  </m:ctrlPr>
                </m:e>
                <m:sub>
                  <m:r>
                    <m:rPr>
                      <m:nor/>
                    </m:rPr>
                    <w:rPr>
                      <w:rFonts w:hint="default" w:ascii="Times New Roman" w:hAnsi="Times New Roman" w:cs="Times New Roman"/>
                      <w:i/>
                      <w:sz w:val="28"/>
                      <w:szCs w:val="28"/>
                    </w:rPr>
                    <m:t>f</m:t>
                  </m:r>
                  <m:ctrlPr>
                    <w:rPr>
                      <w:rFonts w:hint="default" w:ascii="Cambria Math" w:hAnsi="Cambria Math" w:cs="Times New Roman"/>
                      <w:bCs/>
                      <w:sz w:val="28"/>
                      <w:szCs w:val="28"/>
                    </w:rPr>
                  </m:ctrlPr>
                </m:sub>
              </m:sSub>
              <m:ctrlPr>
                <w:rPr>
                  <w:rFonts w:hint="default" w:ascii="Cambria Math" w:hAnsi="Cambria Math" w:cs="Times New Roman"/>
                  <w:bCs/>
                  <w:sz w:val="28"/>
                  <w:szCs w:val="28"/>
                </w:rPr>
              </m:ctrlPr>
            </m:den>
          </m:f>
          <m:r>
            <m:rPr>
              <m:nor/>
              <m:sty m:val="p"/>
            </m:rPr>
            <w:rPr>
              <w:rFonts w:hint="default" w:ascii="Times New Roman" w:hAnsi="Times New Roman" w:cs="Times New Roman"/>
              <w:b w:val="0"/>
              <w:i w:val="0"/>
              <w:sz w:val="28"/>
              <w:szCs w:val="28"/>
            </w:rPr>
            <m:t xml:space="preserve">                                                   (4</m:t>
          </m:r>
          <m:r>
            <m:rPr>
              <m:nor/>
              <m:sty m:val="p"/>
            </m:rPr>
            <w:rPr>
              <w:rFonts w:hint="default" w:ascii="Times New Roman" w:hAnsi="Times New Roman" w:cs="Times New Roman"/>
              <w:b w:val="0"/>
              <w:i w:val="0"/>
              <w:sz w:val="28"/>
              <w:szCs w:val="28"/>
              <w:lang w:val="en-US" w:eastAsia="zh-CN"/>
            </w:rPr>
            <m:t>.</m:t>
          </m:r>
          <m:r>
            <m:rPr>
              <m:nor/>
              <m:sty m:val="p"/>
            </m:rPr>
            <w:rPr>
              <w:rFonts w:hint="default" w:ascii="Times New Roman" w:hAnsi="Times New Roman" w:cs="Times New Roman"/>
              <w:b w:val="0"/>
              <w:i w:val="0"/>
              <w:sz w:val="28"/>
              <w:szCs w:val="28"/>
            </w:rPr>
            <m:t>8)</m:t>
          </m:r>
        </m:oMath>
      </m:oMathPara>
    </w:p>
    <w:p w14:paraId="7AB65AF2">
      <w:pPr>
        <w:widowControl/>
        <w:ind w:firstLine="709" w:firstLineChars="0"/>
        <w:rPr>
          <w:rFonts w:hint="default" w:ascii="Times New Roman" w:hAnsi="Times New Roman" w:cs="Times New Roman"/>
          <w:bCs/>
          <w:iCs/>
          <w:sz w:val="28"/>
          <w:szCs w:val="28"/>
        </w:rPr>
      </w:pPr>
      <w:r>
        <w:rPr>
          <w:rFonts w:hint="default" w:ascii="Times New Roman" w:hAnsi="Times New Roman" w:cs="Times New Roman"/>
          <w:bCs/>
          <w:iCs/>
          <w:sz w:val="28"/>
          <w:szCs w:val="28"/>
        </w:rPr>
        <w:t xml:space="preserve">Where ∆m is Mass difference between two core weighings (g). </w:t>
      </w:r>
      <m:oMath>
        <m:sSub>
          <m:sSubPr>
            <m:ctrlPr>
              <w:rPr>
                <w:rFonts w:hint="default" w:ascii="Cambria Math" w:hAnsi="Cambria Math" w:cs="Times New Roman"/>
                <w:sz w:val="28"/>
                <w:szCs w:val="28"/>
              </w:rPr>
            </m:ctrlPr>
          </m:sSubPr>
          <m:e>
            <m:r>
              <m:rPr>
                <m:nor/>
              </m:rPr>
              <w:rPr>
                <w:rFonts w:hint="default" w:ascii="Times New Roman" w:hAnsi="Times New Roman" w:cs="Times New Roman"/>
                <w:i/>
                <w:sz w:val="28"/>
                <w:szCs w:val="28"/>
              </w:rPr>
              <m:t>ρ</m:t>
            </m:r>
            <m:ctrlPr>
              <w:rPr>
                <w:rFonts w:hint="default" w:ascii="Cambria Math" w:hAnsi="Cambria Math" w:cs="Times New Roman"/>
                <w:sz w:val="28"/>
                <w:szCs w:val="28"/>
              </w:rPr>
            </m:ctrlPr>
          </m:e>
          <m:sub>
            <m:r>
              <m:rPr>
                <m:nor/>
              </m:rPr>
              <w:rPr>
                <w:rFonts w:hint="default" w:ascii="Times New Roman" w:hAnsi="Times New Roman" w:cs="Times New Roman"/>
                <w:i/>
                <w:sz w:val="28"/>
                <w:szCs w:val="28"/>
              </w:rPr>
              <m:t>w</m:t>
            </m:r>
            <m:ctrlPr>
              <w:rPr>
                <w:rFonts w:hint="default" w:ascii="Cambria Math" w:hAnsi="Cambria Math" w:cs="Times New Roman"/>
                <w:sz w:val="28"/>
                <w:szCs w:val="28"/>
              </w:rPr>
            </m:ctrlPr>
          </m:sub>
        </m:sSub>
      </m:oMath>
      <w:r>
        <w:rPr>
          <w:rFonts w:hint="default" w:ascii="Times New Roman" w:hAnsi="Times New Roman" w:cs="Times New Roman"/>
          <w:bCs/>
          <w:iCs/>
          <w:sz w:val="28"/>
          <w:szCs w:val="28"/>
        </w:rPr>
        <w:t xml:space="preserve"> represents density of liquid (g/cm</w:t>
      </w:r>
      <w:r>
        <w:rPr>
          <w:rFonts w:hint="default" w:ascii="Times New Roman" w:hAnsi="Times New Roman" w:cs="Times New Roman"/>
          <w:bCs/>
          <w:iCs/>
          <w:sz w:val="28"/>
          <w:szCs w:val="28"/>
          <w:vertAlign w:val="superscript"/>
        </w:rPr>
        <w:t>3</w:t>
      </w:r>
      <w:r>
        <w:rPr>
          <w:rFonts w:hint="default" w:ascii="Times New Roman" w:hAnsi="Times New Roman" w:cs="Times New Roman"/>
          <w:bCs/>
          <w:iCs/>
          <w:sz w:val="28"/>
          <w:szCs w:val="28"/>
        </w:rPr>
        <w:t xml:space="preserve">). </w:t>
      </w:r>
      <m:oMath>
        <m:sSub>
          <m:sSubPr>
            <m:ctrlPr>
              <w:rPr>
                <w:rFonts w:hint="default" w:ascii="Cambria Math" w:hAnsi="Cambria Math" w:cs="Times New Roman"/>
                <w:bCs/>
                <w:sz w:val="28"/>
                <w:szCs w:val="28"/>
              </w:rPr>
            </m:ctrlPr>
          </m:sSubPr>
          <m:e>
            <m:r>
              <m:rPr>
                <m:nor/>
              </m:rPr>
              <w:rPr>
                <w:rFonts w:hint="default" w:ascii="Times New Roman" w:hAnsi="Times New Roman" w:cs="Times New Roman"/>
                <w:i/>
                <w:sz w:val="28"/>
                <w:szCs w:val="28"/>
              </w:rPr>
              <m:t>V</m:t>
            </m:r>
            <m:ctrlPr>
              <w:rPr>
                <w:rFonts w:hint="default" w:ascii="Cambria Math" w:hAnsi="Cambria Math" w:cs="Times New Roman"/>
                <w:bCs/>
                <w:sz w:val="28"/>
                <w:szCs w:val="28"/>
              </w:rPr>
            </m:ctrlPr>
          </m:e>
          <m:sub>
            <m:r>
              <m:rPr>
                <m:nor/>
              </m:rPr>
              <w:rPr>
                <w:rFonts w:hint="default" w:ascii="Times New Roman" w:hAnsi="Times New Roman" w:cs="Times New Roman"/>
                <w:i/>
                <w:sz w:val="28"/>
                <w:szCs w:val="28"/>
              </w:rPr>
              <m:t>f</m:t>
            </m:r>
            <m:ctrlPr>
              <w:rPr>
                <w:rFonts w:hint="default" w:ascii="Cambria Math" w:hAnsi="Cambria Math" w:cs="Times New Roman"/>
                <w:bCs/>
                <w:sz w:val="28"/>
                <w:szCs w:val="28"/>
              </w:rPr>
            </m:ctrlPr>
          </m:sub>
        </m:sSub>
      </m:oMath>
      <w:r>
        <w:rPr>
          <w:rFonts w:hint="default" w:ascii="Times New Roman" w:hAnsi="Times New Roman" w:cs="Times New Roman"/>
          <w:bCs/>
          <w:iCs/>
          <w:sz w:val="28"/>
          <w:szCs w:val="28"/>
        </w:rPr>
        <w:t xml:space="preserve"> denotes the volume of the core itself (mL).</w:t>
      </w:r>
    </w:p>
    <w:p w14:paraId="40CBFA16">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formula for calculating the permeability of rock cores is:</w:t>
      </w:r>
    </w:p>
    <w:p w14:paraId="6C4607B7">
      <w:pPr>
        <w:widowControl/>
        <w:ind w:firstLine="709" w:firstLineChars="0"/>
        <w:rPr>
          <w:rFonts w:hint="default" w:ascii="Times New Roman" w:hAnsi="Times New Roman" w:cs="Times New Roman"/>
          <w:iCs/>
          <w:sz w:val="28"/>
          <w:szCs w:val="28"/>
        </w:rPr>
      </w:pPr>
      <m:oMathPara>
        <m:oMathParaPr>
          <m:jc m:val="right"/>
        </m:oMathParaPr>
        <m:oMath>
          <m:r>
            <m:rPr>
              <m:nor/>
            </m:rPr>
            <w:rPr>
              <w:rFonts w:hint="default" w:ascii="Times New Roman" w:hAnsi="Times New Roman" w:cs="Times New Roman"/>
              <w:i/>
              <w:sz w:val="28"/>
              <w:szCs w:val="28"/>
            </w:rPr>
            <m:t>K</m:t>
          </m:r>
          <m:r>
            <m:rPr>
              <m:nor/>
              <m:sty m:val="p"/>
            </m:rPr>
            <w:rPr>
              <w:rFonts w:hint="default" w:ascii="Times New Roman" w:hAnsi="Times New Roman" w:cs="Times New Roman"/>
              <w:b w:val="0"/>
              <w:i w:val="0"/>
              <w:sz w:val="28"/>
              <w:szCs w:val="28"/>
            </w:rPr>
            <m:t>=</m:t>
          </m:r>
          <m:f>
            <m:fPr>
              <m:ctrlPr>
                <w:rPr>
                  <w:rFonts w:hint="default" w:ascii="Cambria Math" w:hAnsi="Cambria Math" w:cs="Times New Roman"/>
                  <w:iCs/>
                  <w:sz w:val="28"/>
                  <w:szCs w:val="28"/>
                </w:rPr>
              </m:ctrlPr>
            </m:fPr>
            <m:num>
              <m:r>
                <m:rPr>
                  <m:nor/>
                </m:rPr>
                <w:rPr>
                  <w:rFonts w:hint="default" w:ascii="Times New Roman" w:hAnsi="Times New Roman" w:cs="Times New Roman"/>
                  <w:i/>
                  <w:sz w:val="28"/>
                  <w:szCs w:val="28"/>
                </w:rPr>
                <m:t>QμL</m:t>
              </m:r>
              <m:ctrlPr>
                <w:rPr>
                  <w:rFonts w:hint="default" w:ascii="Cambria Math" w:hAnsi="Cambria Math" w:cs="Times New Roman"/>
                  <w:iCs/>
                  <w:sz w:val="28"/>
                  <w:szCs w:val="28"/>
                </w:rPr>
              </m:ctrlPr>
            </m:num>
            <m:den>
              <m:r>
                <m:rPr>
                  <m:nor/>
                </m:rPr>
                <w:rPr>
                  <w:rFonts w:hint="default" w:ascii="Times New Roman" w:hAnsi="Times New Roman" w:cs="Times New Roman"/>
                  <w:i/>
                  <w:sz w:val="28"/>
                  <w:szCs w:val="28"/>
                </w:rPr>
                <m:t>A</m:t>
              </m:r>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sz w:val="28"/>
                  <w:szCs w:val="28"/>
                </w:rPr>
                <m:t>P</m:t>
              </m:r>
              <m:ctrlPr>
                <w:rPr>
                  <w:rFonts w:hint="default" w:ascii="Cambria Math" w:hAnsi="Cambria Math" w:cs="Times New Roman"/>
                  <w:iCs/>
                  <w:sz w:val="28"/>
                  <w:szCs w:val="28"/>
                </w:rPr>
              </m:ctrlPr>
            </m:den>
          </m:f>
          <m:r>
            <m:rPr>
              <m:nor/>
              <m:sty m:val="p"/>
            </m:rPr>
            <w:rPr>
              <w:rFonts w:hint="default" w:ascii="Times New Roman" w:hAnsi="Times New Roman" w:cs="Times New Roman"/>
              <w:b w:val="0"/>
              <w:i w:val="0"/>
              <w:sz w:val="28"/>
              <w:szCs w:val="28"/>
            </w:rPr>
            <m:t xml:space="preserve">                                                         (4</m:t>
          </m:r>
          <m:r>
            <m:rPr>
              <m:nor/>
              <m:sty m:val="p"/>
            </m:rPr>
            <w:rPr>
              <w:rFonts w:hint="default" w:ascii="Times New Roman" w:hAnsi="Times New Roman" w:cs="Times New Roman"/>
              <w:b w:val="0"/>
              <w:i w:val="0"/>
              <w:sz w:val="28"/>
              <w:szCs w:val="28"/>
              <w:lang w:val="en-US" w:eastAsia="zh-CN"/>
            </w:rPr>
            <m:t>.</m:t>
          </m:r>
          <m:r>
            <m:rPr>
              <m:nor/>
              <m:sty m:val="p"/>
            </m:rPr>
            <w:rPr>
              <w:rFonts w:hint="default" w:ascii="Times New Roman" w:hAnsi="Times New Roman" w:cs="Times New Roman"/>
              <w:b w:val="0"/>
              <w:i w:val="0"/>
              <w:sz w:val="28"/>
              <w:szCs w:val="28"/>
            </w:rPr>
            <m:t>9)</m:t>
          </m:r>
        </m:oMath>
      </m:oMathPara>
    </w:p>
    <w:p w14:paraId="55A2DCA2">
      <w:pPr>
        <w:widowControl/>
        <w:ind w:firstLine="709" w:firstLineChars="0"/>
        <w:rPr>
          <w:rFonts w:hint="default" w:ascii="Times New Roman" w:hAnsi="Times New Roman" w:cs="Times New Roman"/>
          <w:iCs/>
          <w:sz w:val="28"/>
          <w:szCs w:val="28"/>
        </w:rPr>
      </w:pPr>
      <w:r>
        <w:rPr>
          <w:rFonts w:hint="default" w:ascii="Times New Roman" w:hAnsi="Times New Roman" w:cs="Times New Roman"/>
          <w:iCs/>
          <w:sz w:val="28"/>
          <w:szCs w:val="28"/>
        </w:rPr>
        <w:t xml:space="preserve">Where </w:t>
      </w:r>
      <w:r>
        <w:rPr>
          <w:rFonts w:hint="default" w:ascii="Times New Roman" w:hAnsi="Times New Roman" w:cs="Times New Roman"/>
          <w:i/>
          <w:sz w:val="28"/>
          <w:szCs w:val="28"/>
        </w:rPr>
        <w:t>K</w:t>
      </w:r>
      <w:r>
        <w:rPr>
          <w:rFonts w:hint="default" w:ascii="Times New Roman" w:hAnsi="Times New Roman" w:cs="Times New Roman"/>
          <w:iCs/>
          <w:sz w:val="28"/>
          <w:szCs w:val="28"/>
        </w:rPr>
        <w:t xml:space="preserve"> is permeability (mD·μm</w:t>
      </w:r>
      <w:r>
        <w:rPr>
          <w:rFonts w:hint="default" w:ascii="Times New Roman" w:hAnsi="Times New Roman" w:cs="Times New Roman"/>
          <w:iCs/>
          <w:sz w:val="28"/>
          <w:szCs w:val="28"/>
          <w:vertAlign w:val="superscript"/>
        </w:rPr>
        <w:t>-2</w:t>
      </w:r>
      <w:r>
        <w:rPr>
          <w:rFonts w:hint="default" w:ascii="Times New Roman" w:hAnsi="Times New Roman" w:cs="Times New Roman"/>
          <w:iCs/>
          <w:sz w:val="28"/>
          <w:szCs w:val="28"/>
        </w:rPr>
        <w:t xml:space="preserve">) and </w:t>
      </w:r>
      <w:r>
        <w:rPr>
          <w:rFonts w:hint="default" w:ascii="Times New Roman" w:hAnsi="Times New Roman" w:cs="Times New Roman"/>
          <w:i/>
          <w:sz w:val="28"/>
          <w:szCs w:val="28"/>
        </w:rPr>
        <w:t>Q</w:t>
      </w:r>
      <w:r>
        <w:rPr>
          <w:rFonts w:hint="default" w:ascii="Times New Roman" w:hAnsi="Times New Roman" w:cs="Times New Roman"/>
          <w:iCs/>
          <w:sz w:val="28"/>
          <w:szCs w:val="28"/>
        </w:rPr>
        <w:t xml:space="preserve"> represents Flow velocity of fluid (cm</w:t>
      </w:r>
      <w:r>
        <w:rPr>
          <w:rFonts w:hint="default" w:ascii="Times New Roman" w:hAnsi="Times New Roman" w:cs="Times New Roman"/>
          <w:iCs/>
          <w:sz w:val="28"/>
          <w:szCs w:val="28"/>
          <w:vertAlign w:val="superscript"/>
        </w:rPr>
        <w:t>3</w:t>
      </w:r>
      <w:r>
        <w:rPr>
          <w:rFonts w:hint="default" w:ascii="Times New Roman" w:hAnsi="Times New Roman" w:cs="Times New Roman"/>
          <w:iCs/>
          <w:sz w:val="28"/>
          <w:szCs w:val="28"/>
        </w:rPr>
        <w:t xml:space="preserve">/s). </w:t>
      </w:r>
      <w:r>
        <w:rPr>
          <w:rFonts w:hint="default" w:ascii="Times New Roman" w:hAnsi="Times New Roman" w:cs="Times New Roman"/>
          <w:i/>
          <w:sz w:val="28"/>
          <w:szCs w:val="28"/>
        </w:rPr>
        <w:t>μ</w:t>
      </w:r>
      <w:r>
        <w:rPr>
          <w:rFonts w:hint="default" w:ascii="Times New Roman" w:hAnsi="Times New Roman" w:cs="Times New Roman"/>
          <w:iCs/>
          <w:sz w:val="28"/>
          <w:szCs w:val="28"/>
        </w:rPr>
        <w:t xml:space="preserve"> denotes viscosity of fluid (mPa·s). A is cross-sectional area of rock core (cm</w:t>
      </w:r>
      <w:r>
        <w:rPr>
          <w:rFonts w:hint="default" w:ascii="Times New Roman" w:hAnsi="Times New Roman" w:cs="Times New Roman"/>
          <w:iCs/>
          <w:sz w:val="28"/>
          <w:szCs w:val="28"/>
          <w:vertAlign w:val="superscript"/>
        </w:rPr>
        <w:t>3</w:t>
      </w:r>
      <w:r>
        <w:rPr>
          <w:rFonts w:hint="default" w:ascii="Times New Roman" w:hAnsi="Times New Roman" w:cs="Times New Roman"/>
          <w:iCs/>
          <w:sz w:val="28"/>
          <w:szCs w:val="28"/>
        </w:rPr>
        <w:t xml:space="preserve">) and </w:t>
      </w:r>
      <w:r>
        <w:rPr>
          <w:rFonts w:hint="default" w:ascii="Times New Roman" w:hAnsi="Times New Roman" w:cs="Times New Roman"/>
          <w:i/>
          <w:sz w:val="28"/>
          <w:szCs w:val="28"/>
        </w:rPr>
        <w:t>L</w:t>
      </w:r>
      <w:r>
        <w:rPr>
          <w:rFonts w:hint="default" w:ascii="Times New Roman" w:hAnsi="Times New Roman" w:cs="Times New Roman"/>
          <w:iCs/>
          <w:sz w:val="28"/>
          <w:szCs w:val="28"/>
        </w:rPr>
        <w:t xml:space="preserve"> denotes length of rock core (cm). ∆</w:t>
      </w:r>
      <w:r>
        <w:rPr>
          <w:rFonts w:hint="default" w:ascii="Times New Roman" w:hAnsi="Times New Roman" w:cs="Times New Roman"/>
          <w:i/>
          <w:sz w:val="28"/>
          <w:szCs w:val="28"/>
        </w:rPr>
        <w:t>P</w:t>
      </w:r>
      <w:r>
        <w:rPr>
          <w:rFonts w:hint="default" w:ascii="Times New Roman" w:hAnsi="Times New Roman" w:cs="Times New Roman"/>
          <w:iCs/>
          <w:sz w:val="28"/>
          <w:szCs w:val="28"/>
        </w:rPr>
        <w:t xml:space="preserve"> represents pressure difference at both ends (MPa).</w:t>
      </w:r>
    </w:p>
    <w:p w14:paraId="58CE59DC">
      <w:pPr>
        <w:widowControl/>
        <w:ind w:firstLine="709" w:firstLineChars="0"/>
        <w:rPr>
          <w:rFonts w:hint="default" w:ascii="Times New Roman" w:hAnsi="Times New Roman" w:cs="Times New Roman"/>
          <w:iCs/>
          <w:sz w:val="28"/>
          <w:szCs w:val="28"/>
        </w:rPr>
      </w:pPr>
    </w:p>
    <w:p w14:paraId="18F0A57E">
      <w:pPr>
        <w:widowControl/>
        <w:autoSpaceDE w:val="0"/>
        <w:autoSpaceDN w:val="0"/>
        <w:adjustRightInd w:val="0"/>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5031740" cy="3103880"/>
            <wp:effectExtent l="0" t="0" r="16510" b="0"/>
            <wp:docPr id="3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8"/>
                    <pic:cNvPicPr>
                      <a:picLocks noChangeAspect="1"/>
                    </pic:cNvPicPr>
                  </pic:nvPicPr>
                  <pic:blipFill>
                    <a:blip r:embed="rId41"/>
                    <a:stretch>
                      <a:fillRect/>
                    </a:stretch>
                  </pic:blipFill>
                  <pic:spPr>
                    <a:xfrm>
                      <a:off x="0" y="0"/>
                      <a:ext cx="5031740" cy="3103880"/>
                    </a:xfrm>
                    <a:prstGeom prst="rect">
                      <a:avLst/>
                    </a:prstGeom>
                    <a:noFill/>
                    <a:ln>
                      <a:noFill/>
                    </a:ln>
                  </pic:spPr>
                </pic:pic>
              </a:graphicData>
            </a:graphic>
          </wp:inline>
        </w:drawing>
      </w:r>
    </w:p>
    <w:p w14:paraId="63098499">
      <w:pPr>
        <w:widowControl/>
        <w:ind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Figure 4.1 – Schematic of the core flooding set up</w:t>
      </w:r>
      <w:r>
        <w:rPr>
          <w:rFonts w:hint="default" w:ascii="Times New Roman" w:hAnsi="Times New Roman" w:cs="Times New Roman"/>
          <w:sz w:val="28"/>
          <w:szCs w:val="28"/>
          <w:lang w:val="en-US" w:eastAsia="zh-CN"/>
        </w:rPr>
        <w:t>.</w:t>
      </w:r>
    </w:p>
    <w:p w14:paraId="7F30D9C3">
      <w:pPr>
        <w:widowControl/>
        <w:ind w:firstLine="709" w:firstLineChars="0"/>
        <w:rPr>
          <w:rFonts w:hint="default" w:ascii="Times New Roman" w:hAnsi="Times New Roman" w:cs="Times New Roman"/>
          <w:sz w:val="28"/>
          <w:szCs w:val="28"/>
        </w:rPr>
      </w:pPr>
    </w:p>
    <w:p w14:paraId="101F1B88">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604" w:name="_Toc11671"/>
      <w:bookmarkStart w:id="605" w:name="_Toc15887"/>
      <w:bookmarkStart w:id="606" w:name="_Toc15709"/>
      <w:bookmarkStart w:id="607" w:name="_Toc403"/>
      <w:bookmarkStart w:id="608" w:name="_Toc23818"/>
      <w:bookmarkStart w:id="609" w:name="_Toc24806"/>
      <w:bookmarkStart w:id="610" w:name="_Toc7468"/>
      <w:r>
        <w:rPr>
          <w:rFonts w:hint="default" w:ascii="Times New Roman" w:hAnsi="Times New Roman" w:cs="Times New Roman"/>
          <w:i w:val="0"/>
          <w:iCs w:val="0"/>
          <w:sz w:val="28"/>
          <w:szCs w:val="28"/>
        </w:rPr>
        <w:t>4.2.8 Emulsification performance determination</w:t>
      </w:r>
      <w:bookmarkEnd w:id="604"/>
      <w:bookmarkEnd w:id="605"/>
      <w:bookmarkEnd w:id="606"/>
      <w:bookmarkEnd w:id="607"/>
      <w:bookmarkEnd w:id="608"/>
      <w:bookmarkEnd w:id="609"/>
      <w:bookmarkEnd w:id="610"/>
    </w:p>
    <w:p w14:paraId="146FF678">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According to Section 3.3</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rPr>
        <w:t>4, the oil-in-water emulsion was prepared by mixing the compounded surfactant aqueous solution (0.2 wt%) with crude oil Z27 at a volume ratio of 9:1 using an ultrasonic cell disruptor (Ningbo Scientz Biotechnology Co., Ltd., China). And the obtained emulsions were placed in a stationary water bath maintained at 60 °C to evaluate their thermal stability. The size and distribution of emulsion droplets were observed and recorded using a BM1800 biological microscope (Nanjing Jiangnan Novel Optics Co., Ltd., China) [132].</w:t>
      </w:r>
    </w:p>
    <w:p w14:paraId="264F06B4">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611" w:name="_Toc11162"/>
      <w:bookmarkStart w:id="612" w:name="_Toc28188"/>
      <w:bookmarkStart w:id="613" w:name="_Toc18099"/>
      <w:bookmarkStart w:id="614" w:name="_Toc15359"/>
      <w:bookmarkStart w:id="615" w:name="_Toc29187"/>
      <w:bookmarkStart w:id="616" w:name="_Toc28019"/>
      <w:bookmarkStart w:id="617" w:name="_Toc21413"/>
      <w:r>
        <w:rPr>
          <w:rFonts w:hint="default" w:ascii="Times New Roman" w:hAnsi="Times New Roman" w:cs="Times New Roman"/>
          <w:i w:val="0"/>
          <w:iCs w:val="0"/>
          <w:sz w:val="28"/>
          <w:szCs w:val="28"/>
        </w:rPr>
        <w:t>4.2.9 Wettability alteration determination</w:t>
      </w:r>
      <w:bookmarkEnd w:id="611"/>
      <w:bookmarkEnd w:id="612"/>
      <w:bookmarkEnd w:id="613"/>
      <w:bookmarkEnd w:id="614"/>
      <w:bookmarkEnd w:id="615"/>
      <w:bookmarkEnd w:id="616"/>
      <w:bookmarkEnd w:id="617"/>
    </w:p>
    <w:p w14:paraId="40C0E834">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Wettability refers to the ability of a fluid to displace another from a solid surface and can be categorized as wetting, soaking, or spreading. When the contact angle is less than 90°, the surface is hydrophilic, and capillary forces aid water flooding, promoting oil displacement. Conversely, a contact angle greater than 90° indicates lipophilicity, where capillary forces oppose water flow, leading to residual oil and reduced recovery. Improving rock wettability toward hydrophilicity enhances oil recovery in originally oleophilic, low-permeability reservoirs and influences water infiltration and surfactant adsorption. Wettability can be quantified using self-priming, centrifugation, or contact angle measurements. For the latter, core slices were pretreated by sequential washing with ethanol and deionized water, drying, and oil-wetting via immersion in heavy crude oil for one week, followed by further drying to remove loosely adsorbed oil. The pretreated cores were then immersed in surfactant solution for 24 hours to form a wetting layer, dried, and equilibrated at room temperature. Static contact angles were measured with a Drop Shape Analyzer (Krüss DSA25, Germany) at 25 °C, with each experiment repeated three times to ensure reproducibility. This procedure provides a quantitative evaluation of surfactant-induced wettability alteration, essential for understanding its impact on capillary forces and oil recovery [132,133,138,139].</w:t>
      </w:r>
    </w:p>
    <w:p w14:paraId="4398F14D">
      <w:pPr>
        <w:widowControl/>
        <w:ind w:firstLine="709" w:firstLineChars="0"/>
        <w:rPr>
          <w:rFonts w:hint="default" w:ascii="Times New Roman" w:hAnsi="Times New Roman" w:cs="Times New Roman"/>
          <w:sz w:val="28"/>
          <w:szCs w:val="28"/>
        </w:rPr>
      </w:pPr>
    </w:p>
    <w:p w14:paraId="5D6DEBB7">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3583940" cy="1676400"/>
            <wp:effectExtent l="0" t="0" r="0" b="0"/>
            <wp:docPr id="3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9"/>
                    <pic:cNvPicPr>
                      <a:picLocks noChangeAspect="1"/>
                    </pic:cNvPicPr>
                  </pic:nvPicPr>
                  <pic:blipFill>
                    <a:blip r:embed="rId42"/>
                    <a:stretch>
                      <a:fillRect/>
                    </a:stretch>
                  </pic:blipFill>
                  <pic:spPr>
                    <a:xfrm>
                      <a:off x="0" y="0"/>
                      <a:ext cx="3590644" cy="1679495"/>
                    </a:xfrm>
                    <a:prstGeom prst="rect">
                      <a:avLst/>
                    </a:prstGeom>
                    <a:noFill/>
                    <a:ln>
                      <a:noFill/>
                    </a:ln>
                  </pic:spPr>
                </pic:pic>
              </a:graphicData>
            </a:graphic>
          </wp:inline>
        </w:drawing>
      </w:r>
    </w:p>
    <w:p w14:paraId="5CF8B607">
      <w:pPr>
        <w:widowControl/>
        <w:ind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Figure 4.2 – Static liquid method diagram</w:t>
      </w:r>
      <w:r>
        <w:rPr>
          <w:rFonts w:hint="default" w:ascii="Times New Roman" w:hAnsi="Times New Roman" w:cs="Times New Roman"/>
          <w:sz w:val="28"/>
          <w:szCs w:val="28"/>
          <w:lang w:val="en-US" w:eastAsia="zh-CN"/>
        </w:rPr>
        <w:t>.</w:t>
      </w:r>
    </w:p>
    <w:p w14:paraId="4C6C0F9F">
      <w:pPr>
        <w:widowControl/>
        <w:ind w:firstLine="709" w:firstLineChars="0"/>
        <w:rPr>
          <w:rFonts w:hint="default" w:ascii="Times New Roman" w:hAnsi="Times New Roman" w:cs="Times New Roman"/>
          <w:sz w:val="28"/>
          <w:szCs w:val="28"/>
        </w:rPr>
      </w:pPr>
    </w:p>
    <w:p w14:paraId="68A021DF">
      <w:pPr>
        <w:pStyle w:val="3"/>
        <w:keepNext w:val="0"/>
        <w:keepLines w:val="0"/>
        <w:widowControl/>
        <w:spacing w:line="240" w:lineRule="auto"/>
        <w:ind w:firstLine="709"/>
        <w:jc w:val="both"/>
        <w:rPr>
          <w:rFonts w:hint="default" w:ascii="Times New Roman" w:hAnsi="Times New Roman" w:cs="Times New Roman"/>
          <w:b/>
          <w:bCs w:val="0"/>
          <w:i w:val="0"/>
          <w:iCs w:val="0"/>
          <w:sz w:val="28"/>
          <w:szCs w:val="28"/>
        </w:rPr>
      </w:pPr>
      <w:bookmarkStart w:id="618" w:name="_Toc131344066"/>
      <w:bookmarkStart w:id="619" w:name="_Toc12237"/>
      <w:bookmarkStart w:id="620" w:name="_Toc17529"/>
      <w:bookmarkStart w:id="621" w:name="_Toc32119"/>
      <w:bookmarkStart w:id="622" w:name="_Toc1749"/>
      <w:bookmarkStart w:id="623" w:name="_Toc23580"/>
      <w:bookmarkStart w:id="624" w:name="_Toc6738"/>
      <w:bookmarkStart w:id="625" w:name="_Toc20763"/>
      <w:r>
        <w:rPr>
          <w:rFonts w:hint="default" w:ascii="Times New Roman" w:hAnsi="Times New Roman" w:cs="Times New Roman"/>
          <w:b/>
          <w:bCs w:val="0"/>
          <w:i w:val="0"/>
          <w:iCs w:val="0"/>
          <w:sz w:val="28"/>
          <w:szCs w:val="28"/>
        </w:rPr>
        <w:t xml:space="preserve">4.3 </w:t>
      </w:r>
      <w:bookmarkEnd w:id="618"/>
      <w:r>
        <w:rPr>
          <w:rFonts w:hint="default" w:ascii="Times New Roman" w:hAnsi="Times New Roman" w:cs="Times New Roman"/>
          <w:b/>
          <w:bCs w:val="0"/>
          <w:i w:val="0"/>
          <w:iCs w:val="0"/>
          <w:sz w:val="28"/>
          <w:szCs w:val="28"/>
        </w:rPr>
        <w:t>Results and discussion</w:t>
      </w:r>
      <w:bookmarkEnd w:id="619"/>
      <w:bookmarkEnd w:id="620"/>
      <w:bookmarkEnd w:id="621"/>
      <w:bookmarkEnd w:id="622"/>
      <w:bookmarkEnd w:id="623"/>
      <w:bookmarkEnd w:id="624"/>
      <w:bookmarkEnd w:id="625"/>
    </w:p>
    <w:p w14:paraId="6240636B">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626" w:name="_Toc28201"/>
      <w:bookmarkStart w:id="627" w:name="_Toc16319"/>
      <w:bookmarkStart w:id="628" w:name="_Toc26593"/>
      <w:bookmarkStart w:id="629" w:name="_Toc7402"/>
      <w:bookmarkStart w:id="630" w:name="_Toc24424"/>
      <w:bookmarkStart w:id="631" w:name="_Toc15296"/>
      <w:bookmarkStart w:id="632" w:name="_Toc210"/>
      <w:r>
        <w:rPr>
          <w:rFonts w:hint="default" w:ascii="Times New Roman" w:hAnsi="Times New Roman" w:cs="Times New Roman"/>
          <w:i w:val="0"/>
          <w:iCs w:val="0"/>
          <w:sz w:val="28"/>
          <w:szCs w:val="28"/>
        </w:rPr>
        <w:t>4.3.1 Surface activity of composite surfactants</w:t>
      </w:r>
      <w:bookmarkEnd w:id="626"/>
      <w:bookmarkEnd w:id="627"/>
      <w:bookmarkEnd w:id="628"/>
      <w:bookmarkEnd w:id="629"/>
      <w:bookmarkEnd w:id="630"/>
      <w:bookmarkEnd w:id="631"/>
      <w:bookmarkEnd w:id="632"/>
    </w:p>
    <w:p w14:paraId="5B32DFEE">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surface tension of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and APG</w:t>
      </w:r>
      <w:r>
        <w:rPr>
          <w:rFonts w:hint="default" w:ascii="Times New Roman" w:hAnsi="Times New Roman" w:cs="Times New Roman"/>
          <w:sz w:val="28"/>
          <w:szCs w:val="28"/>
          <w:vertAlign w:val="subscript"/>
        </w:rPr>
        <w:t>0810</w:t>
      </w:r>
      <w:r>
        <w:rPr>
          <w:rFonts w:hint="default" w:ascii="Times New Roman" w:hAnsi="Times New Roman" w:cs="Times New Roman"/>
          <w:sz w:val="28"/>
          <w:szCs w:val="28"/>
        </w:rPr>
        <w:t xml:space="preserve"> surfactants at different molar ratios was measured at 25 ℃, and the experimental results are shown in Figure 4.3.</w:t>
      </w:r>
    </w:p>
    <w:p w14:paraId="49C5820E">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As shown in Figure 4.3, the surface tension decreases with increasing surfactant concentration and reaches a plateau near the cmc, indicating saturation of the air–water interface. Beyond this point, additional surfactant molecules preferentially form micelles in the bulk phase rather than further adsorbing at the interface [86,132]. The cmc values of the single surfactants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and APG</w:t>
      </w:r>
      <w:r>
        <w:rPr>
          <w:rFonts w:hint="default" w:ascii="Times New Roman" w:hAnsi="Times New Roman" w:cs="Times New Roman"/>
          <w:sz w:val="28"/>
          <w:szCs w:val="28"/>
          <w:vertAlign w:val="subscript"/>
        </w:rPr>
        <w:t>0810</w:t>
      </w:r>
      <w:r>
        <w:rPr>
          <w:rFonts w:hint="default" w:ascii="Times New Roman" w:hAnsi="Times New Roman" w:cs="Times New Roman"/>
          <w:sz w:val="28"/>
          <w:szCs w:val="28"/>
        </w:rPr>
        <w:t xml:space="preserve"> were determined to be 0.098 mmol·L</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and 1.56 mmol·L</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respectively, with γ</w:t>
      </w:r>
      <w:r>
        <w:rPr>
          <w:rFonts w:hint="default" w:ascii="Times New Roman" w:hAnsi="Times New Roman" w:cs="Times New Roman"/>
          <w:sz w:val="28"/>
          <w:szCs w:val="28"/>
          <w:vertAlign w:val="subscript"/>
        </w:rPr>
        <w:t>cmc</w:t>
      </w:r>
      <w:r>
        <w:rPr>
          <w:rFonts w:hint="default" w:ascii="Times New Roman" w:hAnsi="Times New Roman" w:cs="Times New Roman"/>
          <w:sz w:val="28"/>
          <w:szCs w:val="28"/>
        </w:rPr>
        <w:t xml:space="preserve"> of 31.49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and 32.47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In comparison, the cmc and γ</w:t>
      </w:r>
      <w:r>
        <w:rPr>
          <w:rFonts w:hint="default" w:ascii="Times New Roman" w:hAnsi="Times New Roman" w:cs="Times New Roman"/>
          <w:sz w:val="28"/>
          <w:szCs w:val="28"/>
          <w:vertAlign w:val="subscript"/>
        </w:rPr>
        <w:t>cmc</w:t>
      </w:r>
      <w:r>
        <w:rPr>
          <w:rFonts w:hint="default" w:ascii="Times New Roman" w:hAnsi="Times New Roman" w:cs="Times New Roman"/>
          <w:sz w:val="28"/>
          <w:szCs w:val="28"/>
        </w:rPr>
        <w:t xml:space="preserve"> values of the mixed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NS/APG</w:t>
      </w:r>
      <w:r>
        <w:rPr>
          <w:rFonts w:hint="default" w:ascii="Times New Roman" w:hAnsi="Times New Roman" w:cs="Times New Roman"/>
          <w:sz w:val="28"/>
          <w:szCs w:val="28"/>
          <w:vertAlign w:val="subscript"/>
        </w:rPr>
        <w:t>0810</w:t>
      </w:r>
      <w:r>
        <w:rPr>
          <w:rFonts w:hint="default" w:ascii="Times New Roman" w:hAnsi="Times New Roman" w:cs="Times New Roman"/>
          <w:sz w:val="28"/>
          <w:szCs w:val="28"/>
        </w:rPr>
        <w:t xml:space="preserve"> systems, as summarized in Table 4.3, are significantly lower than those of the individual components, indicating an enhanced surface activity and synergistic interaction in the mixed system. This synergistic effect is mainly attributed to the incorporation of the nonionic surfactant APG</w:t>
      </w:r>
      <w:r>
        <w:rPr>
          <w:rFonts w:hint="default" w:ascii="Times New Roman" w:hAnsi="Times New Roman" w:cs="Times New Roman"/>
          <w:sz w:val="28"/>
          <w:szCs w:val="28"/>
          <w:vertAlign w:val="subscript"/>
        </w:rPr>
        <w:t>0810</w:t>
      </w:r>
      <w:r>
        <w:rPr>
          <w:rFonts w:hint="default" w:ascii="Times New Roman" w:hAnsi="Times New Roman" w:cs="Times New Roman"/>
          <w:sz w:val="28"/>
          <w:szCs w:val="28"/>
        </w:rPr>
        <w:t xml:space="preserve"> into the micellar structures formed by the amphoteric surfactant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which reduces the electrostatic repulsion between charged headgroups [132]. As a result, the effective charge density at the micelle interface is decreased, leading to a more compact packing of surfactant molecules and facilitating micelle formation, as schematically illustrated in Figure 4.4 [132,140].</w:t>
      </w:r>
    </w:p>
    <w:p w14:paraId="391B2FB3">
      <w:pPr>
        <w:widowControl/>
        <w:ind w:firstLine="709" w:firstLineChars="0"/>
        <w:rPr>
          <w:rFonts w:hint="default" w:ascii="Times New Roman" w:hAnsi="Times New Roman" w:cs="Times New Roman"/>
          <w:sz w:val="28"/>
          <w:szCs w:val="28"/>
        </w:rPr>
      </w:pPr>
    </w:p>
    <w:p w14:paraId="6301ACFC">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3571875" cy="2724150"/>
            <wp:effectExtent l="0" t="0" r="0" b="0"/>
            <wp:docPr id="4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0"/>
                    <pic:cNvPicPr>
                      <a:picLocks noChangeAspect="1"/>
                    </pic:cNvPicPr>
                  </pic:nvPicPr>
                  <pic:blipFill>
                    <a:blip r:embed="rId43"/>
                    <a:stretch>
                      <a:fillRect/>
                    </a:stretch>
                  </pic:blipFill>
                  <pic:spPr>
                    <a:xfrm>
                      <a:off x="0" y="0"/>
                      <a:ext cx="3571875" cy="2724150"/>
                    </a:xfrm>
                    <a:prstGeom prst="rect">
                      <a:avLst/>
                    </a:prstGeom>
                    <a:noFill/>
                    <a:ln>
                      <a:noFill/>
                    </a:ln>
                  </pic:spPr>
                </pic:pic>
              </a:graphicData>
            </a:graphic>
          </wp:inline>
        </w:drawing>
      </w:r>
    </w:p>
    <w:p w14:paraId="525619E9">
      <w:pPr>
        <w:widowControl/>
        <w:ind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Figure 4.3 – Variation of the surface tension with the mixed surfactant concentrations</w:t>
      </w:r>
      <w:r>
        <w:rPr>
          <w:rFonts w:hint="default" w:ascii="Times New Roman" w:hAnsi="Times New Roman" w:cs="Times New Roman"/>
          <w:sz w:val="28"/>
          <w:szCs w:val="28"/>
          <w:lang w:val="en-US" w:eastAsia="zh-CN"/>
        </w:rPr>
        <w:t>.</w:t>
      </w:r>
    </w:p>
    <w:p w14:paraId="4C2CDBBB">
      <w:pPr>
        <w:widowControl/>
        <w:ind w:firstLine="709" w:firstLineChars="0"/>
        <w:rPr>
          <w:rFonts w:hint="default" w:ascii="Times New Roman" w:hAnsi="Times New Roman" w:cs="Times New Roman"/>
          <w:sz w:val="28"/>
          <w:szCs w:val="28"/>
        </w:rPr>
      </w:pPr>
    </w:p>
    <w:p w14:paraId="6FF677D6">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4048125" cy="1647825"/>
            <wp:effectExtent l="0" t="0" r="0" b="0"/>
            <wp:docPr id="5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1"/>
                    <pic:cNvPicPr>
                      <a:picLocks noChangeAspect="1"/>
                    </pic:cNvPicPr>
                  </pic:nvPicPr>
                  <pic:blipFill>
                    <a:blip r:embed="rId44"/>
                    <a:stretch>
                      <a:fillRect/>
                    </a:stretch>
                  </pic:blipFill>
                  <pic:spPr>
                    <a:xfrm>
                      <a:off x="0" y="0"/>
                      <a:ext cx="4048125" cy="1647825"/>
                    </a:xfrm>
                    <a:prstGeom prst="rect">
                      <a:avLst/>
                    </a:prstGeom>
                    <a:noFill/>
                    <a:ln>
                      <a:noFill/>
                    </a:ln>
                  </pic:spPr>
                </pic:pic>
              </a:graphicData>
            </a:graphic>
          </wp:inline>
        </w:drawing>
      </w:r>
    </w:p>
    <w:p w14:paraId="5D6043F4">
      <w:pPr>
        <w:widowControl/>
        <w:ind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Figure 4.4 – Schematic illustration of the adsorption and arrangement of mixed surfactants at air–water interface</w:t>
      </w:r>
      <w:r>
        <w:rPr>
          <w:rFonts w:hint="default" w:ascii="Times New Roman" w:hAnsi="Times New Roman" w:cs="Times New Roman"/>
          <w:sz w:val="28"/>
          <w:szCs w:val="28"/>
          <w:lang w:val="en-US" w:eastAsia="zh-CN"/>
        </w:rPr>
        <w:t>.</w:t>
      </w:r>
    </w:p>
    <w:p w14:paraId="511BC12E">
      <w:pPr>
        <w:widowControl/>
        <w:ind w:firstLine="709" w:firstLineChars="0"/>
        <w:rPr>
          <w:rFonts w:hint="default" w:ascii="Times New Roman" w:hAnsi="Times New Roman" w:cs="Times New Roman"/>
          <w:sz w:val="28"/>
          <w:szCs w:val="28"/>
        </w:rPr>
      </w:pPr>
    </w:p>
    <w:p w14:paraId="30CEDDE0">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Furthermore, the interaction parameters of these mixtures were calculated to study the interaction behavior using Equations as shown in Table 4.3.</w:t>
      </w:r>
    </w:p>
    <w:p w14:paraId="2B5E2A2A">
      <w:pPr>
        <w:widowControl/>
        <w:ind w:firstLine="709" w:firstLineChars="0"/>
        <w:rPr>
          <w:rFonts w:hint="default" w:ascii="Times New Roman" w:hAnsi="Times New Roman" w:cs="Times New Roman"/>
          <w:sz w:val="28"/>
          <w:szCs w:val="28"/>
        </w:rPr>
      </w:pPr>
    </w:p>
    <w:p w14:paraId="079389DF">
      <w:pPr>
        <w:widowControl/>
        <w:ind w:left="0" w:leftChars="0" w:firstLine="0" w:firstLineChars="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Table 4.3 – Interaction parameters of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(1) and APG</w:t>
      </w:r>
      <w:r>
        <w:rPr>
          <w:rFonts w:hint="default" w:ascii="Times New Roman" w:hAnsi="Times New Roman" w:cs="Times New Roman"/>
          <w:sz w:val="28"/>
          <w:szCs w:val="28"/>
          <w:vertAlign w:val="subscript"/>
        </w:rPr>
        <w:t>0810</w:t>
      </w:r>
      <w:r>
        <w:rPr>
          <w:rFonts w:hint="default" w:ascii="Times New Roman" w:hAnsi="Times New Roman" w:cs="Times New Roman"/>
          <w:sz w:val="28"/>
          <w:szCs w:val="28"/>
        </w:rPr>
        <w:t xml:space="preserve"> (2) compound system</w:t>
      </w:r>
      <w:r>
        <w:rPr>
          <w:rFonts w:hint="default" w:ascii="Times New Roman" w:hAnsi="Times New Roman" w:cs="Times New Roman"/>
          <w:sz w:val="28"/>
          <w:szCs w:val="28"/>
          <w:lang w:val="en-US" w:eastAsia="zh-CN"/>
        </w:rPr>
        <w:t>.</w:t>
      </w:r>
    </w:p>
    <w:tbl>
      <w:tblPr>
        <w:tblStyle w:val="17"/>
        <w:tblW w:w="5000" w:type="pct"/>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888"/>
        <w:gridCol w:w="1115"/>
        <w:gridCol w:w="1115"/>
        <w:gridCol w:w="1115"/>
        <w:gridCol w:w="1115"/>
        <w:gridCol w:w="1115"/>
        <w:gridCol w:w="1276"/>
        <w:gridCol w:w="1115"/>
      </w:tblGrid>
      <w:tr w14:paraId="0AE7415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8" w:type="pct"/>
            <w:tcBorders>
              <w:top w:val="single" w:color="auto" w:sz="12" w:space="0"/>
              <w:bottom w:val="single" w:color="auto" w:sz="6" w:space="0"/>
            </w:tcBorders>
            <w:vAlign w:val="center"/>
          </w:tcPr>
          <w:p w14:paraId="145F3D2A">
            <w:pPr>
              <w:widowControl/>
              <w:ind w:firstLine="0" w:firstLineChars="0"/>
              <w:jc w:val="center"/>
              <w:rPr>
                <w:rFonts w:hint="default" w:ascii="Times New Roman" w:hAnsi="Times New Roman" w:cs="Times New Roman"/>
                <w:sz w:val="28"/>
                <w:szCs w:val="28"/>
              </w:rPr>
            </w:pPr>
            <m:oMathPara>
              <m:oMath>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α</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Sub>
              </m:oMath>
            </m:oMathPara>
          </w:p>
        </w:tc>
        <w:tc>
          <w:tcPr>
            <w:tcW w:w="566" w:type="pct"/>
            <w:tcBorders>
              <w:top w:val="single" w:color="auto" w:sz="12" w:space="0"/>
              <w:bottom w:val="single" w:color="auto" w:sz="6" w:space="0"/>
            </w:tcBorders>
          </w:tcPr>
          <w:p w14:paraId="2F19591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1</w:t>
            </w:r>
          </w:p>
        </w:tc>
        <w:tc>
          <w:tcPr>
            <w:tcW w:w="566" w:type="pct"/>
            <w:tcBorders>
              <w:top w:val="single" w:color="auto" w:sz="12" w:space="0"/>
              <w:bottom w:val="single" w:color="auto" w:sz="6" w:space="0"/>
            </w:tcBorders>
          </w:tcPr>
          <w:p w14:paraId="567E59C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0.8</w:t>
            </w:r>
          </w:p>
        </w:tc>
        <w:tc>
          <w:tcPr>
            <w:tcW w:w="566" w:type="pct"/>
            <w:tcBorders>
              <w:top w:val="single" w:color="auto" w:sz="12" w:space="0"/>
              <w:bottom w:val="single" w:color="auto" w:sz="6" w:space="0"/>
            </w:tcBorders>
          </w:tcPr>
          <w:p w14:paraId="2E504ABC">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0.6</w:t>
            </w:r>
          </w:p>
        </w:tc>
        <w:tc>
          <w:tcPr>
            <w:tcW w:w="566" w:type="pct"/>
            <w:tcBorders>
              <w:top w:val="single" w:color="auto" w:sz="12" w:space="0"/>
              <w:bottom w:val="single" w:color="auto" w:sz="6" w:space="0"/>
            </w:tcBorders>
          </w:tcPr>
          <w:p w14:paraId="2165F1A2">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0.5</w:t>
            </w:r>
          </w:p>
        </w:tc>
        <w:tc>
          <w:tcPr>
            <w:tcW w:w="566" w:type="pct"/>
            <w:tcBorders>
              <w:top w:val="single" w:color="auto" w:sz="12" w:space="0"/>
              <w:bottom w:val="single" w:color="auto" w:sz="6" w:space="0"/>
            </w:tcBorders>
          </w:tcPr>
          <w:p w14:paraId="665F0165">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0.4</w:t>
            </w:r>
          </w:p>
        </w:tc>
        <w:tc>
          <w:tcPr>
            <w:tcW w:w="647" w:type="pct"/>
            <w:tcBorders>
              <w:top w:val="single" w:color="auto" w:sz="12" w:space="0"/>
              <w:bottom w:val="single" w:color="auto" w:sz="6" w:space="0"/>
            </w:tcBorders>
          </w:tcPr>
          <w:p w14:paraId="2A276F33">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0.2</w:t>
            </w:r>
          </w:p>
        </w:tc>
        <w:tc>
          <w:tcPr>
            <w:tcW w:w="565" w:type="pct"/>
            <w:tcBorders>
              <w:top w:val="single" w:color="auto" w:sz="12" w:space="0"/>
              <w:bottom w:val="single" w:color="auto" w:sz="6" w:space="0"/>
            </w:tcBorders>
          </w:tcPr>
          <w:p w14:paraId="255DAD4E">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w:t>
            </w:r>
          </w:p>
        </w:tc>
      </w:tr>
      <w:tr w14:paraId="680A0ED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8" w:type="pct"/>
            <w:tcBorders>
              <w:top w:val="single" w:color="auto" w:sz="6" w:space="0"/>
              <w:bottom w:val="nil"/>
            </w:tcBorders>
            <w:vAlign w:val="center"/>
          </w:tcPr>
          <w:p w14:paraId="30C185B2">
            <w:pPr>
              <w:widowControl/>
              <w:ind w:firstLine="0" w:firstLineChars="0"/>
              <w:jc w:val="center"/>
              <w:rPr>
                <w:rFonts w:hint="default" w:ascii="Times New Roman" w:hAnsi="Times New Roman" w:cs="Times New Roman"/>
                <w:sz w:val="28"/>
                <w:szCs w:val="28"/>
              </w:rPr>
            </w:pPr>
            <m:oMathPara>
              <m:oMath>
                <m:sSubSup>
                  <m:sSubSupPr>
                    <m:ctrlPr>
                      <w:rPr>
                        <w:rFonts w:hint="default" w:ascii="Cambria Math" w:hAnsi="Cambria Math" w:cs="Times New Roman"/>
                        <w:i/>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up>
                    <m:r>
                      <m:rPr>
                        <m:nor/>
                      </m:rPr>
                      <w:rPr>
                        <w:rFonts w:hint="default" w:ascii="Times New Roman" w:hAnsi="Times New Roman" w:cs="Times New Roman"/>
                        <w:i/>
                        <w:sz w:val="28"/>
                        <w:szCs w:val="28"/>
                      </w:rPr>
                      <m:t>id</m:t>
                    </m:r>
                    <m:ctrlPr>
                      <w:rPr>
                        <w:rFonts w:hint="default" w:ascii="Cambria Math" w:hAnsi="Cambria Math" w:cs="Times New Roman"/>
                        <w:i/>
                        <w:sz w:val="28"/>
                        <w:szCs w:val="28"/>
                      </w:rPr>
                    </m:ctrlPr>
                  </m:sup>
                </m:sSubSup>
              </m:oMath>
            </m:oMathPara>
          </w:p>
        </w:tc>
        <w:tc>
          <w:tcPr>
            <w:tcW w:w="566" w:type="pct"/>
            <w:tcBorders>
              <w:top w:val="single" w:color="auto" w:sz="6" w:space="0"/>
              <w:bottom w:val="nil"/>
            </w:tcBorders>
            <w:vAlign w:val="center"/>
          </w:tcPr>
          <w:p w14:paraId="14981B07">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1.0000</w:t>
            </w:r>
          </w:p>
        </w:tc>
        <w:tc>
          <w:tcPr>
            <w:tcW w:w="566" w:type="pct"/>
            <w:tcBorders>
              <w:top w:val="single" w:color="auto" w:sz="6" w:space="0"/>
              <w:bottom w:val="nil"/>
            </w:tcBorders>
          </w:tcPr>
          <w:p w14:paraId="05F7C444">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0.9845</w:t>
            </w:r>
          </w:p>
        </w:tc>
        <w:tc>
          <w:tcPr>
            <w:tcW w:w="566" w:type="pct"/>
            <w:tcBorders>
              <w:top w:val="single" w:color="auto" w:sz="6" w:space="0"/>
              <w:bottom w:val="nil"/>
            </w:tcBorders>
          </w:tcPr>
          <w:p w14:paraId="1F41C892">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0.9598</w:t>
            </w:r>
          </w:p>
        </w:tc>
        <w:tc>
          <w:tcPr>
            <w:tcW w:w="566" w:type="pct"/>
            <w:tcBorders>
              <w:top w:val="single" w:color="auto" w:sz="6" w:space="0"/>
              <w:bottom w:val="nil"/>
            </w:tcBorders>
          </w:tcPr>
          <w:p w14:paraId="671743C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0.9409</w:t>
            </w:r>
          </w:p>
        </w:tc>
        <w:tc>
          <w:tcPr>
            <w:tcW w:w="566" w:type="pct"/>
            <w:tcBorders>
              <w:top w:val="single" w:color="auto" w:sz="6" w:space="0"/>
              <w:bottom w:val="nil"/>
            </w:tcBorders>
          </w:tcPr>
          <w:p w14:paraId="620DA00C">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0.9139</w:t>
            </w:r>
          </w:p>
        </w:tc>
        <w:tc>
          <w:tcPr>
            <w:tcW w:w="647" w:type="pct"/>
            <w:tcBorders>
              <w:top w:val="single" w:color="auto" w:sz="6" w:space="0"/>
              <w:bottom w:val="nil"/>
            </w:tcBorders>
          </w:tcPr>
          <w:p w14:paraId="421ED557">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0.7992</w:t>
            </w:r>
          </w:p>
        </w:tc>
        <w:tc>
          <w:tcPr>
            <w:tcW w:w="565" w:type="pct"/>
            <w:tcBorders>
              <w:top w:val="single" w:color="auto" w:sz="6" w:space="0"/>
              <w:bottom w:val="nil"/>
            </w:tcBorders>
            <w:vAlign w:val="center"/>
          </w:tcPr>
          <w:p w14:paraId="03938F33">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0.0000</w:t>
            </w:r>
          </w:p>
        </w:tc>
      </w:tr>
      <w:tr w14:paraId="4A26CF7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8" w:type="pct"/>
            <w:tcBorders>
              <w:top w:val="nil"/>
              <w:bottom w:val="nil"/>
            </w:tcBorders>
            <w:vAlign w:val="center"/>
          </w:tcPr>
          <w:p w14:paraId="264F7F43">
            <w:pPr>
              <w:widowControl/>
              <w:ind w:firstLine="0" w:firstLineChars="0"/>
              <w:jc w:val="center"/>
              <w:rPr>
                <w:rFonts w:hint="default" w:ascii="Times New Roman" w:hAnsi="Times New Roman" w:cs="Times New Roman"/>
                <w:sz w:val="28"/>
                <w:szCs w:val="28"/>
              </w:rPr>
            </w:pPr>
            <m:oMathPara>
              <m:oMath>
                <m:sSubSup>
                  <m:sSubSupPr>
                    <m:ctrlPr>
                      <w:rPr>
                        <w:rFonts w:hint="default" w:ascii="Cambria Math" w:hAnsi="Cambria Math" w:cs="Times New Roman"/>
                        <w:i/>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up>
                    <m:r>
                      <m:rPr>
                        <m:nor/>
                      </m:rPr>
                      <w:rPr>
                        <w:rFonts w:hint="default" w:ascii="Times New Roman" w:hAnsi="Times New Roman" w:cs="Times New Roman"/>
                        <w:i/>
                        <w:sz w:val="28"/>
                        <w:szCs w:val="28"/>
                      </w:rPr>
                      <m:t>m</m:t>
                    </m:r>
                    <m:ctrlPr>
                      <w:rPr>
                        <w:rFonts w:hint="default" w:ascii="Cambria Math" w:hAnsi="Cambria Math" w:cs="Times New Roman"/>
                        <w:i/>
                        <w:sz w:val="28"/>
                        <w:szCs w:val="28"/>
                      </w:rPr>
                    </m:ctrlPr>
                  </m:sup>
                </m:sSubSup>
              </m:oMath>
            </m:oMathPara>
          </w:p>
        </w:tc>
        <w:tc>
          <w:tcPr>
            <w:tcW w:w="566" w:type="pct"/>
            <w:tcBorders>
              <w:top w:val="nil"/>
              <w:bottom w:val="nil"/>
            </w:tcBorders>
          </w:tcPr>
          <w:p w14:paraId="4363FCBE">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1.0000</w:t>
            </w:r>
          </w:p>
        </w:tc>
        <w:tc>
          <w:tcPr>
            <w:tcW w:w="566" w:type="pct"/>
            <w:tcBorders>
              <w:top w:val="nil"/>
              <w:bottom w:val="nil"/>
            </w:tcBorders>
          </w:tcPr>
          <w:p w14:paraId="0DB06A40">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0.7205</w:t>
            </w:r>
          </w:p>
        </w:tc>
        <w:tc>
          <w:tcPr>
            <w:tcW w:w="566" w:type="pct"/>
            <w:tcBorders>
              <w:top w:val="nil"/>
              <w:bottom w:val="nil"/>
            </w:tcBorders>
          </w:tcPr>
          <w:p w14:paraId="29CD96C3">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0.6672</w:t>
            </w:r>
          </w:p>
        </w:tc>
        <w:tc>
          <w:tcPr>
            <w:tcW w:w="566" w:type="pct"/>
            <w:tcBorders>
              <w:top w:val="nil"/>
              <w:bottom w:val="nil"/>
            </w:tcBorders>
          </w:tcPr>
          <w:p w14:paraId="2C404C7B">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0.6434</w:t>
            </w:r>
          </w:p>
        </w:tc>
        <w:tc>
          <w:tcPr>
            <w:tcW w:w="566" w:type="pct"/>
            <w:tcBorders>
              <w:top w:val="nil"/>
              <w:bottom w:val="nil"/>
            </w:tcBorders>
          </w:tcPr>
          <w:p w14:paraId="74AD4B75">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0.6167</w:t>
            </w:r>
          </w:p>
        </w:tc>
        <w:tc>
          <w:tcPr>
            <w:tcW w:w="647" w:type="pct"/>
            <w:tcBorders>
              <w:top w:val="nil"/>
              <w:bottom w:val="nil"/>
            </w:tcBorders>
          </w:tcPr>
          <w:p w14:paraId="1ACFC180">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0.6367</w:t>
            </w:r>
          </w:p>
        </w:tc>
        <w:tc>
          <w:tcPr>
            <w:tcW w:w="565" w:type="pct"/>
            <w:tcBorders>
              <w:top w:val="nil"/>
              <w:bottom w:val="nil"/>
            </w:tcBorders>
          </w:tcPr>
          <w:p w14:paraId="727CF947">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0.0000</w:t>
            </w:r>
          </w:p>
        </w:tc>
      </w:tr>
      <w:tr w14:paraId="5CE6373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8" w:type="pct"/>
            <w:tcBorders>
              <w:top w:val="nil"/>
              <w:bottom w:val="nil"/>
            </w:tcBorders>
            <w:vAlign w:val="center"/>
          </w:tcPr>
          <w:p w14:paraId="10CDC89B">
            <w:pPr>
              <w:widowControl/>
              <w:ind w:firstLine="0" w:firstLineChars="0"/>
              <w:jc w:val="center"/>
              <w:rPr>
                <w:rFonts w:hint="default" w:ascii="Times New Roman" w:hAnsi="Times New Roman" w:cs="Times New Roman"/>
                <w:sz w:val="28"/>
                <w:szCs w:val="28"/>
              </w:rPr>
            </w:pPr>
            <m:oMathPara>
              <m:oMath>
                <m:sSubSup>
                  <m:sSubSupPr>
                    <m:ctrlPr>
                      <w:rPr>
                        <w:rFonts w:hint="default" w:ascii="Cambria Math" w:hAnsi="Cambria Math" w:cs="Times New Roman"/>
                        <w:i/>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2</m:t>
                    </m:r>
                    <m:ctrlPr>
                      <w:rPr>
                        <w:rFonts w:hint="default" w:ascii="Cambria Math" w:hAnsi="Cambria Math" w:cs="Times New Roman"/>
                        <w:i/>
                        <w:sz w:val="28"/>
                        <w:szCs w:val="28"/>
                      </w:rPr>
                    </m:ctrlPr>
                  </m:sub>
                  <m:sup>
                    <m:r>
                      <m:rPr>
                        <m:nor/>
                      </m:rPr>
                      <w:rPr>
                        <w:rFonts w:hint="default" w:ascii="Times New Roman" w:hAnsi="Times New Roman" w:cs="Times New Roman"/>
                        <w:i/>
                        <w:sz w:val="28"/>
                        <w:szCs w:val="28"/>
                      </w:rPr>
                      <m:t>m</m:t>
                    </m:r>
                    <m:ctrlPr>
                      <w:rPr>
                        <w:rFonts w:hint="default" w:ascii="Cambria Math" w:hAnsi="Cambria Math" w:cs="Times New Roman"/>
                        <w:i/>
                        <w:sz w:val="28"/>
                        <w:szCs w:val="28"/>
                      </w:rPr>
                    </m:ctrlPr>
                  </m:sup>
                </m:sSubSup>
              </m:oMath>
            </m:oMathPara>
          </w:p>
        </w:tc>
        <w:tc>
          <w:tcPr>
            <w:tcW w:w="566" w:type="pct"/>
            <w:tcBorders>
              <w:top w:val="nil"/>
              <w:bottom w:val="nil"/>
            </w:tcBorders>
            <w:vAlign w:val="center"/>
          </w:tcPr>
          <w:p w14:paraId="0644882B">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0.0000</w:t>
            </w:r>
          </w:p>
        </w:tc>
        <w:tc>
          <w:tcPr>
            <w:tcW w:w="566" w:type="pct"/>
            <w:tcBorders>
              <w:top w:val="nil"/>
              <w:bottom w:val="nil"/>
            </w:tcBorders>
            <w:vAlign w:val="center"/>
          </w:tcPr>
          <w:p w14:paraId="067544F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0.2795</w:t>
            </w:r>
          </w:p>
        </w:tc>
        <w:tc>
          <w:tcPr>
            <w:tcW w:w="566" w:type="pct"/>
            <w:tcBorders>
              <w:top w:val="nil"/>
              <w:bottom w:val="nil"/>
            </w:tcBorders>
            <w:vAlign w:val="center"/>
          </w:tcPr>
          <w:p w14:paraId="2C04A97D">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0.3328</w:t>
            </w:r>
          </w:p>
        </w:tc>
        <w:tc>
          <w:tcPr>
            <w:tcW w:w="566" w:type="pct"/>
            <w:tcBorders>
              <w:top w:val="nil"/>
              <w:bottom w:val="nil"/>
            </w:tcBorders>
            <w:vAlign w:val="center"/>
          </w:tcPr>
          <w:p w14:paraId="36B6221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0.3466</w:t>
            </w:r>
          </w:p>
        </w:tc>
        <w:tc>
          <w:tcPr>
            <w:tcW w:w="566" w:type="pct"/>
            <w:tcBorders>
              <w:top w:val="nil"/>
              <w:bottom w:val="nil"/>
            </w:tcBorders>
            <w:vAlign w:val="center"/>
          </w:tcPr>
          <w:p w14:paraId="63A6E95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0.3833</w:t>
            </w:r>
          </w:p>
        </w:tc>
        <w:tc>
          <w:tcPr>
            <w:tcW w:w="647" w:type="pct"/>
            <w:tcBorders>
              <w:top w:val="nil"/>
              <w:bottom w:val="nil"/>
            </w:tcBorders>
            <w:vAlign w:val="center"/>
          </w:tcPr>
          <w:p w14:paraId="09F23F33">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0.3633</w:t>
            </w:r>
          </w:p>
        </w:tc>
        <w:tc>
          <w:tcPr>
            <w:tcW w:w="565" w:type="pct"/>
            <w:tcBorders>
              <w:top w:val="nil"/>
              <w:bottom w:val="nil"/>
            </w:tcBorders>
            <w:vAlign w:val="center"/>
          </w:tcPr>
          <w:p w14:paraId="09703634">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1.0000</w:t>
            </w:r>
          </w:p>
        </w:tc>
      </w:tr>
      <w:tr w14:paraId="0A48E83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8" w:type="pct"/>
            <w:tcBorders>
              <w:top w:val="nil"/>
              <w:bottom w:val="nil"/>
            </w:tcBorders>
            <w:vAlign w:val="center"/>
          </w:tcPr>
          <w:p w14:paraId="73B17D13">
            <w:pPr>
              <w:widowControl/>
              <w:ind w:firstLine="0" w:firstLineChars="0"/>
              <w:jc w:val="center"/>
              <w:rPr>
                <w:rFonts w:hint="default" w:ascii="Times New Roman" w:hAnsi="Times New Roman" w:cs="Times New Roman"/>
                <w:sz w:val="28"/>
                <w:szCs w:val="28"/>
              </w:rPr>
            </w:pPr>
            <m:oMathPara>
              <m:oMath>
                <m:sSup>
                  <m:sSupPr>
                    <m:ctrlPr>
                      <w:rPr>
                        <w:rFonts w:hint="default" w:ascii="Cambria Math" w:hAnsi="Cambria Math" w:cs="Times New Roman"/>
                        <w:i/>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i/>
                        <w:sz w:val="28"/>
                        <w:szCs w:val="28"/>
                      </w:rPr>
                    </m:ctrlPr>
                  </m:e>
                  <m:sup>
                    <m:r>
                      <m:rPr>
                        <m:nor/>
                      </m:rPr>
                      <w:rPr>
                        <w:rFonts w:hint="default" w:ascii="Times New Roman" w:hAnsi="Times New Roman" w:cs="Times New Roman"/>
                        <w:i/>
                        <w:sz w:val="28"/>
                        <w:szCs w:val="28"/>
                      </w:rPr>
                      <m:t>m</m:t>
                    </m:r>
                    <m:ctrlPr>
                      <w:rPr>
                        <w:rFonts w:hint="default" w:ascii="Cambria Math" w:hAnsi="Cambria Math" w:cs="Times New Roman"/>
                        <w:i/>
                        <w:sz w:val="28"/>
                        <w:szCs w:val="28"/>
                      </w:rPr>
                    </m:ctrlPr>
                  </m:sup>
                </m:sSup>
              </m:oMath>
            </m:oMathPara>
          </w:p>
        </w:tc>
        <w:tc>
          <w:tcPr>
            <w:tcW w:w="566" w:type="pct"/>
            <w:tcBorders>
              <w:top w:val="nil"/>
              <w:bottom w:val="nil"/>
            </w:tcBorders>
            <w:vAlign w:val="center"/>
          </w:tcPr>
          <w:p w14:paraId="6CB435F5">
            <w:pPr>
              <w:widowControl/>
              <w:ind w:firstLine="0" w:firstLineChars="0"/>
              <w:jc w:val="center"/>
              <w:rPr>
                <w:rFonts w:hint="default" w:ascii="Times New Roman" w:hAnsi="Times New Roman" w:cs="Times New Roman"/>
                <w:sz w:val="28"/>
                <w:szCs w:val="28"/>
              </w:rPr>
            </w:pPr>
          </w:p>
        </w:tc>
        <w:tc>
          <w:tcPr>
            <w:tcW w:w="566" w:type="pct"/>
            <w:tcBorders>
              <w:top w:val="nil"/>
              <w:bottom w:val="nil"/>
            </w:tcBorders>
          </w:tcPr>
          <w:p w14:paraId="2F569212">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-7.2744</w:t>
            </w:r>
          </w:p>
        </w:tc>
        <w:tc>
          <w:tcPr>
            <w:tcW w:w="566" w:type="pct"/>
            <w:tcBorders>
              <w:top w:val="nil"/>
              <w:bottom w:val="nil"/>
            </w:tcBorders>
          </w:tcPr>
          <w:p w14:paraId="55D84636">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-7.4030</w:t>
            </w:r>
          </w:p>
        </w:tc>
        <w:tc>
          <w:tcPr>
            <w:tcW w:w="566" w:type="pct"/>
            <w:tcBorders>
              <w:top w:val="nil"/>
              <w:bottom w:val="nil"/>
            </w:tcBorders>
          </w:tcPr>
          <w:p w14:paraId="078ACE6C">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-7.5959</w:t>
            </w:r>
          </w:p>
        </w:tc>
        <w:tc>
          <w:tcPr>
            <w:tcW w:w="566" w:type="pct"/>
            <w:tcBorders>
              <w:top w:val="nil"/>
              <w:bottom w:val="nil"/>
            </w:tcBorders>
          </w:tcPr>
          <w:p w14:paraId="238DE30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-8.0946</w:t>
            </w:r>
          </w:p>
        </w:tc>
        <w:tc>
          <w:tcPr>
            <w:tcW w:w="647" w:type="pct"/>
            <w:tcBorders>
              <w:top w:val="nil"/>
              <w:bottom w:val="nil"/>
            </w:tcBorders>
          </w:tcPr>
          <w:p w14:paraId="39DA0E60">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-2.9991</w:t>
            </w:r>
          </w:p>
        </w:tc>
        <w:tc>
          <w:tcPr>
            <w:tcW w:w="565" w:type="pct"/>
            <w:tcBorders>
              <w:top w:val="nil"/>
              <w:bottom w:val="nil"/>
            </w:tcBorders>
            <w:vAlign w:val="center"/>
          </w:tcPr>
          <w:p w14:paraId="7CF7E6EE">
            <w:pPr>
              <w:widowControl/>
              <w:ind w:firstLine="0" w:firstLineChars="0"/>
              <w:jc w:val="center"/>
              <w:rPr>
                <w:rFonts w:hint="default" w:ascii="Times New Roman" w:hAnsi="Times New Roman" w:cs="Times New Roman"/>
                <w:sz w:val="28"/>
                <w:szCs w:val="28"/>
              </w:rPr>
            </w:pPr>
          </w:p>
        </w:tc>
      </w:tr>
      <w:tr w14:paraId="4A09301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8" w:type="pct"/>
            <w:tcBorders>
              <w:top w:val="nil"/>
              <w:bottom w:val="nil"/>
            </w:tcBorders>
            <w:vAlign w:val="center"/>
          </w:tcPr>
          <w:p w14:paraId="3215655E">
            <w:pPr>
              <w:widowControl/>
              <w:ind w:firstLine="0" w:firstLineChars="0"/>
              <w:jc w:val="center"/>
              <w:rPr>
                <w:rFonts w:hint="default" w:ascii="Times New Roman" w:hAnsi="Times New Roman" w:cs="Times New Roman"/>
                <w:sz w:val="28"/>
                <w:szCs w:val="28"/>
              </w:rPr>
            </w:pPr>
            <m:oMath>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C</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12</m:t>
                  </m:r>
                  <m:ctrlPr>
                    <w:rPr>
                      <w:rFonts w:hint="default" w:ascii="Cambria Math" w:hAnsi="Cambria Math" w:cs="Times New Roman"/>
                      <w:i/>
                      <w:sz w:val="28"/>
                      <w:szCs w:val="28"/>
                    </w:rPr>
                  </m:ctrlPr>
                </m:sub>
              </m:sSub>
            </m:oMath>
            <w:r>
              <w:rPr>
                <w:rFonts w:hint="default" w:ascii="Times New Roman" w:hAnsi="Times New Roman" w:cs="Times New Roman"/>
                <w:sz w:val="28"/>
                <w:szCs w:val="28"/>
              </w:rPr>
              <w:t xml:space="preserve"> (mmol·L</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w:t>
            </w:r>
          </w:p>
        </w:tc>
        <w:tc>
          <w:tcPr>
            <w:tcW w:w="566" w:type="pct"/>
            <w:tcBorders>
              <w:top w:val="nil"/>
              <w:bottom w:val="nil"/>
            </w:tcBorders>
            <w:vAlign w:val="center"/>
          </w:tcPr>
          <w:p w14:paraId="22F3734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0.0980</w:t>
            </w:r>
          </w:p>
        </w:tc>
        <w:tc>
          <w:tcPr>
            <w:tcW w:w="566" w:type="pct"/>
            <w:tcBorders>
              <w:top w:val="nil"/>
              <w:bottom w:val="nil"/>
            </w:tcBorders>
          </w:tcPr>
          <w:p w14:paraId="22CA2A9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0.0500</w:t>
            </w:r>
          </w:p>
        </w:tc>
        <w:tc>
          <w:tcPr>
            <w:tcW w:w="566" w:type="pct"/>
            <w:tcBorders>
              <w:top w:val="nil"/>
              <w:bottom w:val="nil"/>
            </w:tcBorders>
          </w:tcPr>
          <w:p w14:paraId="0266E09B">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0.0480</w:t>
            </w:r>
          </w:p>
        </w:tc>
        <w:tc>
          <w:tcPr>
            <w:tcW w:w="566" w:type="pct"/>
            <w:tcBorders>
              <w:top w:val="nil"/>
              <w:bottom w:val="nil"/>
            </w:tcBorders>
          </w:tcPr>
          <w:p w14:paraId="210706D5">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0.0480</w:t>
            </w:r>
          </w:p>
        </w:tc>
        <w:tc>
          <w:tcPr>
            <w:tcW w:w="566" w:type="pct"/>
            <w:tcBorders>
              <w:top w:val="nil"/>
              <w:bottom w:val="nil"/>
            </w:tcBorders>
          </w:tcPr>
          <w:p w14:paraId="1B2B97F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0.0460</w:t>
            </w:r>
          </w:p>
        </w:tc>
        <w:tc>
          <w:tcPr>
            <w:tcW w:w="647" w:type="pct"/>
            <w:tcBorders>
              <w:top w:val="nil"/>
              <w:bottom w:val="nil"/>
            </w:tcBorders>
          </w:tcPr>
          <w:p w14:paraId="414E541D">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0.2100</w:t>
            </w:r>
          </w:p>
        </w:tc>
        <w:tc>
          <w:tcPr>
            <w:tcW w:w="565" w:type="pct"/>
            <w:tcBorders>
              <w:top w:val="nil"/>
              <w:bottom w:val="nil"/>
            </w:tcBorders>
            <w:vAlign w:val="center"/>
          </w:tcPr>
          <w:p w14:paraId="7BB8A24A">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1.5600</w:t>
            </w:r>
          </w:p>
        </w:tc>
      </w:tr>
      <w:tr w14:paraId="575512F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8" w:type="pct"/>
            <w:tcBorders>
              <w:top w:val="nil"/>
              <w:bottom w:val="nil"/>
            </w:tcBorders>
            <w:vAlign w:val="center"/>
          </w:tcPr>
          <w:p w14:paraId="2EFAE694">
            <w:pPr>
              <w:widowControl/>
              <w:ind w:firstLine="0" w:firstLineChars="0"/>
              <w:jc w:val="center"/>
              <w:rPr>
                <w:rFonts w:hint="default" w:ascii="Times New Roman" w:hAnsi="Times New Roman" w:cs="Times New Roman"/>
                <w:sz w:val="28"/>
                <w:szCs w:val="28"/>
              </w:rPr>
            </w:pPr>
            <m:oMath>
              <m:sSubSup>
                <m:sSubSupPr>
                  <m:ctrlPr>
                    <w:rPr>
                      <w:rFonts w:hint="default" w:ascii="Cambria Math" w:hAnsi="Cambria Math" w:cs="Times New Roman"/>
                      <w:i/>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12</m:t>
                  </m:r>
                  <m:ctrlPr>
                    <w:rPr>
                      <w:rFonts w:hint="default" w:ascii="Cambria Math" w:hAnsi="Cambria Math" w:cs="Times New Roman"/>
                      <w:i/>
                      <w:sz w:val="28"/>
                      <w:szCs w:val="28"/>
                    </w:rPr>
                  </m:ctrlPr>
                </m:sub>
                <m:sup>
                  <m:r>
                    <m:rPr>
                      <m:nor/>
                    </m:rPr>
                    <w:rPr>
                      <w:rFonts w:hint="default" w:ascii="Times New Roman" w:hAnsi="Times New Roman" w:cs="Times New Roman"/>
                      <w:i/>
                      <w:sz w:val="28"/>
                      <w:szCs w:val="28"/>
                    </w:rPr>
                    <m:t>id</m:t>
                  </m:r>
                  <m:ctrlPr>
                    <w:rPr>
                      <w:rFonts w:hint="default" w:ascii="Cambria Math" w:hAnsi="Cambria Math" w:cs="Times New Roman"/>
                      <w:i/>
                      <w:sz w:val="28"/>
                      <w:szCs w:val="28"/>
                    </w:rPr>
                  </m:ctrlPr>
                </m:sup>
              </m:sSubSup>
            </m:oMath>
            <w:r>
              <w:rPr>
                <w:rFonts w:hint="default" w:ascii="Times New Roman" w:hAnsi="Times New Roman" w:cs="Times New Roman"/>
                <w:sz w:val="28"/>
                <w:szCs w:val="28"/>
              </w:rPr>
              <w:t xml:space="preserve"> (mmol·L</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w:t>
            </w:r>
          </w:p>
        </w:tc>
        <w:tc>
          <w:tcPr>
            <w:tcW w:w="566" w:type="pct"/>
            <w:tcBorders>
              <w:top w:val="nil"/>
              <w:bottom w:val="nil"/>
            </w:tcBorders>
            <w:vAlign w:val="center"/>
          </w:tcPr>
          <w:p w14:paraId="5C90676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0.0980</w:t>
            </w:r>
          </w:p>
        </w:tc>
        <w:tc>
          <w:tcPr>
            <w:tcW w:w="566" w:type="pct"/>
            <w:tcBorders>
              <w:top w:val="nil"/>
              <w:bottom w:val="nil"/>
            </w:tcBorders>
          </w:tcPr>
          <w:p w14:paraId="35177B2A">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0.1206</w:t>
            </w:r>
          </w:p>
        </w:tc>
        <w:tc>
          <w:tcPr>
            <w:tcW w:w="566" w:type="pct"/>
            <w:tcBorders>
              <w:top w:val="nil"/>
              <w:bottom w:val="nil"/>
            </w:tcBorders>
          </w:tcPr>
          <w:p w14:paraId="75A5C50B">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0.1568</w:t>
            </w:r>
          </w:p>
        </w:tc>
        <w:tc>
          <w:tcPr>
            <w:tcW w:w="566" w:type="pct"/>
            <w:tcBorders>
              <w:top w:val="nil"/>
              <w:bottom w:val="nil"/>
            </w:tcBorders>
          </w:tcPr>
          <w:p w14:paraId="571F084C">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0.1844</w:t>
            </w:r>
          </w:p>
        </w:tc>
        <w:tc>
          <w:tcPr>
            <w:tcW w:w="566" w:type="pct"/>
            <w:tcBorders>
              <w:top w:val="nil"/>
              <w:bottom w:val="nil"/>
            </w:tcBorders>
          </w:tcPr>
          <w:p w14:paraId="484E4655">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0.2239</w:t>
            </w:r>
          </w:p>
        </w:tc>
        <w:tc>
          <w:tcPr>
            <w:tcW w:w="647" w:type="pct"/>
            <w:tcBorders>
              <w:top w:val="nil"/>
              <w:bottom w:val="nil"/>
            </w:tcBorders>
          </w:tcPr>
          <w:p w14:paraId="4898469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0.3916</w:t>
            </w:r>
          </w:p>
        </w:tc>
        <w:tc>
          <w:tcPr>
            <w:tcW w:w="565" w:type="pct"/>
            <w:tcBorders>
              <w:top w:val="nil"/>
              <w:bottom w:val="nil"/>
            </w:tcBorders>
            <w:vAlign w:val="center"/>
          </w:tcPr>
          <w:p w14:paraId="355148B2">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1.5600</w:t>
            </w:r>
          </w:p>
        </w:tc>
      </w:tr>
      <w:tr w14:paraId="388E12D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8" w:type="pct"/>
            <w:tcBorders>
              <w:top w:val="nil"/>
              <w:bottom w:val="nil"/>
            </w:tcBorders>
            <w:vAlign w:val="center"/>
          </w:tcPr>
          <w:p w14:paraId="46967B29">
            <w:pPr>
              <w:widowControl/>
              <w:ind w:firstLine="0" w:firstLineChars="0"/>
              <w:jc w:val="center"/>
              <w:rPr>
                <w:rFonts w:hint="default" w:ascii="Times New Roman" w:hAnsi="Times New Roman" w:cs="Times New Roman"/>
                <w:sz w:val="28"/>
                <w:szCs w:val="28"/>
              </w:rPr>
            </w:pPr>
            <m:oMathPara>
              <m:oMath>
                <m:func>
                  <m:funcPr>
                    <m:ctrlPr>
                      <w:rPr>
                        <w:rFonts w:hint="default" w:ascii="Cambria Math" w:hAnsi="Cambria Math" w:cs="Times New Roman"/>
                        <w:i/>
                        <w:iCs/>
                        <w:sz w:val="28"/>
                        <w:szCs w:val="28"/>
                      </w:rPr>
                    </m:ctrlPr>
                  </m:funcPr>
                  <m:fName>
                    <m:r>
                      <m:rPr>
                        <m:nor/>
                      </m:rPr>
                      <w:rPr>
                        <w:rFonts w:hint="default" w:ascii="Times New Roman" w:hAnsi="Times New Roman" w:cs="Times New Roman"/>
                        <w:i/>
                        <w:sz w:val="28"/>
                        <w:szCs w:val="28"/>
                      </w:rPr>
                      <m:t>ln</m:t>
                    </m:r>
                    <m:ctrlPr>
                      <w:rPr>
                        <w:rFonts w:hint="default" w:ascii="Cambria Math" w:hAnsi="Cambria Math" w:cs="Times New Roman"/>
                        <w:i/>
                        <w:iCs/>
                        <w:sz w:val="28"/>
                        <w:szCs w:val="28"/>
                      </w:rPr>
                    </m:ctrlPr>
                  </m:fName>
                  <m:e>
                    <m:d>
                      <m:dPr>
                        <m:ctrlPr>
                          <w:rPr>
                            <w:rFonts w:hint="default" w:ascii="Cambria Math" w:hAnsi="Cambria Math" w:cs="Times New Roman"/>
                            <w:i/>
                            <w:iCs/>
                            <w:sz w:val="28"/>
                            <w:szCs w:val="28"/>
                          </w:rPr>
                        </m:ctrlPr>
                      </m:dPr>
                      <m:e>
                        <m:f>
                          <m:fPr>
                            <m:ctrlPr>
                              <w:rPr>
                                <w:rFonts w:hint="default" w:ascii="Cambria Math" w:hAnsi="Cambria Math" w:cs="Times New Roman"/>
                                <w:i/>
                                <w:iCs/>
                                <w:sz w:val="28"/>
                                <w:szCs w:val="28"/>
                              </w:rPr>
                            </m:ctrlPr>
                          </m:fPr>
                          <m:num>
                            <m:sSub>
                              <m:sSubPr>
                                <m:ctrlPr>
                                  <w:rPr>
                                    <w:rFonts w:hint="default" w:ascii="Cambria Math" w:hAnsi="Cambria Math" w:cs="Times New Roman"/>
                                    <w:i/>
                                    <w:iCs/>
                                    <w:sz w:val="28"/>
                                    <w:szCs w:val="28"/>
                                    <w:vertAlign w:val="subscript"/>
                                  </w:rPr>
                                </m:ctrlPr>
                              </m:sSubPr>
                              <m:e>
                                <m:r>
                                  <m:rPr>
                                    <m:nor/>
                                  </m:rPr>
                                  <w:rPr>
                                    <w:rFonts w:hint="default" w:ascii="Times New Roman" w:hAnsi="Times New Roman" w:cs="Times New Roman"/>
                                    <w:i/>
                                    <w:sz w:val="28"/>
                                    <w:szCs w:val="28"/>
                                    <w:vertAlign w:val="subscript"/>
                                  </w:rPr>
                                  <m:t>C</m:t>
                                </m:r>
                                <m:ctrlPr>
                                  <w:rPr>
                                    <w:rFonts w:hint="default" w:ascii="Cambria Math" w:hAnsi="Cambria Math" w:cs="Times New Roman"/>
                                    <w:i/>
                                    <w:iCs/>
                                    <w:sz w:val="28"/>
                                    <w:szCs w:val="28"/>
                                    <w:vertAlign w:val="subscript"/>
                                  </w:rPr>
                                </m:ctrlPr>
                              </m:e>
                              <m:sub>
                                <m:r>
                                  <m:rPr>
                                    <m:nor/>
                                    <m:sty m:val="p"/>
                                  </m:rPr>
                                  <w:rPr>
                                    <w:rFonts w:hint="default" w:ascii="Times New Roman" w:hAnsi="Times New Roman" w:cs="Times New Roman"/>
                                    <w:b w:val="0"/>
                                    <w:i w:val="0"/>
                                    <w:sz w:val="28"/>
                                    <w:szCs w:val="28"/>
                                    <w:vertAlign w:val="subscript"/>
                                  </w:rPr>
                                  <m:t>1</m:t>
                                </m:r>
                                <m:ctrlPr>
                                  <w:rPr>
                                    <w:rFonts w:hint="default" w:ascii="Cambria Math" w:hAnsi="Cambria Math" w:cs="Times New Roman"/>
                                    <w:i/>
                                    <w:iCs/>
                                    <w:sz w:val="28"/>
                                    <w:szCs w:val="28"/>
                                    <w:vertAlign w:val="subscript"/>
                                  </w:rPr>
                                </m:ctrlPr>
                              </m:sub>
                            </m:sSub>
                            <m:ctrlPr>
                              <w:rPr>
                                <w:rFonts w:hint="default" w:ascii="Cambria Math" w:hAnsi="Cambria Math" w:cs="Times New Roman"/>
                                <w:i/>
                                <w:iCs/>
                                <w:sz w:val="28"/>
                                <w:szCs w:val="28"/>
                              </w:rPr>
                            </m:ctrlPr>
                          </m:num>
                          <m:den>
                            <m:sSub>
                              <m:sSubPr>
                                <m:ctrlPr>
                                  <w:rPr>
                                    <w:rFonts w:hint="default" w:ascii="Cambria Math" w:hAnsi="Cambria Math" w:cs="Times New Roman"/>
                                    <w:i/>
                                    <w:iCs/>
                                    <w:sz w:val="28"/>
                                    <w:szCs w:val="28"/>
                                  </w:rPr>
                                </m:ctrlPr>
                              </m:sSubPr>
                              <m:e>
                                <m:r>
                                  <m:rPr>
                                    <m:nor/>
                                  </m:rPr>
                                  <w:rPr>
                                    <w:rFonts w:hint="default" w:ascii="Times New Roman" w:hAnsi="Times New Roman" w:cs="Times New Roman"/>
                                    <w:i/>
                                    <w:sz w:val="28"/>
                                    <w:szCs w:val="28"/>
                                  </w:rPr>
                                  <m:t>C</m:t>
                                </m:r>
                                <m:ctrlPr>
                                  <w:rPr>
                                    <w:rFonts w:hint="default" w:ascii="Cambria Math" w:hAnsi="Cambria Math" w:cs="Times New Roman"/>
                                    <w:i/>
                                    <w:iCs/>
                                    <w:sz w:val="28"/>
                                    <w:szCs w:val="28"/>
                                  </w:rPr>
                                </m:ctrlPr>
                              </m:e>
                              <m:sub>
                                <m:r>
                                  <m:rPr>
                                    <m:nor/>
                                    <m:sty m:val="p"/>
                                  </m:rPr>
                                  <w:rPr>
                                    <w:rFonts w:hint="default" w:ascii="Times New Roman" w:hAnsi="Times New Roman" w:cs="Times New Roman"/>
                                    <w:b w:val="0"/>
                                    <w:i w:val="0"/>
                                    <w:sz w:val="28"/>
                                    <w:szCs w:val="28"/>
                                  </w:rPr>
                                  <m:t>2</m:t>
                                </m:r>
                                <m:ctrlPr>
                                  <w:rPr>
                                    <w:rFonts w:hint="default" w:ascii="Cambria Math" w:hAnsi="Cambria Math" w:cs="Times New Roman"/>
                                    <w:i/>
                                    <w:iCs/>
                                    <w:sz w:val="28"/>
                                    <w:szCs w:val="28"/>
                                  </w:rPr>
                                </m:ctrlPr>
                              </m:sub>
                            </m:sSub>
                            <m:ctrlPr>
                              <w:rPr>
                                <w:rFonts w:hint="default" w:ascii="Cambria Math" w:hAnsi="Cambria Math" w:cs="Times New Roman"/>
                                <w:i/>
                                <w:iCs/>
                                <w:sz w:val="28"/>
                                <w:szCs w:val="28"/>
                              </w:rPr>
                            </m:ctrlPr>
                          </m:den>
                        </m:f>
                        <m:ctrlPr>
                          <w:rPr>
                            <w:rFonts w:hint="default" w:ascii="Cambria Math" w:hAnsi="Cambria Math" w:cs="Times New Roman"/>
                            <w:i/>
                            <w:iCs/>
                            <w:sz w:val="28"/>
                            <w:szCs w:val="28"/>
                          </w:rPr>
                        </m:ctrlPr>
                      </m:e>
                    </m:d>
                    <m:ctrlPr>
                      <w:rPr>
                        <w:rFonts w:hint="default" w:ascii="Cambria Math" w:hAnsi="Cambria Math" w:cs="Times New Roman"/>
                        <w:i/>
                        <w:iCs/>
                        <w:sz w:val="28"/>
                        <w:szCs w:val="28"/>
                      </w:rPr>
                    </m:ctrlPr>
                  </m:e>
                </m:func>
              </m:oMath>
            </m:oMathPara>
          </w:p>
        </w:tc>
        <w:tc>
          <w:tcPr>
            <w:tcW w:w="566" w:type="pct"/>
            <w:tcBorders>
              <w:top w:val="nil"/>
              <w:bottom w:val="nil"/>
            </w:tcBorders>
            <w:vAlign w:val="center"/>
          </w:tcPr>
          <w:p w14:paraId="4B8E5B1E">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-2.7675</w:t>
            </w:r>
          </w:p>
        </w:tc>
        <w:tc>
          <w:tcPr>
            <w:tcW w:w="566" w:type="pct"/>
            <w:tcBorders>
              <w:top w:val="nil"/>
              <w:bottom w:val="nil"/>
            </w:tcBorders>
            <w:vAlign w:val="center"/>
          </w:tcPr>
          <w:p w14:paraId="65FB32F3">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-2.7675</w:t>
            </w:r>
          </w:p>
        </w:tc>
        <w:tc>
          <w:tcPr>
            <w:tcW w:w="566" w:type="pct"/>
            <w:tcBorders>
              <w:top w:val="nil"/>
              <w:bottom w:val="nil"/>
            </w:tcBorders>
            <w:vAlign w:val="center"/>
          </w:tcPr>
          <w:p w14:paraId="249D71EE">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-2.7675</w:t>
            </w:r>
          </w:p>
        </w:tc>
        <w:tc>
          <w:tcPr>
            <w:tcW w:w="566" w:type="pct"/>
            <w:tcBorders>
              <w:top w:val="nil"/>
              <w:bottom w:val="nil"/>
            </w:tcBorders>
            <w:vAlign w:val="center"/>
          </w:tcPr>
          <w:p w14:paraId="4C174C5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-2.7675</w:t>
            </w:r>
          </w:p>
        </w:tc>
        <w:tc>
          <w:tcPr>
            <w:tcW w:w="566" w:type="pct"/>
            <w:tcBorders>
              <w:top w:val="nil"/>
              <w:bottom w:val="nil"/>
            </w:tcBorders>
            <w:vAlign w:val="center"/>
          </w:tcPr>
          <w:p w14:paraId="2670ED84">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-2.7675</w:t>
            </w:r>
          </w:p>
        </w:tc>
        <w:tc>
          <w:tcPr>
            <w:tcW w:w="647" w:type="pct"/>
            <w:tcBorders>
              <w:top w:val="nil"/>
              <w:bottom w:val="nil"/>
            </w:tcBorders>
            <w:vAlign w:val="center"/>
          </w:tcPr>
          <w:p w14:paraId="62CB155C">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-2.7675</w:t>
            </w:r>
          </w:p>
        </w:tc>
        <w:tc>
          <w:tcPr>
            <w:tcW w:w="565" w:type="pct"/>
            <w:tcBorders>
              <w:top w:val="nil"/>
              <w:bottom w:val="nil"/>
            </w:tcBorders>
            <w:vAlign w:val="center"/>
          </w:tcPr>
          <w:p w14:paraId="6933767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-2.7675</w:t>
            </w:r>
          </w:p>
        </w:tc>
      </w:tr>
      <w:tr w14:paraId="35915BE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8" w:type="pct"/>
            <w:tcBorders>
              <w:top w:val="nil"/>
              <w:bottom w:val="nil"/>
            </w:tcBorders>
            <w:vAlign w:val="center"/>
          </w:tcPr>
          <w:p w14:paraId="51DB6280">
            <w:pPr>
              <w:widowControl/>
              <w:ind w:firstLine="0" w:firstLineChars="0"/>
              <w:jc w:val="center"/>
              <w:rPr>
                <w:rFonts w:hint="default" w:ascii="Times New Roman" w:hAnsi="Times New Roman" w:cs="Times New Roman"/>
                <w:sz w:val="28"/>
                <w:szCs w:val="28"/>
              </w:rPr>
            </w:pPr>
            <m:oMathPara>
              <m:oMath>
                <m:sSubSup>
                  <m:sSubSupPr>
                    <m:ctrlPr>
                      <w:rPr>
                        <w:rFonts w:hint="default" w:ascii="Cambria Math" w:hAnsi="Cambria Math" w:cs="Times New Roman"/>
                        <w:i/>
                        <w:sz w:val="28"/>
                        <w:szCs w:val="28"/>
                      </w:rPr>
                    </m:ctrlPr>
                  </m:sSubSupPr>
                  <m:e>
                    <m:r>
                      <m:rPr>
                        <m:nor/>
                      </m:rPr>
                      <w:rPr>
                        <w:rFonts w:hint="default" w:ascii="Times New Roman" w:hAnsi="Times New Roman" w:cs="Times New Roman"/>
                        <w:i/>
                        <w:sz w:val="28"/>
                        <w:szCs w:val="28"/>
                      </w:rPr>
                      <m:t>f</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up>
                    <m:r>
                      <m:rPr>
                        <m:nor/>
                      </m:rPr>
                      <w:rPr>
                        <w:rFonts w:hint="default" w:ascii="Times New Roman" w:hAnsi="Times New Roman" w:cs="Times New Roman"/>
                        <w:i/>
                        <w:sz w:val="28"/>
                        <w:szCs w:val="28"/>
                      </w:rPr>
                      <m:t>m</m:t>
                    </m:r>
                    <m:ctrlPr>
                      <w:rPr>
                        <w:rFonts w:hint="default" w:ascii="Cambria Math" w:hAnsi="Cambria Math" w:cs="Times New Roman"/>
                        <w:i/>
                        <w:sz w:val="28"/>
                        <w:szCs w:val="28"/>
                      </w:rPr>
                    </m:ctrlPr>
                  </m:sup>
                </m:sSubSup>
              </m:oMath>
            </m:oMathPara>
          </w:p>
        </w:tc>
        <w:tc>
          <w:tcPr>
            <w:tcW w:w="566" w:type="pct"/>
            <w:tcBorders>
              <w:top w:val="nil"/>
              <w:bottom w:val="nil"/>
            </w:tcBorders>
            <w:vAlign w:val="center"/>
          </w:tcPr>
          <w:p w14:paraId="08D6A76F">
            <w:pPr>
              <w:widowControl/>
              <w:ind w:firstLine="0" w:firstLineChars="0"/>
              <w:jc w:val="center"/>
              <w:rPr>
                <w:rFonts w:hint="default" w:ascii="Times New Roman" w:hAnsi="Times New Roman" w:cs="Times New Roman"/>
                <w:sz w:val="28"/>
                <w:szCs w:val="28"/>
              </w:rPr>
            </w:pPr>
          </w:p>
        </w:tc>
        <w:tc>
          <w:tcPr>
            <w:tcW w:w="566" w:type="pct"/>
            <w:tcBorders>
              <w:top w:val="nil"/>
              <w:bottom w:val="nil"/>
            </w:tcBorders>
          </w:tcPr>
          <w:p w14:paraId="04E4166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0.5665</w:t>
            </w:r>
          </w:p>
        </w:tc>
        <w:tc>
          <w:tcPr>
            <w:tcW w:w="566" w:type="pct"/>
            <w:tcBorders>
              <w:top w:val="nil"/>
              <w:bottom w:val="nil"/>
            </w:tcBorders>
          </w:tcPr>
          <w:p w14:paraId="2FD238E0">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0.4405</w:t>
            </w:r>
          </w:p>
        </w:tc>
        <w:tc>
          <w:tcPr>
            <w:tcW w:w="566" w:type="pct"/>
            <w:tcBorders>
              <w:top w:val="nil"/>
              <w:bottom w:val="nil"/>
            </w:tcBorders>
          </w:tcPr>
          <w:p w14:paraId="7D891EEB">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0.3806</w:t>
            </w:r>
          </w:p>
        </w:tc>
        <w:tc>
          <w:tcPr>
            <w:tcW w:w="566" w:type="pct"/>
            <w:tcBorders>
              <w:top w:val="nil"/>
              <w:bottom w:val="nil"/>
            </w:tcBorders>
          </w:tcPr>
          <w:p w14:paraId="14EB1CF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0.3045</w:t>
            </w:r>
          </w:p>
        </w:tc>
        <w:tc>
          <w:tcPr>
            <w:tcW w:w="647" w:type="pct"/>
            <w:tcBorders>
              <w:top w:val="nil"/>
              <w:bottom w:val="nil"/>
            </w:tcBorders>
          </w:tcPr>
          <w:p w14:paraId="2CAD4597">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0.6731</w:t>
            </w:r>
          </w:p>
        </w:tc>
        <w:tc>
          <w:tcPr>
            <w:tcW w:w="565" w:type="pct"/>
            <w:tcBorders>
              <w:top w:val="nil"/>
              <w:bottom w:val="nil"/>
            </w:tcBorders>
            <w:vAlign w:val="center"/>
          </w:tcPr>
          <w:p w14:paraId="223A2214">
            <w:pPr>
              <w:widowControl/>
              <w:ind w:firstLine="0" w:firstLineChars="0"/>
              <w:jc w:val="center"/>
              <w:rPr>
                <w:rFonts w:hint="default" w:ascii="Times New Roman" w:hAnsi="Times New Roman" w:cs="Times New Roman"/>
                <w:sz w:val="28"/>
                <w:szCs w:val="28"/>
              </w:rPr>
            </w:pPr>
          </w:p>
        </w:tc>
      </w:tr>
      <w:tr w14:paraId="712A4EB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8" w:type="pct"/>
            <w:tcBorders>
              <w:top w:val="nil"/>
              <w:bottom w:val="single" w:color="auto" w:sz="12" w:space="0"/>
            </w:tcBorders>
            <w:vAlign w:val="center"/>
          </w:tcPr>
          <w:p w14:paraId="7796AAC8">
            <w:pPr>
              <w:widowControl/>
              <w:ind w:firstLine="0" w:firstLineChars="0"/>
              <w:jc w:val="center"/>
              <w:rPr>
                <w:rFonts w:hint="default" w:ascii="Times New Roman" w:hAnsi="Times New Roman" w:cs="Times New Roman"/>
                <w:sz w:val="28"/>
                <w:szCs w:val="28"/>
              </w:rPr>
            </w:pPr>
            <m:oMathPara>
              <m:oMath>
                <m:sSubSup>
                  <m:sSubSupPr>
                    <m:ctrlPr>
                      <w:rPr>
                        <w:rFonts w:hint="default" w:ascii="Cambria Math" w:hAnsi="Cambria Math" w:cs="Times New Roman"/>
                        <w:i/>
                        <w:sz w:val="28"/>
                        <w:szCs w:val="28"/>
                      </w:rPr>
                    </m:ctrlPr>
                  </m:sSubSupPr>
                  <m:e>
                    <m:r>
                      <m:rPr>
                        <m:nor/>
                      </m:rPr>
                      <w:rPr>
                        <w:rFonts w:hint="default" w:ascii="Times New Roman" w:hAnsi="Times New Roman" w:cs="Times New Roman"/>
                        <w:i/>
                        <w:sz w:val="28"/>
                        <w:szCs w:val="28"/>
                      </w:rPr>
                      <m:t>f</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2</m:t>
                    </m:r>
                    <m:ctrlPr>
                      <w:rPr>
                        <w:rFonts w:hint="default" w:ascii="Cambria Math" w:hAnsi="Cambria Math" w:cs="Times New Roman"/>
                        <w:i/>
                        <w:sz w:val="28"/>
                        <w:szCs w:val="28"/>
                      </w:rPr>
                    </m:ctrlPr>
                  </m:sub>
                  <m:sup>
                    <m:r>
                      <m:rPr>
                        <m:nor/>
                      </m:rPr>
                      <w:rPr>
                        <w:rFonts w:hint="default" w:ascii="Times New Roman" w:hAnsi="Times New Roman" w:cs="Times New Roman"/>
                        <w:i/>
                        <w:sz w:val="28"/>
                        <w:szCs w:val="28"/>
                      </w:rPr>
                      <m:t>m</m:t>
                    </m:r>
                    <m:ctrlPr>
                      <w:rPr>
                        <w:rFonts w:hint="default" w:ascii="Cambria Math" w:hAnsi="Cambria Math" w:cs="Times New Roman"/>
                        <w:i/>
                        <w:sz w:val="28"/>
                        <w:szCs w:val="28"/>
                      </w:rPr>
                    </m:ctrlPr>
                  </m:sup>
                </m:sSubSup>
              </m:oMath>
            </m:oMathPara>
          </w:p>
        </w:tc>
        <w:tc>
          <w:tcPr>
            <w:tcW w:w="566" w:type="pct"/>
            <w:tcBorders>
              <w:top w:val="nil"/>
              <w:bottom w:val="single" w:color="auto" w:sz="12" w:space="0"/>
            </w:tcBorders>
            <w:vAlign w:val="center"/>
          </w:tcPr>
          <w:p w14:paraId="018F1745">
            <w:pPr>
              <w:widowControl/>
              <w:ind w:firstLine="0" w:firstLineChars="0"/>
              <w:jc w:val="center"/>
              <w:rPr>
                <w:rFonts w:hint="default" w:ascii="Times New Roman" w:hAnsi="Times New Roman" w:cs="Times New Roman"/>
                <w:sz w:val="28"/>
                <w:szCs w:val="28"/>
              </w:rPr>
            </w:pPr>
          </w:p>
        </w:tc>
        <w:tc>
          <w:tcPr>
            <w:tcW w:w="566" w:type="pct"/>
            <w:tcBorders>
              <w:top w:val="nil"/>
              <w:bottom w:val="single" w:color="auto" w:sz="12" w:space="0"/>
            </w:tcBorders>
          </w:tcPr>
          <w:p w14:paraId="5395146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0.0229</w:t>
            </w:r>
          </w:p>
        </w:tc>
        <w:tc>
          <w:tcPr>
            <w:tcW w:w="566" w:type="pct"/>
            <w:tcBorders>
              <w:top w:val="nil"/>
              <w:bottom w:val="single" w:color="auto" w:sz="12" w:space="0"/>
            </w:tcBorders>
          </w:tcPr>
          <w:p w14:paraId="66440E9D">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0.0370</w:t>
            </w:r>
          </w:p>
        </w:tc>
        <w:tc>
          <w:tcPr>
            <w:tcW w:w="566" w:type="pct"/>
            <w:tcBorders>
              <w:top w:val="nil"/>
              <w:bottom w:val="single" w:color="auto" w:sz="12" w:space="0"/>
            </w:tcBorders>
          </w:tcPr>
          <w:p w14:paraId="56642E4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0.0431</w:t>
            </w:r>
          </w:p>
        </w:tc>
        <w:tc>
          <w:tcPr>
            <w:tcW w:w="566" w:type="pct"/>
            <w:tcBorders>
              <w:top w:val="nil"/>
              <w:bottom w:val="single" w:color="auto" w:sz="12" w:space="0"/>
            </w:tcBorders>
          </w:tcPr>
          <w:p w14:paraId="3539D10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0.0460</w:t>
            </w:r>
          </w:p>
        </w:tc>
        <w:tc>
          <w:tcPr>
            <w:tcW w:w="647" w:type="pct"/>
            <w:tcBorders>
              <w:top w:val="nil"/>
              <w:bottom w:val="single" w:color="auto" w:sz="12" w:space="0"/>
            </w:tcBorders>
          </w:tcPr>
          <w:p w14:paraId="659AB85A">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0.2965</w:t>
            </w:r>
          </w:p>
        </w:tc>
        <w:tc>
          <w:tcPr>
            <w:tcW w:w="565" w:type="pct"/>
            <w:tcBorders>
              <w:top w:val="nil"/>
              <w:bottom w:val="single" w:color="auto" w:sz="12" w:space="0"/>
            </w:tcBorders>
            <w:vAlign w:val="center"/>
          </w:tcPr>
          <w:p w14:paraId="51A7C8C2">
            <w:pPr>
              <w:widowControl/>
              <w:ind w:firstLine="0" w:firstLineChars="0"/>
              <w:jc w:val="center"/>
              <w:rPr>
                <w:rFonts w:hint="default" w:ascii="Times New Roman" w:hAnsi="Times New Roman" w:cs="Times New Roman"/>
                <w:sz w:val="28"/>
                <w:szCs w:val="28"/>
              </w:rPr>
            </w:pPr>
          </w:p>
        </w:tc>
      </w:tr>
    </w:tbl>
    <w:p w14:paraId="55896551">
      <w:pPr>
        <w:widowControl/>
        <w:ind w:firstLine="709" w:firstLineChars="0"/>
        <w:rPr>
          <w:rFonts w:hint="default" w:ascii="Times New Roman" w:hAnsi="Times New Roman" w:cs="Times New Roman"/>
          <w:sz w:val="28"/>
          <w:szCs w:val="28"/>
        </w:rPr>
      </w:pPr>
    </w:p>
    <w:p w14:paraId="0B229DE4">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From the criteria of </w:t>
      </w:r>
      <m:oMath>
        <m:r>
          <m:rPr>
            <m:nor/>
            <m:sty m:val="p"/>
          </m:rPr>
          <w:rPr>
            <w:rFonts w:hint="default" w:ascii="Times New Roman" w:hAnsi="Times New Roman" w:eastAsia="微软雅黑" w:cs="Times New Roman"/>
            <w:b w:val="0"/>
            <w:i w:val="0"/>
            <w:sz w:val="28"/>
            <w:szCs w:val="28"/>
          </w:rPr>
          <m:t>①</m:t>
        </m:r>
        <m:r>
          <m:rPr>
            <m:nor/>
            <m:sty m:val="p"/>
          </m:rPr>
          <w:rPr>
            <w:rFonts w:hint="default" w:ascii="Times New Roman" w:hAnsi="Times New Roman" w:cs="Times New Roman"/>
            <w:b w:val="0"/>
            <w:i w:val="0"/>
            <w:sz w:val="28"/>
            <w:szCs w:val="28"/>
          </w:rPr>
          <m:t xml:space="preserve"> </m:t>
        </m:r>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p>
      </m:oMath>
      <w:r>
        <w:rPr>
          <w:rFonts w:hint="default" w:ascii="Times New Roman" w:hAnsi="Times New Roman" w:cs="Times New Roman"/>
          <w:sz w:val="28"/>
          <w:szCs w:val="28"/>
        </w:rPr>
        <w:t xml:space="preserve">＜0, </w:t>
      </w:r>
      <m:oMath>
        <m:r>
          <m:rPr>
            <m:nor/>
            <m:sty m:val="p"/>
          </m:rPr>
          <w:rPr>
            <w:rFonts w:hint="default" w:ascii="Times New Roman" w:hAnsi="Times New Roman" w:eastAsia="微软雅黑" w:cs="Times New Roman"/>
            <w:b w:val="0"/>
            <w:i w:val="0"/>
            <w:sz w:val="28"/>
            <w:szCs w:val="28"/>
          </w:rPr>
          <m:t>②</m:t>
        </m:r>
        <m:r>
          <m:rPr>
            <m:nor/>
            <m:sty m:val="p"/>
          </m:rPr>
          <w:rPr>
            <w:rFonts w:hint="default" w:ascii="Times New Roman" w:hAnsi="Times New Roman" w:cs="Times New Roman"/>
            <w:b w:val="0"/>
            <w:i w:val="0"/>
            <w:sz w:val="28"/>
            <w:szCs w:val="28"/>
          </w:rPr>
          <m:t xml:space="preserve"> </m:t>
        </m:r>
        <m:d>
          <m:dPr>
            <m:begChr m:val="|"/>
            <m:endChr m:val="|"/>
            <m:ctrlPr>
              <w:rPr>
                <w:rFonts w:hint="default" w:ascii="Cambria Math" w:hAnsi="Cambria Math" w:cs="Times New Roman"/>
                <w:sz w:val="28"/>
                <w:szCs w:val="28"/>
              </w:rPr>
            </m:ctrlPr>
          </m:dPr>
          <m:e>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p>
            <m:ctrlPr>
              <w:rPr>
                <w:rFonts w:hint="default" w:ascii="Cambria Math" w:hAnsi="Cambria Math" w:cs="Times New Roman"/>
                <w:sz w:val="28"/>
                <w:szCs w:val="28"/>
              </w:rPr>
            </m:ctrlPr>
          </m:e>
        </m:d>
      </m:oMath>
      <w:r>
        <w:rPr>
          <w:rFonts w:hint="default" w:ascii="Times New Roman" w:hAnsi="Times New Roman" w:cs="Times New Roman"/>
          <w:sz w:val="28"/>
          <w:szCs w:val="28"/>
        </w:rPr>
        <w:t>＞</w:t>
      </w:r>
      <m:oMath>
        <m:d>
          <m:dPr>
            <m:begChr m:val="|"/>
            <m:endChr m:val="|"/>
            <m:ctrlPr>
              <w:rPr>
                <w:rFonts w:hint="default" w:ascii="Cambria Math" w:hAnsi="Cambria Math" w:cs="Times New Roman"/>
                <w:sz w:val="28"/>
                <w:szCs w:val="28"/>
              </w:rPr>
            </m:ctrlPr>
          </m:dPr>
          <m:e>
            <m:func>
              <m:funcPr>
                <m:ctrlPr>
                  <w:rPr>
                    <w:rFonts w:hint="default" w:ascii="Cambria Math" w:hAnsi="Cambria Math" w:cs="Times New Roman"/>
                    <w:sz w:val="28"/>
                    <w:szCs w:val="28"/>
                  </w:rPr>
                </m:ctrlPr>
              </m:funcPr>
              <m:fName>
                <m:r>
                  <m:rPr>
                    <m:nor/>
                  </m:rPr>
                  <w:rPr>
                    <w:rFonts w:hint="default" w:ascii="Times New Roman" w:hAnsi="Times New Roman" w:cs="Times New Roman"/>
                    <w:i/>
                    <w:sz w:val="28"/>
                    <w:szCs w:val="28"/>
                  </w:rPr>
                  <m:t>ln</m:t>
                </m:r>
                <m:ctrlPr>
                  <w:rPr>
                    <w:rFonts w:hint="default" w:ascii="Cambria Math" w:hAnsi="Cambria Math" w:cs="Times New Roman"/>
                    <w:sz w:val="28"/>
                    <w:szCs w:val="28"/>
                  </w:rPr>
                </m:ctrlPr>
              </m:fName>
              <m:e>
                <m:d>
                  <m:dPr>
                    <m:ctrlPr>
                      <w:rPr>
                        <w:rFonts w:hint="default" w:ascii="Cambria Math" w:hAnsi="Cambria Math" w:cs="Times New Roman"/>
                        <w:sz w:val="28"/>
                        <w:szCs w:val="28"/>
                      </w:rPr>
                    </m:ctrlPr>
                  </m:dPr>
                  <m:e>
                    <m:f>
                      <m:fPr>
                        <m:ctrlPr>
                          <w:rPr>
                            <w:rFonts w:hint="default" w:ascii="Cambria Math" w:hAnsi="Cambria Math" w:cs="Times New Roman"/>
                            <w:sz w:val="28"/>
                            <w:szCs w:val="28"/>
                          </w:rPr>
                        </m:ctrlPr>
                      </m:fPr>
                      <m:num>
                        <m:sSub>
                          <m:sSubPr>
                            <m:ctrlPr>
                              <w:rPr>
                                <w:rFonts w:hint="default" w:ascii="Cambria Math" w:hAnsi="Cambria Math" w:cs="Times New Roman"/>
                                <w:sz w:val="28"/>
                                <w:szCs w:val="28"/>
                              </w:rPr>
                            </m:ctrlPr>
                          </m:sSubPr>
                          <m:e>
                            <m:r>
                              <m:rPr>
                                <m:nor/>
                              </m:rPr>
                              <w:rPr>
                                <w:rFonts w:hint="default" w:ascii="Times New Roman" w:hAnsi="Times New Roman" w:cs="Times New Roman"/>
                                <w:i/>
                                <w:sz w:val="28"/>
                                <w:szCs w:val="28"/>
                              </w:rPr>
                              <m:t>C</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Sub>
                        <m:ctrlPr>
                          <w:rPr>
                            <w:rFonts w:hint="default" w:ascii="Cambria Math" w:hAnsi="Cambria Math" w:cs="Times New Roman"/>
                            <w:sz w:val="28"/>
                            <w:szCs w:val="28"/>
                          </w:rPr>
                        </m:ctrlPr>
                      </m:num>
                      <m:den>
                        <m:sSub>
                          <m:sSubPr>
                            <m:ctrlPr>
                              <w:rPr>
                                <w:rFonts w:hint="default" w:ascii="Cambria Math" w:hAnsi="Cambria Math" w:cs="Times New Roman"/>
                                <w:sz w:val="28"/>
                                <w:szCs w:val="28"/>
                              </w:rPr>
                            </m:ctrlPr>
                          </m:sSubPr>
                          <m:e>
                            <m:r>
                              <m:rPr>
                                <m:nor/>
                              </m:rPr>
                              <w:rPr>
                                <w:rFonts w:hint="default" w:ascii="Times New Roman" w:hAnsi="Times New Roman" w:cs="Times New Roman"/>
                                <w:i/>
                                <w:sz w:val="28"/>
                                <w:szCs w:val="28"/>
                              </w:rPr>
                              <m:t>C</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2</m:t>
                            </m:r>
                            <m:ctrlPr>
                              <w:rPr>
                                <w:rFonts w:hint="default" w:ascii="Cambria Math" w:hAnsi="Cambria Math" w:cs="Times New Roman"/>
                                <w:sz w:val="28"/>
                                <w:szCs w:val="28"/>
                              </w:rPr>
                            </m:ctrlPr>
                          </m:sub>
                        </m:sSub>
                        <m:ctrlPr>
                          <w:rPr>
                            <w:rFonts w:hint="default" w:ascii="Cambria Math" w:hAnsi="Cambria Math" w:cs="Times New Roman"/>
                            <w:sz w:val="28"/>
                            <w:szCs w:val="28"/>
                          </w:rPr>
                        </m:ctrlPr>
                      </m:den>
                    </m:f>
                    <m:ctrlPr>
                      <w:rPr>
                        <w:rFonts w:hint="default" w:ascii="Cambria Math" w:hAnsi="Cambria Math" w:cs="Times New Roman"/>
                        <w:sz w:val="28"/>
                        <w:szCs w:val="28"/>
                      </w:rPr>
                    </m:ctrlPr>
                  </m:e>
                </m:d>
                <m:ctrlPr>
                  <w:rPr>
                    <w:rFonts w:hint="default" w:ascii="Cambria Math" w:hAnsi="Cambria Math" w:cs="Times New Roman"/>
                    <w:sz w:val="28"/>
                    <w:szCs w:val="28"/>
                  </w:rPr>
                </m:ctrlPr>
              </m:e>
            </m:func>
            <m:ctrlPr>
              <w:rPr>
                <w:rFonts w:hint="default" w:ascii="Cambria Math" w:hAnsi="Cambria Math" w:cs="Times New Roman"/>
                <w:sz w:val="28"/>
                <w:szCs w:val="28"/>
              </w:rPr>
            </m:ctrlPr>
          </m:e>
        </m:d>
      </m:oMath>
      <w:r>
        <w:rPr>
          <w:rFonts w:hint="default" w:ascii="Times New Roman" w:hAnsi="Times New Roman" w:cs="Times New Roman"/>
          <w:sz w:val="28"/>
          <w:szCs w:val="28"/>
        </w:rPr>
        <w:t xml:space="preserve"> and </w:t>
      </w:r>
      <m:oMath>
        <m:r>
          <m:rPr>
            <m:nor/>
            <m:sty m:val="p"/>
          </m:rPr>
          <w:rPr>
            <w:rFonts w:hint="default" w:ascii="Times New Roman" w:hAnsi="Times New Roman" w:eastAsia="微软雅黑" w:cs="Times New Roman"/>
            <w:b w:val="0"/>
            <w:i w:val="0"/>
            <w:sz w:val="28"/>
            <w:szCs w:val="28"/>
          </w:rPr>
          <m:t>③</m:t>
        </m:r>
        <m:r>
          <m:rPr>
            <m:nor/>
            <m:sty m:val="p"/>
          </m:rPr>
          <w:rPr>
            <w:rFonts w:hint="default" w:ascii="Times New Roman" w:hAnsi="Times New Roman" w:cs="Times New Roman"/>
            <w:b w:val="0"/>
            <w:i w:val="0"/>
            <w:sz w:val="28"/>
            <w:szCs w:val="28"/>
          </w:rPr>
          <m:t xml:space="preserve"> 3＜</m:t>
        </m:r>
        <m:d>
          <m:dPr>
            <m:begChr m:val="|"/>
            <m:endChr m:val="|"/>
            <m:ctrlPr>
              <w:rPr>
                <w:rFonts w:hint="default" w:ascii="Cambria Math" w:hAnsi="Cambria Math" w:cs="Times New Roman"/>
                <w:sz w:val="28"/>
                <w:szCs w:val="28"/>
              </w:rPr>
            </m:ctrlPr>
          </m:dPr>
          <m:e>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p>
            <m:ctrlPr>
              <w:rPr>
                <w:rFonts w:hint="default" w:ascii="Cambria Math" w:hAnsi="Cambria Math" w:cs="Times New Roman"/>
                <w:sz w:val="28"/>
                <w:szCs w:val="28"/>
              </w:rPr>
            </m:ctrlPr>
          </m:e>
        </m:d>
        <m:r>
          <m:rPr>
            <m:nor/>
            <m:sty m:val="p"/>
          </m:rPr>
          <w:rPr>
            <w:rFonts w:hint="default" w:ascii="Times New Roman" w:hAnsi="Times New Roman" w:cs="Times New Roman"/>
            <w:b w:val="0"/>
            <w:i w:val="0"/>
            <w:sz w:val="28"/>
            <w:szCs w:val="28"/>
          </w:rPr>
          <m:t>＜10</m:t>
        </m:r>
      </m:oMath>
      <w:r>
        <w:rPr>
          <w:rFonts w:hint="default" w:ascii="Times New Roman" w:hAnsi="Times New Roman" w:cs="Times New Roman"/>
          <w:sz w:val="28"/>
          <w:szCs w:val="28"/>
        </w:rPr>
        <w:t xml:space="preserve">, the interaction parameters of the two components in the interfacial adsorption layer clearly indicate a moderate but effective synergistic interaction in reducing surface tension [65,71,132]. These conditions imply that the mixed surfactant system deviates positively from ideal mixing behavior, with sufficiently strong attractive interactions between the different surfactant molecules to enhance their cooperative adsorption at the interface. The negative </w:t>
      </w:r>
      <m:oMath>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p>
      </m:oMath>
      <w:r>
        <w:rPr>
          <w:rFonts w:hint="default" w:ascii="Times New Roman" w:hAnsi="Times New Roman" w:cs="Times New Roman"/>
          <w:sz w:val="28"/>
          <w:szCs w:val="28"/>
        </w:rPr>
        <w:t xml:space="preserve"> values confirm the presence of attractive interactions between the two surfactants, indicating synergistic micellization behavior. This synergism is primarily governed by the reduction of electrostatic repulsion and enhanced hydrophobic interactions, while hydrogen bonding plays a secondary role in stabilizing the mixed aggregates [65,132]. Because the ideal mole fraction of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w:t>
      </w:r>
      <m:oMath>
        <m:sSubSup>
          <m:sSubSupPr>
            <m:ctrlPr>
              <w:rPr>
                <w:rFonts w:hint="default" w:ascii="Cambria Math" w:hAnsi="Cambria Math" w:cs="Times New Roman"/>
                <w:iCs/>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iCs/>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Cs/>
                <w:sz w:val="28"/>
                <w:szCs w:val="28"/>
              </w:rPr>
            </m:ctrlPr>
          </m:sub>
          <m:sup>
            <m:r>
              <m:rPr>
                <m:nor/>
                <m:sty m:val="p"/>
              </m:rPr>
              <w:rPr>
                <w:rFonts w:hint="default" w:ascii="Times New Roman" w:hAnsi="Times New Roman" w:cs="Times New Roman"/>
                <w:b w:val="0"/>
                <w:i w:val="0"/>
                <w:sz w:val="28"/>
                <w:szCs w:val="28"/>
              </w:rPr>
              <m:t>id</m:t>
            </m:r>
            <m:ctrlPr>
              <w:rPr>
                <w:rFonts w:hint="default" w:ascii="Cambria Math" w:hAnsi="Cambria Math" w:cs="Times New Roman"/>
                <w:iCs/>
                <w:sz w:val="28"/>
                <w:szCs w:val="28"/>
              </w:rPr>
            </m:ctrlPr>
          </m:sup>
        </m:sSubSup>
      </m:oMath>
      <w:r>
        <w:rPr>
          <w:rFonts w:hint="default" w:ascii="Times New Roman" w:hAnsi="Times New Roman" w:cs="Times New Roman"/>
          <w:sz w:val="28"/>
          <w:szCs w:val="28"/>
        </w:rPr>
        <w:t>) is larger than its actual mole fraction in the mixed system (</w:t>
      </w:r>
      <m:oMath>
        <m:sSubSup>
          <m:sSubSupPr>
            <m:ctrlPr>
              <w:rPr>
                <w:rFonts w:hint="default" w:ascii="Cambria Math" w:hAnsi="Cambria Math" w:cs="Times New Roman"/>
                <w:iCs/>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iCs/>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Cs/>
                <w:sz w:val="28"/>
                <w:szCs w:val="28"/>
              </w:rPr>
            </m:ctrlPr>
          </m:sub>
          <m:sup>
            <m:r>
              <m:rPr>
                <m:nor/>
                <m:sty m:val="p"/>
              </m:rPr>
              <w:rPr>
                <w:rFonts w:hint="default" w:ascii="Times New Roman" w:hAnsi="Times New Roman" w:cs="Times New Roman"/>
                <w:b w:val="0"/>
                <w:i w:val="0"/>
                <w:sz w:val="28"/>
                <w:szCs w:val="28"/>
              </w:rPr>
              <m:t>m</m:t>
            </m:r>
            <m:ctrlPr>
              <w:rPr>
                <w:rFonts w:hint="default" w:ascii="Cambria Math" w:hAnsi="Cambria Math" w:cs="Times New Roman"/>
                <w:iCs/>
                <w:sz w:val="28"/>
                <w:szCs w:val="28"/>
              </w:rPr>
            </m:ctrlPr>
          </m:sup>
        </m:sSubSup>
      </m:oMath>
      <w:r>
        <w:rPr>
          <w:rFonts w:hint="default" w:ascii="Times New Roman" w:hAnsi="Times New Roman" w:cs="Times New Roman"/>
          <w:sz w:val="28"/>
          <w:szCs w:val="28"/>
        </w:rPr>
        <w:t>),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preferentially enriches at the air–water interface, indicating its higher surface activity and stronger tendency to replace the other component in the adsorption layer [130]. As a result,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plays a dominant role in governing the interfacial properties of the mixed system. Notably, the mixture containing 40 mol%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 xml:space="preserve">NS exhibits the largest </w:t>
      </w:r>
      <m:oMath>
        <m:sSup>
          <m:sSupPr>
            <m:ctrlPr>
              <w:rPr>
                <w:rFonts w:hint="default" w:ascii="Cambria Math" w:hAnsi="Cambria Math" w:cs="Times New Roman"/>
                <w:iCs/>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iCs/>
                <w:sz w:val="28"/>
                <w:szCs w:val="28"/>
              </w:rPr>
            </m:ctrlPr>
          </m:e>
          <m:sup>
            <m:r>
              <m:rPr>
                <m:nor/>
                <m:sty m:val="p"/>
              </m:rPr>
              <w:rPr>
                <w:rFonts w:hint="default" w:ascii="Times New Roman" w:hAnsi="Times New Roman" w:cs="Times New Roman"/>
                <w:b w:val="0"/>
                <w:i w:val="0"/>
                <w:sz w:val="28"/>
                <w:szCs w:val="28"/>
              </w:rPr>
              <m:t>m</m:t>
            </m:r>
            <m:ctrlPr>
              <w:rPr>
                <w:rFonts w:hint="default" w:ascii="Cambria Math" w:hAnsi="Cambria Math" w:cs="Times New Roman"/>
                <w:iCs/>
                <w:sz w:val="28"/>
                <w:szCs w:val="28"/>
              </w:rPr>
            </m:ctrlPr>
          </m:sup>
        </m:sSup>
      </m:oMath>
      <w:r>
        <w:rPr>
          <w:rFonts w:hint="default" w:ascii="Times New Roman" w:hAnsi="Times New Roman" w:cs="Times New Roman"/>
          <w:sz w:val="28"/>
          <w:szCs w:val="28"/>
        </w:rPr>
        <w:t xml:space="preserve"> value, corresponding to the strongest attractive intermolecular interactions between the two surfactants in the adsorption layer [65,132]. This enhanced attraction lowers the Gibbs free energy of micellization, thereby promoting the formation of more stable mixed micelles and interfacial aggregates. Consequently, the system displays improved thermodynamic stability and more efficient surface tension reduction, which further confirms the existence of an optimal composition at which the synergistic effect between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and its counterpart is maximized.</w:t>
      </w:r>
    </w:p>
    <w:p w14:paraId="0B6AC0EC">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Meanwhile, the pronounced synergistic effect of the mixed surfactant system is also manifested in the distinctive aggregation behavior of the surfactants. The strong intermolecular interactions between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and APG</w:t>
      </w:r>
      <w:r>
        <w:rPr>
          <w:rFonts w:hint="default" w:ascii="Times New Roman" w:hAnsi="Times New Roman" w:cs="Times New Roman"/>
          <w:sz w:val="28"/>
          <w:szCs w:val="28"/>
          <w:vertAlign w:val="subscript"/>
        </w:rPr>
        <w:t>0810</w:t>
      </w:r>
      <w:r>
        <w:rPr>
          <w:rFonts w:hint="default" w:ascii="Times New Roman" w:hAnsi="Times New Roman" w:cs="Times New Roman"/>
          <w:sz w:val="28"/>
          <w:szCs w:val="28"/>
        </w:rPr>
        <w:t xml:space="preserve"> promote the formation of various supramolecular structures, including wormlike micelles, vesicles, and other complex morphologies, which can significantly influence the rheological and interfacial properties of the solution [65,132,141]. To investigate this behavior in detail, dynamic light scattering (DLS) and transmission electron microscopy (TEM) were employed to characterize both the hydrodynamic diameter and the morphology of the aggregates in three mixtures with different molar ratios of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and APG</w:t>
      </w:r>
      <w:r>
        <w:rPr>
          <w:rFonts w:hint="default" w:ascii="Times New Roman" w:hAnsi="Times New Roman" w:cs="Times New Roman"/>
          <w:sz w:val="28"/>
          <w:szCs w:val="28"/>
          <w:vertAlign w:val="subscript"/>
        </w:rPr>
        <w:t>0810</w:t>
      </w:r>
      <w:r>
        <w:rPr>
          <w:rFonts w:hint="default" w:ascii="Times New Roman" w:hAnsi="Times New Roman" w:cs="Times New Roman"/>
          <w:sz w:val="28"/>
          <w:szCs w:val="28"/>
        </w:rPr>
        <w:t>.</w:t>
      </w:r>
    </w:p>
    <w:p w14:paraId="21E58A07">
      <w:pPr>
        <w:widowControl/>
        <w:ind w:firstLine="709" w:firstLineChars="0"/>
        <w:rPr>
          <w:rFonts w:hint="default" w:ascii="Times New Roman" w:hAnsi="Times New Roman" w:cs="Times New Roman"/>
          <w:sz w:val="28"/>
          <w:szCs w:val="28"/>
        </w:rPr>
      </w:pPr>
    </w:p>
    <w:p w14:paraId="0967D644">
      <w:pPr>
        <w:widowControl/>
        <w:ind w:firstLine="0" w:firstLineChars="0"/>
        <w:jc w:val="center"/>
        <w:rPr>
          <w:rFonts w:hint="default" w:ascii="Times New Roman" w:hAnsi="Times New Roman" w:cs="Times New Roman"/>
          <w:sz w:val="28"/>
          <w:szCs w:val="28"/>
        </w:rPr>
      </w:pPr>
      <w:bookmarkStart w:id="633" w:name="_Toc28093"/>
      <w:bookmarkStart w:id="634" w:name="_Toc19197"/>
      <w:bookmarkStart w:id="635" w:name="_Toc7164"/>
      <w:bookmarkStart w:id="636" w:name="_Toc19523"/>
      <w:bookmarkStart w:id="637" w:name="_Toc9346"/>
      <w:r>
        <w:rPr>
          <w:rFonts w:hint="default" w:ascii="Times New Roman" w:hAnsi="Times New Roman" w:cs="Times New Roman"/>
          <w:sz w:val="28"/>
          <w:szCs w:val="28"/>
        </w:rPr>
        <w:drawing>
          <wp:inline distT="0" distB="0" distL="114300" distR="114300">
            <wp:extent cx="3556635" cy="2700020"/>
            <wp:effectExtent l="0" t="0" r="0" b="0"/>
            <wp:docPr id="3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8"/>
                    <pic:cNvPicPr>
                      <a:picLocks noChangeAspect="1"/>
                    </pic:cNvPicPr>
                  </pic:nvPicPr>
                  <pic:blipFill>
                    <a:blip r:embed="rId45"/>
                    <a:stretch>
                      <a:fillRect/>
                    </a:stretch>
                  </pic:blipFill>
                  <pic:spPr>
                    <a:xfrm>
                      <a:off x="0" y="0"/>
                      <a:ext cx="3556635" cy="2700020"/>
                    </a:xfrm>
                    <a:prstGeom prst="rect">
                      <a:avLst/>
                    </a:prstGeom>
                    <a:noFill/>
                    <a:ln>
                      <a:noFill/>
                    </a:ln>
                  </pic:spPr>
                </pic:pic>
              </a:graphicData>
            </a:graphic>
          </wp:inline>
        </w:drawing>
      </w:r>
    </w:p>
    <w:p w14:paraId="6F939164">
      <w:pPr>
        <w:widowControl/>
        <w:ind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Figure 4.5 – Aggregation hydrodynamic dimeter distributions by DLS methods for different mole ratio of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NS/APG</w:t>
      </w:r>
      <w:r>
        <w:rPr>
          <w:rFonts w:hint="default" w:ascii="Times New Roman" w:hAnsi="Times New Roman" w:cs="Times New Roman"/>
          <w:sz w:val="28"/>
          <w:szCs w:val="28"/>
          <w:vertAlign w:val="subscript"/>
        </w:rPr>
        <w:t>0810</w:t>
      </w:r>
      <w:r>
        <w:rPr>
          <w:rFonts w:hint="default" w:ascii="Times New Roman" w:hAnsi="Times New Roman" w:cs="Times New Roman"/>
          <w:sz w:val="28"/>
          <w:szCs w:val="28"/>
          <w:vertAlign w:val="subscript"/>
          <w:lang w:val="en-US" w:eastAsia="zh-CN"/>
        </w:rPr>
        <w:t>.</w:t>
      </w:r>
    </w:p>
    <w:p w14:paraId="0B3DAD5B">
      <w:pPr>
        <w:widowControl/>
        <w:ind w:firstLine="709" w:firstLineChars="0"/>
        <w:rPr>
          <w:rFonts w:hint="default" w:ascii="Times New Roman" w:hAnsi="Times New Roman" w:cs="Times New Roman"/>
          <w:sz w:val="28"/>
          <w:szCs w:val="28"/>
        </w:rPr>
      </w:pPr>
    </w:p>
    <w:tbl>
      <w:tblPr>
        <w:tblStyle w:val="1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49"/>
        <w:gridCol w:w="3320"/>
        <w:gridCol w:w="3285"/>
      </w:tblGrid>
      <w:tr w14:paraId="2A84F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14:paraId="583031A2">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1582420" cy="1692275"/>
                  <wp:effectExtent l="0" t="0" r="17780" b="3175"/>
                  <wp:docPr id="4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
                          <pic:cNvPicPr>
                            <a:picLocks noChangeAspect="1"/>
                          </pic:cNvPicPr>
                        </pic:nvPicPr>
                        <pic:blipFill>
                          <a:blip r:embed="rId46"/>
                          <a:stretch>
                            <a:fillRect/>
                          </a:stretch>
                        </pic:blipFill>
                        <pic:spPr>
                          <a:xfrm>
                            <a:off x="0" y="0"/>
                            <a:ext cx="1582420" cy="1692275"/>
                          </a:xfrm>
                          <a:prstGeom prst="rect">
                            <a:avLst/>
                          </a:prstGeom>
                          <a:noFill/>
                          <a:ln>
                            <a:noFill/>
                          </a:ln>
                        </pic:spPr>
                      </pic:pic>
                    </a:graphicData>
                  </a:graphic>
                </wp:inline>
              </w:drawing>
            </w:r>
          </w:p>
        </w:tc>
        <w:tc>
          <w:tcPr>
            <w:tcW w:w="0" w:type="auto"/>
          </w:tcPr>
          <w:p w14:paraId="4BECE8D2">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1624965" cy="1692275"/>
                  <wp:effectExtent l="0" t="0" r="13335" b="3175"/>
                  <wp:docPr id="4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
                          <pic:cNvPicPr>
                            <a:picLocks noChangeAspect="1"/>
                          </pic:cNvPicPr>
                        </pic:nvPicPr>
                        <pic:blipFill>
                          <a:blip r:embed="rId47"/>
                          <a:stretch>
                            <a:fillRect/>
                          </a:stretch>
                        </pic:blipFill>
                        <pic:spPr>
                          <a:xfrm>
                            <a:off x="0" y="0"/>
                            <a:ext cx="1624965" cy="1692275"/>
                          </a:xfrm>
                          <a:prstGeom prst="rect">
                            <a:avLst/>
                          </a:prstGeom>
                          <a:noFill/>
                          <a:ln>
                            <a:noFill/>
                          </a:ln>
                        </pic:spPr>
                      </pic:pic>
                    </a:graphicData>
                  </a:graphic>
                </wp:inline>
              </w:drawing>
            </w:r>
          </w:p>
        </w:tc>
        <w:tc>
          <w:tcPr>
            <w:tcW w:w="0" w:type="auto"/>
          </w:tcPr>
          <w:p w14:paraId="5AAC996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1609090" cy="1692275"/>
                  <wp:effectExtent l="0" t="0" r="10160" b="3175"/>
                  <wp:docPr id="4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
                          <pic:cNvPicPr>
                            <a:picLocks noChangeAspect="1"/>
                          </pic:cNvPicPr>
                        </pic:nvPicPr>
                        <pic:blipFill>
                          <a:blip r:embed="rId48"/>
                          <a:stretch>
                            <a:fillRect/>
                          </a:stretch>
                        </pic:blipFill>
                        <pic:spPr>
                          <a:xfrm>
                            <a:off x="0" y="0"/>
                            <a:ext cx="1609090" cy="1692275"/>
                          </a:xfrm>
                          <a:prstGeom prst="rect">
                            <a:avLst/>
                          </a:prstGeom>
                          <a:noFill/>
                          <a:ln>
                            <a:noFill/>
                          </a:ln>
                        </pic:spPr>
                      </pic:pic>
                    </a:graphicData>
                  </a:graphic>
                </wp:inline>
              </w:drawing>
            </w:r>
          </w:p>
        </w:tc>
      </w:tr>
      <w:tr w14:paraId="682DE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gridSpan w:val="3"/>
          </w:tcPr>
          <w:p w14:paraId="4A02CAE1">
            <w:pPr>
              <w:widowControl/>
              <w:ind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Figure 4.6 – Cryo-TEM images for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NS/APG</w:t>
            </w:r>
            <w:r>
              <w:rPr>
                <w:rFonts w:hint="default" w:ascii="Times New Roman" w:hAnsi="Times New Roman" w:cs="Times New Roman"/>
                <w:sz w:val="28"/>
                <w:szCs w:val="28"/>
                <w:vertAlign w:val="subscript"/>
              </w:rPr>
              <w:t>0810</w:t>
            </w:r>
            <w:r>
              <w:rPr>
                <w:rFonts w:hint="default" w:ascii="Times New Roman" w:hAnsi="Times New Roman" w:cs="Times New Roman"/>
                <w:sz w:val="28"/>
                <w:szCs w:val="28"/>
              </w:rPr>
              <w:t xml:space="preserve"> molar ratio of 3:2 (a), 2:3 (b) and 1:1 (c)</w:t>
            </w:r>
            <w:r>
              <w:rPr>
                <w:rFonts w:hint="default" w:ascii="Times New Roman" w:hAnsi="Times New Roman" w:cs="Times New Roman"/>
                <w:sz w:val="28"/>
                <w:szCs w:val="28"/>
                <w:lang w:val="en-US" w:eastAsia="zh-CN"/>
              </w:rPr>
              <w:t>.</w:t>
            </w:r>
          </w:p>
        </w:tc>
      </w:tr>
    </w:tbl>
    <w:p w14:paraId="439900F3">
      <w:pPr>
        <w:widowControl/>
        <w:ind w:left="0" w:leftChars="0" w:firstLine="0" w:firstLineChars="0"/>
        <w:rPr>
          <w:rFonts w:hint="default" w:ascii="Times New Roman" w:hAnsi="Times New Roman" w:cs="Times New Roman"/>
          <w:sz w:val="28"/>
          <w:szCs w:val="28"/>
        </w:rPr>
      </w:pPr>
    </w:p>
    <w:p w14:paraId="42CD1D20">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As shown in Figure 4.5, the hydrodynamic diameter of the mixed aggregates exhibits a non-monotonic dependence on the surfactant composition. When the mole ratio of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NS/APG</w:t>
      </w:r>
      <w:r>
        <w:rPr>
          <w:rFonts w:hint="default" w:ascii="Times New Roman" w:hAnsi="Times New Roman" w:cs="Times New Roman"/>
          <w:sz w:val="28"/>
          <w:szCs w:val="28"/>
          <w:vertAlign w:val="subscript"/>
        </w:rPr>
        <w:t>0810</w:t>
      </w:r>
      <w:r>
        <w:rPr>
          <w:rFonts w:hint="default" w:ascii="Times New Roman" w:hAnsi="Times New Roman" w:cs="Times New Roman"/>
          <w:sz w:val="28"/>
          <w:szCs w:val="28"/>
        </w:rPr>
        <w:t xml:space="preserve"> decreases from 3:2 to 1:1, the average aggregate size slightly decreases from 58 nm to 52 nm, indicating more compact or efficiently packed micellar structures due to balanced interactions between the two surfactants. Interestingly, when the mole ratio further shifts to 2:3, the aggregate size increases significantly to 87 nm, suggesting the formation of larger, possibly elongated or network-like assemblies [65,132]. These observations are further corroborated by TEM analysis (Figure 4.6), which provides direct visualization of the aggregate morphology. The TEM images reveal that at the 2:3 molar ratio, the aggregates tend to accumulate and interconnect, forming a continuous network structure, which explains the observed increase in hydrodynamic diameter (Figure 4.6(b)). Such morphological transformations indicate that the nature and extent of surfactant–surfactant interactions play a crucial role in controlling aggregate size and structure, which in turn affects the system’s interfacial properties, solution stability, and potential performance in applications such as enhanced oil recovery or emulsion stabilization [65,132,142].</w:t>
      </w:r>
    </w:p>
    <w:p w14:paraId="5FC6447D">
      <w:pPr>
        <w:pStyle w:val="4"/>
        <w:keepNext w:val="0"/>
        <w:keepLines w:val="0"/>
        <w:widowControl/>
        <w:spacing w:line="240" w:lineRule="auto"/>
        <w:ind w:firstLine="709"/>
        <w:jc w:val="both"/>
        <w:rPr>
          <w:rFonts w:hint="default" w:ascii="Times New Roman" w:hAnsi="Times New Roman" w:cs="Times New Roman"/>
          <w:sz w:val="28"/>
          <w:szCs w:val="28"/>
        </w:rPr>
      </w:pPr>
      <w:bookmarkStart w:id="638" w:name="_Toc7992"/>
      <w:bookmarkStart w:id="639" w:name="_Toc32130"/>
      <w:r>
        <w:rPr>
          <w:rFonts w:hint="default" w:ascii="Times New Roman" w:hAnsi="Times New Roman" w:cs="Times New Roman"/>
          <w:sz w:val="28"/>
          <w:szCs w:val="28"/>
        </w:rPr>
        <w:t>4.3.2 Calculation of thermodynamic parameters</w:t>
      </w:r>
      <w:bookmarkEnd w:id="633"/>
      <w:bookmarkEnd w:id="634"/>
      <w:bookmarkEnd w:id="635"/>
      <w:bookmarkEnd w:id="636"/>
      <w:bookmarkEnd w:id="637"/>
      <w:bookmarkEnd w:id="638"/>
      <w:bookmarkEnd w:id="639"/>
    </w:p>
    <w:p w14:paraId="543E63EC">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Thermodynamic evaluation provides valuable insights into both the driving force of mixed micellization and the factors governing the interactions between extended amphoteric and Gemini surfactants. The micellization thermodynamics of binary surfactant systems, including the calculation of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Sub>
      </m:oMath>
      <w:r>
        <w:rPr>
          <w:rFonts w:hint="default" w:ascii="Times New Roman" w:hAnsi="Times New Roman" w:cs="Times New Roman"/>
          <w:sz w:val="28"/>
          <w:szCs w:val="28"/>
        </w:rPr>
        <w:t>, are calculated using the Gibbs adsorption theory and Rosen’s methodology [83,132,143,144]. The calculation results of thermodynamic parameters of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NS/APG</w:t>
      </w:r>
      <w:r>
        <w:rPr>
          <w:rFonts w:hint="default" w:ascii="Times New Roman" w:hAnsi="Times New Roman" w:cs="Times New Roman"/>
          <w:sz w:val="28"/>
          <w:szCs w:val="28"/>
          <w:vertAlign w:val="subscript"/>
        </w:rPr>
        <w:t>0810</w:t>
      </w:r>
      <w:r>
        <w:rPr>
          <w:rFonts w:hint="default" w:ascii="Times New Roman" w:hAnsi="Times New Roman" w:cs="Times New Roman"/>
          <w:sz w:val="28"/>
          <w:szCs w:val="28"/>
        </w:rPr>
        <w:t xml:space="preserve"> compound system are shown in Table 4.4.</w:t>
      </w:r>
    </w:p>
    <w:p w14:paraId="788C3FE1">
      <w:pPr>
        <w:widowControl/>
        <w:ind w:firstLine="709" w:firstLineChars="0"/>
        <w:rPr>
          <w:rFonts w:hint="default" w:ascii="Times New Roman" w:hAnsi="Times New Roman" w:cs="Times New Roman"/>
          <w:sz w:val="28"/>
          <w:szCs w:val="28"/>
        </w:rPr>
      </w:pPr>
    </w:p>
    <w:p w14:paraId="377B9133">
      <w:pPr>
        <w:widowControl/>
        <w:ind w:left="0" w:leftChars="0" w:firstLine="0" w:firstLineChars="0"/>
        <w:rPr>
          <w:rFonts w:hint="default" w:ascii="Times New Roman" w:hAnsi="Times New Roman" w:cs="Times New Roman"/>
          <w:sz w:val="28"/>
          <w:szCs w:val="28"/>
        </w:rPr>
      </w:pPr>
      <w:r>
        <w:rPr>
          <w:rFonts w:hint="default" w:ascii="Times New Roman" w:hAnsi="Times New Roman" w:cs="Times New Roman"/>
          <w:sz w:val="28"/>
          <w:szCs w:val="28"/>
        </w:rPr>
        <w:t>Table 4.4 – Thermodynamic parameters of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NS/APG</w:t>
      </w:r>
      <w:r>
        <w:rPr>
          <w:rFonts w:hint="default" w:ascii="Times New Roman" w:hAnsi="Times New Roman" w:cs="Times New Roman"/>
          <w:sz w:val="28"/>
          <w:szCs w:val="28"/>
          <w:vertAlign w:val="subscript"/>
        </w:rPr>
        <w:t>0810</w:t>
      </w:r>
      <w:r>
        <w:rPr>
          <w:rFonts w:hint="default" w:ascii="Times New Roman" w:hAnsi="Times New Roman" w:cs="Times New Roman"/>
          <w:sz w:val="28"/>
          <w:szCs w:val="28"/>
        </w:rPr>
        <w:t xml:space="preserve"> systems at different α</w:t>
      </w:r>
    </w:p>
    <w:tbl>
      <w:tblPr>
        <w:tblStyle w:val="17"/>
        <w:tblW w:w="4997" w:type="pct"/>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8"/>
        <w:gridCol w:w="1234"/>
        <w:gridCol w:w="1234"/>
        <w:gridCol w:w="1234"/>
        <w:gridCol w:w="1234"/>
        <w:gridCol w:w="1532"/>
        <w:gridCol w:w="1234"/>
        <w:gridCol w:w="1658"/>
      </w:tblGrid>
      <w:tr w14:paraId="7264480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48" w:type="pct"/>
            <w:tcBorders>
              <w:bottom w:val="single" w:color="auto" w:sz="4" w:space="0"/>
            </w:tcBorders>
            <w:vAlign w:val="center"/>
          </w:tcPr>
          <w:p w14:paraId="1A7E321D">
            <w:pPr>
              <w:widowControl/>
              <w:ind w:left="-64" w:right="-20" w:firstLine="0" w:firstLineChars="0"/>
              <w:jc w:val="center"/>
              <w:rPr>
                <w:rFonts w:hint="default" w:ascii="Times New Roman" w:hAnsi="Times New Roman" w:cs="Times New Roman"/>
                <w:szCs w:val="24"/>
              </w:rPr>
            </w:pPr>
            <m:oMathPara>
              <m:oMath>
                <m:sSub>
                  <m:sSubPr>
                    <m:ctrlPr>
                      <w:rPr>
                        <w:rFonts w:hint="default" w:ascii="Cambria Math" w:hAnsi="Cambria Math" w:cs="Times New Roman"/>
                        <w:szCs w:val="24"/>
                      </w:rPr>
                    </m:ctrlPr>
                  </m:sSubPr>
                  <m:e>
                    <m:r>
                      <m:rPr>
                        <m:nor/>
                      </m:rPr>
                      <w:rPr>
                        <w:rFonts w:hint="default" w:ascii="Times New Roman" w:hAnsi="Times New Roman" w:cs="Times New Roman"/>
                        <w:i/>
                        <w:szCs w:val="24"/>
                      </w:rPr>
                      <m:t>α</m:t>
                    </m:r>
                    <m:ctrlPr>
                      <w:rPr>
                        <w:rFonts w:hint="default" w:ascii="Cambria Math" w:hAnsi="Cambria Math" w:cs="Times New Roman"/>
                        <w:szCs w:val="24"/>
                      </w:rPr>
                    </m:ctrlPr>
                  </m:e>
                  <m:sub>
                    <m:r>
                      <m:rPr>
                        <m:nor/>
                        <m:sty m:val="p"/>
                      </m:rPr>
                      <w:rPr>
                        <w:rFonts w:hint="default" w:ascii="Times New Roman" w:hAnsi="Times New Roman" w:cs="Times New Roman"/>
                        <w:b w:val="0"/>
                        <w:i w:val="0"/>
                        <w:szCs w:val="24"/>
                      </w:rPr>
                      <m:t>1</m:t>
                    </m:r>
                    <m:ctrlPr>
                      <w:rPr>
                        <w:rFonts w:hint="default" w:ascii="Cambria Math" w:hAnsi="Cambria Math" w:cs="Times New Roman"/>
                        <w:szCs w:val="24"/>
                      </w:rPr>
                    </m:ctrlPr>
                  </m:sub>
                </m:sSub>
              </m:oMath>
            </m:oMathPara>
          </w:p>
        </w:tc>
        <w:tc>
          <w:tcPr>
            <w:tcW w:w="626" w:type="pct"/>
            <w:tcBorders>
              <w:bottom w:val="single" w:color="auto" w:sz="4" w:space="0"/>
            </w:tcBorders>
            <w:vAlign w:val="center"/>
          </w:tcPr>
          <w:p w14:paraId="34937312">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szCs w:val="24"/>
              </w:rPr>
              <w:t>∆G</w:t>
            </w:r>
            <w:r>
              <w:rPr>
                <w:rFonts w:hint="default" w:ascii="Times New Roman" w:hAnsi="Times New Roman" w:cs="Times New Roman"/>
                <w:szCs w:val="24"/>
                <w:vertAlign w:val="subscript"/>
              </w:rPr>
              <w:t>mic</w:t>
            </w:r>
          </w:p>
          <w:p w14:paraId="3ECC39D7">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szCs w:val="24"/>
              </w:rPr>
              <w:t>(</w:t>
            </w:r>
            <w:r>
              <w:rPr>
                <w:rStyle w:val="41"/>
                <w:rFonts w:hint="default" w:ascii="Times New Roman" w:hAnsi="Times New Roman" w:cs="Times New Roman"/>
                <w:color w:val="auto"/>
                <w:sz w:val="24"/>
                <w:szCs w:val="24"/>
                <w:lang w:bidi="ar"/>
              </w:rPr>
              <w:t>kJ·mol</w:t>
            </w:r>
            <w:r>
              <w:rPr>
                <w:rStyle w:val="42"/>
                <w:rFonts w:hint="default" w:ascii="Times New Roman" w:hAnsi="Times New Roman" w:cs="Times New Roman"/>
                <w:color w:val="auto"/>
                <w:sz w:val="24"/>
                <w:szCs w:val="24"/>
                <w:lang w:bidi="ar"/>
              </w:rPr>
              <w:t>-1</w:t>
            </w:r>
            <w:r>
              <w:rPr>
                <w:rStyle w:val="42"/>
                <w:rFonts w:hint="default" w:ascii="Times New Roman" w:hAnsi="Times New Roman" w:cs="Times New Roman"/>
                <w:color w:val="auto"/>
                <w:sz w:val="24"/>
                <w:szCs w:val="24"/>
                <w:vertAlign w:val="baseline"/>
                <w:lang w:bidi="ar"/>
              </w:rPr>
              <w:t>)</w:t>
            </w:r>
          </w:p>
        </w:tc>
        <w:tc>
          <w:tcPr>
            <w:tcW w:w="626" w:type="pct"/>
            <w:tcBorders>
              <w:bottom w:val="single" w:color="auto" w:sz="4" w:space="0"/>
            </w:tcBorders>
            <w:vAlign w:val="center"/>
          </w:tcPr>
          <w:p w14:paraId="606CB9FB">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szCs w:val="24"/>
              </w:rPr>
              <w:t>∆G</w:t>
            </w:r>
            <w:r>
              <w:rPr>
                <w:rFonts w:hint="default" w:ascii="Times New Roman" w:hAnsi="Times New Roman" w:cs="Times New Roman"/>
                <w:szCs w:val="24"/>
                <w:vertAlign w:val="subscript"/>
              </w:rPr>
              <w:t>mic,ideal</w:t>
            </w:r>
          </w:p>
          <w:p w14:paraId="44171F85">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szCs w:val="24"/>
              </w:rPr>
              <w:t>(</w:t>
            </w:r>
            <w:r>
              <w:rPr>
                <w:rStyle w:val="41"/>
                <w:rFonts w:hint="default" w:ascii="Times New Roman" w:hAnsi="Times New Roman" w:cs="Times New Roman"/>
                <w:color w:val="auto"/>
                <w:sz w:val="24"/>
                <w:szCs w:val="24"/>
                <w:lang w:bidi="ar"/>
              </w:rPr>
              <w:t>kJ·mol</w:t>
            </w:r>
            <w:r>
              <w:rPr>
                <w:rStyle w:val="42"/>
                <w:rFonts w:hint="default" w:ascii="Times New Roman" w:hAnsi="Times New Roman" w:cs="Times New Roman"/>
                <w:color w:val="auto"/>
                <w:sz w:val="24"/>
                <w:szCs w:val="24"/>
                <w:lang w:bidi="ar"/>
              </w:rPr>
              <w:t>-1</w:t>
            </w:r>
            <w:r>
              <w:rPr>
                <w:rStyle w:val="42"/>
                <w:rFonts w:hint="default" w:ascii="Times New Roman" w:hAnsi="Times New Roman" w:cs="Times New Roman"/>
                <w:color w:val="auto"/>
                <w:sz w:val="24"/>
                <w:szCs w:val="24"/>
                <w:vertAlign w:val="baseline"/>
                <w:lang w:bidi="ar"/>
              </w:rPr>
              <w:t>)</w:t>
            </w:r>
          </w:p>
        </w:tc>
        <w:tc>
          <w:tcPr>
            <w:tcW w:w="626" w:type="pct"/>
            <w:tcBorders>
              <w:bottom w:val="single" w:color="auto" w:sz="4" w:space="0"/>
            </w:tcBorders>
            <w:vAlign w:val="center"/>
          </w:tcPr>
          <w:p w14:paraId="1A1B7806">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szCs w:val="24"/>
              </w:rPr>
              <w:t>∆G</w:t>
            </w:r>
            <w:r>
              <w:rPr>
                <w:rFonts w:hint="default" w:ascii="Times New Roman" w:hAnsi="Times New Roman" w:cs="Times New Roman"/>
                <w:szCs w:val="24"/>
                <w:vertAlign w:val="subscript"/>
              </w:rPr>
              <w:t>ads</w:t>
            </w:r>
          </w:p>
          <w:p w14:paraId="7DCF8287">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szCs w:val="24"/>
              </w:rPr>
              <w:t>(</w:t>
            </w:r>
            <w:r>
              <w:rPr>
                <w:rStyle w:val="41"/>
                <w:rFonts w:hint="default" w:ascii="Times New Roman" w:hAnsi="Times New Roman" w:cs="Times New Roman"/>
                <w:color w:val="auto"/>
                <w:sz w:val="24"/>
                <w:szCs w:val="24"/>
                <w:lang w:bidi="ar"/>
              </w:rPr>
              <w:t>kJ·mol</w:t>
            </w:r>
            <w:r>
              <w:rPr>
                <w:rStyle w:val="42"/>
                <w:rFonts w:hint="default" w:ascii="Times New Roman" w:hAnsi="Times New Roman" w:cs="Times New Roman"/>
                <w:color w:val="auto"/>
                <w:sz w:val="24"/>
                <w:szCs w:val="24"/>
                <w:lang w:bidi="ar"/>
              </w:rPr>
              <w:t>-1</w:t>
            </w:r>
            <w:r>
              <w:rPr>
                <w:rStyle w:val="42"/>
                <w:rFonts w:hint="default" w:ascii="Times New Roman" w:hAnsi="Times New Roman" w:cs="Times New Roman"/>
                <w:color w:val="auto"/>
                <w:sz w:val="24"/>
                <w:szCs w:val="24"/>
                <w:vertAlign w:val="baseline"/>
                <w:lang w:bidi="ar"/>
              </w:rPr>
              <w:t>)</w:t>
            </w:r>
          </w:p>
        </w:tc>
        <w:tc>
          <w:tcPr>
            <w:tcW w:w="626" w:type="pct"/>
            <w:tcBorders>
              <w:bottom w:val="single" w:color="auto" w:sz="4" w:space="0"/>
            </w:tcBorders>
            <w:vAlign w:val="center"/>
          </w:tcPr>
          <w:p w14:paraId="1D506520">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szCs w:val="24"/>
              </w:rPr>
              <w:t>∆H</w:t>
            </w:r>
            <w:r>
              <w:rPr>
                <w:rFonts w:hint="default" w:ascii="Times New Roman" w:hAnsi="Times New Roman" w:cs="Times New Roman"/>
                <w:szCs w:val="24"/>
                <w:vertAlign w:val="subscript"/>
              </w:rPr>
              <w:t>mic</w:t>
            </w:r>
          </w:p>
          <w:p w14:paraId="5AB86753">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szCs w:val="24"/>
              </w:rPr>
              <w:t>(</w:t>
            </w:r>
            <w:r>
              <w:rPr>
                <w:rStyle w:val="41"/>
                <w:rFonts w:hint="default" w:ascii="Times New Roman" w:hAnsi="Times New Roman" w:cs="Times New Roman"/>
                <w:color w:val="auto"/>
                <w:sz w:val="24"/>
                <w:szCs w:val="24"/>
                <w:lang w:bidi="ar"/>
              </w:rPr>
              <w:t>kJ·mol</w:t>
            </w:r>
            <w:r>
              <w:rPr>
                <w:rStyle w:val="42"/>
                <w:rFonts w:hint="default" w:ascii="Times New Roman" w:hAnsi="Times New Roman" w:cs="Times New Roman"/>
                <w:color w:val="auto"/>
                <w:sz w:val="24"/>
                <w:szCs w:val="24"/>
                <w:lang w:bidi="ar"/>
              </w:rPr>
              <w:t>-1</w:t>
            </w:r>
            <w:r>
              <w:rPr>
                <w:rStyle w:val="42"/>
                <w:rFonts w:hint="default" w:ascii="Times New Roman" w:hAnsi="Times New Roman" w:cs="Times New Roman"/>
                <w:color w:val="auto"/>
                <w:sz w:val="24"/>
                <w:szCs w:val="24"/>
                <w:vertAlign w:val="baseline"/>
                <w:lang w:bidi="ar"/>
              </w:rPr>
              <w:t>)</w:t>
            </w:r>
          </w:p>
        </w:tc>
        <w:tc>
          <w:tcPr>
            <w:tcW w:w="777" w:type="pct"/>
            <w:tcBorders>
              <w:bottom w:val="single" w:color="auto" w:sz="4" w:space="0"/>
            </w:tcBorders>
            <w:vAlign w:val="center"/>
          </w:tcPr>
          <w:p w14:paraId="49ED20FE">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szCs w:val="24"/>
              </w:rPr>
              <w:t>∆S</w:t>
            </w:r>
            <w:r>
              <w:rPr>
                <w:rFonts w:hint="default" w:ascii="Times New Roman" w:hAnsi="Times New Roman" w:cs="Times New Roman"/>
                <w:szCs w:val="24"/>
                <w:vertAlign w:val="subscript"/>
              </w:rPr>
              <w:t>mic</w:t>
            </w:r>
          </w:p>
          <w:p w14:paraId="70C0AFC1">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szCs w:val="24"/>
              </w:rPr>
              <w:t>(</w:t>
            </w:r>
            <w:r>
              <w:rPr>
                <w:rStyle w:val="41"/>
                <w:rFonts w:hint="default" w:ascii="Times New Roman" w:hAnsi="Times New Roman" w:cs="Times New Roman"/>
                <w:color w:val="auto"/>
                <w:sz w:val="24"/>
                <w:szCs w:val="24"/>
                <w:lang w:bidi="ar"/>
              </w:rPr>
              <w:t>J·mol</w:t>
            </w:r>
            <w:r>
              <w:rPr>
                <w:rStyle w:val="42"/>
                <w:rFonts w:hint="default" w:ascii="Times New Roman" w:hAnsi="Times New Roman" w:cs="Times New Roman"/>
                <w:color w:val="auto"/>
                <w:sz w:val="24"/>
                <w:szCs w:val="24"/>
                <w:lang w:bidi="ar"/>
              </w:rPr>
              <w:t>-1</w:t>
            </w:r>
            <w:r>
              <w:rPr>
                <w:rStyle w:val="41"/>
                <w:rFonts w:hint="default" w:ascii="Times New Roman" w:hAnsi="Times New Roman" w:cs="Times New Roman"/>
                <w:color w:val="auto"/>
                <w:sz w:val="24"/>
                <w:szCs w:val="24"/>
                <w:lang w:bidi="ar"/>
              </w:rPr>
              <w:t>·K</w:t>
            </w:r>
            <w:r>
              <w:rPr>
                <w:rStyle w:val="42"/>
                <w:rFonts w:hint="default" w:ascii="Times New Roman" w:hAnsi="Times New Roman" w:cs="Times New Roman"/>
                <w:color w:val="auto"/>
                <w:sz w:val="24"/>
                <w:szCs w:val="24"/>
                <w:lang w:bidi="ar"/>
              </w:rPr>
              <w:t>-1</w:t>
            </w:r>
            <w:r>
              <w:rPr>
                <w:rStyle w:val="42"/>
                <w:rFonts w:hint="default" w:ascii="Times New Roman" w:hAnsi="Times New Roman" w:cs="Times New Roman"/>
                <w:color w:val="auto"/>
                <w:sz w:val="24"/>
                <w:szCs w:val="24"/>
                <w:vertAlign w:val="baseline"/>
                <w:lang w:bidi="ar"/>
              </w:rPr>
              <w:t>)</w:t>
            </w:r>
          </w:p>
        </w:tc>
        <w:tc>
          <w:tcPr>
            <w:tcW w:w="626" w:type="pct"/>
            <w:tcBorders>
              <w:bottom w:val="single" w:color="auto" w:sz="4" w:space="0"/>
            </w:tcBorders>
            <w:vAlign w:val="center"/>
          </w:tcPr>
          <w:p w14:paraId="2F37688C">
            <w:pPr>
              <w:widowControl/>
              <w:ind w:left="-64" w:right="-20" w:firstLine="0" w:firstLineChars="0"/>
              <w:jc w:val="center"/>
              <w:textAlignment w:val="center"/>
              <w:rPr>
                <w:rStyle w:val="41"/>
                <w:rFonts w:hint="default" w:ascii="Times New Roman" w:hAnsi="Times New Roman" w:cs="Times New Roman"/>
                <w:color w:val="auto"/>
                <w:sz w:val="24"/>
                <w:szCs w:val="24"/>
                <w:lang w:bidi="ar"/>
              </w:rPr>
            </w:pPr>
            <w:r>
              <w:rPr>
                <w:rStyle w:val="41"/>
                <w:rFonts w:hint="default" w:ascii="Times New Roman" w:hAnsi="Times New Roman" w:cs="Times New Roman"/>
                <w:color w:val="auto"/>
                <w:sz w:val="24"/>
                <w:szCs w:val="24"/>
                <w:lang w:bidi="ar"/>
              </w:rPr>
              <w:t>T∆S</w:t>
            </w:r>
            <w:r>
              <w:rPr>
                <w:rStyle w:val="41"/>
                <w:rFonts w:hint="default" w:ascii="Times New Roman" w:hAnsi="Times New Roman" w:cs="Times New Roman"/>
                <w:color w:val="auto"/>
                <w:sz w:val="24"/>
                <w:szCs w:val="24"/>
                <w:vertAlign w:val="subscript"/>
                <w:lang w:bidi="ar"/>
              </w:rPr>
              <w:t>mic</w:t>
            </w:r>
          </w:p>
          <w:p w14:paraId="0BBB5978">
            <w:pPr>
              <w:widowControl/>
              <w:ind w:left="-64" w:right="-20" w:firstLine="0" w:firstLineChars="0"/>
              <w:jc w:val="center"/>
              <w:textAlignment w:val="center"/>
              <w:rPr>
                <w:rFonts w:hint="default" w:ascii="Times New Roman" w:hAnsi="Times New Roman" w:cs="Times New Roman"/>
                <w:szCs w:val="24"/>
              </w:rPr>
            </w:pPr>
            <w:r>
              <w:rPr>
                <w:rStyle w:val="41"/>
                <w:rFonts w:hint="default" w:ascii="Times New Roman" w:hAnsi="Times New Roman" w:cs="Times New Roman"/>
                <w:color w:val="auto"/>
                <w:sz w:val="24"/>
                <w:szCs w:val="24"/>
                <w:lang w:bidi="ar"/>
              </w:rPr>
              <w:t>(kJ·mol</w:t>
            </w:r>
            <w:r>
              <w:rPr>
                <w:rStyle w:val="42"/>
                <w:rFonts w:hint="default" w:ascii="Times New Roman" w:hAnsi="Times New Roman" w:cs="Times New Roman"/>
                <w:color w:val="auto"/>
                <w:sz w:val="24"/>
                <w:szCs w:val="24"/>
                <w:lang w:bidi="ar"/>
              </w:rPr>
              <w:t>-1</w:t>
            </w:r>
            <w:r>
              <w:rPr>
                <w:rStyle w:val="42"/>
                <w:rFonts w:hint="default" w:ascii="Times New Roman" w:hAnsi="Times New Roman" w:cs="Times New Roman"/>
                <w:color w:val="auto"/>
                <w:sz w:val="24"/>
                <w:szCs w:val="24"/>
                <w:vertAlign w:val="baseline"/>
                <w:lang w:bidi="ar"/>
              </w:rPr>
              <w:t>)</w:t>
            </w:r>
          </w:p>
        </w:tc>
        <w:tc>
          <w:tcPr>
            <w:tcW w:w="841" w:type="pct"/>
            <w:tcBorders>
              <w:bottom w:val="single" w:color="auto" w:sz="4" w:space="0"/>
            </w:tcBorders>
            <w:vAlign w:val="center"/>
          </w:tcPr>
          <w:p w14:paraId="2D640D70">
            <w:pPr>
              <w:widowControl/>
              <w:ind w:left="-64" w:right="-20" w:firstLine="0" w:firstLineChars="0"/>
              <w:jc w:val="center"/>
              <w:rPr>
                <w:rFonts w:hint="default" w:ascii="Times New Roman" w:hAnsi="Times New Roman" w:cs="Times New Roman"/>
                <w:szCs w:val="24"/>
              </w:rPr>
            </w:pPr>
            <w:r>
              <w:rPr>
                <w:rFonts w:hint="default" w:ascii="Times New Roman" w:hAnsi="Times New Roman" w:cs="Times New Roman"/>
                <w:szCs w:val="24"/>
              </w:rPr>
              <w:t>|</w:t>
            </w:r>
            <m:oMath>
              <m:r>
                <m:rPr>
                  <m:nor/>
                </m:rPr>
                <w:rPr>
                  <w:rFonts w:hint="default" w:ascii="Times New Roman" w:hAnsi="Times New Roman" w:cs="Times New Roman"/>
                  <w:i/>
                  <w:szCs w:val="24"/>
                </w:rPr>
                <m:t>T</m:t>
              </m:r>
              <m:sSub>
                <m:sSubPr>
                  <m:ctrlPr>
                    <w:rPr>
                      <w:rFonts w:hint="default" w:ascii="Cambria Math" w:hAnsi="Cambria Math" w:cs="Times New Roman"/>
                      <w:szCs w:val="24"/>
                    </w:rPr>
                  </m:ctrlPr>
                </m:sSubPr>
                <m:e>
                  <m:r>
                    <m:rPr>
                      <m:nor/>
                      <m:sty m:val="p"/>
                    </m:rPr>
                    <w:rPr>
                      <w:rFonts w:hint="default" w:ascii="Times New Roman" w:hAnsi="Times New Roman" w:cs="Times New Roman"/>
                      <w:b w:val="0"/>
                      <w:i w:val="0"/>
                      <w:szCs w:val="24"/>
                    </w:rPr>
                    <m:t>∆</m:t>
                  </m:r>
                  <m:r>
                    <m:rPr>
                      <m:nor/>
                    </m:rPr>
                    <w:rPr>
                      <w:rFonts w:hint="default" w:ascii="Times New Roman" w:hAnsi="Times New Roman" w:cs="Times New Roman"/>
                      <w:i/>
                      <w:szCs w:val="24"/>
                    </w:rPr>
                    <m:t>S</m:t>
                  </m:r>
                  <m:ctrlPr>
                    <w:rPr>
                      <w:rFonts w:hint="default" w:ascii="Cambria Math" w:hAnsi="Cambria Math" w:cs="Times New Roman"/>
                      <w:szCs w:val="24"/>
                    </w:rPr>
                  </m:ctrlPr>
                </m:e>
                <m:sub>
                  <m:r>
                    <m:rPr>
                      <m:nor/>
                      <m:sty m:val="p"/>
                    </m:rPr>
                    <w:rPr>
                      <w:rFonts w:hint="default" w:ascii="Times New Roman" w:hAnsi="Times New Roman" w:cs="Times New Roman"/>
                      <w:b w:val="0"/>
                      <w:i w:val="0"/>
                      <w:szCs w:val="24"/>
                    </w:rPr>
                    <m:t>mic</m:t>
                  </m:r>
                  <m:ctrlPr>
                    <w:rPr>
                      <w:rFonts w:hint="default" w:ascii="Cambria Math" w:hAnsi="Cambria Math" w:cs="Times New Roman"/>
                      <w:szCs w:val="24"/>
                    </w:rPr>
                  </m:ctrlPr>
                </m:sub>
              </m:sSub>
            </m:oMath>
            <w:r>
              <w:rPr>
                <w:rFonts w:hint="default" w:ascii="Times New Roman" w:hAnsi="Times New Roman" w:cs="Times New Roman"/>
                <w:szCs w:val="24"/>
              </w:rPr>
              <w:t>/</w:t>
            </w:r>
            <m:oMath>
              <m:sSub>
                <m:sSubPr>
                  <m:ctrlPr>
                    <w:rPr>
                      <w:rFonts w:hint="default" w:ascii="Cambria Math" w:hAnsi="Cambria Math" w:cs="Times New Roman"/>
                      <w:szCs w:val="24"/>
                    </w:rPr>
                  </m:ctrlPr>
                </m:sSubPr>
                <m:e>
                  <m:r>
                    <m:rPr>
                      <m:nor/>
                      <m:sty m:val="p"/>
                    </m:rPr>
                    <w:rPr>
                      <w:rFonts w:hint="default" w:ascii="Times New Roman" w:hAnsi="Times New Roman" w:cs="Times New Roman"/>
                      <w:b w:val="0"/>
                      <w:i w:val="0"/>
                      <w:szCs w:val="24"/>
                    </w:rPr>
                    <m:t>∆</m:t>
                  </m:r>
                  <m:r>
                    <m:rPr>
                      <m:nor/>
                    </m:rPr>
                    <w:rPr>
                      <w:rFonts w:hint="default" w:ascii="Times New Roman" w:hAnsi="Times New Roman" w:cs="Times New Roman"/>
                      <w:i/>
                      <w:szCs w:val="24"/>
                    </w:rPr>
                    <m:t>G</m:t>
                  </m:r>
                  <m:ctrlPr>
                    <w:rPr>
                      <w:rFonts w:hint="default" w:ascii="Cambria Math" w:hAnsi="Cambria Math" w:cs="Times New Roman"/>
                      <w:szCs w:val="24"/>
                    </w:rPr>
                  </m:ctrlPr>
                </m:e>
                <m:sub>
                  <m:r>
                    <m:rPr>
                      <m:nor/>
                      <m:sty m:val="p"/>
                    </m:rPr>
                    <w:rPr>
                      <w:rFonts w:hint="default" w:ascii="Times New Roman" w:hAnsi="Times New Roman" w:cs="Times New Roman"/>
                      <w:b w:val="0"/>
                      <w:i w:val="0"/>
                      <w:szCs w:val="24"/>
                    </w:rPr>
                    <m:t>mic</m:t>
                  </m:r>
                  <m:ctrlPr>
                    <w:rPr>
                      <w:rFonts w:hint="default" w:ascii="Cambria Math" w:hAnsi="Cambria Math" w:cs="Times New Roman"/>
                      <w:szCs w:val="24"/>
                    </w:rPr>
                  </m:ctrlPr>
                </m:sub>
              </m:sSub>
            </m:oMath>
            <w:r>
              <w:rPr>
                <w:rFonts w:hint="default" w:ascii="Times New Roman" w:hAnsi="Times New Roman" w:cs="Times New Roman"/>
                <w:szCs w:val="24"/>
              </w:rPr>
              <w:t>|</w:t>
            </w:r>
          </w:p>
        </w:tc>
      </w:tr>
      <w:tr w14:paraId="5BAE45D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48" w:type="pct"/>
            <w:tcBorders>
              <w:top w:val="single" w:color="auto" w:sz="4" w:space="0"/>
            </w:tcBorders>
            <w:vAlign w:val="center"/>
          </w:tcPr>
          <w:p w14:paraId="0C2CBD58">
            <w:pPr>
              <w:widowControl/>
              <w:ind w:left="-64" w:right="-20" w:firstLine="0" w:firstLineChars="0"/>
              <w:jc w:val="center"/>
              <w:rPr>
                <w:rFonts w:hint="default" w:ascii="Times New Roman" w:hAnsi="Times New Roman" w:cs="Times New Roman"/>
                <w:szCs w:val="24"/>
              </w:rPr>
            </w:pPr>
            <w:r>
              <w:rPr>
                <w:rFonts w:hint="default" w:ascii="Times New Roman" w:hAnsi="Times New Roman" w:cs="Times New Roman"/>
                <w:szCs w:val="24"/>
              </w:rPr>
              <w:t>0.8</w:t>
            </w:r>
          </w:p>
        </w:tc>
        <w:tc>
          <w:tcPr>
            <w:tcW w:w="626" w:type="pct"/>
            <w:tcBorders>
              <w:top w:val="single" w:color="auto" w:sz="4" w:space="0"/>
            </w:tcBorders>
            <w:vAlign w:val="center"/>
          </w:tcPr>
          <w:p w14:paraId="2B688973">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-2.8774</w:t>
            </w:r>
          </w:p>
        </w:tc>
        <w:tc>
          <w:tcPr>
            <w:tcW w:w="626" w:type="pct"/>
            <w:tcBorders>
              <w:top w:val="single" w:color="auto" w:sz="4" w:space="0"/>
            </w:tcBorders>
            <w:vAlign w:val="center"/>
          </w:tcPr>
          <w:p w14:paraId="646DC842">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-1.4687</w:t>
            </w:r>
          </w:p>
        </w:tc>
        <w:tc>
          <w:tcPr>
            <w:tcW w:w="626" w:type="pct"/>
            <w:tcBorders>
              <w:top w:val="single" w:color="auto" w:sz="4" w:space="0"/>
            </w:tcBorders>
            <w:vAlign w:val="center"/>
          </w:tcPr>
          <w:p w14:paraId="62A870C1">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-3.2081</w:t>
            </w:r>
          </w:p>
        </w:tc>
        <w:tc>
          <w:tcPr>
            <w:tcW w:w="626" w:type="pct"/>
            <w:tcBorders>
              <w:top w:val="single" w:color="auto" w:sz="4" w:space="0"/>
            </w:tcBorders>
            <w:vAlign w:val="center"/>
          </w:tcPr>
          <w:p w14:paraId="72FA81B7">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-1.4087</w:t>
            </w:r>
          </w:p>
        </w:tc>
        <w:tc>
          <w:tcPr>
            <w:tcW w:w="777" w:type="pct"/>
            <w:tcBorders>
              <w:top w:val="single" w:color="auto" w:sz="4" w:space="0"/>
            </w:tcBorders>
            <w:vAlign w:val="center"/>
          </w:tcPr>
          <w:p w14:paraId="0F4F2F03">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szCs w:val="24"/>
              </w:rPr>
              <w:t>4.9261</w:t>
            </w:r>
          </w:p>
        </w:tc>
        <w:tc>
          <w:tcPr>
            <w:tcW w:w="626" w:type="pct"/>
            <w:tcBorders>
              <w:top w:val="single" w:color="auto" w:sz="4" w:space="0"/>
            </w:tcBorders>
            <w:vAlign w:val="center"/>
          </w:tcPr>
          <w:p w14:paraId="6BCB3E5C">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1.4687</w:t>
            </w:r>
          </w:p>
        </w:tc>
        <w:tc>
          <w:tcPr>
            <w:tcW w:w="841" w:type="pct"/>
            <w:tcBorders>
              <w:top w:val="single" w:color="auto" w:sz="4" w:space="0"/>
            </w:tcBorders>
            <w:vAlign w:val="center"/>
          </w:tcPr>
          <w:p w14:paraId="6F243911">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-0.5104</w:t>
            </w:r>
          </w:p>
        </w:tc>
      </w:tr>
      <w:tr w14:paraId="2237EE5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48" w:type="pct"/>
            <w:vAlign w:val="center"/>
          </w:tcPr>
          <w:p w14:paraId="47BB703A">
            <w:pPr>
              <w:widowControl/>
              <w:ind w:left="-64" w:right="-20" w:firstLine="0" w:firstLineChars="0"/>
              <w:jc w:val="center"/>
              <w:rPr>
                <w:rFonts w:hint="default" w:ascii="Times New Roman" w:hAnsi="Times New Roman" w:cs="Times New Roman"/>
                <w:szCs w:val="24"/>
              </w:rPr>
            </w:pPr>
            <w:r>
              <w:rPr>
                <w:rFonts w:hint="default" w:ascii="Times New Roman" w:hAnsi="Times New Roman" w:cs="Times New Roman"/>
                <w:szCs w:val="24"/>
              </w:rPr>
              <w:t>0.6</w:t>
            </w:r>
          </w:p>
        </w:tc>
        <w:tc>
          <w:tcPr>
            <w:tcW w:w="626" w:type="pct"/>
            <w:vAlign w:val="center"/>
          </w:tcPr>
          <w:p w14:paraId="7CCD3057">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-3.6093</w:t>
            </w:r>
          </w:p>
        </w:tc>
        <w:tc>
          <w:tcPr>
            <w:tcW w:w="626" w:type="pct"/>
            <w:vAlign w:val="center"/>
          </w:tcPr>
          <w:p w14:paraId="66C4808D">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-1.5768</w:t>
            </w:r>
          </w:p>
        </w:tc>
        <w:tc>
          <w:tcPr>
            <w:tcW w:w="626" w:type="pct"/>
            <w:vAlign w:val="center"/>
          </w:tcPr>
          <w:p w14:paraId="1B84804F">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-3.9549</w:t>
            </w:r>
          </w:p>
        </w:tc>
        <w:tc>
          <w:tcPr>
            <w:tcW w:w="626" w:type="pct"/>
            <w:vAlign w:val="center"/>
          </w:tcPr>
          <w:p w14:paraId="453B1D6E">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-2.0324</w:t>
            </w:r>
          </w:p>
        </w:tc>
        <w:tc>
          <w:tcPr>
            <w:tcW w:w="777" w:type="pct"/>
            <w:vAlign w:val="center"/>
          </w:tcPr>
          <w:p w14:paraId="07E4F0C9">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5.2888</w:t>
            </w:r>
          </w:p>
        </w:tc>
        <w:tc>
          <w:tcPr>
            <w:tcW w:w="626" w:type="pct"/>
            <w:vAlign w:val="center"/>
          </w:tcPr>
          <w:p w14:paraId="74F6111A">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1.5768</w:t>
            </w:r>
          </w:p>
        </w:tc>
        <w:tc>
          <w:tcPr>
            <w:tcW w:w="841" w:type="pct"/>
            <w:vAlign w:val="center"/>
          </w:tcPr>
          <w:p w14:paraId="1EFB1A98">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-0.4369</w:t>
            </w:r>
          </w:p>
        </w:tc>
      </w:tr>
      <w:tr w14:paraId="00002A0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48" w:type="pct"/>
            <w:vAlign w:val="center"/>
          </w:tcPr>
          <w:p w14:paraId="56BF777D">
            <w:pPr>
              <w:widowControl/>
              <w:ind w:left="-64" w:right="-20" w:firstLine="0" w:firstLineChars="0"/>
              <w:jc w:val="center"/>
              <w:rPr>
                <w:rFonts w:hint="default" w:ascii="Times New Roman" w:hAnsi="Times New Roman" w:cs="Times New Roman"/>
                <w:szCs w:val="24"/>
              </w:rPr>
            </w:pPr>
            <w:r>
              <w:rPr>
                <w:rFonts w:hint="default" w:ascii="Times New Roman" w:hAnsi="Times New Roman" w:cs="Times New Roman"/>
                <w:szCs w:val="24"/>
              </w:rPr>
              <w:t>0.5</w:t>
            </w:r>
          </w:p>
        </w:tc>
        <w:tc>
          <w:tcPr>
            <w:tcW w:w="626" w:type="pct"/>
            <w:vAlign w:val="center"/>
          </w:tcPr>
          <w:p w14:paraId="0A57E83B">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-4.0092</w:t>
            </w:r>
          </w:p>
        </w:tc>
        <w:tc>
          <w:tcPr>
            <w:tcW w:w="626" w:type="pct"/>
            <w:vAlign w:val="center"/>
          </w:tcPr>
          <w:p w14:paraId="6974CF89">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-1.6149</w:t>
            </w:r>
          </w:p>
        </w:tc>
        <w:tc>
          <w:tcPr>
            <w:tcW w:w="626" w:type="pct"/>
            <w:vAlign w:val="center"/>
          </w:tcPr>
          <w:p w14:paraId="414AAC23">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-4.3830</w:t>
            </w:r>
          </w:p>
        </w:tc>
        <w:tc>
          <w:tcPr>
            <w:tcW w:w="626" w:type="pct"/>
            <w:vAlign w:val="center"/>
          </w:tcPr>
          <w:p w14:paraId="68BA8DBC">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-2.3944</w:t>
            </w:r>
          </w:p>
        </w:tc>
        <w:tc>
          <w:tcPr>
            <w:tcW w:w="777" w:type="pct"/>
            <w:vAlign w:val="center"/>
          </w:tcPr>
          <w:p w14:paraId="57DC4906">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5.4163</w:t>
            </w:r>
          </w:p>
        </w:tc>
        <w:tc>
          <w:tcPr>
            <w:tcW w:w="626" w:type="pct"/>
            <w:vAlign w:val="center"/>
          </w:tcPr>
          <w:p w14:paraId="38EA6251">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1.6149</w:t>
            </w:r>
          </w:p>
        </w:tc>
        <w:tc>
          <w:tcPr>
            <w:tcW w:w="841" w:type="pct"/>
            <w:vAlign w:val="center"/>
          </w:tcPr>
          <w:p w14:paraId="12CA8FED">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-0.4028</w:t>
            </w:r>
          </w:p>
        </w:tc>
      </w:tr>
      <w:tr w14:paraId="40F2EB8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48" w:type="pct"/>
            <w:vAlign w:val="center"/>
          </w:tcPr>
          <w:p w14:paraId="2159FBFB">
            <w:pPr>
              <w:widowControl/>
              <w:ind w:left="-64" w:right="-20" w:firstLine="0" w:firstLineChars="0"/>
              <w:jc w:val="center"/>
              <w:rPr>
                <w:rFonts w:hint="default" w:ascii="Times New Roman" w:hAnsi="Times New Roman" w:cs="Times New Roman"/>
                <w:szCs w:val="24"/>
              </w:rPr>
            </w:pPr>
            <w:r>
              <w:rPr>
                <w:rFonts w:hint="default" w:ascii="Times New Roman" w:hAnsi="Times New Roman" w:cs="Times New Roman"/>
                <w:szCs w:val="24"/>
              </w:rPr>
              <w:t>0.4</w:t>
            </w:r>
          </w:p>
        </w:tc>
        <w:tc>
          <w:tcPr>
            <w:tcW w:w="626" w:type="pct"/>
            <w:vAlign w:val="center"/>
          </w:tcPr>
          <w:p w14:paraId="14249C10">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-4.5980</w:t>
            </w:r>
          </w:p>
        </w:tc>
        <w:tc>
          <w:tcPr>
            <w:tcW w:w="626" w:type="pct"/>
            <w:vAlign w:val="center"/>
          </w:tcPr>
          <w:p w14:paraId="5B83C4D6">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-1.6501</w:t>
            </w:r>
          </w:p>
        </w:tc>
        <w:tc>
          <w:tcPr>
            <w:tcW w:w="626" w:type="pct"/>
            <w:vAlign w:val="center"/>
          </w:tcPr>
          <w:p w14:paraId="69233A54">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-5.1016</w:t>
            </w:r>
          </w:p>
        </w:tc>
        <w:tc>
          <w:tcPr>
            <w:tcW w:w="626" w:type="pct"/>
            <w:vAlign w:val="center"/>
          </w:tcPr>
          <w:p w14:paraId="07819AA3">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-2.9479</w:t>
            </w:r>
          </w:p>
        </w:tc>
        <w:tc>
          <w:tcPr>
            <w:tcW w:w="777" w:type="pct"/>
            <w:vAlign w:val="center"/>
          </w:tcPr>
          <w:p w14:paraId="121604D5">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5.5344</w:t>
            </w:r>
          </w:p>
        </w:tc>
        <w:tc>
          <w:tcPr>
            <w:tcW w:w="626" w:type="pct"/>
            <w:vAlign w:val="center"/>
          </w:tcPr>
          <w:p w14:paraId="71C419E5">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1.6501</w:t>
            </w:r>
          </w:p>
        </w:tc>
        <w:tc>
          <w:tcPr>
            <w:tcW w:w="841" w:type="pct"/>
            <w:vAlign w:val="center"/>
          </w:tcPr>
          <w:p w14:paraId="0B226114">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-0.3589</w:t>
            </w:r>
          </w:p>
        </w:tc>
      </w:tr>
      <w:tr w14:paraId="34AB79D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48" w:type="pct"/>
            <w:vAlign w:val="center"/>
          </w:tcPr>
          <w:p w14:paraId="424324F0">
            <w:pPr>
              <w:widowControl/>
              <w:ind w:left="-64" w:right="-20" w:firstLine="0" w:firstLineChars="0"/>
              <w:jc w:val="center"/>
              <w:rPr>
                <w:rFonts w:hint="default" w:ascii="Times New Roman" w:hAnsi="Times New Roman" w:cs="Times New Roman"/>
                <w:szCs w:val="24"/>
              </w:rPr>
            </w:pPr>
            <w:r>
              <w:rPr>
                <w:rFonts w:hint="default" w:ascii="Times New Roman" w:hAnsi="Times New Roman" w:cs="Times New Roman"/>
                <w:szCs w:val="24"/>
              </w:rPr>
              <w:t>0.2</w:t>
            </w:r>
          </w:p>
        </w:tc>
        <w:tc>
          <w:tcPr>
            <w:tcW w:w="626" w:type="pct"/>
            <w:vAlign w:val="center"/>
          </w:tcPr>
          <w:p w14:paraId="24ECE52E">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-2.6056</w:t>
            </w:r>
          </w:p>
        </w:tc>
        <w:tc>
          <w:tcPr>
            <w:tcW w:w="626" w:type="pct"/>
            <w:vAlign w:val="center"/>
          </w:tcPr>
          <w:p w14:paraId="2F20CEF5">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-1.6244</w:t>
            </w:r>
          </w:p>
        </w:tc>
        <w:tc>
          <w:tcPr>
            <w:tcW w:w="626" w:type="pct"/>
            <w:vAlign w:val="center"/>
          </w:tcPr>
          <w:p w14:paraId="18B05E27">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-2.9524</w:t>
            </w:r>
          </w:p>
        </w:tc>
        <w:tc>
          <w:tcPr>
            <w:tcW w:w="626" w:type="pct"/>
            <w:vAlign w:val="center"/>
          </w:tcPr>
          <w:p w14:paraId="4118CD25">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-0.9812</w:t>
            </w:r>
          </w:p>
        </w:tc>
        <w:tc>
          <w:tcPr>
            <w:tcW w:w="777" w:type="pct"/>
            <w:vAlign w:val="center"/>
          </w:tcPr>
          <w:p w14:paraId="6F82C926">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5.4482</w:t>
            </w:r>
          </w:p>
        </w:tc>
        <w:tc>
          <w:tcPr>
            <w:tcW w:w="626" w:type="pct"/>
            <w:vAlign w:val="center"/>
          </w:tcPr>
          <w:p w14:paraId="076BA64D">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1.6244</w:t>
            </w:r>
          </w:p>
        </w:tc>
        <w:tc>
          <w:tcPr>
            <w:tcW w:w="841" w:type="pct"/>
            <w:vAlign w:val="center"/>
          </w:tcPr>
          <w:p w14:paraId="47D7963D">
            <w:pPr>
              <w:widowControl/>
              <w:ind w:left="-64" w:right="-20" w:firstLine="0" w:firstLineChars="0"/>
              <w:jc w:val="center"/>
              <w:textAlignment w:val="center"/>
              <w:rPr>
                <w:rFonts w:hint="default" w:ascii="Times New Roman" w:hAnsi="Times New Roman" w:cs="Times New Roman"/>
                <w:szCs w:val="24"/>
              </w:rPr>
            </w:pPr>
            <w:r>
              <w:rPr>
                <w:rFonts w:hint="default" w:ascii="Times New Roman" w:hAnsi="Times New Roman" w:cs="Times New Roman"/>
                <w:kern w:val="0"/>
                <w:szCs w:val="24"/>
                <w:lang w:bidi="ar"/>
              </w:rPr>
              <w:t>-0.6234</w:t>
            </w:r>
          </w:p>
        </w:tc>
      </w:tr>
    </w:tbl>
    <w:p w14:paraId="316D816C">
      <w:pPr>
        <w:widowControl/>
        <w:ind w:firstLine="709" w:firstLineChars="0"/>
        <w:rPr>
          <w:rFonts w:hint="default" w:ascii="Times New Roman" w:hAnsi="Times New Roman" w:cs="Times New Roman"/>
          <w:sz w:val="28"/>
          <w:szCs w:val="28"/>
        </w:rPr>
      </w:pPr>
    </w:p>
    <w:p w14:paraId="510AEA0B">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Gibbs free energy of micellization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values for all mixed surfactant systems are negative, indicating that the micellization process in the mixed systems is spontaneous and thermodynamically favorable [144]. This spontaneity mainly arises from the unfavorable interactions between the hydrophobic tails of surfactant molecules and the surrounding aqueous environment, which drives the aggregation of amphiphilic molecules to minimize the contact area between hydrophobic chains and water [83,132,145]. Moreover, the experimentally obtained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values are smaller than the corresponding ideal Gibbs free energy of micellization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mic,idea</m:t>
            </m:r>
            <m:ctrlPr>
              <w:rPr>
                <w:rFonts w:hint="default" w:ascii="Cambria Math" w:hAnsi="Cambria Math" w:cs="Times New Roman"/>
                <w:sz w:val="28"/>
                <w:szCs w:val="28"/>
              </w:rPr>
            </m:ctrlPr>
          </m:sub>
        </m:sSub>
      </m:oMath>
      <w:r>
        <w:rPr>
          <w:rFonts w:hint="default" w:ascii="Times New Roman" w:hAnsi="Times New Roman" w:cs="Times New Roman"/>
          <w:sz w:val="28"/>
          <w:szCs w:val="28"/>
        </w:rPr>
        <w:t>), indicating the non-ideal behavior of the mixed systems and confirming the presence of significant synergistic interactions that enhance the stability of the mixed micelles. In addition, both the Gibbs free energy of micellization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Sub>
      </m:oMath>
      <w:r>
        <w:rPr>
          <w:rFonts w:hint="default" w:ascii="Times New Roman" w:hAnsi="Times New Roman" w:cs="Times New Roman"/>
          <w:sz w:val="28"/>
          <w:szCs w:val="28"/>
        </w:rPr>
        <w:t>) and the Gibbs free energy of adsorption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ads</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are negative for all mixed systems, demonstrating that both micelle formation and interfacial adsorption occur spontaneously [83,132,146]. For all investigated compositions, the absolute values of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ads</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are larger than those of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Sub>
      </m:oMath>
      <w:r>
        <w:rPr>
          <w:rFonts w:hint="default" w:ascii="Times New Roman" w:hAnsi="Times New Roman" w:cs="Times New Roman"/>
          <w:sz w:val="28"/>
          <w:szCs w:val="28"/>
        </w:rPr>
        <w:t>, suggesting that surfactant molecules preferentially adsorb at the air–water interface rather than forming micelles in the bulk solution. The enthalpy change of micellization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iCs/>
                <w:sz w:val="28"/>
                <w:szCs w:val="28"/>
              </w:rPr>
              <m:t>H</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for all mixed systems is negative, indicating that the micellization process is exothermic. The release of heat can be attributed to the association of hydrophobic alkyl chains and the reduction of their contact with water molecules, which leads to the disruption of the structured water surrounding the hydrophobic groups and the release of hydration energy [83,132,144]. A more negative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iCs/>
                <w:sz w:val="28"/>
                <w:szCs w:val="28"/>
              </w:rPr>
              <m:t>H</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corresponds to a stronger thermodynamic driving force for micelle formation. Notably, the most negative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iCs/>
                <w:sz w:val="28"/>
                <w:szCs w:val="28"/>
              </w:rPr>
              <m:t>H</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value is observed at a molar fraction of α₁=0.4, suggesting that micellization is most energetically favorable at this composition, which is consistent with the trend obtained from the cmc analysis. Meanwhile, the positive values of the entropy change of micellization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iCs/>
                <w:sz w:val="28"/>
                <w:szCs w:val="28"/>
              </w:rPr>
              <m:t>S</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indicate that micelle formation is accompanied by an increase in system disorder. This entropy gain mainly results from the release of structured water molecules originally surrounding the hydrophobic chains into the bulk solution during the aggregation process. When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iCs/>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&lt; 0 and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iCs/>
                <w:sz w:val="28"/>
                <w:szCs w:val="28"/>
              </w:rPr>
              <m:t>S</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&gt; 0, the micellization process is primarily governed by hydrophobic effects, which further confirms the cooperative interactions between the amphoteric surfactants and the nonionic surfactants in the mixed systems [83,147-149]. Furthermore, the condition |</w:t>
      </w:r>
      <w:r>
        <w:rPr>
          <w:rFonts w:hint="default" w:ascii="Times New Roman" w:hAnsi="Times New Roman" w:cs="Times New Roman"/>
          <w:i/>
          <w:iCs/>
          <w:sz w:val="28"/>
          <w:szCs w:val="28"/>
        </w:rPr>
        <w:t>T</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iCs/>
                <w:sz w:val="28"/>
                <w:szCs w:val="28"/>
              </w:rPr>
              <m:t>S</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Sub>
      </m:oMath>
      <w:r>
        <w:rPr>
          <w:rFonts w:hint="default" w:ascii="Times New Roman" w:hAnsi="Times New Roman" w:cs="Times New Roman"/>
          <w:sz w:val="28"/>
          <w:szCs w:val="28"/>
        </w:rPr>
        <w:t>/</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iCs/>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Sub>
      </m:oMath>
      <w:r>
        <w:rPr>
          <w:rFonts w:hint="default" w:ascii="Times New Roman" w:hAnsi="Times New Roman" w:cs="Times New Roman"/>
          <w:sz w:val="28"/>
          <w:szCs w:val="28"/>
        </w:rPr>
        <w:t>| &lt; 0.5 indicates that micellization in the studied systems is predominantly an enthalpy-driven process, suggesting that intermolecular interactions contribute significantly to the stabilization of the mixed aggregates [83,132].</w:t>
      </w:r>
    </w:p>
    <w:p w14:paraId="2AC191B9">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From a molecular perspective, the observed synergistic behavior can be attributed to the complementary interactions between the amphoteric surfactants and the nonionic surfactants. The amphoteric surfactants provide charge-regulated headgroups that can interact with the polar ethoxylated chains of the nonionic surfactants through hydrogen bonding and dipole–dipole interactions, which enhances the packing density at the interface and promotes adsorption. Meanwhile, the flexible polyoxyethylene chains of the nonionic surfactants can effectively adjust the interfacial molecular arrangement and reduce steric hindrance, thereby facilitating closer packing of the hydrophobic tails within the micellar core. As a result, the synergistic effects originate from the combined contributions of hydrophobic interactions, hydrogen bonding, and optimized steric packing, which collectively enhance the stability of the interfacial film and promote both micellization and adsorption processes [83,150,151]. These thermodynamic characteristics further explain the enhanced interfacial activity and cooperative behavior of the amphoteric/nonionic mixed surfactant systems, which are beneficial for improving displacement efficiency in EOR applications [113].</w:t>
      </w:r>
    </w:p>
    <w:p w14:paraId="5F0024FF">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640" w:name="_Toc32742"/>
      <w:bookmarkStart w:id="641" w:name="_Toc1945"/>
      <w:bookmarkStart w:id="642" w:name="_Toc24732"/>
      <w:bookmarkStart w:id="643" w:name="_Toc3181"/>
      <w:bookmarkStart w:id="644" w:name="_Toc14471"/>
      <w:bookmarkStart w:id="645" w:name="_Toc30277"/>
      <w:bookmarkStart w:id="646" w:name="_Toc26022"/>
      <w:r>
        <w:rPr>
          <w:rFonts w:hint="default" w:ascii="Times New Roman" w:hAnsi="Times New Roman" w:cs="Times New Roman"/>
          <w:i w:val="0"/>
          <w:iCs w:val="0"/>
          <w:sz w:val="28"/>
          <w:szCs w:val="28"/>
        </w:rPr>
        <w:t>4.3.3 Surface viscoelasticity</w:t>
      </w:r>
      <w:bookmarkEnd w:id="640"/>
      <w:bookmarkEnd w:id="641"/>
      <w:bookmarkEnd w:id="642"/>
      <w:bookmarkEnd w:id="643"/>
      <w:bookmarkEnd w:id="644"/>
      <w:bookmarkEnd w:id="645"/>
      <w:bookmarkEnd w:id="646"/>
    </w:p>
    <w:p w14:paraId="23982CB8">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surface viscoelasticity of three mixed surfactant systems, a key factor affecting emulsion stability, was evaluated to assess the properties of the interfacial film at the oil–water interface. Dynamic surface tension was measured under oscillatory perturbations with varying frequencies to determine both the elastic and viscous components of the interface, reflecting the strength, flexibility, and molecular rearrangement of the surfactant layer. Higher viscoelasticity indicates a more cohesive interfacial film, suppressing droplet coalescence and enhancing emulsion stability [132]. Comparing the viscoelastic responses of the three systems reveals the impact of surfactant composition and molecular interactions on interfacial film formation and mechanical integrity, which is critical for applications such as enhanced oil recovery. Therefore, the surface viscoelasticity of three compound systems can also be obtained to explore the property of interfacial film by measuring the surface tension by means of changing the oscillation frequency as exhibited in Figure 4.7.</w:t>
      </w:r>
    </w:p>
    <w:p w14:paraId="1FF85FC5">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strength and mechanical stability of the interfacial liquid film at the gas–liquid interface can be quantitatively characterized by the dilatational expansion modulus (E), which is defined as the ratio of the change in interfacial tension (Δγ) to the relative change in interfacial area (ΔA/A). This parameter serves as a direct measure of the viscoelastic response of the interfacial layer to deformation and provides insights into the ability of the surfactant film to resist external perturbations. As illustrated in Figure 4.7, the expansion modulus of the mixed surfactant systems exhibits a non-monotonic dependence on the molar ratio of APG</w:t>
      </w:r>
      <w:r>
        <w:rPr>
          <w:rFonts w:hint="default" w:ascii="Times New Roman" w:hAnsi="Times New Roman" w:cs="Times New Roman"/>
          <w:sz w:val="28"/>
          <w:szCs w:val="28"/>
          <w:vertAlign w:val="subscript"/>
        </w:rPr>
        <w:t>0810</w:t>
      </w:r>
      <w:r>
        <w:rPr>
          <w:rFonts w:hint="default" w:ascii="Times New Roman" w:hAnsi="Times New Roman" w:cs="Times New Roman"/>
          <w:sz w:val="28"/>
          <w:szCs w:val="28"/>
        </w:rPr>
        <w:t>, initially decreasing and then increasing with increasing APG</w:t>
      </w:r>
      <w:r>
        <w:rPr>
          <w:rFonts w:hint="default" w:ascii="Times New Roman" w:hAnsi="Times New Roman" w:cs="Times New Roman"/>
          <w:sz w:val="28"/>
          <w:szCs w:val="28"/>
          <w:vertAlign w:val="subscript"/>
        </w:rPr>
        <w:t>0810</w:t>
      </w:r>
      <w:r>
        <w:rPr>
          <w:rFonts w:hint="default" w:ascii="Times New Roman" w:hAnsi="Times New Roman" w:cs="Times New Roman"/>
          <w:sz w:val="28"/>
          <w:szCs w:val="28"/>
        </w:rPr>
        <w:t xml:space="preserve"> content, indicating that the interfacial viscoelastic properties are strongly composition-dependent and influenced by the relative adsorption of the two surfactant components. In addition, the expansion modulus shows a pronounced increasing trend with rising oscillation frequency, reflecting the dynamic interplay between molecular diffusion, adsorption kinetics, and interfacial rearrangement [132]. At low shear frequencies, surfactant molecules in the bulk solution have sufficient time to diffuse to the newly created interface and re-adsorb, effectively compensating for local interfacial tension gradients induced by area expansion. This process allows the interfacial film to relax relatively easily under deformation, resulting in a lower apparent expansion modulus. In contrast, at higher oscillation frequencies, the rate of interfacial area change increases substantially, imposing rapid perturbations on the interface. Under these conditions, the time available for molecular diffusion and rearrangement at the interface becomes insufficient, preventing the surface film from fully restoring equilibrium. As a result, the interfacial layer exhibits greater resistance to deformation, leading to an increased expansion modulus and demonstrating enhanced elasticity and mechanical strength of the interfacial film [132,133,153]. Among the compositions investigated, the mixed surfactant system with a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NS/APG</w:t>
      </w:r>
      <w:r>
        <w:rPr>
          <w:rFonts w:hint="default" w:ascii="Times New Roman" w:hAnsi="Times New Roman" w:cs="Times New Roman"/>
          <w:sz w:val="28"/>
          <w:szCs w:val="28"/>
          <w:vertAlign w:val="subscript"/>
        </w:rPr>
        <w:t>0810</w:t>
      </w:r>
      <w:r>
        <w:rPr>
          <w:rFonts w:hint="default" w:ascii="Times New Roman" w:hAnsi="Times New Roman" w:cs="Times New Roman"/>
          <w:sz w:val="28"/>
          <w:szCs w:val="28"/>
        </w:rPr>
        <w:t xml:space="preserve"> molar ratio of 2:3 displays the highest expansion modulus across the entire frequency range studied. This indicates that the interfacial film formed at this composition possesses the greatest viscoelasticity and mechanical robustness, which can be attributed to the optimized balance of intermolecular interactions and surface packing density between the two surfactants. The strong attractive interactions facilitate the formation of a cohesive and highly elastic interfacial network, which is critical for stabilizing gas–liquid interfaces and enhancing emulsion or foam stability in practical applications such as enhanced oil recovery, foaming, and emulsion-based formulations [132,154,155].</w:t>
      </w:r>
    </w:p>
    <w:p w14:paraId="167EC2A4">
      <w:pPr>
        <w:widowControl/>
        <w:ind w:firstLine="709" w:firstLineChars="0"/>
        <w:rPr>
          <w:rFonts w:hint="default" w:ascii="Times New Roman" w:hAnsi="Times New Roman" w:cs="Times New Roman"/>
          <w:sz w:val="28"/>
          <w:szCs w:val="28"/>
        </w:rPr>
      </w:pPr>
    </w:p>
    <w:p w14:paraId="17FDB84A">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3533775" cy="2724150"/>
            <wp:effectExtent l="0" t="0" r="0" b="0"/>
            <wp:docPr id="5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2"/>
                    <pic:cNvPicPr>
                      <a:picLocks noChangeAspect="1"/>
                    </pic:cNvPicPr>
                  </pic:nvPicPr>
                  <pic:blipFill>
                    <a:blip r:embed="rId49"/>
                    <a:stretch>
                      <a:fillRect/>
                    </a:stretch>
                  </pic:blipFill>
                  <pic:spPr>
                    <a:xfrm>
                      <a:off x="0" y="0"/>
                      <a:ext cx="3533775" cy="2724150"/>
                    </a:xfrm>
                    <a:prstGeom prst="rect">
                      <a:avLst/>
                    </a:prstGeom>
                    <a:noFill/>
                    <a:ln>
                      <a:noFill/>
                    </a:ln>
                  </pic:spPr>
                </pic:pic>
              </a:graphicData>
            </a:graphic>
          </wp:inline>
        </w:drawing>
      </w:r>
    </w:p>
    <w:p w14:paraId="7B93B6E3">
      <w:pPr>
        <w:widowControl/>
        <w:ind w:firstLine="0" w:firstLineChars="0"/>
        <w:jc w:val="center"/>
        <w:rPr>
          <w:rFonts w:hint="default" w:ascii="Times New Roman" w:hAnsi="Times New Roman" w:cs="Times New Roman"/>
          <w:sz w:val="28"/>
          <w:szCs w:val="28"/>
          <w:lang w:val="en-US" w:eastAsia="zh-CN"/>
        </w:rPr>
      </w:pPr>
      <w:r>
        <w:rPr>
          <w:rFonts w:hint="default" w:ascii="Times New Roman" w:hAnsi="Times New Roman" w:cs="Times New Roman"/>
          <w:sz w:val="28"/>
          <w:szCs w:val="28"/>
        </w:rPr>
        <w:t>Figure 4.7 – Surface expansion modulus at different frequency</w:t>
      </w:r>
      <w:r>
        <w:rPr>
          <w:rFonts w:hint="default" w:ascii="Times New Roman" w:hAnsi="Times New Roman" w:cs="Times New Roman"/>
          <w:sz w:val="28"/>
          <w:szCs w:val="28"/>
          <w:lang w:val="en-US" w:eastAsia="zh-CN"/>
        </w:rPr>
        <w:t>.</w:t>
      </w:r>
    </w:p>
    <w:p w14:paraId="2641A493">
      <w:pPr>
        <w:widowControl/>
        <w:ind w:firstLine="0" w:firstLineChars="0"/>
        <w:jc w:val="center"/>
        <w:rPr>
          <w:rFonts w:hint="default" w:ascii="Times New Roman" w:hAnsi="Times New Roman" w:cs="Times New Roman"/>
          <w:sz w:val="28"/>
          <w:szCs w:val="28"/>
          <w:lang w:val="en-US" w:eastAsia="zh-CN"/>
        </w:rPr>
      </w:pPr>
    </w:p>
    <w:p w14:paraId="519E4926">
      <w:pPr>
        <w:pStyle w:val="4"/>
        <w:keepNext w:val="0"/>
        <w:keepLines w:val="0"/>
        <w:widowControl/>
        <w:spacing w:line="240" w:lineRule="auto"/>
        <w:ind w:firstLine="709"/>
        <w:jc w:val="both"/>
        <w:rPr>
          <w:rFonts w:hint="default" w:ascii="Times New Roman" w:hAnsi="Times New Roman" w:cs="Times New Roman"/>
          <w:b w:val="0"/>
          <w:bCs/>
          <w:sz w:val="28"/>
          <w:szCs w:val="28"/>
        </w:rPr>
      </w:pPr>
      <w:bookmarkStart w:id="647" w:name="_Toc32513"/>
      <w:bookmarkStart w:id="648" w:name="_Toc15574"/>
      <w:bookmarkStart w:id="649" w:name="_Toc17652"/>
      <w:bookmarkStart w:id="650" w:name="_Toc8751"/>
      <w:bookmarkStart w:id="651" w:name="_Toc2505"/>
      <w:bookmarkStart w:id="652" w:name="_Toc26901"/>
      <w:bookmarkStart w:id="653" w:name="_Toc15759"/>
      <w:r>
        <w:rPr>
          <w:rFonts w:hint="default" w:ascii="Times New Roman" w:hAnsi="Times New Roman" w:cs="Times New Roman"/>
          <w:b w:val="0"/>
          <w:bCs/>
          <w:sz w:val="28"/>
          <w:szCs w:val="28"/>
        </w:rPr>
        <w:t>4.3.4 Interfacial tension</w:t>
      </w:r>
      <w:bookmarkEnd w:id="647"/>
      <w:bookmarkEnd w:id="648"/>
      <w:bookmarkEnd w:id="649"/>
      <w:bookmarkEnd w:id="650"/>
      <w:bookmarkEnd w:id="651"/>
      <w:bookmarkEnd w:id="652"/>
      <w:bookmarkEnd w:id="653"/>
    </w:p>
    <w:p w14:paraId="40691F08">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interfacial tension (IFT) behavior of mixed amphoteric and nonionic surfactants is both theoretically and practically important. Amphoteric surfactants, containing positive and negative charges, offer high interfacial activity and tolerance to wide pH, salinity, and hardness ranges, while nonionic surfactants provide thermal stability and resistance to electrolytes and shear. When combined, they form a dense, stable adsorption layer at the oil–water interface through synergistic interactions. Studying their IFT behavior enables identification of optimal compositions for ultralow IFT, which is essential for overcoming capillary trapping of residual oil and improving surfactant efficiency in EOR. It also provides insights into molecular interactions, adsorption dynamics, and thermodynamic stability of mixed systems. Accordingly, the effects of molar ratio and salinity on the IFT of 0.1 wt% mixed surfactant solutions against crude oil Z27 (a) and kerosene (b) were measured at 60 °C (Figure 4.8).</w:t>
      </w:r>
    </w:p>
    <w:p w14:paraId="1BD842C9">
      <w:pPr>
        <w:widowControl/>
        <w:ind w:firstLine="709" w:firstLineChars="0"/>
        <w:rPr>
          <w:rFonts w:hint="default" w:ascii="Times New Roman" w:hAnsi="Times New Roman" w:cs="Times New Roman"/>
          <w:sz w:val="28"/>
          <w:szCs w:val="28"/>
        </w:rPr>
      </w:pPr>
    </w:p>
    <w:tbl>
      <w:tblPr>
        <w:tblStyle w:val="1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36"/>
        <w:gridCol w:w="4386"/>
      </w:tblGrid>
      <w:tr w14:paraId="538EC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286" w:type="dxa"/>
            <w:vAlign w:val="center"/>
          </w:tcPr>
          <w:p w14:paraId="5286DA6E">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2726055" cy="1979930"/>
                  <wp:effectExtent l="0" t="0" r="17145" b="0"/>
                  <wp:docPr id="4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7"/>
                          <pic:cNvPicPr>
                            <a:picLocks noChangeAspect="1"/>
                          </pic:cNvPicPr>
                        </pic:nvPicPr>
                        <pic:blipFill>
                          <a:blip r:embed="rId50"/>
                          <a:stretch>
                            <a:fillRect/>
                          </a:stretch>
                        </pic:blipFill>
                        <pic:spPr>
                          <a:xfrm>
                            <a:off x="0" y="0"/>
                            <a:ext cx="2726055" cy="1979930"/>
                          </a:xfrm>
                          <a:prstGeom prst="rect">
                            <a:avLst/>
                          </a:prstGeom>
                          <a:noFill/>
                          <a:ln>
                            <a:noFill/>
                          </a:ln>
                        </pic:spPr>
                      </pic:pic>
                    </a:graphicData>
                  </a:graphic>
                </wp:inline>
              </w:drawing>
            </w:r>
          </w:p>
        </w:tc>
        <w:tc>
          <w:tcPr>
            <w:tcW w:w="4236" w:type="dxa"/>
            <w:vAlign w:val="center"/>
          </w:tcPr>
          <w:p w14:paraId="1A769DC2">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2640330" cy="1979930"/>
                  <wp:effectExtent l="0" t="0" r="7620" b="0"/>
                  <wp:docPr id="4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8"/>
                          <pic:cNvPicPr>
                            <a:picLocks noChangeAspect="1"/>
                          </pic:cNvPicPr>
                        </pic:nvPicPr>
                        <pic:blipFill>
                          <a:blip r:embed="rId51"/>
                          <a:stretch>
                            <a:fillRect/>
                          </a:stretch>
                        </pic:blipFill>
                        <pic:spPr>
                          <a:xfrm>
                            <a:off x="0" y="0"/>
                            <a:ext cx="2640330" cy="1979930"/>
                          </a:xfrm>
                          <a:prstGeom prst="rect">
                            <a:avLst/>
                          </a:prstGeom>
                          <a:noFill/>
                          <a:ln>
                            <a:noFill/>
                          </a:ln>
                        </pic:spPr>
                      </pic:pic>
                    </a:graphicData>
                  </a:graphic>
                </wp:inline>
              </w:drawing>
            </w:r>
          </w:p>
        </w:tc>
      </w:tr>
      <w:tr w14:paraId="44E4D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2" w:type="dxa"/>
            <w:gridSpan w:val="2"/>
            <w:vAlign w:val="center"/>
          </w:tcPr>
          <w:p w14:paraId="28B1B7CC">
            <w:pPr>
              <w:widowControl/>
              <w:ind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Figure 4.8 – Effect of salinity on IFTs between solution and oil (crude oil Z27 (a) / kerosene (b))</w:t>
            </w:r>
            <w:r>
              <w:rPr>
                <w:rFonts w:hint="default" w:ascii="Times New Roman" w:hAnsi="Times New Roman" w:cs="Times New Roman"/>
                <w:sz w:val="28"/>
                <w:szCs w:val="28"/>
                <w:lang w:val="en-US" w:eastAsia="zh-CN"/>
              </w:rPr>
              <w:t>.</w:t>
            </w:r>
          </w:p>
        </w:tc>
      </w:tr>
    </w:tbl>
    <w:p w14:paraId="19F3272E">
      <w:pPr>
        <w:widowControl/>
        <w:ind w:firstLine="709" w:firstLineChars="0"/>
        <w:rPr>
          <w:rFonts w:hint="default" w:ascii="Times New Roman" w:hAnsi="Times New Roman" w:cs="Times New Roman"/>
          <w:sz w:val="28"/>
          <w:szCs w:val="28"/>
        </w:rPr>
      </w:pPr>
      <w:bookmarkStart w:id="654" w:name="_Hlk120468810"/>
    </w:p>
    <w:p w14:paraId="2032CD61">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Figure 4.8 presents the oil–water interfacial tensions (IFTs) of individual surfactant solutions and their mixed systems as a function of NaCl concentration. As can be observed, the IFTs of all three mixed surfactant systems decrease monotonically with increasing salinity and eventually reach relatively low values. This salinity-dependent reduction in IFT can be attributed to the presence of electrolytes in the surfactant solution, which effectively shield the charges on the ionic head groups, thereby weakening the electrostatic repulsion among hydrophilic heads. As a result, the electric double layer at the oil–water interface is compressed, facilitating closer packing and stronger adsorption of surfactant molecules at the interface, which ultimately leads to a significant decrease in oil–water interfacial tension [25,132]. For the single surfactant systems, the interfacial activity of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is relatively poor, with the IFTs against both crude oil and kerosene remaining on the order of 10</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or higher over the entire salinity range investigated. In contrast, APG</w:t>
      </w:r>
      <w:r>
        <w:rPr>
          <w:rFonts w:hint="default" w:ascii="Times New Roman" w:hAnsi="Times New Roman" w:cs="Times New Roman"/>
          <w:sz w:val="28"/>
          <w:szCs w:val="28"/>
          <w:vertAlign w:val="subscript"/>
        </w:rPr>
        <w:t>0810</w:t>
      </w:r>
      <w:r>
        <w:rPr>
          <w:rFonts w:hint="default" w:ascii="Times New Roman" w:hAnsi="Times New Roman" w:cs="Times New Roman"/>
          <w:sz w:val="28"/>
          <w:szCs w:val="28"/>
        </w:rPr>
        <w:t xml:space="preserve"> exhibits superior interfacial activity, and its IFTs with Z27 crude oil and kerosene show a characteristic trend of initially decreasing and then increasing with increasing NaCl concentration. The minimum IFT of APG0810 with Z27 crude oil is 0.0200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at a salinity of 7 wt%, while the lowest IFT with kerosene reaches 0.01555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at 1 wt% NaCl. Nevertheless, even under optimal salinity conditions, the IFTs of APG</w:t>
      </w:r>
      <w:r>
        <w:rPr>
          <w:rFonts w:hint="default" w:ascii="Times New Roman" w:hAnsi="Times New Roman" w:cs="Times New Roman"/>
          <w:sz w:val="28"/>
          <w:szCs w:val="28"/>
          <w:vertAlign w:val="subscript"/>
        </w:rPr>
        <w:t>0810</w:t>
      </w:r>
      <w:r>
        <w:rPr>
          <w:rFonts w:hint="default" w:ascii="Times New Roman" w:hAnsi="Times New Roman" w:cs="Times New Roman"/>
          <w:sz w:val="28"/>
          <w:szCs w:val="28"/>
        </w:rPr>
        <w:t xml:space="preserve"> and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alone can only be reduced to the order of 10</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 xml:space="preserve">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and 10</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respectively.</w:t>
      </w:r>
    </w:p>
    <w:p w14:paraId="57FDC885">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In comparison, the mixed surfactant systems display markedly enhanced salt tolerance and interfacial performance, particularly at high salinity. At NaCl concentrations below 7 wt%, the IFTs of the mixed systems are generally intermediate between those of the two single surfactants. However, when the salinity exceeds 7 wt%, the IFTs of the composite systems become significantly lower than those of the individual surfactants. For crude oil, the mixed systems with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NS/APG</w:t>
      </w:r>
      <w:r>
        <w:rPr>
          <w:rFonts w:hint="default" w:ascii="Times New Roman" w:hAnsi="Times New Roman" w:cs="Times New Roman"/>
          <w:sz w:val="28"/>
          <w:szCs w:val="28"/>
          <w:vertAlign w:val="subscript"/>
        </w:rPr>
        <w:t>0810</w:t>
      </w:r>
      <w:r>
        <w:rPr>
          <w:rFonts w:hint="default" w:ascii="Times New Roman" w:hAnsi="Times New Roman" w:cs="Times New Roman"/>
          <w:sz w:val="28"/>
          <w:szCs w:val="28"/>
        </w:rPr>
        <w:t xml:space="preserve"> molar ratios of 3:2 and 1:1 achieve their minimum IFTs at 7 wt% NaCl, reaching the order of 10</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 xml:space="preserve">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whereas the system with a molar ratio of 2:3 attains an ultra-low IFT at a higher salinity of 10 wt%. For kerosene, when the NaCl concentration exceeds 7 wt%, all three mixed ratios are capable of reducing the IFT to the ultra-low level of 10</w:t>
      </w:r>
      <w:r>
        <w:rPr>
          <w:rFonts w:hint="default" w:ascii="Times New Roman" w:hAnsi="Times New Roman" w:cs="Times New Roman"/>
          <w:sz w:val="28"/>
          <w:szCs w:val="28"/>
          <w:vertAlign w:val="superscript"/>
        </w:rPr>
        <w:t>-3</w:t>
      </w:r>
      <w:r>
        <w:rPr>
          <w:rFonts w:hint="default" w:ascii="Times New Roman" w:hAnsi="Times New Roman" w:cs="Times New Roman"/>
          <w:sz w:val="28"/>
          <w:szCs w:val="28"/>
        </w:rPr>
        <w:t xml:space="preserve">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among which the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NS/APG</w:t>
      </w:r>
      <w:r>
        <w:rPr>
          <w:rFonts w:hint="default" w:ascii="Times New Roman" w:hAnsi="Times New Roman" w:cs="Times New Roman"/>
          <w:sz w:val="28"/>
          <w:szCs w:val="28"/>
          <w:vertAlign w:val="subscript"/>
        </w:rPr>
        <w:t>0810</w:t>
      </w:r>
      <w:r>
        <w:rPr>
          <w:rFonts w:hint="default" w:ascii="Times New Roman" w:hAnsi="Times New Roman" w:cs="Times New Roman"/>
          <w:sz w:val="28"/>
          <w:szCs w:val="28"/>
        </w:rPr>
        <w:t xml:space="preserve"> = 2:3 system exhibits the lowest interfacial tension. Furthermore, the mixture containing 40 mol%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consistently shows the most pronounced IFT reduction, achieving ultra-low IFTs (10</w:t>
      </w:r>
      <w:r>
        <w:rPr>
          <w:rFonts w:hint="default" w:ascii="Times New Roman" w:hAnsi="Times New Roman" w:cs="Times New Roman"/>
          <w:sz w:val="28"/>
          <w:szCs w:val="28"/>
          <w:vertAlign w:val="superscript"/>
        </w:rPr>
        <w:t>-3</w:t>
      </w:r>
      <w:r>
        <w:rPr>
          <w:rFonts w:hint="default" w:ascii="Times New Roman" w:hAnsi="Times New Roman" w:cs="Times New Roman"/>
          <w:sz w:val="28"/>
          <w:szCs w:val="28"/>
        </w:rPr>
        <w:t xml:space="preserve">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against both crude oil and kerosene at elevated salinity, indicating a strong synergistic effect between the two surfactants.</w:t>
      </w:r>
    </w:p>
    <w:p w14:paraId="3E027EB1">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This conclusion is further supported by the interaction parameters listed in Table 4.3, which reveal that the mixed system with a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NS/APG</w:t>
      </w:r>
      <w:r>
        <w:rPr>
          <w:rFonts w:hint="default" w:ascii="Times New Roman" w:hAnsi="Times New Roman" w:cs="Times New Roman"/>
          <w:sz w:val="28"/>
          <w:szCs w:val="28"/>
          <w:vertAlign w:val="subscript"/>
        </w:rPr>
        <w:t>0810</w:t>
      </w:r>
      <w:r>
        <w:rPr>
          <w:rFonts w:hint="default" w:ascii="Times New Roman" w:hAnsi="Times New Roman" w:cs="Times New Roman"/>
          <w:sz w:val="28"/>
          <w:szCs w:val="28"/>
        </w:rPr>
        <w:t xml:space="preserve"> molar ratio of 2:3 possesses stronger intermolecular interactions and superior synergism under high-mineralization conditions. Therefore, this formulation (denoted as C12A) was selected as the optimal composition for subsequent experiments.</w:t>
      </w:r>
    </w:p>
    <w:p w14:paraId="00C3271E">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655" w:name="_Toc25922"/>
      <w:bookmarkStart w:id="656" w:name="_Toc6407"/>
      <w:bookmarkStart w:id="657" w:name="_Toc3393"/>
      <w:bookmarkStart w:id="658" w:name="_Toc10042"/>
      <w:bookmarkStart w:id="659" w:name="_Toc14603"/>
      <w:bookmarkStart w:id="660" w:name="_Toc13868"/>
      <w:bookmarkStart w:id="661" w:name="_Toc11639"/>
      <w:r>
        <w:rPr>
          <w:rFonts w:hint="default" w:ascii="Times New Roman" w:hAnsi="Times New Roman" w:cs="Times New Roman"/>
          <w:i w:val="0"/>
          <w:iCs w:val="0"/>
          <w:sz w:val="28"/>
          <w:szCs w:val="28"/>
        </w:rPr>
        <w:t xml:space="preserve">4.3.5 </w:t>
      </w:r>
      <w:bookmarkEnd w:id="654"/>
      <w:r>
        <w:rPr>
          <w:rFonts w:hint="default" w:ascii="Times New Roman" w:hAnsi="Times New Roman" w:cs="Times New Roman"/>
          <w:i w:val="0"/>
          <w:iCs w:val="0"/>
          <w:sz w:val="28"/>
          <w:szCs w:val="28"/>
        </w:rPr>
        <w:t>Oil displacement performance</w:t>
      </w:r>
      <w:bookmarkEnd w:id="655"/>
      <w:bookmarkEnd w:id="656"/>
      <w:bookmarkEnd w:id="657"/>
      <w:bookmarkEnd w:id="658"/>
      <w:bookmarkEnd w:id="659"/>
      <w:bookmarkEnd w:id="660"/>
      <w:bookmarkEnd w:id="661"/>
    </w:p>
    <w:p w14:paraId="59C06311">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Based on the above experimental results, the C12A mixed surfactant system exhibits excellent synergistic behavior, superior surface viscoelasticity, and a strong capability for reducing oil–water interfacial tension, indicating its promising potential for EOR applications. To further evaluate its displacement performance under reservoir-relevant conditions, coreflooding experiments were conducted at 60 ℃ using a 0.2 wt% mixed surfactant solution prepared with formation water from the Changqing Oilfield. The variations in oil recovery efficiency and injection pressure drop as a function of injected pore volume (PV) are illustrated in Figure 4.9, while the oil recovery and pressure drop corresponding to each flooding stage are summarized in Table 4.5.</w:t>
      </w:r>
    </w:p>
    <w:p w14:paraId="44A573B8">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As shown in Figure 4.9, during the initial formation water flooding stage, the injection pressure gradually increases with the cumulative injected pore volumes (PV) and eventually stabilizes once the sand pack becomes fully saturated with the injected brine. This stabilization indicates that a steady-state flow condition has been established in the porous medium, where the displacement of mobile oil and the development of pressure gradients have reached equilibrium. Upon switching to surfactant flooding, a pronounced and rapid increase in injection pressure is observed. This rise is primarily attributed to the enhanced emulsification of residual crude oil by the surfactant solution, which increases the apparent viscosity of the displaced fluid and the flow resistance within the porous medium. Additionally, the formation of stable oil-in-water emulsions temporarily blocks preferential flow channels, promoting a more uniform sweep and further contributing to the pressure increase [42,132]. The emulsification behavior and stability of the produced emulsions, which play a crucial role in mobilizing trapped oil and improving sweep efficiency, will be discussed in detail in a subsequent section. Following surfactant injection, the subsequent chasing water flooding leads to a gradual decrease in injection pressure, reflecting the progressive recovery of flow pathways as the emulsions are partially broken and the system approaches a new flow equilibrium. Quantitative results show that the C12A mixed surfactant system achieves a pressure reduction rate of 15.80% and an incremental oil recovery of 15.25%, both of which are substantially higher than those obtained using APG</w:t>
      </w:r>
      <w:r>
        <w:rPr>
          <w:rFonts w:hint="default" w:ascii="Times New Roman" w:hAnsi="Times New Roman" w:cs="Times New Roman"/>
          <w:sz w:val="28"/>
          <w:szCs w:val="28"/>
          <w:vertAlign w:val="subscript"/>
        </w:rPr>
        <w:t>0810</w:t>
      </w:r>
      <w:r>
        <w:rPr>
          <w:rFonts w:hint="default" w:ascii="Times New Roman" w:hAnsi="Times New Roman" w:cs="Times New Roman"/>
          <w:sz w:val="28"/>
          <w:szCs w:val="28"/>
        </w:rPr>
        <w:t xml:space="preserve"> alone. These findings demonstrate that the C12A mixed surfactant system is highly effective in mobilizing residual crude oil and enhancing recovery, showing strong potential for application in chemical flooding operations, especially in high-salinity and challenging reservoir conditions [132]. The results also underscore the importance of optimizing surfactant composition to achieve both ultralow interfacial tension and improved interfacial properties, which are critical for maximizing enhanced oil recovery efficiency in heterogeneous porous media.</w:t>
      </w:r>
    </w:p>
    <w:p w14:paraId="1A553868">
      <w:pPr>
        <w:widowControl/>
        <w:ind w:firstLine="709" w:firstLineChars="0"/>
        <w:rPr>
          <w:rFonts w:hint="default" w:ascii="Times New Roman" w:hAnsi="Times New Roman" w:cs="Times New Roman"/>
          <w:sz w:val="28"/>
          <w:szCs w:val="28"/>
        </w:rPr>
      </w:pPr>
    </w:p>
    <w:p w14:paraId="5261AA1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3848100" cy="2724150"/>
            <wp:effectExtent l="0" t="0" r="0" b="0"/>
            <wp:docPr id="5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3"/>
                    <pic:cNvPicPr>
                      <a:picLocks noChangeAspect="1"/>
                    </pic:cNvPicPr>
                  </pic:nvPicPr>
                  <pic:blipFill>
                    <a:blip r:embed="rId52"/>
                    <a:stretch>
                      <a:fillRect/>
                    </a:stretch>
                  </pic:blipFill>
                  <pic:spPr>
                    <a:xfrm>
                      <a:off x="0" y="0"/>
                      <a:ext cx="3848100" cy="2724150"/>
                    </a:xfrm>
                    <a:prstGeom prst="rect">
                      <a:avLst/>
                    </a:prstGeom>
                    <a:noFill/>
                    <a:ln>
                      <a:noFill/>
                    </a:ln>
                  </pic:spPr>
                </pic:pic>
              </a:graphicData>
            </a:graphic>
          </wp:inline>
        </w:drawing>
      </w:r>
    </w:p>
    <w:p w14:paraId="07C76364">
      <w:pPr>
        <w:pStyle w:val="40"/>
        <w:rPr>
          <w:rFonts w:hint="default" w:ascii="Times New Roman" w:hAnsi="Times New Roman" w:eastAsia="宋体" w:cs="Times New Roman"/>
          <w:lang w:val="en-US" w:eastAsia="zh-CN"/>
        </w:rPr>
      </w:pPr>
      <w:r>
        <w:rPr>
          <w:rFonts w:hint="default" w:ascii="Times New Roman" w:hAnsi="Times New Roman" w:cs="Times New Roman"/>
        </w:rPr>
        <w:t>Figure 4.9 – Comparison of injection pressure and oil recovery versus PV injected</w:t>
      </w:r>
      <w:r>
        <w:rPr>
          <w:rFonts w:hint="default" w:ascii="Times New Roman" w:hAnsi="Times New Roman" w:cs="Times New Roman"/>
          <w:lang w:val="en-US" w:eastAsia="zh-CN"/>
        </w:rPr>
        <w:t>.</w:t>
      </w:r>
    </w:p>
    <w:p w14:paraId="073CB2CC">
      <w:pPr>
        <w:pStyle w:val="40"/>
        <w:rPr>
          <w:rFonts w:hint="default" w:ascii="Times New Roman" w:hAnsi="Times New Roman" w:cs="Times New Roman"/>
        </w:rPr>
      </w:pPr>
    </w:p>
    <w:p w14:paraId="3EA3E9D1">
      <w:pPr>
        <w:widowControl/>
        <w:ind w:left="0" w:leftChars="0" w:firstLine="0" w:firstLineChars="0"/>
        <w:rPr>
          <w:rFonts w:hint="default" w:ascii="Times New Roman" w:hAnsi="Times New Roman" w:eastAsia="宋体" w:cs="Times New Roman"/>
          <w:sz w:val="28"/>
          <w:szCs w:val="28"/>
          <w:lang w:val="en-US" w:eastAsia="zh-CN"/>
        </w:rPr>
      </w:pPr>
      <w:r>
        <w:rPr>
          <w:rFonts w:hint="default" w:ascii="Times New Roman" w:hAnsi="Times New Roman" w:cs="Times New Roman"/>
          <w:kern w:val="0"/>
          <w:sz w:val="28"/>
          <w:szCs w:val="28"/>
        </w:rPr>
        <w:t xml:space="preserve">Table 4.5 </w:t>
      </w:r>
      <w:r>
        <w:rPr>
          <w:rFonts w:hint="default" w:ascii="Times New Roman" w:hAnsi="Times New Roman" w:cs="Times New Roman"/>
          <w:sz w:val="28"/>
          <w:szCs w:val="28"/>
        </w:rPr>
        <w:t>–</w:t>
      </w:r>
      <w:r>
        <w:rPr>
          <w:rFonts w:hint="default" w:ascii="Times New Roman" w:hAnsi="Times New Roman" w:cs="Times New Roman"/>
          <w:kern w:val="0"/>
          <w:sz w:val="28"/>
          <w:szCs w:val="28"/>
        </w:rPr>
        <w:t xml:space="preserve"> </w:t>
      </w:r>
      <w:r>
        <w:rPr>
          <w:rFonts w:hint="default" w:ascii="Times New Roman" w:hAnsi="Times New Roman" w:cs="Times New Roman"/>
          <w:sz w:val="28"/>
          <w:szCs w:val="28"/>
        </w:rPr>
        <w:t>Recovery factor of each stage before and after injection</w:t>
      </w:r>
      <w:r>
        <w:rPr>
          <w:rFonts w:hint="default" w:ascii="Times New Roman" w:hAnsi="Times New Roman" w:cs="Times New Roman"/>
          <w:sz w:val="28"/>
          <w:szCs w:val="28"/>
          <w:lang w:val="en-US" w:eastAsia="zh-CN"/>
        </w:rPr>
        <w:t>.</w:t>
      </w:r>
    </w:p>
    <w:tbl>
      <w:tblPr>
        <w:tblStyle w:val="17"/>
        <w:tblW w:w="5000" w:type="pct"/>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61"/>
        <w:gridCol w:w="1374"/>
        <w:gridCol w:w="1203"/>
        <w:gridCol w:w="1634"/>
        <w:gridCol w:w="1550"/>
        <w:gridCol w:w="1843"/>
        <w:gridCol w:w="789"/>
      </w:tblGrid>
      <w:tr w14:paraId="467FE36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58" w:type="pct"/>
            <w:tcBorders>
              <w:bottom w:val="single" w:color="auto" w:sz="4" w:space="0"/>
            </w:tcBorders>
            <w:vAlign w:val="center"/>
          </w:tcPr>
          <w:p w14:paraId="314DC920">
            <w:pPr>
              <w:widowControl/>
              <w:ind w:firstLine="0" w:firstLineChars="0"/>
              <w:jc w:val="center"/>
              <w:rPr>
                <w:rFonts w:hint="default" w:ascii="Times New Roman" w:hAnsi="Times New Roman" w:cs="Times New Roman"/>
                <w:szCs w:val="24"/>
              </w:rPr>
            </w:pPr>
            <w:r>
              <w:rPr>
                <w:rFonts w:hint="default" w:ascii="Times New Roman" w:hAnsi="Times New Roman" w:cs="Times New Roman"/>
                <w:kern w:val="0"/>
                <w:szCs w:val="24"/>
              </w:rPr>
              <w:t>Water flooding recovery factor (%)</w:t>
            </w:r>
          </w:p>
        </w:tc>
        <w:tc>
          <w:tcPr>
            <w:tcW w:w="714" w:type="pct"/>
            <w:tcBorders>
              <w:bottom w:val="single" w:color="auto" w:sz="4" w:space="0"/>
            </w:tcBorders>
            <w:vAlign w:val="center"/>
          </w:tcPr>
          <w:p w14:paraId="10298E12">
            <w:pPr>
              <w:widowControl/>
              <w:ind w:firstLine="0" w:firstLineChars="0"/>
              <w:jc w:val="center"/>
              <w:rPr>
                <w:rFonts w:hint="default" w:ascii="Times New Roman" w:hAnsi="Times New Roman" w:cs="Times New Roman"/>
                <w:szCs w:val="24"/>
              </w:rPr>
            </w:pPr>
            <w:r>
              <w:rPr>
                <w:rFonts w:hint="default" w:ascii="Times New Roman" w:hAnsi="Times New Roman" w:cs="Times New Roman"/>
                <w:kern w:val="0"/>
                <w:szCs w:val="24"/>
              </w:rPr>
              <w:t>Water injection pressure (MPa)</w:t>
            </w:r>
          </w:p>
        </w:tc>
        <w:tc>
          <w:tcPr>
            <w:tcW w:w="596" w:type="pct"/>
            <w:tcBorders>
              <w:bottom w:val="single" w:color="auto" w:sz="4" w:space="0"/>
            </w:tcBorders>
            <w:vAlign w:val="center"/>
          </w:tcPr>
          <w:p w14:paraId="253BF9EB">
            <w:pPr>
              <w:widowControl/>
              <w:ind w:firstLine="0" w:firstLineChars="0"/>
              <w:jc w:val="center"/>
              <w:rPr>
                <w:rFonts w:hint="default" w:ascii="Times New Roman" w:hAnsi="Times New Roman" w:cs="Times New Roman"/>
                <w:szCs w:val="24"/>
              </w:rPr>
            </w:pPr>
            <w:r>
              <w:rPr>
                <w:rFonts w:hint="default" w:ascii="Times New Roman" w:hAnsi="Times New Roman" w:cs="Times New Roman"/>
                <w:kern w:val="0"/>
                <w:szCs w:val="24"/>
              </w:rPr>
              <w:t>Surfactant</w:t>
            </w:r>
          </w:p>
        </w:tc>
        <w:tc>
          <w:tcPr>
            <w:tcW w:w="846" w:type="pct"/>
            <w:tcBorders>
              <w:bottom w:val="single" w:color="auto" w:sz="4" w:space="0"/>
            </w:tcBorders>
            <w:vAlign w:val="center"/>
          </w:tcPr>
          <w:p w14:paraId="08EF7AC0">
            <w:pPr>
              <w:widowControl/>
              <w:ind w:firstLine="0" w:firstLineChars="0"/>
              <w:jc w:val="center"/>
              <w:rPr>
                <w:rFonts w:hint="default" w:ascii="Times New Roman" w:hAnsi="Times New Roman" w:cs="Times New Roman"/>
                <w:szCs w:val="24"/>
              </w:rPr>
            </w:pPr>
            <w:r>
              <w:rPr>
                <w:rFonts w:hint="default" w:ascii="Times New Roman" w:hAnsi="Times New Roman" w:cs="Times New Roman"/>
                <w:kern w:val="0"/>
                <w:szCs w:val="24"/>
              </w:rPr>
              <w:t>Surfactant flooding recovery factor (%)</w:t>
            </w:r>
          </w:p>
        </w:tc>
        <w:tc>
          <w:tcPr>
            <w:tcW w:w="803" w:type="pct"/>
            <w:tcBorders>
              <w:bottom w:val="single" w:color="auto" w:sz="4" w:space="0"/>
            </w:tcBorders>
            <w:vAlign w:val="center"/>
          </w:tcPr>
          <w:p w14:paraId="6644CB13">
            <w:pPr>
              <w:widowControl/>
              <w:ind w:firstLine="0" w:firstLineChars="0"/>
              <w:jc w:val="center"/>
              <w:rPr>
                <w:rFonts w:hint="default" w:ascii="Times New Roman" w:hAnsi="Times New Roman" w:cs="Times New Roman"/>
                <w:kern w:val="0"/>
                <w:szCs w:val="24"/>
              </w:rPr>
            </w:pPr>
            <w:r>
              <w:rPr>
                <w:rFonts w:hint="default" w:ascii="Times New Roman" w:hAnsi="Times New Roman" w:cs="Times New Roman"/>
                <w:kern w:val="0"/>
                <w:szCs w:val="24"/>
              </w:rPr>
              <w:t>Surfactant Injection pressure (MPa)</w:t>
            </w:r>
          </w:p>
        </w:tc>
        <w:tc>
          <w:tcPr>
            <w:tcW w:w="863" w:type="pct"/>
            <w:tcBorders>
              <w:bottom w:val="single" w:color="auto" w:sz="4" w:space="0"/>
            </w:tcBorders>
            <w:vAlign w:val="center"/>
          </w:tcPr>
          <w:p w14:paraId="782F81FF">
            <w:pPr>
              <w:widowControl/>
              <w:ind w:firstLine="0" w:firstLineChars="0"/>
              <w:jc w:val="center"/>
              <w:rPr>
                <w:rFonts w:hint="default" w:ascii="Times New Roman" w:hAnsi="Times New Roman" w:cs="Times New Roman"/>
                <w:szCs w:val="24"/>
              </w:rPr>
            </w:pPr>
            <w:r>
              <w:rPr>
                <w:rFonts w:hint="default" w:ascii="Times New Roman" w:hAnsi="Times New Roman" w:cs="Times New Roman"/>
                <w:kern w:val="0"/>
                <w:szCs w:val="24"/>
              </w:rPr>
              <w:t>Depressurization rate (%)</w:t>
            </w:r>
          </w:p>
        </w:tc>
        <w:tc>
          <w:tcPr>
            <w:tcW w:w="417" w:type="pct"/>
            <w:tcBorders>
              <w:bottom w:val="single" w:color="auto" w:sz="4" w:space="0"/>
            </w:tcBorders>
            <w:vAlign w:val="center"/>
          </w:tcPr>
          <w:p w14:paraId="519B1BA1">
            <w:pPr>
              <w:widowControl/>
              <w:ind w:firstLine="0" w:firstLineChars="0"/>
              <w:jc w:val="center"/>
              <w:rPr>
                <w:rFonts w:hint="default" w:ascii="Times New Roman" w:hAnsi="Times New Roman" w:cs="Times New Roman"/>
                <w:szCs w:val="24"/>
              </w:rPr>
            </w:pPr>
            <w:r>
              <w:rPr>
                <w:rFonts w:hint="default" w:ascii="Times New Roman" w:hAnsi="Times New Roman" w:cs="Times New Roman"/>
                <w:kern w:val="0"/>
                <w:szCs w:val="24"/>
              </w:rPr>
              <w:t>EOR (%)</w:t>
            </w:r>
          </w:p>
        </w:tc>
      </w:tr>
      <w:tr w14:paraId="5EC3A3E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58" w:type="pct"/>
            <w:tcBorders>
              <w:top w:val="single" w:color="auto" w:sz="4" w:space="0"/>
            </w:tcBorders>
            <w:vAlign w:val="center"/>
          </w:tcPr>
          <w:p w14:paraId="3343C02F">
            <w:pPr>
              <w:widowControl/>
              <w:ind w:firstLine="0" w:firstLineChars="0"/>
              <w:jc w:val="center"/>
              <w:rPr>
                <w:rFonts w:hint="default" w:ascii="Times New Roman" w:hAnsi="Times New Roman" w:cs="Times New Roman"/>
                <w:szCs w:val="24"/>
              </w:rPr>
            </w:pPr>
            <w:r>
              <w:rPr>
                <w:rFonts w:hint="default" w:ascii="Times New Roman" w:hAnsi="Times New Roman" w:cs="Times New Roman"/>
                <w:szCs w:val="24"/>
              </w:rPr>
              <w:t>56.22</w:t>
            </w:r>
          </w:p>
        </w:tc>
        <w:tc>
          <w:tcPr>
            <w:tcW w:w="714" w:type="pct"/>
            <w:tcBorders>
              <w:top w:val="single" w:color="auto" w:sz="4" w:space="0"/>
            </w:tcBorders>
            <w:vAlign w:val="center"/>
          </w:tcPr>
          <w:p w14:paraId="493095C7">
            <w:pPr>
              <w:widowControl/>
              <w:ind w:firstLine="0" w:firstLineChars="0"/>
              <w:jc w:val="center"/>
              <w:rPr>
                <w:rFonts w:hint="default" w:ascii="Times New Roman" w:hAnsi="Times New Roman" w:cs="Times New Roman"/>
                <w:szCs w:val="24"/>
              </w:rPr>
            </w:pPr>
            <w:r>
              <w:rPr>
                <w:rFonts w:hint="default" w:ascii="Times New Roman" w:hAnsi="Times New Roman" w:cs="Times New Roman"/>
                <w:szCs w:val="24"/>
              </w:rPr>
              <w:t>2.98</w:t>
            </w:r>
          </w:p>
        </w:tc>
        <w:tc>
          <w:tcPr>
            <w:tcW w:w="596" w:type="pct"/>
            <w:tcBorders>
              <w:top w:val="single" w:color="auto" w:sz="4" w:space="0"/>
            </w:tcBorders>
            <w:vAlign w:val="center"/>
          </w:tcPr>
          <w:p w14:paraId="67EED0CD">
            <w:pPr>
              <w:widowControl/>
              <w:ind w:firstLine="0" w:firstLineChars="0"/>
              <w:jc w:val="center"/>
              <w:rPr>
                <w:rFonts w:hint="default" w:ascii="Times New Roman" w:hAnsi="Times New Roman" w:cs="Times New Roman"/>
                <w:szCs w:val="24"/>
              </w:rPr>
            </w:pPr>
            <w:r>
              <w:rPr>
                <w:rFonts w:hint="default" w:ascii="Times New Roman" w:hAnsi="Times New Roman" w:cs="Times New Roman"/>
                <w:szCs w:val="24"/>
              </w:rPr>
              <w:t>C12A</w:t>
            </w:r>
          </w:p>
        </w:tc>
        <w:tc>
          <w:tcPr>
            <w:tcW w:w="846" w:type="pct"/>
            <w:tcBorders>
              <w:top w:val="single" w:color="auto" w:sz="4" w:space="0"/>
            </w:tcBorders>
            <w:vAlign w:val="center"/>
          </w:tcPr>
          <w:p w14:paraId="4FCD3CB0">
            <w:pPr>
              <w:widowControl/>
              <w:ind w:firstLine="0" w:firstLineChars="0"/>
              <w:jc w:val="center"/>
              <w:rPr>
                <w:rFonts w:hint="default" w:ascii="Times New Roman" w:hAnsi="Times New Roman" w:cs="Times New Roman"/>
                <w:szCs w:val="24"/>
              </w:rPr>
            </w:pPr>
            <w:r>
              <w:rPr>
                <w:rFonts w:hint="default" w:ascii="Times New Roman" w:hAnsi="Times New Roman" w:cs="Times New Roman"/>
                <w:szCs w:val="24"/>
              </w:rPr>
              <w:t>70.16</w:t>
            </w:r>
          </w:p>
        </w:tc>
        <w:tc>
          <w:tcPr>
            <w:tcW w:w="803" w:type="pct"/>
            <w:tcBorders>
              <w:top w:val="single" w:color="auto" w:sz="4" w:space="0"/>
            </w:tcBorders>
            <w:vAlign w:val="center"/>
          </w:tcPr>
          <w:p w14:paraId="0F9DFB37">
            <w:pPr>
              <w:widowControl/>
              <w:ind w:firstLine="0" w:firstLineChars="0"/>
              <w:jc w:val="center"/>
              <w:rPr>
                <w:rFonts w:hint="default" w:ascii="Times New Roman" w:hAnsi="Times New Roman" w:cs="Times New Roman"/>
                <w:szCs w:val="24"/>
              </w:rPr>
            </w:pPr>
            <w:r>
              <w:rPr>
                <w:rFonts w:hint="default" w:ascii="Times New Roman" w:hAnsi="Times New Roman" w:cs="Times New Roman"/>
                <w:szCs w:val="24"/>
              </w:rPr>
              <w:t>2.51</w:t>
            </w:r>
          </w:p>
        </w:tc>
        <w:tc>
          <w:tcPr>
            <w:tcW w:w="863" w:type="pct"/>
            <w:tcBorders>
              <w:top w:val="single" w:color="auto" w:sz="4" w:space="0"/>
            </w:tcBorders>
            <w:vAlign w:val="center"/>
          </w:tcPr>
          <w:p w14:paraId="3ABB2733">
            <w:pPr>
              <w:widowControl/>
              <w:ind w:firstLine="0" w:firstLineChars="0"/>
              <w:jc w:val="center"/>
              <w:rPr>
                <w:rFonts w:hint="default" w:ascii="Times New Roman" w:hAnsi="Times New Roman" w:cs="Times New Roman"/>
                <w:szCs w:val="24"/>
              </w:rPr>
            </w:pPr>
            <w:r>
              <w:rPr>
                <w:rFonts w:hint="default" w:ascii="Times New Roman" w:hAnsi="Times New Roman" w:cs="Times New Roman"/>
                <w:szCs w:val="24"/>
              </w:rPr>
              <w:t>15.80</w:t>
            </w:r>
          </w:p>
        </w:tc>
        <w:tc>
          <w:tcPr>
            <w:tcW w:w="417" w:type="pct"/>
            <w:tcBorders>
              <w:top w:val="single" w:color="auto" w:sz="4" w:space="0"/>
            </w:tcBorders>
            <w:vAlign w:val="center"/>
          </w:tcPr>
          <w:p w14:paraId="38DBAE8A">
            <w:pPr>
              <w:widowControl/>
              <w:ind w:firstLine="0" w:firstLineChars="0"/>
              <w:jc w:val="center"/>
              <w:rPr>
                <w:rFonts w:hint="default" w:ascii="Times New Roman" w:hAnsi="Times New Roman" w:cs="Times New Roman"/>
                <w:szCs w:val="24"/>
              </w:rPr>
            </w:pPr>
            <w:r>
              <w:rPr>
                <w:rFonts w:hint="default" w:ascii="Times New Roman" w:hAnsi="Times New Roman" w:cs="Times New Roman"/>
                <w:szCs w:val="24"/>
              </w:rPr>
              <w:t>15.25</w:t>
            </w:r>
          </w:p>
        </w:tc>
      </w:tr>
      <w:tr w14:paraId="43B7F46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58" w:type="pct"/>
            <w:vAlign w:val="center"/>
          </w:tcPr>
          <w:p w14:paraId="12737823">
            <w:pPr>
              <w:widowControl/>
              <w:ind w:firstLine="0" w:firstLineChars="0"/>
              <w:jc w:val="center"/>
              <w:rPr>
                <w:rFonts w:hint="default" w:ascii="Times New Roman" w:hAnsi="Times New Roman" w:cs="Times New Roman"/>
                <w:szCs w:val="24"/>
              </w:rPr>
            </w:pPr>
            <w:r>
              <w:rPr>
                <w:rFonts w:hint="default" w:ascii="Times New Roman" w:hAnsi="Times New Roman" w:cs="Times New Roman"/>
                <w:szCs w:val="24"/>
              </w:rPr>
              <w:t>56.52</w:t>
            </w:r>
          </w:p>
        </w:tc>
        <w:tc>
          <w:tcPr>
            <w:tcW w:w="714" w:type="pct"/>
            <w:vAlign w:val="center"/>
          </w:tcPr>
          <w:p w14:paraId="72D4986D">
            <w:pPr>
              <w:widowControl/>
              <w:ind w:firstLine="0" w:firstLineChars="0"/>
              <w:jc w:val="center"/>
              <w:rPr>
                <w:rFonts w:hint="default" w:ascii="Times New Roman" w:hAnsi="Times New Roman" w:cs="Times New Roman"/>
                <w:szCs w:val="24"/>
              </w:rPr>
            </w:pPr>
            <w:r>
              <w:rPr>
                <w:rFonts w:hint="default" w:ascii="Times New Roman" w:hAnsi="Times New Roman" w:cs="Times New Roman"/>
                <w:szCs w:val="24"/>
              </w:rPr>
              <w:t>2.86</w:t>
            </w:r>
          </w:p>
        </w:tc>
        <w:tc>
          <w:tcPr>
            <w:tcW w:w="596" w:type="pct"/>
            <w:vAlign w:val="center"/>
          </w:tcPr>
          <w:p w14:paraId="60E872E6">
            <w:pPr>
              <w:widowControl/>
              <w:ind w:firstLine="0" w:firstLineChars="0"/>
              <w:jc w:val="center"/>
              <w:rPr>
                <w:rFonts w:hint="default" w:ascii="Times New Roman" w:hAnsi="Times New Roman" w:cs="Times New Roman"/>
                <w:szCs w:val="24"/>
              </w:rPr>
            </w:pPr>
            <w:r>
              <w:rPr>
                <w:rFonts w:hint="default" w:ascii="Times New Roman" w:hAnsi="Times New Roman" w:cs="Times New Roman"/>
                <w:szCs w:val="24"/>
              </w:rPr>
              <w:t>APG</w:t>
            </w:r>
            <w:r>
              <w:rPr>
                <w:rFonts w:hint="default" w:ascii="Times New Roman" w:hAnsi="Times New Roman" w:cs="Times New Roman"/>
                <w:szCs w:val="24"/>
                <w:vertAlign w:val="subscript"/>
              </w:rPr>
              <w:t>0810</w:t>
            </w:r>
          </w:p>
        </w:tc>
        <w:tc>
          <w:tcPr>
            <w:tcW w:w="846" w:type="pct"/>
            <w:vAlign w:val="center"/>
          </w:tcPr>
          <w:p w14:paraId="508CD192">
            <w:pPr>
              <w:widowControl/>
              <w:ind w:firstLine="0" w:firstLineChars="0"/>
              <w:jc w:val="center"/>
              <w:rPr>
                <w:rFonts w:hint="default" w:ascii="Times New Roman" w:hAnsi="Times New Roman" w:cs="Times New Roman"/>
                <w:szCs w:val="24"/>
              </w:rPr>
            </w:pPr>
            <w:r>
              <w:rPr>
                <w:rFonts w:hint="default" w:ascii="Times New Roman" w:hAnsi="Times New Roman" w:cs="Times New Roman"/>
                <w:szCs w:val="24"/>
              </w:rPr>
              <w:t>63.77</w:t>
            </w:r>
          </w:p>
        </w:tc>
        <w:tc>
          <w:tcPr>
            <w:tcW w:w="803" w:type="pct"/>
            <w:vAlign w:val="center"/>
          </w:tcPr>
          <w:p w14:paraId="4550BD15">
            <w:pPr>
              <w:widowControl/>
              <w:ind w:firstLine="0" w:firstLineChars="0"/>
              <w:jc w:val="center"/>
              <w:rPr>
                <w:rFonts w:hint="default" w:ascii="Times New Roman" w:hAnsi="Times New Roman" w:cs="Times New Roman"/>
                <w:szCs w:val="24"/>
              </w:rPr>
            </w:pPr>
            <w:r>
              <w:rPr>
                <w:rFonts w:hint="default" w:ascii="Times New Roman" w:hAnsi="Times New Roman" w:cs="Times New Roman"/>
                <w:szCs w:val="24"/>
              </w:rPr>
              <w:t>2.66</w:t>
            </w:r>
          </w:p>
        </w:tc>
        <w:tc>
          <w:tcPr>
            <w:tcW w:w="863" w:type="pct"/>
            <w:vAlign w:val="center"/>
          </w:tcPr>
          <w:p w14:paraId="4572AFD0">
            <w:pPr>
              <w:widowControl/>
              <w:ind w:firstLine="0" w:firstLineChars="0"/>
              <w:jc w:val="center"/>
              <w:rPr>
                <w:rFonts w:hint="default" w:ascii="Times New Roman" w:hAnsi="Times New Roman" w:cs="Times New Roman"/>
                <w:szCs w:val="24"/>
              </w:rPr>
            </w:pPr>
            <w:r>
              <w:rPr>
                <w:rFonts w:hint="default" w:ascii="Times New Roman" w:hAnsi="Times New Roman" w:cs="Times New Roman"/>
                <w:szCs w:val="24"/>
              </w:rPr>
              <w:t>7.10</w:t>
            </w:r>
          </w:p>
        </w:tc>
        <w:tc>
          <w:tcPr>
            <w:tcW w:w="417" w:type="pct"/>
            <w:vAlign w:val="center"/>
          </w:tcPr>
          <w:p w14:paraId="5BCF8897">
            <w:pPr>
              <w:widowControl/>
              <w:ind w:firstLine="0" w:firstLineChars="0"/>
              <w:jc w:val="center"/>
              <w:rPr>
                <w:rFonts w:hint="default" w:ascii="Times New Roman" w:hAnsi="Times New Roman" w:cs="Times New Roman"/>
                <w:szCs w:val="24"/>
              </w:rPr>
            </w:pPr>
            <w:r>
              <w:rPr>
                <w:rFonts w:hint="default" w:ascii="Times New Roman" w:hAnsi="Times New Roman" w:cs="Times New Roman"/>
                <w:szCs w:val="24"/>
              </w:rPr>
              <w:t>7.25</w:t>
            </w:r>
          </w:p>
        </w:tc>
      </w:tr>
    </w:tbl>
    <w:p w14:paraId="0326F9D2">
      <w:pPr>
        <w:widowControl/>
        <w:ind w:firstLine="709" w:firstLineChars="0"/>
        <w:rPr>
          <w:rFonts w:hint="default" w:ascii="Times New Roman" w:hAnsi="Times New Roman" w:cs="Times New Roman"/>
          <w:sz w:val="28"/>
          <w:szCs w:val="28"/>
        </w:rPr>
      </w:pPr>
    </w:p>
    <w:p w14:paraId="094A92D5">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662" w:name="_Toc7997"/>
      <w:bookmarkStart w:id="663" w:name="_Toc10589"/>
      <w:bookmarkStart w:id="664" w:name="_Toc12757"/>
      <w:bookmarkStart w:id="665" w:name="_Toc14292"/>
      <w:bookmarkStart w:id="666" w:name="_Toc9292"/>
      <w:bookmarkStart w:id="667" w:name="_Toc20633"/>
      <w:bookmarkStart w:id="668" w:name="_Toc7058"/>
      <w:r>
        <w:rPr>
          <w:rFonts w:hint="default" w:ascii="Times New Roman" w:hAnsi="Times New Roman" w:cs="Times New Roman"/>
          <w:i w:val="0"/>
          <w:iCs w:val="0"/>
          <w:sz w:val="28"/>
          <w:szCs w:val="28"/>
        </w:rPr>
        <w:t>4.3.6 Emulsification performance</w:t>
      </w:r>
      <w:bookmarkEnd w:id="662"/>
      <w:bookmarkEnd w:id="663"/>
      <w:bookmarkEnd w:id="664"/>
      <w:bookmarkEnd w:id="665"/>
      <w:bookmarkEnd w:id="666"/>
      <w:bookmarkEnd w:id="667"/>
      <w:bookmarkEnd w:id="668"/>
    </w:p>
    <w:p w14:paraId="0CEFA8EF">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emulsification performance of mixed surfactant systems is a key mechanism for EOR, as it reduces interfacial tension and improves oil mobilization and sweep efficiency during chemical flooding [132,156]. Enhanced emulsification produces stable oil‑in‑water emulsions with viscoelastic interfacial films, delaying coalescence, increasing apparent viscosity, improving mobility ratio, and reducing fingering. Coreflooding experiments show that optimized mixed formulations significantly increase incremental oil recovery over single-component systems [9]. Understanding and tailoring emulsification behavior is therefore crucial for developing high-performance EOR formulations in heterogeneous and high-salinity reservoirs [132,157]. The emulsification performance of the combination system C12A was investigated to explain its superior oil recovery (Figure 4.10).</w:t>
      </w:r>
    </w:p>
    <w:p w14:paraId="6130A218">
      <w:pPr>
        <w:widowControl/>
        <w:ind w:firstLine="709" w:firstLineChars="0"/>
        <w:rPr>
          <w:rFonts w:hint="default" w:ascii="Times New Roman" w:hAnsi="Times New Roman" w:cs="Times New Roman"/>
          <w:sz w:val="28"/>
          <w:szCs w:val="28"/>
        </w:rPr>
      </w:pPr>
    </w:p>
    <w:tbl>
      <w:tblPr>
        <w:tblStyle w:val="1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58891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261" w:type="dxa"/>
            <w:vAlign w:val="center"/>
          </w:tcPr>
          <w:p w14:paraId="21C75607">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2362200" cy="1821815"/>
                  <wp:effectExtent l="0" t="0" r="0" b="6985"/>
                  <wp:docPr id="5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
                          <pic:cNvPicPr>
                            <a:picLocks noChangeAspect="1"/>
                          </pic:cNvPicPr>
                        </pic:nvPicPr>
                        <pic:blipFill>
                          <a:blip r:embed="rId53"/>
                          <a:stretch>
                            <a:fillRect/>
                          </a:stretch>
                        </pic:blipFill>
                        <pic:spPr>
                          <a:xfrm>
                            <a:off x="0" y="0"/>
                            <a:ext cx="2362200" cy="1821815"/>
                          </a:xfrm>
                          <a:prstGeom prst="rect">
                            <a:avLst/>
                          </a:prstGeom>
                          <a:noFill/>
                          <a:ln>
                            <a:noFill/>
                          </a:ln>
                        </pic:spPr>
                      </pic:pic>
                    </a:graphicData>
                  </a:graphic>
                </wp:inline>
              </w:drawing>
            </w:r>
          </w:p>
        </w:tc>
        <w:tc>
          <w:tcPr>
            <w:tcW w:w="4261" w:type="dxa"/>
            <w:vAlign w:val="center"/>
          </w:tcPr>
          <w:p w14:paraId="773C1F4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2425065" cy="1821815"/>
                  <wp:effectExtent l="0" t="0" r="13335" b="6985"/>
                  <wp:docPr id="5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3"/>
                          <pic:cNvPicPr>
                            <a:picLocks noChangeAspect="1"/>
                          </pic:cNvPicPr>
                        </pic:nvPicPr>
                        <pic:blipFill>
                          <a:blip r:embed="rId54"/>
                          <a:stretch>
                            <a:fillRect/>
                          </a:stretch>
                        </pic:blipFill>
                        <pic:spPr>
                          <a:xfrm>
                            <a:off x="0" y="0"/>
                            <a:ext cx="2425065" cy="1821815"/>
                          </a:xfrm>
                          <a:prstGeom prst="rect">
                            <a:avLst/>
                          </a:prstGeom>
                          <a:noFill/>
                          <a:ln>
                            <a:noFill/>
                          </a:ln>
                        </pic:spPr>
                      </pic:pic>
                    </a:graphicData>
                  </a:graphic>
                </wp:inline>
              </w:drawing>
            </w:r>
          </w:p>
        </w:tc>
      </w:tr>
      <w:tr w14:paraId="5B4CF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2" w:type="dxa"/>
            <w:gridSpan w:val="2"/>
            <w:vAlign w:val="center"/>
          </w:tcPr>
          <w:p w14:paraId="1F535768">
            <w:pPr>
              <w:widowControl/>
              <w:ind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Figure 4.10 – Image of emulsion with time (0, 0.2, 0.5, 1, 2, 12 h) (a) and microscopic image of emulsified oil droplets at 5 min after preparation (b)</w:t>
            </w:r>
            <w:r>
              <w:rPr>
                <w:rFonts w:hint="default" w:ascii="Times New Roman" w:hAnsi="Times New Roman" w:cs="Times New Roman"/>
                <w:sz w:val="28"/>
                <w:szCs w:val="28"/>
                <w:lang w:val="en-US" w:eastAsia="zh-CN"/>
              </w:rPr>
              <w:t>.</w:t>
            </w:r>
          </w:p>
        </w:tc>
      </w:tr>
    </w:tbl>
    <w:p w14:paraId="32250F65">
      <w:pPr>
        <w:widowControl/>
        <w:ind w:firstLine="709" w:firstLineChars="0"/>
        <w:rPr>
          <w:rFonts w:hint="default" w:ascii="Times New Roman" w:hAnsi="Times New Roman" w:cs="Times New Roman"/>
          <w:sz w:val="28"/>
          <w:szCs w:val="28"/>
        </w:rPr>
      </w:pPr>
    </w:p>
    <w:p w14:paraId="52CC767F">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emulsion morphology formed between the C12A mixed surfactant system and crude oil was examined 5 min after preparation, as shown in Figure 4.10(b). It can be clearly observed that a stable oil-in-water (O/W) emulsion with small and uniformly distributed droplets is readily generated, indicating the strong emulsifying ability of the C12A system. The formation of fine and homogeneous emulsion droplets is primarily attributed to the ultra-low oil–water interfacial tension achieved by the mixed surfactant system, which facilitates droplet breakup during emulsification and suppresses immediate coalescence [67,132]. However, as the standing time increases, gradual coalescence among the emulsion droplets occurs, leading to water separation and partial phase clarification. After approximately 0.2 h, the emulsion begins to break, as illustrated in Figure 4.10(a), suggesting that the emulsion exhibits limited long-term stability and can spontaneously demulsify after a certain period. This behavior can be explained by the combined effects of interfacial and microstructural changes within the system. On the one hand, the low interfacial tension between the oil and water phases results in initially small and uniform droplets. On the other hand, the presence of hydrocarbon components in crude oil disrupts the charged environment of the surfactant solution, thereby weakening electrostatic interactions among surfactant molecules. This disruption promotes the transformation of wormlike micellar structures into spherical micelles, leading to a reduction in solution viscosity and interfacial film strength [78,132,158]. Consequently, the emulsion droplets become more susceptible to coalescence, ultimately resulting in spontaneous emulsion breaking. From an EOR perspective, such a transient emulsification behavior is advantageous, as it allows for effective mobilization and transport of residual oil within porous media during surfactant flooding, while avoiding the formation of excessively stable emulsions that could cause long-term plugging or separation difficulties during production.</w:t>
      </w:r>
    </w:p>
    <w:p w14:paraId="08EADA0E">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669" w:name="_Toc16921"/>
      <w:bookmarkStart w:id="670" w:name="_Toc29660"/>
      <w:bookmarkStart w:id="671" w:name="_Toc17915"/>
      <w:bookmarkStart w:id="672" w:name="_Toc10175"/>
      <w:bookmarkStart w:id="673" w:name="_Toc29487"/>
      <w:bookmarkStart w:id="674" w:name="_Toc20833"/>
      <w:bookmarkStart w:id="675" w:name="_Toc7806"/>
      <w:r>
        <w:rPr>
          <w:rFonts w:hint="default" w:ascii="Times New Roman" w:hAnsi="Times New Roman" w:cs="Times New Roman"/>
          <w:i w:val="0"/>
          <w:iCs w:val="0"/>
          <w:sz w:val="28"/>
          <w:szCs w:val="28"/>
        </w:rPr>
        <w:t>4.3.7 Wettability alteration</w:t>
      </w:r>
      <w:bookmarkEnd w:id="669"/>
      <w:bookmarkEnd w:id="670"/>
      <w:bookmarkEnd w:id="671"/>
      <w:r>
        <w:rPr>
          <w:rFonts w:hint="default" w:ascii="Times New Roman" w:hAnsi="Times New Roman" w:cs="Times New Roman"/>
          <w:i w:val="0"/>
          <w:iCs w:val="0"/>
          <w:sz w:val="28"/>
          <w:szCs w:val="28"/>
        </w:rPr>
        <w:t xml:space="preserve"> performanc</w:t>
      </w:r>
      <w:bookmarkEnd w:id="672"/>
      <w:bookmarkEnd w:id="673"/>
      <w:bookmarkEnd w:id="674"/>
      <w:r>
        <w:rPr>
          <w:rFonts w:hint="default" w:ascii="Times New Roman" w:hAnsi="Times New Roman" w:cs="Times New Roman"/>
          <w:i w:val="0"/>
          <w:iCs w:val="0"/>
          <w:sz w:val="28"/>
          <w:szCs w:val="28"/>
        </w:rPr>
        <w:t>e</w:t>
      </w:r>
      <w:bookmarkEnd w:id="675"/>
    </w:p>
    <w:p w14:paraId="34BBFE7D">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Wettability alteration by mixed surfactant systems is a key factor in EOR, as it reduces capillary forces and facilitates residual oil mobilization [9]. This effect, combined with interfacial tension reduction and emulsification, helps detach oil films from pore surfaces, further enhancing oil recovery. Laboratory studies show that optimized surfactant blends achieve significant wettability changes and increase incremental oil recovery in sandstone and carbonate cores, emphasizing the importance of tailoring surfactant composition to reservoir wettability [132,159]. The contact angle between slide and droplet before and after surfactant treatment was measured at 25 °C (Figure 4.11).</w:t>
      </w:r>
    </w:p>
    <w:p w14:paraId="2B1ECC1E">
      <w:pPr>
        <w:widowControl/>
        <w:ind w:firstLine="709" w:firstLineChars="0"/>
        <w:rPr>
          <w:rFonts w:hint="default" w:ascii="Times New Roman" w:hAnsi="Times New Roman" w:cs="Times New Roman"/>
          <w:sz w:val="28"/>
          <w:szCs w:val="28"/>
        </w:rPr>
      </w:pPr>
    </w:p>
    <w:tbl>
      <w:tblPr>
        <w:tblStyle w:val="1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16"/>
        <w:gridCol w:w="4261"/>
      </w:tblGrid>
      <w:tr w14:paraId="649A3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261" w:type="dxa"/>
          </w:tcPr>
          <w:p w14:paraId="5789520B">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2649220" cy="1630680"/>
                  <wp:effectExtent l="0" t="0" r="17780" b="762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55"/>
                          <a:stretch>
                            <a:fillRect/>
                          </a:stretch>
                        </pic:blipFill>
                        <pic:spPr>
                          <a:xfrm>
                            <a:off x="0" y="0"/>
                            <a:ext cx="2649220" cy="1630680"/>
                          </a:xfrm>
                          <a:prstGeom prst="rect">
                            <a:avLst/>
                          </a:prstGeom>
                          <a:noFill/>
                          <a:ln>
                            <a:noFill/>
                          </a:ln>
                        </pic:spPr>
                      </pic:pic>
                    </a:graphicData>
                  </a:graphic>
                </wp:inline>
              </w:drawing>
            </w:r>
          </w:p>
        </w:tc>
        <w:tc>
          <w:tcPr>
            <w:tcW w:w="4261" w:type="dxa"/>
          </w:tcPr>
          <w:p w14:paraId="4A1D6436">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2451735" cy="1630680"/>
                  <wp:effectExtent l="0" t="0" r="5715" b="7620"/>
                  <wp:docPr id="5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
                          <pic:cNvPicPr>
                            <a:picLocks noChangeAspect="1"/>
                          </pic:cNvPicPr>
                        </pic:nvPicPr>
                        <pic:blipFill>
                          <a:blip r:embed="rId56"/>
                          <a:stretch>
                            <a:fillRect/>
                          </a:stretch>
                        </pic:blipFill>
                        <pic:spPr>
                          <a:xfrm>
                            <a:off x="0" y="0"/>
                            <a:ext cx="2451735" cy="1630680"/>
                          </a:xfrm>
                          <a:prstGeom prst="rect">
                            <a:avLst/>
                          </a:prstGeom>
                          <a:noFill/>
                          <a:ln>
                            <a:noFill/>
                          </a:ln>
                        </pic:spPr>
                      </pic:pic>
                    </a:graphicData>
                  </a:graphic>
                </wp:inline>
              </w:drawing>
            </w:r>
          </w:p>
        </w:tc>
      </w:tr>
      <w:tr w14:paraId="16BF2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2" w:type="dxa"/>
            <w:gridSpan w:val="2"/>
          </w:tcPr>
          <w:p w14:paraId="0BD21D6A">
            <w:pPr>
              <w:widowControl/>
              <w:ind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Figure 4.11 – Contact angle between core and droplet before (a) and after (b) treatment by surfactant solution</w:t>
            </w:r>
            <w:r>
              <w:rPr>
                <w:rFonts w:hint="default" w:ascii="Times New Roman" w:hAnsi="Times New Roman" w:cs="Times New Roman"/>
                <w:sz w:val="28"/>
                <w:szCs w:val="28"/>
                <w:lang w:val="en-US" w:eastAsia="zh-CN"/>
              </w:rPr>
              <w:t>.</w:t>
            </w:r>
          </w:p>
        </w:tc>
      </w:tr>
    </w:tbl>
    <w:p w14:paraId="3DDAD24C">
      <w:pPr>
        <w:widowControl/>
        <w:ind w:firstLine="709" w:firstLineChars="0"/>
        <w:rPr>
          <w:rFonts w:hint="default" w:ascii="Times New Roman" w:hAnsi="Times New Roman" w:cs="Times New Roman"/>
          <w:sz w:val="28"/>
          <w:szCs w:val="28"/>
        </w:rPr>
      </w:pPr>
    </w:p>
    <w:p w14:paraId="0EC27731">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As shown in Figure 4.11, the contact angle of the oil-wet surface is markedly altered upon treatment with the mixed surfactant solutions, decreasing from an initial value of 108.5° to as low as 55.07°, indicating a clear transition from hydrophobic (oil-wet) to hydrophilic (water-wet) conditions. This pronounced wettability alteration can be primarily attributed to the dual action of the surfactant system: first, the effective removal of pre-adsorbed oil films from the solid surface, and second, the subsequent adsorption of surfactant molecules, which form a stable hydrophilic layer on the substrate [132,160]. The formation of such an adsorption layer not only enhances the surface affinity toward water but also stabilizes the altered wettability state, preventing immediate re-adsorption of oil components. From a mechanistic perspective, this wettability shift plays a pivotal role in enhancing oil recovery. On the microscale, the transformation from oil-wet to water-wet conditions facilitates the detachment and mobilization of residual oil droplets adhering to pore walls and channel surfaces. On the macroscale, the capillary forces within the porous medium are fundamentally modified: they are transformed from resisting forces that hinder fluid penetration into the pore throats into driving forces that actively promote the imbibition of the displacing fluid into narrow channels and tight pore spaces. This synergistic effect improves microscopic sweep efficiency and ensures a more uniform displacement front during flooding [132,161,162]. Furthermore, when combined with the reduction in oil–water interfacial tension, the favorable wettability alteration induced by the mixed surfactant system significantly enhances displacement efficiency. The surfactant-induced water-wet state reduces the adhesion of oil films, while the low interfacial tension promotes droplet breakup and fluid mobility, collectively facilitating the mobilization and transport of residual oil [132,163,164]. Therefore, optimizing surfactant composition to maximize both interfacial tension reduction and wettability alteration is crucial for achieving high incremental oil recovery, particularly in heterogeneous and high-salinity reservoirs.</w:t>
      </w:r>
    </w:p>
    <w:p w14:paraId="55635483">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676" w:name="_Toc26141"/>
      <w:bookmarkStart w:id="677" w:name="_Toc4644"/>
      <w:bookmarkStart w:id="678" w:name="_Toc15633"/>
      <w:bookmarkStart w:id="679" w:name="_Toc17975"/>
      <w:bookmarkStart w:id="680" w:name="_Toc9457"/>
      <w:bookmarkStart w:id="681" w:name="_Toc1039"/>
      <w:bookmarkStart w:id="682" w:name="_Toc7165"/>
      <w:r>
        <w:rPr>
          <w:rFonts w:hint="default" w:ascii="Times New Roman" w:hAnsi="Times New Roman" w:cs="Times New Roman"/>
          <w:i w:val="0"/>
          <w:iCs w:val="0"/>
          <w:sz w:val="28"/>
          <w:szCs w:val="28"/>
        </w:rPr>
        <w:t>4.3.8 Summary for EOR</w:t>
      </w:r>
      <w:bookmarkEnd w:id="676"/>
      <w:r>
        <w:rPr>
          <w:rFonts w:hint="default" w:ascii="Times New Roman" w:hAnsi="Times New Roman" w:cs="Times New Roman"/>
          <w:i w:val="0"/>
          <w:iCs w:val="0"/>
          <w:sz w:val="28"/>
          <w:szCs w:val="28"/>
        </w:rPr>
        <w:t xml:space="preserve"> Mechanism</w:t>
      </w:r>
      <w:bookmarkEnd w:id="677"/>
      <w:bookmarkEnd w:id="678"/>
      <w:bookmarkEnd w:id="679"/>
      <w:bookmarkEnd w:id="680"/>
      <w:bookmarkEnd w:id="681"/>
      <w:bookmarkEnd w:id="682"/>
    </w:p>
    <w:p w14:paraId="5EAE0AE4">
      <w:pPr>
        <w:widowControl/>
        <w:autoSpaceDE w:val="0"/>
        <w:autoSpaceDN w:val="0"/>
        <w:adjustRightInd w:val="0"/>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Figure 12 illustrates the primary mechanisms responsible for EOR during flooding with the mixed surfactant system. After conventional water flooding, a substantial amount of residual oil remains trapped within the porous media, primarily due to strong adhesion to the rock surface and capillary forces under oil-wet conditions. These forces act as significant barriers, preventing the mobilization of trapped oil and resulting in low displacement efficiency. Upon injection of the mixed surfactant system, the oil–water interfacial tension is significantly reduced to ultra-low levels, which effectively weakens the adhesive interactions between the residual oil and the pore surface. As a result, the threshold pressure required to initiate oil flow is markedly decreased, allowing the trapped oil to be more easily detached and mobilized within the pore network. Simultaneously, surfactant molecules rapidly adsorb at the oil–water interface and rearrange to form a dense interfacial film, which promotes the breakup of bulk oil into fine oil-in-water (O/W) emulsions. The formation of small, uniformly distributed droplets not only increases the apparent mobility of crude oil but also improves the mobility ratio between the displacing and displaced phases. In addition, these emulsified droplets can temporarily block high-permeability channels, thereby redirecting the displacing fluid into previously unswept regions and enhancing the overall sweep efficiency. Furthermore, the mixed surfactant system induces a significant alteration in rock wettability, transforming the surface from oil-wet to water-wet. This process involves the removal of adsorbed oil films and the subsequent formation of a stable hydrophilic adsorption layer on the rock surface. Consequently, the role of capillary forces is fundamentally reversed—from resisting fluid flow to actively driving the imbibition of the aqueous phase into smaller pores and throats—thus facilitating the release and transport of residual oil. Therefore, the observed reduction in injection pressure and the significant improvement in oil recovery can be attributed to the synergistic effects of interfacial tension reduction, emulsification, and wettability alteration. These coupled mechanisms enhance both microscopic displacement efficiency and macroscopic sweep efficiency, demonstrating the strong potential of the mixed surfactant system for application in high-salinity and heterogeneous reservoir conditions. This integrated mechanism highlights the importance of molecular-level interfacial regulation in controlling macroscopic flow behavior, providing theoretical guidance for the design of high-performance chemical flooding systems.</w:t>
      </w:r>
    </w:p>
    <w:p w14:paraId="55E4BCD8">
      <w:pPr>
        <w:widowControl/>
        <w:autoSpaceDE w:val="0"/>
        <w:autoSpaceDN w:val="0"/>
        <w:adjustRightInd w:val="0"/>
        <w:ind w:firstLine="709" w:firstLineChars="0"/>
        <w:rPr>
          <w:rFonts w:hint="default" w:ascii="Times New Roman" w:hAnsi="Times New Roman" w:cs="Times New Roman"/>
          <w:sz w:val="28"/>
          <w:szCs w:val="28"/>
        </w:rPr>
      </w:pPr>
    </w:p>
    <w:p w14:paraId="432D9983">
      <w:pPr>
        <w:widowControl/>
        <w:autoSpaceDE w:val="0"/>
        <w:autoSpaceDN w:val="0"/>
        <w:adjustRightInd w:val="0"/>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sz w:val="28"/>
          <w:szCs w:val="28"/>
        </w:rPr>
        <w:drawing>
          <wp:inline distT="0" distB="0" distL="114300" distR="114300">
            <wp:extent cx="5434330" cy="1811020"/>
            <wp:effectExtent l="0" t="0" r="0" b="0"/>
            <wp:docPr id="5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4"/>
                    <pic:cNvPicPr>
                      <a:picLocks noChangeAspect="1"/>
                    </pic:cNvPicPr>
                  </pic:nvPicPr>
                  <pic:blipFill>
                    <a:blip r:embed="rId57"/>
                    <a:stretch>
                      <a:fillRect/>
                    </a:stretch>
                  </pic:blipFill>
                  <pic:spPr>
                    <a:xfrm>
                      <a:off x="0" y="0"/>
                      <a:ext cx="5452808" cy="1817603"/>
                    </a:xfrm>
                    <a:prstGeom prst="rect">
                      <a:avLst/>
                    </a:prstGeom>
                    <a:noFill/>
                    <a:ln>
                      <a:noFill/>
                    </a:ln>
                  </pic:spPr>
                </pic:pic>
              </a:graphicData>
            </a:graphic>
          </wp:inline>
        </w:drawing>
      </w:r>
    </w:p>
    <w:p w14:paraId="476717C6">
      <w:pPr>
        <w:widowControl/>
        <w:autoSpaceDE w:val="0"/>
        <w:autoSpaceDN w:val="0"/>
        <w:adjustRightInd w:val="0"/>
        <w:ind w:firstLine="0" w:firstLineChars="0"/>
        <w:jc w:val="center"/>
        <w:rPr>
          <w:rFonts w:hint="default" w:ascii="Times New Roman" w:hAnsi="Times New Roman" w:cs="Times New Roman" w:eastAsiaTheme="minorEastAsia"/>
          <w:sz w:val="28"/>
          <w:szCs w:val="28"/>
          <w:lang w:val="en-US" w:eastAsia="zh-CN"/>
        </w:rPr>
      </w:pPr>
      <w:r>
        <w:rPr>
          <w:rFonts w:hint="default" w:ascii="Times New Roman" w:hAnsi="Times New Roman" w:cs="Times New Roman" w:eastAsiaTheme="minorEastAsia"/>
          <w:sz w:val="28"/>
          <w:szCs w:val="28"/>
        </w:rPr>
        <w:t xml:space="preserve">Figure 4.12 </w:t>
      </w:r>
      <w:r>
        <w:rPr>
          <w:rFonts w:hint="default" w:ascii="Times New Roman" w:hAnsi="Times New Roman" w:cs="Times New Roman"/>
          <w:sz w:val="28"/>
          <w:szCs w:val="28"/>
        </w:rPr>
        <w:t>–</w:t>
      </w:r>
      <w:r>
        <w:rPr>
          <w:rFonts w:hint="default" w:ascii="Times New Roman" w:hAnsi="Times New Roman" w:cs="Times New Roman" w:eastAsiaTheme="minorEastAsia"/>
          <w:sz w:val="28"/>
          <w:szCs w:val="28"/>
        </w:rPr>
        <w:t xml:space="preserve"> Schematic diagram of EOR by the optimized surfactant system</w:t>
      </w:r>
      <w:r>
        <w:rPr>
          <w:rFonts w:hint="default" w:ascii="Times New Roman" w:hAnsi="Times New Roman" w:cs="Times New Roman" w:eastAsiaTheme="minorEastAsia"/>
          <w:sz w:val="28"/>
          <w:szCs w:val="28"/>
          <w:lang w:val="en-US" w:eastAsia="zh-CN"/>
        </w:rPr>
        <w:t>.</w:t>
      </w:r>
    </w:p>
    <w:p w14:paraId="799DB38C">
      <w:pPr>
        <w:pStyle w:val="4"/>
        <w:keepNext w:val="0"/>
        <w:keepLines w:val="0"/>
        <w:widowControl/>
        <w:spacing w:line="240" w:lineRule="auto"/>
        <w:ind w:firstLine="709"/>
        <w:jc w:val="both"/>
        <w:rPr>
          <w:rFonts w:hint="default" w:ascii="Times New Roman" w:hAnsi="Times New Roman" w:cs="Times New Roman"/>
          <w:sz w:val="28"/>
          <w:szCs w:val="28"/>
        </w:rPr>
      </w:pPr>
    </w:p>
    <w:p w14:paraId="5907D0F5">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683" w:name="_Toc16178"/>
      <w:r>
        <w:rPr>
          <w:rFonts w:hint="default" w:ascii="Times New Roman" w:hAnsi="Times New Roman" w:cs="Times New Roman"/>
          <w:i w:val="0"/>
          <w:iCs w:val="0"/>
          <w:sz w:val="28"/>
          <w:szCs w:val="28"/>
        </w:rPr>
        <w:t>4.3.9 Summary</w:t>
      </w:r>
      <w:bookmarkEnd w:id="683"/>
    </w:p>
    <w:p w14:paraId="1BE83287">
      <w:pPr>
        <w:widowControl/>
        <w:autoSpaceDE w:val="0"/>
        <w:autoSpaceDN w:val="0"/>
        <w:adjustRightInd w:val="0"/>
        <w:ind w:firstLine="709" w:firstLineChars="0"/>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In this chapter, the extended amphoteric surfactant C</w:t>
      </w:r>
      <w:r>
        <w:rPr>
          <w:rFonts w:hint="default" w:ascii="Times New Roman" w:hAnsi="Times New Roman" w:cs="Times New Roman" w:eastAsiaTheme="minorEastAsia"/>
          <w:sz w:val="28"/>
          <w:szCs w:val="28"/>
          <w:vertAlign w:val="subscript"/>
        </w:rPr>
        <w:t>12</w:t>
      </w:r>
      <w:r>
        <w:rPr>
          <w:rFonts w:hint="default" w:ascii="Times New Roman" w:hAnsi="Times New Roman" w:cs="Times New Roman" w:eastAsiaTheme="minorEastAsia"/>
          <w:sz w:val="28"/>
          <w:szCs w:val="28"/>
        </w:rPr>
        <w:t>P</w:t>
      </w:r>
      <w:r>
        <w:rPr>
          <w:rFonts w:hint="default" w:ascii="Times New Roman" w:hAnsi="Times New Roman" w:cs="Times New Roman" w:eastAsiaTheme="minorEastAsia"/>
          <w:sz w:val="28"/>
          <w:szCs w:val="28"/>
          <w:vertAlign w:val="subscript"/>
        </w:rPr>
        <w:t>3</w:t>
      </w:r>
      <w:r>
        <w:rPr>
          <w:rFonts w:hint="default" w:ascii="Times New Roman" w:hAnsi="Times New Roman" w:cs="Times New Roman" w:eastAsiaTheme="minorEastAsia"/>
          <w:sz w:val="28"/>
          <w:szCs w:val="28"/>
        </w:rPr>
        <w:t>E</w:t>
      </w:r>
      <w:r>
        <w:rPr>
          <w:rFonts w:hint="default" w:ascii="Times New Roman" w:hAnsi="Times New Roman" w:cs="Times New Roman" w:eastAsiaTheme="minorEastAsia"/>
          <w:sz w:val="28"/>
          <w:szCs w:val="28"/>
          <w:vertAlign w:val="subscript"/>
        </w:rPr>
        <w:t>3</w:t>
      </w:r>
      <w:r>
        <w:rPr>
          <w:rFonts w:hint="default" w:ascii="Times New Roman" w:hAnsi="Times New Roman" w:cs="Times New Roman" w:eastAsiaTheme="minorEastAsia"/>
          <w:sz w:val="28"/>
          <w:szCs w:val="28"/>
        </w:rPr>
        <w:t>NS was combined with a nonionic surfactant and their performance of both single and mixed systems was systematically investigated. The results show that the oil–water interfacial tension (IFT) of the mixed surfactant system decreases significantly with increasing salinity. Notably, the mixture with a mole fraction of 40% C</w:t>
      </w:r>
      <w:r>
        <w:rPr>
          <w:rFonts w:hint="default" w:ascii="Times New Roman" w:hAnsi="Times New Roman" w:cs="Times New Roman" w:eastAsiaTheme="minorEastAsia"/>
          <w:sz w:val="28"/>
          <w:szCs w:val="28"/>
          <w:vertAlign w:val="subscript"/>
        </w:rPr>
        <w:t>12</w:t>
      </w:r>
      <w:r>
        <w:rPr>
          <w:rFonts w:hint="default" w:ascii="Times New Roman" w:hAnsi="Times New Roman" w:cs="Times New Roman" w:eastAsiaTheme="minorEastAsia"/>
          <w:sz w:val="28"/>
          <w:szCs w:val="28"/>
        </w:rPr>
        <w:t>P</w:t>
      </w:r>
      <w:r>
        <w:rPr>
          <w:rFonts w:hint="default" w:ascii="Times New Roman" w:hAnsi="Times New Roman" w:cs="Times New Roman" w:eastAsiaTheme="minorEastAsia"/>
          <w:sz w:val="28"/>
          <w:szCs w:val="28"/>
          <w:vertAlign w:val="subscript"/>
        </w:rPr>
        <w:t>3</w:t>
      </w:r>
      <w:r>
        <w:rPr>
          <w:rFonts w:hint="default" w:ascii="Times New Roman" w:hAnsi="Times New Roman" w:cs="Times New Roman" w:eastAsiaTheme="minorEastAsia"/>
          <w:sz w:val="28"/>
          <w:szCs w:val="28"/>
        </w:rPr>
        <w:t>E</w:t>
      </w:r>
      <w:r>
        <w:rPr>
          <w:rFonts w:hint="default" w:ascii="Times New Roman" w:hAnsi="Times New Roman" w:cs="Times New Roman" w:eastAsiaTheme="minorEastAsia"/>
          <w:sz w:val="28"/>
          <w:szCs w:val="28"/>
          <w:vertAlign w:val="subscript"/>
        </w:rPr>
        <w:t>3</w:t>
      </w:r>
      <w:r>
        <w:rPr>
          <w:rFonts w:hint="default" w:ascii="Times New Roman" w:hAnsi="Times New Roman" w:cs="Times New Roman" w:eastAsiaTheme="minorEastAsia"/>
          <w:sz w:val="28"/>
          <w:szCs w:val="28"/>
        </w:rPr>
        <w:t>NS (denoted as C12A) exhibits the strongest synergistic interaction and achieves ultralow IFT (~10</w:t>
      </w:r>
      <w:r>
        <w:rPr>
          <w:rFonts w:hint="default" w:ascii="Times New Roman" w:hAnsi="Times New Roman" w:cs="Times New Roman" w:eastAsiaTheme="minorEastAsia"/>
          <w:sz w:val="28"/>
          <w:szCs w:val="28"/>
          <w:vertAlign w:val="superscript"/>
        </w:rPr>
        <w:t>-3</w:t>
      </w:r>
      <w:r>
        <w:rPr>
          <w:rFonts w:hint="default" w:ascii="Times New Roman" w:hAnsi="Times New Roman" w:cs="Times New Roman" w:eastAsiaTheme="minorEastAsia"/>
          <w:sz w:val="28"/>
          <w:szCs w:val="28"/>
        </w:rPr>
        <w:t xml:space="preserve"> mN·m</w:t>
      </w:r>
      <w:r>
        <w:rPr>
          <w:rFonts w:hint="default" w:ascii="Times New Roman" w:hAnsi="Times New Roman" w:cs="Times New Roman" w:eastAsiaTheme="minorEastAsia"/>
          <w:sz w:val="28"/>
          <w:szCs w:val="28"/>
          <w:vertAlign w:val="superscript"/>
        </w:rPr>
        <w:t>-1</w:t>
      </w:r>
      <w:r>
        <w:rPr>
          <w:rFonts w:hint="default" w:ascii="Times New Roman" w:hAnsi="Times New Roman" w:cs="Times New Roman" w:eastAsiaTheme="minorEastAsia"/>
          <w:sz w:val="28"/>
          <w:szCs w:val="28"/>
        </w:rPr>
        <w:t>) at a salinity of 10 wt%. In addition to excellent interfacial activity, the C12A system demonstrates strong emulsification ability and can effectively emulsify crude oil. Meanwhile, the mixed system shows enhanced wettability alteration performance, enabling the transformation of capillary forces from resistance to driving force, which is beneficial for oil mobilization in porous media. Core flooding experiments further confirm the superior displacement performance of the C12A system, showing an enhanced oil recovery factor of 15.25% and a pressure reduction rate of 15.80%. These improvements can be attributed to the synergistic effects of ultralow IFT, effective wettability alteration, and enhanced emulsification capacity.</w:t>
      </w:r>
    </w:p>
    <w:p w14:paraId="35E7319F">
      <w:pPr>
        <w:widowControl/>
        <w:autoSpaceDE w:val="0"/>
        <w:autoSpaceDN w:val="0"/>
        <w:adjustRightInd w:val="0"/>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br w:type="page"/>
      </w:r>
    </w:p>
    <w:p w14:paraId="01676CAB">
      <w:pPr>
        <w:pStyle w:val="2"/>
        <w:keepNext w:val="0"/>
        <w:keepLines w:val="0"/>
        <w:widowControl/>
        <w:spacing w:before="0" w:beforeLines="0" w:after="0" w:afterLines="0" w:line="240" w:lineRule="auto"/>
        <w:ind w:firstLine="560" w:firstLineChars="200"/>
        <w:jc w:val="both"/>
        <w:rPr>
          <w:rFonts w:hint="default" w:ascii="Times New Roman" w:hAnsi="Times New Roman" w:eastAsia="宋体" w:cs="Times New Roman"/>
          <w:szCs w:val="28"/>
          <w:lang w:val="en-US" w:eastAsia="zh-CN"/>
        </w:rPr>
      </w:pPr>
      <w:bookmarkStart w:id="684" w:name="_Toc21045"/>
      <w:bookmarkStart w:id="685" w:name="_Toc14273"/>
      <w:bookmarkStart w:id="686" w:name="_Toc6603"/>
      <w:bookmarkStart w:id="687" w:name="_Toc11165"/>
      <w:bookmarkStart w:id="688" w:name="_Toc32307"/>
      <w:bookmarkStart w:id="689" w:name="_Toc24495"/>
      <w:bookmarkStart w:id="690" w:name="_Toc4310"/>
      <w:r>
        <w:rPr>
          <w:rFonts w:hint="default" w:ascii="Times New Roman" w:hAnsi="Times New Roman" w:cs="Times New Roman"/>
          <w:szCs w:val="28"/>
          <w:lang w:val="en-US" w:eastAsia="zh-CN"/>
        </w:rPr>
        <w:t>CHAPTER</w:t>
      </w:r>
      <w:r>
        <w:rPr>
          <w:rFonts w:hint="default" w:ascii="Times New Roman" w:hAnsi="Times New Roman" w:cs="Times New Roman"/>
          <w:szCs w:val="28"/>
        </w:rPr>
        <w:t xml:space="preserve"> 5 </w:t>
      </w:r>
      <w:bookmarkEnd w:id="684"/>
      <w:r>
        <w:rPr>
          <w:rFonts w:hint="default" w:ascii="Times New Roman" w:hAnsi="Times New Roman" w:cs="Times New Roman"/>
          <w:szCs w:val="28"/>
          <w:lang w:val="en-US" w:eastAsia="zh-CN"/>
        </w:rPr>
        <w:t>INTERACTION</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OF</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AN</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EXTENDED</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AMPHOTERIC</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SURFACTANT</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COMBINING</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WITH A</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GEMINI</w:t>
      </w:r>
      <w:r>
        <w:rPr>
          <w:rFonts w:hint="default" w:ascii="Times New Roman" w:hAnsi="Times New Roman" w:cs="Times New Roman"/>
          <w:szCs w:val="28"/>
        </w:rPr>
        <w:t xml:space="preserve"> </w:t>
      </w:r>
      <w:r>
        <w:rPr>
          <w:rFonts w:hint="default" w:ascii="Times New Roman" w:hAnsi="Times New Roman" w:cs="Times New Roman"/>
          <w:szCs w:val="28"/>
          <w:lang w:val="en-US" w:eastAsia="zh-CN"/>
        </w:rPr>
        <w:t>CATIONIC</w:t>
      </w:r>
      <w:bookmarkEnd w:id="685"/>
      <w:bookmarkEnd w:id="686"/>
      <w:bookmarkEnd w:id="687"/>
      <w:bookmarkEnd w:id="688"/>
      <w:bookmarkEnd w:id="689"/>
      <w:r>
        <w:rPr>
          <w:rFonts w:hint="default" w:ascii="Times New Roman" w:hAnsi="Times New Roman" w:cs="Times New Roman"/>
          <w:szCs w:val="28"/>
          <w:lang w:val="en-US" w:eastAsia="zh-CN"/>
        </w:rPr>
        <w:t xml:space="preserve"> SURFACTANTS</w:t>
      </w:r>
      <w:bookmarkEnd w:id="690"/>
    </w:p>
    <w:p w14:paraId="502D2221">
      <w:pPr>
        <w:widowControl/>
        <w:ind w:firstLine="709" w:firstLineChars="0"/>
        <w:rPr>
          <w:rFonts w:hint="default" w:ascii="Times New Roman" w:hAnsi="Times New Roman" w:cs="Times New Roman"/>
          <w:sz w:val="28"/>
          <w:szCs w:val="28"/>
        </w:rPr>
      </w:pPr>
    </w:p>
    <w:p w14:paraId="77C08FAB">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combination of extended amphoteric and gemini cationic surfactants shows strong potential for EOR in complex reservoirs. Amphoteric surfactants provide excellent interfacial activity across wide pH, salinity, and hardness ranges, while gemini cationic surfactants offer high surface activity, low CMC, and enhanced thermal and salinity tolerance. Together, they form compact, stable interfacial layers, yielding ultralow interfacial tension and improved emulsion stability. The synergistic effects include (i) reduced capillary forces to mobilize residual oil, (ii) formation of stable oil-in-water emulsions for improved transport through pores, and (iii) wettability modification toward more water-wet conditions, decreasing oil adhesion and enhancing microscopic sweep efficiency. Experiments show optimized amphoteric–gemini blends achieve higher incremental oil recovery than single-component systems, especially under high-salinity and heterogeneous conditions. These mixed systems thus offer a promising strategy to overcome residual oil trapping and maximize recovery in challenging reservoirs.</w:t>
      </w:r>
    </w:p>
    <w:p w14:paraId="1476B683">
      <w:pPr>
        <w:pStyle w:val="3"/>
        <w:keepNext w:val="0"/>
        <w:keepLines w:val="0"/>
        <w:widowControl/>
        <w:spacing w:line="240" w:lineRule="auto"/>
        <w:ind w:firstLine="709"/>
        <w:jc w:val="both"/>
        <w:rPr>
          <w:rFonts w:hint="default" w:ascii="Times New Roman" w:hAnsi="Times New Roman" w:cs="Times New Roman"/>
          <w:b/>
          <w:bCs w:val="0"/>
          <w:i w:val="0"/>
          <w:iCs w:val="0"/>
          <w:sz w:val="28"/>
          <w:szCs w:val="28"/>
        </w:rPr>
      </w:pPr>
      <w:bookmarkStart w:id="691" w:name="_Toc19374"/>
      <w:bookmarkStart w:id="692" w:name="_Toc20512"/>
      <w:bookmarkStart w:id="693" w:name="_Toc32551"/>
      <w:bookmarkStart w:id="694" w:name="_Toc24500"/>
      <w:bookmarkStart w:id="695" w:name="_Toc20668"/>
      <w:bookmarkStart w:id="696" w:name="_Toc25047"/>
      <w:bookmarkStart w:id="697" w:name="_Toc32564"/>
      <w:r>
        <w:rPr>
          <w:rFonts w:hint="default" w:ascii="Times New Roman" w:hAnsi="Times New Roman" w:cs="Times New Roman"/>
          <w:b/>
          <w:bCs w:val="0"/>
          <w:i w:val="0"/>
          <w:iCs w:val="0"/>
          <w:sz w:val="28"/>
          <w:szCs w:val="28"/>
        </w:rPr>
        <w:t>5.1 Experimental parts</w:t>
      </w:r>
      <w:bookmarkEnd w:id="691"/>
      <w:bookmarkEnd w:id="692"/>
      <w:bookmarkEnd w:id="693"/>
      <w:bookmarkEnd w:id="694"/>
      <w:bookmarkEnd w:id="695"/>
      <w:bookmarkEnd w:id="696"/>
      <w:bookmarkEnd w:id="697"/>
    </w:p>
    <w:p w14:paraId="29446DBF">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698" w:name="_Toc185"/>
      <w:bookmarkStart w:id="699" w:name="_Toc17696"/>
      <w:bookmarkStart w:id="700" w:name="_Toc4787"/>
      <w:bookmarkStart w:id="701" w:name="_Toc10280"/>
      <w:bookmarkStart w:id="702" w:name="_Toc21480"/>
      <w:bookmarkStart w:id="703" w:name="_Toc2896"/>
      <w:bookmarkStart w:id="704" w:name="_Toc32045"/>
      <w:r>
        <w:rPr>
          <w:rFonts w:hint="default" w:ascii="Times New Roman" w:hAnsi="Times New Roman" w:cs="Times New Roman"/>
          <w:i w:val="0"/>
          <w:iCs w:val="0"/>
          <w:sz w:val="28"/>
          <w:szCs w:val="28"/>
        </w:rPr>
        <w:t xml:space="preserve">5.1.1 </w:t>
      </w:r>
      <w:bookmarkEnd w:id="698"/>
      <w:bookmarkEnd w:id="699"/>
      <w:bookmarkEnd w:id="700"/>
      <w:r>
        <w:rPr>
          <w:rFonts w:hint="default" w:ascii="Times New Roman" w:hAnsi="Times New Roman" w:cs="Times New Roman"/>
          <w:i w:val="0"/>
          <w:iCs w:val="0"/>
          <w:sz w:val="28"/>
          <w:szCs w:val="28"/>
        </w:rPr>
        <w:t>Materials and agents</w:t>
      </w:r>
      <w:bookmarkEnd w:id="701"/>
      <w:bookmarkEnd w:id="702"/>
      <w:bookmarkEnd w:id="703"/>
      <w:bookmarkEnd w:id="704"/>
    </w:p>
    <w:p w14:paraId="41330E08">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Sodium chloride (AR) </w:t>
      </w:r>
      <w:r>
        <w:rPr>
          <w:rFonts w:hint="eastAsia" w:cs="Times New Roman"/>
          <w:sz w:val="28"/>
          <w:szCs w:val="28"/>
          <w:lang w:val="en-US" w:eastAsia="zh-CN"/>
        </w:rPr>
        <w:t>was</w:t>
      </w:r>
      <w:r>
        <w:rPr>
          <w:rFonts w:hint="default" w:ascii="Times New Roman" w:hAnsi="Times New Roman" w:cs="Times New Roman"/>
          <w:sz w:val="28"/>
          <w:szCs w:val="28"/>
        </w:rPr>
        <w:t xml:space="preserve"> provided by Tianjin Zhiyuan Chemical Reagent Co., Ltd., China. Gemini cationic surfactant 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with purity of 95%, shown as Scheme 1, w</w:t>
      </w:r>
      <w:r>
        <w:rPr>
          <w:rFonts w:hint="eastAsia" w:cs="Times New Roman"/>
          <w:sz w:val="28"/>
          <w:szCs w:val="28"/>
          <w:lang w:val="en-US" w:eastAsia="zh-CN"/>
        </w:rPr>
        <w:t>as</w:t>
      </w:r>
      <w:r>
        <w:rPr>
          <w:rFonts w:hint="default" w:ascii="Times New Roman" w:hAnsi="Times New Roman" w:cs="Times New Roman"/>
          <w:sz w:val="28"/>
          <w:szCs w:val="28"/>
        </w:rPr>
        <w:t xml:space="preserve"> synthesized by our laboratory [165]. Crude oil Z27 with details exhibiting in Table 3.1 and formation water with details exhibiting in Table 4.1 w</w:t>
      </w:r>
      <w:r>
        <w:rPr>
          <w:rFonts w:hint="eastAsia" w:cs="Times New Roman"/>
          <w:sz w:val="28"/>
          <w:szCs w:val="28"/>
          <w:lang w:val="en-US" w:eastAsia="zh-CN"/>
        </w:rPr>
        <w:t>ere</w:t>
      </w:r>
      <w:r>
        <w:rPr>
          <w:rFonts w:hint="default" w:ascii="Times New Roman" w:hAnsi="Times New Roman" w:cs="Times New Roman"/>
          <w:sz w:val="28"/>
          <w:szCs w:val="28"/>
        </w:rPr>
        <w:t xml:space="preserve"> obtained from Changqing Oilfield, China. Kerosene was supplied by Jingmen Petrochemical, China. The core were obtained by Changqing Oilfield, China, with details exhibited in Table 5.1.</w:t>
      </w:r>
    </w:p>
    <w:p w14:paraId="5EAE13FC">
      <w:pPr>
        <w:widowControl/>
        <w:ind w:firstLine="709" w:firstLineChars="0"/>
        <w:rPr>
          <w:rFonts w:hint="default" w:ascii="Times New Roman" w:hAnsi="Times New Roman" w:cs="Times New Roman"/>
          <w:sz w:val="28"/>
          <w:szCs w:val="28"/>
        </w:rPr>
      </w:pPr>
    </w:p>
    <w:p w14:paraId="5741848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object>
          <v:shape id="_x0000_i1028" o:spt="75" type="#_x0000_t75" style="height:87.05pt;width:358.95pt;" o:ole="t" filled="f" o:preferrelative="t" stroked="f" coordsize="21600,21600">
            <v:path/>
            <v:fill on="f" focussize="0,0"/>
            <v:stroke on="f" joinstyle="miter"/>
            <v:imagedata r:id="rId59" o:title=""/>
            <o:lock v:ext="edit" aspectratio="t"/>
            <w10:wrap type="none"/>
            <w10:anchorlock/>
          </v:shape>
          <o:OLEObject Type="Embed" ProgID="ChemDraw.Document.6.0" ShapeID="_x0000_i1028" DrawAspect="Content" ObjectID="_1468075728" r:id="rId58">
            <o:LockedField>false</o:LockedField>
          </o:OLEObject>
        </w:object>
      </w:r>
    </w:p>
    <w:p w14:paraId="07865B62">
      <w:pPr>
        <w:widowControl/>
        <w:ind w:firstLine="0" w:firstLineChars="0"/>
        <w:jc w:val="center"/>
        <w:rPr>
          <w:rFonts w:hint="default" w:ascii="Times New Roman" w:hAnsi="Times New Roman" w:eastAsia="宋体" w:cs="Times New Roman"/>
          <w:sz w:val="28"/>
          <w:szCs w:val="28"/>
          <w:vertAlign w:val="baseline"/>
          <w:lang w:val="en-US" w:eastAsia="zh-CN"/>
        </w:rPr>
      </w:pPr>
      <w:r>
        <w:rPr>
          <w:rFonts w:hint="default" w:ascii="Times New Roman" w:hAnsi="Times New Roman" w:cs="Times New Roman"/>
          <w:sz w:val="28"/>
          <w:szCs w:val="28"/>
        </w:rPr>
        <w:t>Scheme 5.1 – Structure of Gemini cationic surfactant 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vertAlign w:val="baseline"/>
          <w:lang w:val="en-US" w:eastAsia="zh-CN"/>
        </w:rPr>
        <w:t>.</w:t>
      </w:r>
    </w:p>
    <w:p w14:paraId="486C6963">
      <w:pPr>
        <w:widowControl/>
        <w:ind w:firstLine="709" w:firstLineChars="0"/>
        <w:rPr>
          <w:rFonts w:hint="default" w:ascii="Times New Roman" w:hAnsi="Times New Roman" w:cs="Times New Roman"/>
          <w:sz w:val="28"/>
          <w:szCs w:val="28"/>
        </w:rPr>
      </w:pPr>
    </w:p>
    <w:p w14:paraId="0213C9F2">
      <w:pPr>
        <w:widowControl/>
        <w:ind w:left="0" w:leftChars="0" w:firstLine="0" w:firstLineChars="0"/>
        <w:rPr>
          <w:rFonts w:hint="default" w:ascii="Times New Roman" w:hAnsi="Times New Roman" w:cs="Times New Roman"/>
          <w:sz w:val="28"/>
          <w:szCs w:val="28"/>
        </w:rPr>
      </w:pPr>
      <w:r>
        <w:rPr>
          <w:rFonts w:hint="default" w:ascii="Times New Roman" w:hAnsi="Times New Roman" w:cs="Times New Roman"/>
          <w:kern w:val="0"/>
          <w:sz w:val="28"/>
          <w:szCs w:val="28"/>
        </w:rPr>
        <w:t xml:space="preserve">Table 5.1 </w:t>
      </w:r>
      <w:r>
        <w:rPr>
          <w:rFonts w:hint="default" w:ascii="Times New Roman" w:hAnsi="Times New Roman" w:cs="Times New Roman"/>
          <w:sz w:val="28"/>
          <w:szCs w:val="28"/>
        </w:rPr>
        <w:t>–</w:t>
      </w:r>
      <w:r>
        <w:rPr>
          <w:rFonts w:hint="default" w:ascii="Times New Roman" w:hAnsi="Times New Roman" w:cs="Times New Roman"/>
          <w:kern w:val="0"/>
          <w:sz w:val="28"/>
          <w:szCs w:val="28"/>
        </w:rPr>
        <w:t xml:space="preserve"> Basic physical parameters of cores.</w:t>
      </w:r>
    </w:p>
    <w:tbl>
      <w:tblPr>
        <w:tblStyle w:val="17"/>
        <w:tblW w:w="4998"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32"/>
        <w:gridCol w:w="2463"/>
        <w:gridCol w:w="2173"/>
        <w:gridCol w:w="3082"/>
      </w:tblGrid>
      <w:tr w14:paraId="088E167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082" w:type="pct"/>
            <w:tcBorders>
              <w:bottom w:val="single" w:color="auto" w:sz="4" w:space="0"/>
            </w:tcBorders>
            <w:vAlign w:val="center"/>
          </w:tcPr>
          <w:p w14:paraId="4C36E742">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kern w:val="0"/>
                <w:sz w:val="28"/>
                <w:szCs w:val="28"/>
              </w:rPr>
              <w:t>Length (cm)</w:t>
            </w:r>
          </w:p>
        </w:tc>
        <w:tc>
          <w:tcPr>
            <w:tcW w:w="1250" w:type="pct"/>
            <w:tcBorders>
              <w:bottom w:val="single" w:color="auto" w:sz="4" w:space="0"/>
            </w:tcBorders>
            <w:vAlign w:val="center"/>
          </w:tcPr>
          <w:p w14:paraId="7152BE7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kern w:val="0"/>
                <w:sz w:val="28"/>
                <w:szCs w:val="28"/>
              </w:rPr>
              <w:t>Diameter (cm)</w:t>
            </w:r>
          </w:p>
        </w:tc>
        <w:tc>
          <w:tcPr>
            <w:tcW w:w="1103" w:type="pct"/>
            <w:tcBorders>
              <w:bottom w:val="single" w:color="auto" w:sz="4" w:space="0"/>
            </w:tcBorders>
            <w:vAlign w:val="center"/>
          </w:tcPr>
          <w:p w14:paraId="0E61FD3B">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kern w:val="0"/>
                <w:sz w:val="28"/>
                <w:szCs w:val="28"/>
              </w:rPr>
              <w:t>Porosity (%)</w:t>
            </w:r>
          </w:p>
        </w:tc>
        <w:tc>
          <w:tcPr>
            <w:tcW w:w="1564" w:type="pct"/>
            <w:tcBorders>
              <w:bottom w:val="single" w:color="auto" w:sz="4" w:space="0"/>
            </w:tcBorders>
            <w:vAlign w:val="center"/>
          </w:tcPr>
          <w:p w14:paraId="603C68D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kern w:val="0"/>
                <w:sz w:val="28"/>
                <w:szCs w:val="28"/>
              </w:rPr>
              <w:t>Permeability (mD)</w:t>
            </w:r>
          </w:p>
        </w:tc>
      </w:tr>
      <w:tr w14:paraId="6BF8731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082" w:type="pct"/>
            <w:tcBorders>
              <w:top w:val="nil"/>
            </w:tcBorders>
            <w:vAlign w:val="center"/>
          </w:tcPr>
          <w:p w14:paraId="4E005BF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3.58</w:t>
            </w:r>
          </w:p>
        </w:tc>
        <w:tc>
          <w:tcPr>
            <w:tcW w:w="1250" w:type="pct"/>
            <w:tcBorders>
              <w:top w:val="nil"/>
            </w:tcBorders>
            <w:vAlign w:val="center"/>
          </w:tcPr>
          <w:p w14:paraId="7ED62923">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2.500</w:t>
            </w:r>
          </w:p>
        </w:tc>
        <w:tc>
          <w:tcPr>
            <w:tcW w:w="1103" w:type="pct"/>
            <w:tcBorders>
              <w:top w:val="nil"/>
            </w:tcBorders>
            <w:vAlign w:val="center"/>
          </w:tcPr>
          <w:p w14:paraId="78F52C4E">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5.39</w:t>
            </w:r>
          </w:p>
        </w:tc>
        <w:tc>
          <w:tcPr>
            <w:tcW w:w="1564" w:type="pct"/>
            <w:tcBorders>
              <w:top w:val="nil"/>
            </w:tcBorders>
            <w:vAlign w:val="center"/>
          </w:tcPr>
          <w:p w14:paraId="70B1B1A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0.010</w:t>
            </w:r>
          </w:p>
        </w:tc>
      </w:tr>
    </w:tbl>
    <w:p w14:paraId="571FA84E">
      <w:pPr>
        <w:widowControl/>
        <w:ind w:firstLine="709" w:firstLineChars="0"/>
        <w:rPr>
          <w:rFonts w:hint="default" w:ascii="Times New Roman" w:hAnsi="Times New Roman" w:cs="Times New Roman"/>
          <w:sz w:val="28"/>
          <w:szCs w:val="28"/>
        </w:rPr>
      </w:pPr>
    </w:p>
    <w:p w14:paraId="54BE01EB">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705" w:name="_Toc23974"/>
      <w:bookmarkStart w:id="706" w:name="_Toc28765"/>
      <w:bookmarkStart w:id="707" w:name="_Toc26190"/>
      <w:bookmarkStart w:id="708" w:name="_Toc4127"/>
      <w:bookmarkStart w:id="709" w:name="_Toc27335"/>
      <w:bookmarkStart w:id="710" w:name="_Toc31462"/>
      <w:bookmarkStart w:id="711" w:name="_Toc8234"/>
      <w:r>
        <w:rPr>
          <w:rFonts w:hint="default" w:ascii="Times New Roman" w:hAnsi="Times New Roman" w:cs="Times New Roman"/>
          <w:i w:val="0"/>
          <w:iCs w:val="0"/>
          <w:sz w:val="28"/>
          <w:szCs w:val="28"/>
        </w:rPr>
        <w:t>5.1.2 Experimental instruments</w:t>
      </w:r>
      <w:bookmarkEnd w:id="705"/>
      <w:bookmarkEnd w:id="706"/>
      <w:bookmarkEnd w:id="707"/>
      <w:bookmarkEnd w:id="708"/>
      <w:bookmarkEnd w:id="709"/>
      <w:bookmarkEnd w:id="710"/>
      <w:bookmarkEnd w:id="711"/>
    </w:p>
    <w:p w14:paraId="185C806C">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Electronic balance (BS124S) w</w:t>
      </w:r>
      <w:r>
        <w:rPr>
          <w:rFonts w:hint="eastAsia" w:cs="Times New Roman"/>
          <w:sz w:val="28"/>
          <w:szCs w:val="28"/>
          <w:lang w:val="en-US" w:eastAsia="zh-CN"/>
        </w:rPr>
        <w:t>as</w:t>
      </w:r>
      <w:r>
        <w:rPr>
          <w:rFonts w:hint="default" w:ascii="Times New Roman" w:hAnsi="Times New Roman" w:cs="Times New Roman"/>
          <w:sz w:val="28"/>
          <w:szCs w:val="28"/>
        </w:rPr>
        <w:t xml:space="preserve"> provided by Sadolis Scientific Instruments (Beijing) Co., Ltd., China. K11 Automatic Surface Tension Meter w</w:t>
      </w:r>
      <w:r>
        <w:rPr>
          <w:rFonts w:hint="eastAsia" w:cs="Times New Roman"/>
          <w:sz w:val="28"/>
          <w:szCs w:val="28"/>
          <w:lang w:val="en-US" w:eastAsia="zh-CN"/>
        </w:rPr>
        <w:t>as</w:t>
      </w:r>
      <w:r>
        <w:rPr>
          <w:rFonts w:hint="default" w:ascii="Times New Roman" w:hAnsi="Times New Roman" w:cs="Times New Roman"/>
          <w:sz w:val="28"/>
          <w:szCs w:val="28"/>
        </w:rPr>
        <w:t xml:space="preserve"> obtained from KRUSS, Germany. Rotating droplet interfacial tensiometer (TX500C) w</w:t>
      </w:r>
      <w:r>
        <w:rPr>
          <w:rFonts w:hint="eastAsia" w:cs="Times New Roman"/>
          <w:sz w:val="28"/>
          <w:szCs w:val="28"/>
          <w:lang w:val="en-US" w:eastAsia="zh-CN"/>
        </w:rPr>
        <w:t>as</w:t>
      </w:r>
      <w:r>
        <w:rPr>
          <w:rFonts w:hint="default" w:ascii="Times New Roman" w:hAnsi="Times New Roman" w:cs="Times New Roman"/>
          <w:sz w:val="28"/>
          <w:szCs w:val="28"/>
        </w:rPr>
        <w:t xml:space="preserve"> provided by Corona Industries Inc., USA. Ultrasonic cell grinder (JY92-ⅡN) w</w:t>
      </w:r>
      <w:r>
        <w:rPr>
          <w:rFonts w:hint="eastAsia" w:cs="Times New Roman"/>
          <w:sz w:val="28"/>
          <w:szCs w:val="28"/>
          <w:lang w:val="en-US" w:eastAsia="zh-CN"/>
        </w:rPr>
        <w:t>as</w:t>
      </w:r>
      <w:r>
        <w:rPr>
          <w:rFonts w:hint="default" w:ascii="Times New Roman" w:hAnsi="Times New Roman" w:cs="Times New Roman"/>
          <w:sz w:val="28"/>
          <w:szCs w:val="28"/>
        </w:rPr>
        <w:t xml:space="preserve"> supplied by Ningbo Xinzhi Biotechnology Co., Ltd., China. Contact angle measuring instrument (JC2000D1) w</w:t>
      </w:r>
      <w:r>
        <w:rPr>
          <w:rFonts w:hint="eastAsia" w:cs="Times New Roman"/>
          <w:sz w:val="28"/>
          <w:szCs w:val="28"/>
          <w:lang w:val="en-US" w:eastAsia="zh-CN"/>
        </w:rPr>
        <w:t>as</w:t>
      </w:r>
      <w:r>
        <w:rPr>
          <w:rFonts w:hint="default" w:ascii="Times New Roman" w:hAnsi="Times New Roman" w:cs="Times New Roman"/>
          <w:sz w:val="28"/>
          <w:szCs w:val="28"/>
        </w:rPr>
        <w:t xml:space="preserve"> obtained by Shanghai Zhongchen Digital Technology Equipment Co., Ltd., China. Automated drop tensiometer was acquired fromTracker, Teclis-IT Concept, France. Zetasizer Nano ZS90 instrument was obtained from Malvern, UK. UV-Visible spectrophotometer (PE Lambda 650) was obtained from Beijing Puxi General Instrument, China.</w:t>
      </w:r>
    </w:p>
    <w:p w14:paraId="2FB75FDD">
      <w:pPr>
        <w:pStyle w:val="3"/>
        <w:keepNext w:val="0"/>
        <w:keepLines w:val="0"/>
        <w:widowControl/>
        <w:spacing w:line="240" w:lineRule="auto"/>
        <w:ind w:firstLine="709"/>
        <w:jc w:val="both"/>
        <w:rPr>
          <w:rFonts w:hint="default" w:ascii="Times New Roman" w:hAnsi="Times New Roman" w:cs="Times New Roman"/>
          <w:b/>
          <w:bCs w:val="0"/>
          <w:i w:val="0"/>
          <w:iCs w:val="0"/>
          <w:sz w:val="28"/>
          <w:szCs w:val="28"/>
        </w:rPr>
      </w:pPr>
      <w:bookmarkStart w:id="712" w:name="_Toc32063"/>
      <w:bookmarkStart w:id="713" w:name="_Toc14370"/>
      <w:bookmarkStart w:id="714" w:name="_Toc19777"/>
      <w:bookmarkStart w:id="715" w:name="_Toc18315"/>
      <w:bookmarkStart w:id="716" w:name="_Toc16277"/>
      <w:bookmarkStart w:id="717" w:name="_Toc14443"/>
      <w:bookmarkStart w:id="718" w:name="_Toc16594"/>
      <w:r>
        <w:rPr>
          <w:rFonts w:hint="default" w:ascii="Times New Roman" w:hAnsi="Times New Roman" w:cs="Times New Roman"/>
          <w:b/>
          <w:bCs w:val="0"/>
          <w:i w:val="0"/>
          <w:iCs w:val="0"/>
          <w:sz w:val="28"/>
          <w:szCs w:val="28"/>
        </w:rPr>
        <w:t xml:space="preserve">5.2 </w:t>
      </w:r>
      <w:bookmarkEnd w:id="712"/>
      <w:bookmarkEnd w:id="713"/>
      <w:bookmarkEnd w:id="714"/>
      <w:bookmarkEnd w:id="715"/>
      <w:r>
        <w:rPr>
          <w:rFonts w:hint="default" w:ascii="Times New Roman" w:hAnsi="Times New Roman" w:cs="Times New Roman"/>
          <w:b/>
          <w:bCs w:val="0"/>
          <w:i w:val="0"/>
          <w:iCs w:val="0"/>
          <w:sz w:val="28"/>
          <w:szCs w:val="28"/>
        </w:rPr>
        <w:t>Methods</w:t>
      </w:r>
      <w:bookmarkEnd w:id="716"/>
      <w:bookmarkEnd w:id="717"/>
      <w:bookmarkEnd w:id="718"/>
    </w:p>
    <w:p w14:paraId="28E576B5">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719" w:name="_Toc13601"/>
      <w:bookmarkStart w:id="720" w:name="_Toc11380"/>
      <w:bookmarkStart w:id="721" w:name="_Toc3666"/>
      <w:bookmarkStart w:id="722" w:name="_Toc6180"/>
      <w:bookmarkStart w:id="723" w:name="_Toc17293"/>
      <w:bookmarkStart w:id="724" w:name="_Toc29819"/>
      <w:bookmarkStart w:id="725" w:name="_Toc12309"/>
      <w:r>
        <w:rPr>
          <w:rFonts w:hint="default" w:ascii="Times New Roman" w:hAnsi="Times New Roman" w:cs="Times New Roman"/>
          <w:i w:val="0"/>
          <w:iCs w:val="0"/>
          <w:sz w:val="28"/>
          <w:szCs w:val="28"/>
        </w:rPr>
        <w:t>5.2.1 Surface tension determination</w:t>
      </w:r>
      <w:bookmarkEnd w:id="719"/>
      <w:bookmarkEnd w:id="720"/>
      <w:bookmarkEnd w:id="721"/>
      <w:bookmarkEnd w:id="722"/>
      <w:bookmarkEnd w:id="723"/>
      <w:bookmarkEnd w:id="724"/>
      <w:bookmarkEnd w:id="725"/>
    </w:p>
    <w:p w14:paraId="0607B3EE">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Referring to Section 3.3.2, the surface tensions (γ) of mixed surfactant solutions were examined at 25 ℃ using the Wilhelmy plate method with a K11 Automatic Surface Tension Meter (KRUSS Germany) and triplicated to obtain the mean value. The critical micelle concentration (cmc) and its corresponding surface tension γ</w:t>
      </w:r>
      <w:r>
        <w:rPr>
          <w:rFonts w:hint="default" w:ascii="Times New Roman" w:hAnsi="Times New Roman" w:cs="Times New Roman"/>
          <w:sz w:val="28"/>
          <w:szCs w:val="28"/>
          <w:vertAlign w:val="subscript"/>
        </w:rPr>
        <w:t>cmc</w:t>
      </w:r>
      <w:r>
        <w:rPr>
          <w:rFonts w:hint="default" w:ascii="Times New Roman" w:hAnsi="Times New Roman" w:cs="Times New Roman"/>
          <w:sz w:val="28"/>
          <w:szCs w:val="28"/>
        </w:rPr>
        <w:t xml:space="preserve"> were determined by analyzing the break point of the γ-log[C] curve. The surface tension of deionized water at 25 ℃ is 72.4 mN 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w:t>
      </w:r>
    </w:p>
    <w:p w14:paraId="708E7172">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726" w:name="_Toc14285"/>
      <w:bookmarkStart w:id="727" w:name="_Toc13406"/>
      <w:bookmarkStart w:id="728" w:name="_Toc6926"/>
      <w:bookmarkStart w:id="729" w:name="_Toc8879"/>
      <w:bookmarkStart w:id="730" w:name="_Toc4289"/>
      <w:bookmarkStart w:id="731" w:name="_Toc24514"/>
      <w:bookmarkStart w:id="732" w:name="_Toc23981"/>
      <w:r>
        <w:rPr>
          <w:rFonts w:hint="default" w:ascii="Times New Roman" w:hAnsi="Times New Roman" w:cs="Times New Roman"/>
          <w:i w:val="0"/>
          <w:iCs w:val="0"/>
          <w:sz w:val="28"/>
          <w:szCs w:val="28"/>
        </w:rPr>
        <w:t>5.2.2 Calculation of interaction parameters</w:t>
      </w:r>
      <w:bookmarkEnd w:id="726"/>
      <w:bookmarkEnd w:id="727"/>
      <w:bookmarkEnd w:id="728"/>
      <w:bookmarkEnd w:id="729"/>
      <w:bookmarkEnd w:id="730"/>
      <w:bookmarkEnd w:id="731"/>
      <w:bookmarkEnd w:id="732"/>
    </w:p>
    <w:p w14:paraId="23A32744">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The interaction behavior between two surfactants can be described through interaction parameters. For a mixed-surfactant solution, there are two behaviors, including the surface adsorption of surfactants and the micelles formation in the bulk solution. According to this, the interaction parameters can be classified into two categories: </w:t>
      </w:r>
      <m:oMath>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p>
      </m:oMath>
      <w:r>
        <w:rPr>
          <w:rFonts w:hint="default" w:ascii="Times New Roman" w:hAnsi="Times New Roman" w:cs="Times New Roman"/>
          <w:sz w:val="28"/>
          <w:szCs w:val="28"/>
        </w:rPr>
        <w:t xml:space="preserve"> and </w:t>
      </w:r>
      <m:oMath>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σ</m:t>
            </m:r>
            <m:ctrlPr>
              <w:rPr>
                <w:rFonts w:hint="default" w:ascii="Cambria Math" w:hAnsi="Cambria Math" w:cs="Times New Roman"/>
                <w:sz w:val="28"/>
                <w:szCs w:val="28"/>
              </w:rPr>
            </m:ctrlPr>
          </m:sup>
        </m:sSup>
      </m:oMath>
      <w:r>
        <w:rPr>
          <w:rFonts w:hint="default" w:ascii="Times New Roman" w:hAnsi="Times New Roman" w:cs="Times New Roman"/>
          <w:sz w:val="28"/>
          <w:szCs w:val="28"/>
        </w:rPr>
        <w:t xml:space="preserve"> [76,166]. </w:t>
      </w:r>
      <m:oMath>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p>
      </m:oMath>
      <w:r>
        <w:rPr>
          <w:rFonts w:hint="default" w:ascii="Times New Roman" w:hAnsi="Times New Roman" w:cs="Times New Roman"/>
          <w:sz w:val="28"/>
          <w:szCs w:val="28"/>
        </w:rPr>
        <w:t xml:space="preserve"> denotes interactions among surfactant molecules in the micellar phase, while </w:t>
      </w:r>
      <m:oMath>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σ</m:t>
            </m:r>
            <m:ctrlPr>
              <w:rPr>
                <w:rFonts w:hint="default" w:ascii="Cambria Math" w:hAnsi="Cambria Math" w:cs="Times New Roman"/>
                <w:sz w:val="28"/>
                <w:szCs w:val="28"/>
              </w:rPr>
            </m:ctrlPr>
          </m:sup>
        </m:sSup>
      </m:oMath>
      <w:r>
        <w:rPr>
          <w:rFonts w:hint="default" w:ascii="Times New Roman" w:hAnsi="Times New Roman" w:cs="Times New Roman"/>
          <w:sz w:val="28"/>
          <w:szCs w:val="28"/>
        </w:rPr>
        <w:t xml:space="preserve"> corresponds to interfacial interactions [76,165]. Both parameters are generally evaluated from the plots of surface tension versus concentration. According to Rosen’s theory, the interaction parameter between two surfactants in mixed monolayer at air/water surface are determined using the following equations.</w:t>
      </w:r>
    </w:p>
    <w:p w14:paraId="45261121">
      <w:pPr>
        <w:widowControl/>
        <w:ind w:firstLine="709" w:firstLineChars="0"/>
        <w:jc w:val="right"/>
        <w:rPr>
          <w:rFonts w:hint="default" w:ascii="Times New Roman" w:hAnsi="Times New Roman" w:cs="Times New Roman"/>
          <w:sz w:val="28"/>
          <w:szCs w:val="28"/>
        </w:rPr>
      </w:pPr>
      <m:oMath>
        <m:r>
          <m:rPr>
            <m:nor/>
            <m:sty m:val="p"/>
          </m:rPr>
          <w:rPr>
            <w:rFonts w:hint="default" w:ascii="Times New Roman" w:hAnsi="Times New Roman" w:cs="Times New Roman"/>
            <w:b w:val="0"/>
            <w:i w:val="0"/>
            <w:sz w:val="28"/>
            <w:szCs w:val="28"/>
          </w:rPr>
          <m:t>1=</m:t>
        </m:r>
        <m:f>
          <m:fPr>
            <m:ctrlPr>
              <w:rPr>
                <w:rFonts w:hint="default" w:ascii="Cambria Math" w:hAnsi="Cambria Math" w:cs="Times New Roman"/>
                <w:sz w:val="28"/>
                <w:szCs w:val="28"/>
              </w:rPr>
            </m:ctrlPr>
          </m:fPr>
          <m:num>
            <m:sSup>
              <m:sSupPr>
                <m:ctrlPr>
                  <w:rPr>
                    <w:rFonts w:hint="default" w:ascii="Cambria Math" w:hAnsi="Cambria Math" w:cs="Times New Roman"/>
                    <w:sz w:val="28"/>
                    <w:szCs w:val="28"/>
                  </w:rPr>
                </m:ctrlPr>
              </m:sSupPr>
              <m:e>
                <m:d>
                  <m:dPr>
                    <m:ctrlPr>
                      <w:rPr>
                        <w:rFonts w:hint="default" w:ascii="Cambria Math" w:hAnsi="Cambria Math" w:cs="Times New Roman"/>
                        <w:sz w:val="28"/>
                        <w:szCs w:val="28"/>
                      </w:rPr>
                    </m:ctrlPr>
                  </m:dPr>
                  <m:e>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σ</m:t>
                        </m:r>
                        <m:ctrlPr>
                          <w:rPr>
                            <w:rFonts w:hint="default" w:ascii="Cambria Math" w:hAnsi="Cambria Math" w:cs="Times New Roman"/>
                            <w:sz w:val="28"/>
                            <w:szCs w:val="28"/>
                          </w:rPr>
                        </m:ctrlPr>
                      </m:sup>
                    </m:sSubSup>
                    <m:ctrlPr>
                      <w:rPr>
                        <w:rFonts w:hint="default" w:ascii="Cambria Math" w:hAnsi="Cambria Math" w:cs="Times New Roman"/>
                        <w:sz w:val="28"/>
                        <w:szCs w:val="28"/>
                      </w:rPr>
                    </m:ctrlPr>
                  </m:e>
                </m:d>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2</m:t>
                </m:r>
                <m:ctrlPr>
                  <w:rPr>
                    <w:rFonts w:hint="default" w:ascii="Cambria Math" w:hAnsi="Cambria Math" w:cs="Times New Roman"/>
                    <w:sz w:val="28"/>
                    <w:szCs w:val="28"/>
                  </w:rPr>
                </m:ctrlPr>
              </m:sup>
            </m:sSup>
            <m:func>
              <m:funcPr>
                <m:ctrlPr>
                  <w:rPr>
                    <w:rFonts w:hint="default" w:ascii="Cambria Math" w:hAnsi="Cambria Math" w:cs="Times New Roman"/>
                    <w:sz w:val="28"/>
                    <w:szCs w:val="28"/>
                  </w:rPr>
                </m:ctrlPr>
              </m:funcPr>
              <m:fName>
                <m:r>
                  <m:rPr>
                    <m:nor/>
                    <m:sty m:val="p"/>
                  </m:rPr>
                  <w:rPr>
                    <w:rFonts w:hint="default" w:ascii="Times New Roman" w:hAnsi="Times New Roman" w:cs="Times New Roman"/>
                    <w:b w:val="0"/>
                    <w:i w:val="0"/>
                    <w:sz w:val="28"/>
                    <w:szCs w:val="28"/>
                  </w:rPr>
                  <m:t>ln</m:t>
                </m:r>
                <m:ctrlPr>
                  <w:rPr>
                    <w:rFonts w:hint="default" w:ascii="Cambria Math" w:hAnsi="Cambria Math" w:cs="Times New Roman"/>
                    <w:sz w:val="28"/>
                    <w:szCs w:val="28"/>
                  </w:rPr>
                </m:ctrlPr>
              </m:fName>
              <m:e>
                <m:f>
                  <m:fPr>
                    <m:ctrlPr>
                      <w:rPr>
                        <w:rFonts w:hint="default" w:ascii="Cambria Math" w:hAnsi="Cambria Math" w:cs="Times New Roman"/>
                        <w:sz w:val="28"/>
                        <w:szCs w:val="28"/>
                      </w:rPr>
                    </m:ctrlPr>
                  </m:fPr>
                  <m:num>
                    <m:sSub>
                      <m:sSubPr>
                        <m:ctrlPr>
                          <w:rPr>
                            <w:rFonts w:hint="default" w:ascii="Cambria Math" w:hAnsi="Cambria Math" w:cs="Times New Roman"/>
                            <w:sz w:val="28"/>
                            <w:szCs w:val="28"/>
                          </w:rPr>
                        </m:ctrlPr>
                      </m:sSubPr>
                      <m:e>
                        <m:r>
                          <m:rPr>
                            <m:nor/>
                          </m:rPr>
                          <w:rPr>
                            <w:rFonts w:hint="default" w:ascii="Times New Roman" w:hAnsi="Times New Roman" w:cs="Times New Roman"/>
                            <w:i/>
                            <w:sz w:val="28"/>
                            <w:szCs w:val="28"/>
                          </w:rPr>
                          <m:t>α</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Sub>
                    <m:sSub>
                      <m:sSubPr>
                        <m:ctrlPr>
                          <w:rPr>
                            <w:rFonts w:hint="default" w:ascii="Cambria Math" w:hAnsi="Cambria Math" w:cs="Times New Roman"/>
                            <w:sz w:val="28"/>
                            <w:szCs w:val="28"/>
                          </w:rPr>
                        </m:ctrlPr>
                      </m:sSubPr>
                      <m:e>
                        <m:r>
                          <m:rPr>
                            <m:nor/>
                          </m:rPr>
                          <w:rPr>
                            <w:rFonts w:hint="default" w:ascii="Times New Roman" w:hAnsi="Times New Roman" w:cs="Times New Roman"/>
                            <w:i/>
                            <w:sz w:val="28"/>
                            <w:szCs w:val="28"/>
                          </w:rPr>
                          <m:t>C</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12</m:t>
                        </m:r>
                        <m:ctrlPr>
                          <w:rPr>
                            <w:rFonts w:hint="default" w:ascii="Cambria Math" w:hAnsi="Cambria Math" w:cs="Times New Roman"/>
                            <w:sz w:val="28"/>
                            <w:szCs w:val="28"/>
                          </w:rPr>
                        </m:ctrlPr>
                      </m:sub>
                    </m:sSub>
                    <m:ctrlPr>
                      <w:rPr>
                        <w:rFonts w:hint="default" w:ascii="Cambria Math" w:hAnsi="Cambria Math" w:cs="Times New Roman"/>
                        <w:sz w:val="28"/>
                        <w:szCs w:val="28"/>
                      </w:rPr>
                    </m:ctrlPr>
                  </m:num>
                  <m:den>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σ</m:t>
                        </m:r>
                        <m:ctrlPr>
                          <w:rPr>
                            <w:rFonts w:hint="default" w:ascii="Cambria Math" w:hAnsi="Cambria Math" w:cs="Times New Roman"/>
                            <w:sz w:val="28"/>
                            <w:szCs w:val="28"/>
                          </w:rPr>
                        </m:ctrlPr>
                      </m:sup>
                    </m:sSubSup>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0</m:t>
                        </m:r>
                        <m:ctrlPr>
                          <w:rPr>
                            <w:rFonts w:hint="default" w:ascii="Cambria Math" w:hAnsi="Cambria Math" w:cs="Times New Roman"/>
                            <w:sz w:val="28"/>
                            <w:szCs w:val="28"/>
                          </w:rPr>
                        </m:ctrlPr>
                      </m:sup>
                    </m:sSubSup>
                    <m:ctrlPr>
                      <w:rPr>
                        <w:rFonts w:hint="default" w:ascii="Cambria Math" w:hAnsi="Cambria Math" w:cs="Times New Roman"/>
                        <w:sz w:val="28"/>
                        <w:szCs w:val="28"/>
                      </w:rPr>
                    </m:ctrlPr>
                  </m:den>
                </m:f>
                <m:ctrlPr>
                  <w:rPr>
                    <w:rFonts w:hint="default" w:ascii="Cambria Math" w:hAnsi="Cambria Math" w:cs="Times New Roman"/>
                    <w:sz w:val="28"/>
                    <w:szCs w:val="28"/>
                  </w:rPr>
                </m:ctrlPr>
              </m:e>
            </m:func>
            <m:ctrlPr>
              <w:rPr>
                <w:rFonts w:hint="default" w:ascii="Cambria Math" w:hAnsi="Cambria Math" w:cs="Times New Roman"/>
                <w:sz w:val="28"/>
                <w:szCs w:val="28"/>
              </w:rPr>
            </m:ctrlPr>
          </m:num>
          <m:den>
            <m:sSup>
              <m:sSupPr>
                <m:ctrlPr>
                  <w:rPr>
                    <w:rFonts w:hint="default" w:ascii="Cambria Math" w:hAnsi="Cambria Math" w:cs="Times New Roman"/>
                    <w:sz w:val="28"/>
                    <w:szCs w:val="28"/>
                  </w:rPr>
                </m:ctrlPr>
              </m:sSupPr>
              <m:e>
                <m:d>
                  <m:dPr>
                    <m:ctrlPr>
                      <w:rPr>
                        <w:rFonts w:hint="default" w:ascii="Cambria Math" w:hAnsi="Cambria Math" w:cs="Times New Roman"/>
                        <w:sz w:val="28"/>
                        <w:szCs w:val="28"/>
                      </w:rPr>
                    </m:ctrlPr>
                  </m:dPr>
                  <m:e>
                    <m:r>
                      <m:rPr>
                        <m:nor/>
                        <m:sty m:val="p"/>
                      </m:rPr>
                      <w:rPr>
                        <w:rFonts w:hint="default" w:ascii="Times New Roman" w:hAnsi="Times New Roman" w:cs="Times New Roman"/>
                        <w:b w:val="0"/>
                        <w:i w:val="0"/>
                        <w:sz w:val="28"/>
                        <w:szCs w:val="28"/>
                      </w:rPr>
                      <m:t>1-</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σ</m:t>
                        </m:r>
                        <m:ctrlPr>
                          <w:rPr>
                            <w:rFonts w:hint="default" w:ascii="Cambria Math" w:hAnsi="Cambria Math" w:cs="Times New Roman"/>
                            <w:sz w:val="28"/>
                            <w:szCs w:val="28"/>
                          </w:rPr>
                        </m:ctrlPr>
                      </m:sup>
                    </m:sSubSup>
                    <m:ctrlPr>
                      <w:rPr>
                        <w:rFonts w:hint="default" w:ascii="Cambria Math" w:hAnsi="Cambria Math" w:cs="Times New Roman"/>
                        <w:sz w:val="28"/>
                        <w:szCs w:val="28"/>
                      </w:rPr>
                    </m:ctrlPr>
                  </m:e>
                </m:d>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2</m:t>
                </m:r>
                <m:ctrlPr>
                  <w:rPr>
                    <w:rFonts w:hint="default" w:ascii="Cambria Math" w:hAnsi="Cambria Math" w:cs="Times New Roman"/>
                    <w:sz w:val="28"/>
                    <w:szCs w:val="28"/>
                  </w:rPr>
                </m:ctrlPr>
              </m:sup>
            </m:sSup>
            <m:func>
              <m:funcPr>
                <m:ctrlPr>
                  <w:rPr>
                    <w:rFonts w:hint="default" w:ascii="Cambria Math" w:hAnsi="Cambria Math" w:cs="Times New Roman"/>
                    <w:sz w:val="28"/>
                    <w:szCs w:val="28"/>
                  </w:rPr>
                </m:ctrlPr>
              </m:funcPr>
              <m:fName>
                <m:r>
                  <m:rPr>
                    <m:nor/>
                    <m:sty m:val="p"/>
                  </m:rPr>
                  <w:rPr>
                    <w:rFonts w:hint="default" w:ascii="Times New Roman" w:hAnsi="Times New Roman" w:cs="Times New Roman"/>
                    <w:b w:val="0"/>
                    <w:i w:val="0"/>
                    <w:sz w:val="28"/>
                    <w:szCs w:val="28"/>
                  </w:rPr>
                  <m:t>ln</m:t>
                </m:r>
                <m:ctrlPr>
                  <w:rPr>
                    <w:rFonts w:hint="default" w:ascii="Cambria Math" w:hAnsi="Cambria Math" w:cs="Times New Roman"/>
                    <w:sz w:val="28"/>
                    <w:szCs w:val="28"/>
                  </w:rPr>
                </m:ctrlPr>
              </m:fName>
              <m:e>
                <m:f>
                  <m:fPr>
                    <m:ctrlPr>
                      <w:rPr>
                        <w:rFonts w:hint="default" w:ascii="Cambria Math" w:hAnsi="Cambria Math" w:cs="Times New Roman"/>
                        <w:sz w:val="28"/>
                        <w:szCs w:val="28"/>
                      </w:rPr>
                    </m:ctrlPr>
                  </m:fPr>
                  <m:num>
                    <m:d>
                      <m:dPr>
                        <m:ctrlPr>
                          <w:rPr>
                            <w:rFonts w:hint="default" w:ascii="Cambria Math" w:hAnsi="Cambria Math" w:cs="Times New Roman"/>
                            <w:sz w:val="28"/>
                            <w:szCs w:val="28"/>
                          </w:rPr>
                        </m:ctrlPr>
                      </m:dPr>
                      <m:e>
                        <m:r>
                          <m:rPr>
                            <m:nor/>
                            <m:sty m:val="p"/>
                          </m:rPr>
                          <w:rPr>
                            <w:rFonts w:hint="default" w:ascii="Times New Roman" w:hAnsi="Times New Roman" w:cs="Times New Roman"/>
                            <w:b w:val="0"/>
                            <w:i w:val="0"/>
                            <w:sz w:val="28"/>
                            <w:szCs w:val="28"/>
                          </w:rPr>
                          <m:t>1-</m:t>
                        </m:r>
                        <m:sSub>
                          <m:sSubPr>
                            <m:ctrlPr>
                              <w:rPr>
                                <w:rFonts w:hint="default" w:ascii="Cambria Math" w:hAnsi="Cambria Math" w:cs="Times New Roman"/>
                                <w:sz w:val="28"/>
                                <w:szCs w:val="28"/>
                              </w:rPr>
                            </m:ctrlPr>
                          </m:sSubPr>
                          <m:e>
                            <m:r>
                              <m:rPr>
                                <m:nor/>
                              </m:rPr>
                              <w:rPr>
                                <w:rFonts w:hint="default" w:ascii="Times New Roman" w:hAnsi="Times New Roman" w:cs="Times New Roman"/>
                                <w:i/>
                                <w:sz w:val="28"/>
                                <w:szCs w:val="28"/>
                              </w:rPr>
                              <m:t>α</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Sub>
                        <m:ctrlPr>
                          <w:rPr>
                            <w:rFonts w:hint="default" w:ascii="Cambria Math" w:hAnsi="Cambria Math" w:cs="Times New Roman"/>
                            <w:sz w:val="28"/>
                            <w:szCs w:val="28"/>
                          </w:rPr>
                        </m:ctrlPr>
                      </m:e>
                    </m:d>
                    <m:sSub>
                      <m:sSubPr>
                        <m:ctrlPr>
                          <w:rPr>
                            <w:rFonts w:hint="default" w:ascii="Cambria Math" w:hAnsi="Cambria Math" w:cs="Times New Roman"/>
                            <w:sz w:val="28"/>
                            <w:szCs w:val="28"/>
                          </w:rPr>
                        </m:ctrlPr>
                      </m:sSubPr>
                      <m:e>
                        <m:r>
                          <m:rPr>
                            <m:nor/>
                          </m:rPr>
                          <w:rPr>
                            <w:rFonts w:hint="default" w:ascii="Times New Roman" w:hAnsi="Times New Roman" w:cs="Times New Roman"/>
                            <w:i/>
                            <w:sz w:val="28"/>
                            <w:szCs w:val="28"/>
                          </w:rPr>
                          <m:t>C</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12</m:t>
                        </m:r>
                        <m:ctrlPr>
                          <w:rPr>
                            <w:rFonts w:hint="default" w:ascii="Cambria Math" w:hAnsi="Cambria Math" w:cs="Times New Roman"/>
                            <w:sz w:val="28"/>
                            <w:szCs w:val="28"/>
                          </w:rPr>
                        </m:ctrlPr>
                      </m:sub>
                    </m:sSub>
                    <m:ctrlPr>
                      <w:rPr>
                        <w:rFonts w:hint="default" w:ascii="Cambria Math" w:hAnsi="Cambria Math" w:cs="Times New Roman"/>
                        <w:sz w:val="28"/>
                        <w:szCs w:val="28"/>
                      </w:rPr>
                    </m:ctrlPr>
                  </m:num>
                  <m:den>
                    <m:d>
                      <m:dPr>
                        <m:ctrlPr>
                          <w:rPr>
                            <w:rFonts w:hint="default" w:ascii="Cambria Math" w:hAnsi="Cambria Math" w:cs="Times New Roman"/>
                            <w:sz w:val="28"/>
                            <w:szCs w:val="28"/>
                          </w:rPr>
                        </m:ctrlPr>
                      </m:dPr>
                      <m:e>
                        <m:r>
                          <m:rPr>
                            <m:nor/>
                            <m:sty m:val="p"/>
                          </m:rPr>
                          <w:rPr>
                            <w:rFonts w:hint="default" w:ascii="Times New Roman" w:hAnsi="Times New Roman" w:cs="Times New Roman"/>
                            <w:b w:val="0"/>
                            <w:i w:val="0"/>
                            <w:sz w:val="28"/>
                            <w:szCs w:val="28"/>
                          </w:rPr>
                          <m:t>1-</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σ</m:t>
                            </m:r>
                            <m:ctrlPr>
                              <w:rPr>
                                <w:rFonts w:hint="default" w:ascii="Cambria Math" w:hAnsi="Cambria Math" w:cs="Times New Roman"/>
                                <w:sz w:val="28"/>
                                <w:szCs w:val="28"/>
                              </w:rPr>
                            </m:ctrlPr>
                          </m:sup>
                        </m:sSubSup>
                        <m:ctrlPr>
                          <w:rPr>
                            <w:rFonts w:hint="default" w:ascii="Cambria Math" w:hAnsi="Cambria Math" w:cs="Times New Roman"/>
                            <w:sz w:val="28"/>
                            <w:szCs w:val="28"/>
                          </w:rPr>
                        </m:ctrlPr>
                      </m:e>
                    </m:d>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2</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0</m:t>
                        </m:r>
                        <m:ctrlPr>
                          <w:rPr>
                            <w:rFonts w:hint="default" w:ascii="Cambria Math" w:hAnsi="Cambria Math" w:cs="Times New Roman"/>
                            <w:sz w:val="28"/>
                            <w:szCs w:val="28"/>
                          </w:rPr>
                        </m:ctrlPr>
                      </m:sup>
                    </m:sSubSup>
                    <m:ctrlPr>
                      <w:rPr>
                        <w:rFonts w:hint="default" w:ascii="Cambria Math" w:hAnsi="Cambria Math" w:cs="Times New Roman"/>
                        <w:sz w:val="28"/>
                        <w:szCs w:val="28"/>
                      </w:rPr>
                    </m:ctrlPr>
                  </m:den>
                </m:f>
                <m:ctrlPr>
                  <w:rPr>
                    <w:rFonts w:hint="default" w:ascii="Cambria Math" w:hAnsi="Cambria Math" w:cs="Times New Roman"/>
                    <w:sz w:val="28"/>
                    <w:szCs w:val="28"/>
                  </w:rPr>
                </m:ctrlPr>
              </m:e>
            </m:func>
            <m:ctrlPr>
              <w:rPr>
                <w:rFonts w:hint="default" w:ascii="Cambria Math" w:hAnsi="Cambria Math" w:cs="Times New Roman"/>
                <w:sz w:val="28"/>
                <w:szCs w:val="28"/>
              </w:rPr>
            </m:ctrlPr>
          </m:den>
        </m:f>
        <m:r>
          <m:rPr>
            <m:nor/>
            <m:sty m:val="p"/>
          </m:rPr>
          <w:rPr>
            <w:rFonts w:hint="default" w:ascii="Times New Roman" w:hAnsi="Times New Roman" w:cs="Times New Roman"/>
            <w:b w:val="0"/>
            <w:i w:val="0"/>
            <w:sz w:val="28"/>
            <w:szCs w:val="28"/>
          </w:rPr>
          <m:t xml:space="preserve">  </m:t>
        </m:r>
      </m:oMath>
      <w:r>
        <w:rPr>
          <w:rFonts w:hint="default" w:ascii="Times New Roman" w:hAnsi="Times New Roman" w:cs="Times New Roman"/>
          <w:sz w:val="28"/>
          <w:szCs w:val="28"/>
        </w:rPr>
        <w:t xml:space="preserve">                                               (5</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rPr>
        <w:t>1)</w:t>
      </w:r>
    </w:p>
    <w:p w14:paraId="606BE605">
      <w:pPr>
        <w:widowControl/>
        <w:ind w:firstLine="709" w:firstLineChars="0"/>
        <w:jc w:val="right"/>
        <w:rPr>
          <w:rFonts w:hint="default" w:ascii="Times New Roman" w:hAnsi="Times New Roman" w:cs="Times New Roman"/>
          <w:sz w:val="28"/>
          <w:szCs w:val="28"/>
        </w:rPr>
      </w:pPr>
      <m:oMath>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σ</m:t>
            </m:r>
            <m:ctrlPr>
              <w:rPr>
                <w:rFonts w:hint="default" w:ascii="Cambria Math" w:hAnsi="Cambria Math" w:cs="Times New Roman"/>
                <w:sz w:val="28"/>
                <w:szCs w:val="28"/>
              </w:rPr>
            </m:ctrlPr>
          </m:sup>
        </m:sSup>
        <m:r>
          <m:rPr>
            <m:nor/>
            <m:sty m:val="p"/>
          </m:rPr>
          <w:rPr>
            <w:rFonts w:hint="default" w:ascii="Times New Roman" w:hAnsi="Times New Roman" w:cs="Times New Roman"/>
            <w:b w:val="0"/>
            <w:i w:val="0"/>
            <w:sz w:val="28"/>
            <w:szCs w:val="28"/>
          </w:rPr>
          <m:t>=</m:t>
        </m:r>
        <m:f>
          <m:fPr>
            <m:ctrlPr>
              <w:rPr>
                <w:rFonts w:hint="default" w:ascii="Cambria Math" w:hAnsi="Cambria Math" w:cs="Times New Roman"/>
                <w:sz w:val="28"/>
                <w:szCs w:val="28"/>
              </w:rPr>
            </m:ctrlPr>
          </m:fPr>
          <m:num>
            <m:func>
              <m:funcPr>
                <m:ctrlPr>
                  <w:rPr>
                    <w:rFonts w:hint="default" w:ascii="Cambria Math" w:hAnsi="Cambria Math" w:cs="Times New Roman"/>
                    <w:sz w:val="28"/>
                    <w:szCs w:val="28"/>
                  </w:rPr>
                </m:ctrlPr>
              </m:funcPr>
              <m:fName>
                <m:r>
                  <m:rPr>
                    <m:nor/>
                    <m:sty m:val="p"/>
                  </m:rPr>
                  <w:rPr>
                    <w:rFonts w:hint="default" w:ascii="Times New Roman" w:hAnsi="Times New Roman" w:cs="Times New Roman"/>
                    <w:b w:val="0"/>
                    <w:i w:val="0"/>
                    <w:sz w:val="28"/>
                    <w:szCs w:val="28"/>
                  </w:rPr>
                  <m:t>ln</m:t>
                </m:r>
                <m:ctrlPr>
                  <w:rPr>
                    <w:rFonts w:hint="default" w:ascii="Cambria Math" w:hAnsi="Cambria Math" w:cs="Times New Roman"/>
                    <w:sz w:val="28"/>
                    <w:szCs w:val="28"/>
                  </w:rPr>
                </m:ctrlPr>
              </m:fName>
              <m:e>
                <m:f>
                  <m:fPr>
                    <m:ctrlPr>
                      <w:rPr>
                        <w:rFonts w:hint="default" w:ascii="Cambria Math" w:hAnsi="Cambria Math" w:cs="Times New Roman"/>
                        <w:sz w:val="28"/>
                        <w:szCs w:val="28"/>
                      </w:rPr>
                    </m:ctrlPr>
                  </m:fPr>
                  <m:num>
                    <m:sSub>
                      <m:sSubPr>
                        <m:ctrlPr>
                          <w:rPr>
                            <w:rFonts w:hint="default" w:ascii="Cambria Math" w:hAnsi="Cambria Math" w:cs="Times New Roman"/>
                            <w:sz w:val="28"/>
                            <w:szCs w:val="28"/>
                          </w:rPr>
                        </m:ctrlPr>
                      </m:sSubPr>
                      <m:e>
                        <m:r>
                          <m:rPr>
                            <m:nor/>
                          </m:rPr>
                          <w:rPr>
                            <w:rFonts w:hint="default" w:ascii="Times New Roman" w:hAnsi="Times New Roman" w:cs="Times New Roman"/>
                            <w:i/>
                            <w:sz w:val="28"/>
                            <w:szCs w:val="28"/>
                          </w:rPr>
                          <m:t>α</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Sub>
                    <m:sSub>
                      <m:sSubPr>
                        <m:ctrlPr>
                          <w:rPr>
                            <w:rFonts w:hint="default" w:ascii="Cambria Math" w:hAnsi="Cambria Math" w:cs="Times New Roman"/>
                            <w:sz w:val="28"/>
                            <w:szCs w:val="28"/>
                          </w:rPr>
                        </m:ctrlPr>
                      </m:sSubPr>
                      <m:e>
                        <m:r>
                          <m:rPr>
                            <m:nor/>
                          </m:rPr>
                          <w:rPr>
                            <w:rFonts w:hint="default" w:ascii="Times New Roman" w:hAnsi="Times New Roman" w:cs="Times New Roman"/>
                            <w:i/>
                            <w:sz w:val="28"/>
                            <w:szCs w:val="28"/>
                          </w:rPr>
                          <m:t>C</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12</m:t>
                        </m:r>
                        <m:ctrlPr>
                          <w:rPr>
                            <w:rFonts w:hint="default" w:ascii="Cambria Math" w:hAnsi="Cambria Math" w:cs="Times New Roman"/>
                            <w:sz w:val="28"/>
                            <w:szCs w:val="28"/>
                          </w:rPr>
                        </m:ctrlPr>
                      </m:sub>
                    </m:sSub>
                    <m:ctrlPr>
                      <w:rPr>
                        <w:rFonts w:hint="default" w:ascii="Cambria Math" w:hAnsi="Cambria Math" w:cs="Times New Roman"/>
                        <w:sz w:val="28"/>
                        <w:szCs w:val="28"/>
                      </w:rPr>
                    </m:ctrlPr>
                  </m:num>
                  <m:den>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σ</m:t>
                        </m:r>
                        <m:ctrlPr>
                          <w:rPr>
                            <w:rFonts w:hint="default" w:ascii="Cambria Math" w:hAnsi="Cambria Math" w:cs="Times New Roman"/>
                            <w:sz w:val="28"/>
                            <w:szCs w:val="28"/>
                          </w:rPr>
                        </m:ctrlPr>
                      </m:sup>
                    </m:sSubSup>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0</m:t>
                        </m:r>
                        <m:ctrlPr>
                          <w:rPr>
                            <w:rFonts w:hint="default" w:ascii="Cambria Math" w:hAnsi="Cambria Math" w:cs="Times New Roman"/>
                            <w:sz w:val="28"/>
                            <w:szCs w:val="28"/>
                          </w:rPr>
                        </m:ctrlPr>
                      </m:sup>
                    </m:sSubSup>
                    <m:ctrlPr>
                      <w:rPr>
                        <w:rFonts w:hint="default" w:ascii="Cambria Math" w:hAnsi="Cambria Math" w:cs="Times New Roman"/>
                        <w:sz w:val="28"/>
                        <w:szCs w:val="28"/>
                      </w:rPr>
                    </m:ctrlPr>
                  </m:den>
                </m:f>
                <m:ctrlPr>
                  <w:rPr>
                    <w:rFonts w:hint="default" w:ascii="Cambria Math" w:hAnsi="Cambria Math" w:cs="Times New Roman"/>
                    <w:sz w:val="28"/>
                    <w:szCs w:val="28"/>
                  </w:rPr>
                </m:ctrlPr>
              </m:e>
            </m:func>
            <m:ctrlPr>
              <w:rPr>
                <w:rFonts w:hint="default" w:ascii="Cambria Math" w:hAnsi="Cambria Math" w:cs="Times New Roman"/>
                <w:sz w:val="28"/>
                <w:szCs w:val="28"/>
              </w:rPr>
            </m:ctrlPr>
          </m:num>
          <m:den>
            <m:sSup>
              <m:sSupPr>
                <m:ctrlPr>
                  <w:rPr>
                    <w:rFonts w:hint="default" w:ascii="Cambria Math" w:hAnsi="Cambria Math" w:cs="Times New Roman"/>
                    <w:sz w:val="28"/>
                    <w:szCs w:val="28"/>
                  </w:rPr>
                </m:ctrlPr>
              </m:sSupPr>
              <m:e>
                <m:d>
                  <m:dPr>
                    <m:ctrlPr>
                      <w:rPr>
                        <w:rFonts w:hint="default" w:ascii="Cambria Math" w:hAnsi="Cambria Math" w:cs="Times New Roman"/>
                        <w:sz w:val="28"/>
                        <w:szCs w:val="28"/>
                      </w:rPr>
                    </m:ctrlPr>
                  </m:dPr>
                  <m:e>
                    <m:r>
                      <m:rPr>
                        <m:nor/>
                        <m:sty m:val="p"/>
                      </m:rPr>
                      <w:rPr>
                        <w:rFonts w:hint="default" w:ascii="Times New Roman" w:hAnsi="Times New Roman" w:cs="Times New Roman"/>
                        <w:b w:val="0"/>
                        <w:i w:val="0"/>
                        <w:sz w:val="28"/>
                        <w:szCs w:val="28"/>
                      </w:rPr>
                      <m:t>1-</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σ</m:t>
                        </m:r>
                        <m:ctrlPr>
                          <w:rPr>
                            <w:rFonts w:hint="default" w:ascii="Cambria Math" w:hAnsi="Cambria Math" w:cs="Times New Roman"/>
                            <w:sz w:val="28"/>
                            <w:szCs w:val="28"/>
                          </w:rPr>
                        </m:ctrlPr>
                      </m:sup>
                    </m:sSubSup>
                    <m:ctrlPr>
                      <w:rPr>
                        <w:rFonts w:hint="default" w:ascii="Cambria Math" w:hAnsi="Cambria Math" w:cs="Times New Roman"/>
                        <w:sz w:val="28"/>
                        <w:szCs w:val="28"/>
                      </w:rPr>
                    </m:ctrlPr>
                  </m:e>
                </m:d>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2</m:t>
                </m:r>
                <m:ctrlPr>
                  <w:rPr>
                    <w:rFonts w:hint="default" w:ascii="Cambria Math" w:hAnsi="Cambria Math" w:cs="Times New Roman"/>
                    <w:sz w:val="28"/>
                    <w:szCs w:val="28"/>
                  </w:rPr>
                </m:ctrlPr>
              </m:sup>
            </m:sSup>
            <m:ctrlPr>
              <w:rPr>
                <w:rFonts w:hint="default" w:ascii="Cambria Math" w:hAnsi="Cambria Math" w:cs="Times New Roman"/>
                <w:sz w:val="28"/>
                <w:szCs w:val="28"/>
              </w:rPr>
            </m:ctrlPr>
          </m:den>
        </m:f>
        <m:r>
          <m:rPr>
            <m:nor/>
            <m:sty m:val="p"/>
          </m:rPr>
          <w:rPr>
            <w:rFonts w:hint="default" w:ascii="Times New Roman" w:hAnsi="Times New Roman" w:cs="Times New Roman"/>
            <w:b w:val="0"/>
            <w:i w:val="0"/>
            <w:sz w:val="28"/>
            <w:szCs w:val="28"/>
          </w:rPr>
          <m:t xml:space="preserve">  </m:t>
        </m:r>
      </m:oMath>
      <w:r>
        <w:rPr>
          <w:rFonts w:hint="default" w:ascii="Times New Roman" w:hAnsi="Times New Roman" w:cs="Times New Roman"/>
          <w:sz w:val="28"/>
          <w:szCs w:val="28"/>
        </w:rPr>
        <w:t xml:space="preserve">                                                  (5</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rPr>
        <w:t>2)</w:t>
      </w:r>
    </w:p>
    <w:p w14:paraId="26642F26">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Where </w:t>
      </w:r>
      <m:oMath>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σ</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denotes the surface molar fraction of component 1. </w:t>
      </w:r>
      <m:oMath>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0</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and </w:t>
      </w:r>
      <m:oMath>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2</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0</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represent the concentrations of the individual surfactants at a fixed surface tension, respectively, whereas </w:t>
      </w:r>
      <m:oMath>
        <m:sSub>
          <m:sSubPr>
            <m:ctrlPr>
              <w:rPr>
                <w:rFonts w:hint="default" w:ascii="Cambria Math" w:hAnsi="Cambria Math" w:cs="Times New Roman"/>
                <w:sz w:val="28"/>
                <w:szCs w:val="28"/>
              </w:rPr>
            </m:ctrlPr>
          </m:sSubPr>
          <m:e>
            <m:r>
              <m:rPr>
                <m:nor/>
              </m:rPr>
              <w:rPr>
                <w:rFonts w:hint="default" w:ascii="Times New Roman" w:hAnsi="Times New Roman" w:cs="Times New Roman"/>
                <w:i/>
                <w:sz w:val="28"/>
                <w:szCs w:val="28"/>
              </w:rPr>
              <m:t>C</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12</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corresponds to the concentration of mixtures at the same condition (35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w:t>
      </w:r>
      <m:oMath>
        <m:sSub>
          <m:sSubPr>
            <m:ctrlPr>
              <w:rPr>
                <w:rFonts w:hint="default" w:ascii="Cambria Math" w:hAnsi="Cambria Math" w:cs="Times New Roman"/>
                <w:sz w:val="28"/>
                <w:szCs w:val="28"/>
              </w:rPr>
            </m:ctrlPr>
          </m:sSubPr>
          <m:e>
            <m:r>
              <m:rPr>
                <m:nor/>
              </m:rPr>
              <w:rPr>
                <w:rFonts w:hint="default" w:ascii="Times New Roman" w:hAnsi="Times New Roman" w:cs="Times New Roman"/>
                <w:i/>
                <w:sz w:val="28"/>
                <w:szCs w:val="28"/>
              </w:rPr>
              <m:t>α</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refers to the molar fraction of component 1 in the whole system. </w:t>
      </w:r>
      <m:oMath>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σ</m:t>
            </m:r>
            <m:ctrlPr>
              <w:rPr>
                <w:rFonts w:hint="default" w:ascii="Cambria Math" w:hAnsi="Cambria Math" w:cs="Times New Roman"/>
                <w:sz w:val="28"/>
                <w:szCs w:val="28"/>
              </w:rPr>
            </m:ctrlPr>
          </m:sup>
        </m:sSup>
      </m:oMath>
      <w:r>
        <w:rPr>
          <w:rFonts w:hint="default" w:ascii="Times New Roman" w:hAnsi="Times New Roman" w:cs="Times New Roman"/>
          <w:sz w:val="28"/>
          <w:szCs w:val="28"/>
        </w:rPr>
        <w:t xml:space="preserve"> indicates the interaction parameter between two surfactants in the surface phase.</w:t>
      </w:r>
    </w:p>
    <w:p w14:paraId="6C719CC5">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Rubingh’s regular solution theory can be used to calculate the interaction parameters for the formation of micelle in the bulk solution as following.</w:t>
      </w:r>
    </w:p>
    <w:p w14:paraId="5D9814D8">
      <w:pPr>
        <w:widowControl/>
        <w:ind w:firstLine="709" w:firstLineChars="0"/>
        <w:jc w:val="right"/>
        <w:rPr>
          <w:rFonts w:hint="default" w:ascii="Times New Roman" w:hAnsi="Times New Roman" w:cs="Times New Roman"/>
          <w:sz w:val="28"/>
          <w:szCs w:val="28"/>
        </w:rPr>
      </w:pPr>
      <m:oMath>
        <m:r>
          <m:rPr>
            <m:nor/>
            <m:sty m:val="p"/>
          </m:rPr>
          <w:rPr>
            <w:rFonts w:hint="default" w:ascii="Times New Roman" w:hAnsi="Times New Roman" w:cs="Times New Roman"/>
            <w:b w:val="0"/>
            <w:i w:val="0"/>
            <w:sz w:val="28"/>
            <w:szCs w:val="28"/>
          </w:rPr>
          <m:t>1=</m:t>
        </m:r>
        <m:f>
          <m:fPr>
            <m:ctrlPr>
              <w:rPr>
                <w:rFonts w:hint="default" w:ascii="Cambria Math" w:hAnsi="Cambria Math" w:cs="Times New Roman"/>
                <w:sz w:val="28"/>
                <w:szCs w:val="28"/>
              </w:rPr>
            </m:ctrlPr>
          </m:fPr>
          <m:num>
            <m:sSup>
              <m:sSupPr>
                <m:ctrlPr>
                  <w:rPr>
                    <w:rFonts w:hint="default" w:ascii="Cambria Math" w:hAnsi="Cambria Math" w:cs="Times New Roman"/>
                    <w:sz w:val="28"/>
                    <w:szCs w:val="28"/>
                  </w:rPr>
                </m:ctrlPr>
              </m:sSupPr>
              <m:e>
                <m:d>
                  <m:dPr>
                    <m:ctrlPr>
                      <w:rPr>
                        <w:rFonts w:hint="default" w:ascii="Cambria Math" w:hAnsi="Cambria Math" w:cs="Times New Roman"/>
                        <w:sz w:val="28"/>
                        <w:szCs w:val="28"/>
                      </w:rPr>
                    </m:ctrlPr>
                  </m:dPr>
                  <m:e>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bSup>
                    <m:ctrlPr>
                      <w:rPr>
                        <w:rFonts w:hint="default" w:ascii="Cambria Math" w:hAnsi="Cambria Math" w:cs="Times New Roman"/>
                        <w:sz w:val="28"/>
                        <w:szCs w:val="28"/>
                      </w:rPr>
                    </m:ctrlPr>
                  </m:e>
                </m:d>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2</m:t>
                </m:r>
                <m:ctrlPr>
                  <w:rPr>
                    <w:rFonts w:hint="default" w:ascii="Cambria Math" w:hAnsi="Cambria Math" w:cs="Times New Roman"/>
                    <w:sz w:val="28"/>
                    <w:szCs w:val="28"/>
                  </w:rPr>
                </m:ctrlPr>
              </m:sup>
            </m:sSup>
            <m:func>
              <m:funcPr>
                <m:ctrlPr>
                  <w:rPr>
                    <w:rFonts w:hint="default" w:ascii="Cambria Math" w:hAnsi="Cambria Math" w:cs="Times New Roman"/>
                    <w:sz w:val="28"/>
                    <w:szCs w:val="28"/>
                  </w:rPr>
                </m:ctrlPr>
              </m:funcPr>
              <m:fName>
                <m:r>
                  <m:rPr>
                    <m:nor/>
                    <m:sty m:val="p"/>
                  </m:rPr>
                  <w:rPr>
                    <w:rFonts w:hint="default" w:ascii="Times New Roman" w:hAnsi="Times New Roman" w:cs="Times New Roman"/>
                    <w:b w:val="0"/>
                    <w:i w:val="0"/>
                    <w:sz w:val="28"/>
                    <w:szCs w:val="28"/>
                  </w:rPr>
                  <m:t>ln</m:t>
                </m:r>
                <m:ctrlPr>
                  <w:rPr>
                    <w:rFonts w:hint="default" w:ascii="Cambria Math" w:hAnsi="Cambria Math" w:cs="Times New Roman"/>
                    <w:sz w:val="28"/>
                    <w:szCs w:val="28"/>
                  </w:rPr>
                </m:ctrlPr>
              </m:fName>
              <m:e>
                <m:f>
                  <m:fPr>
                    <m:ctrlPr>
                      <w:rPr>
                        <w:rFonts w:hint="default" w:ascii="Cambria Math" w:hAnsi="Cambria Math" w:cs="Times New Roman"/>
                        <w:sz w:val="28"/>
                        <w:szCs w:val="28"/>
                      </w:rPr>
                    </m:ctrlPr>
                  </m:fPr>
                  <m:num>
                    <m:sSub>
                      <m:sSubPr>
                        <m:ctrlPr>
                          <w:rPr>
                            <w:rFonts w:hint="default" w:ascii="Cambria Math" w:hAnsi="Cambria Math" w:cs="Times New Roman"/>
                            <w:sz w:val="28"/>
                            <w:szCs w:val="28"/>
                          </w:rPr>
                        </m:ctrlPr>
                      </m:sSubPr>
                      <m:e>
                        <m:r>
                          <m:rPr>
                            <m:nor/>
                          </m:rPr>
                          <w:rPr>
                            <w:rFonts w:hint="default" w:ascii="Times New Roman" w:hAnsi="Times New Roman" w:cs="Times New Roman"/>
                            <w:i/>
                            <w:sz w:val="28"/>
                            <w:szCs w:val="28"/>
                          </w:rPr>
                          <m:t>α</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Sub>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12</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bSup>
                    <m:ctrlPr>
                      <w:rPr>
                        <w:rFonts w:hint="default" w:ascii="Cambria Math" w:hAnsi="Cambria Math" w:cs="Times New Roman"/>
                        <w:sz w:val="28"/>
                        <w:szCs w:val="28"/>
                      </w:rPr>
                    </m:ctrlPr>
                  </m:num>
                  <m:den>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bSup>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bSup>
                    <m:ctrlPr>
                      <w:rPr>
                        <w:rFonts w:hint="default" w:ascii="Cambria Math" w:hAnsi="Cambria Math" w:cs="Times New Roman"/>
                        <w:sz w:val="28"/>
                        <w:szCs w:val="28"/>
                      </w:rPr>
                    </m:ctrlPr>
                  </m:den>
                </m:f>
                <m:ctrlPr>
                  <w:rPr>
                    <w:rFonts w:hint="default" w:ascii="Cambria Math" w:hAnsi="Cambria Math" w:cs="Times New Roman"/>
                    <w:sz w:val="28"/>
                    <w:szCs w:val="28"/>
                  </w:rPr>
                </m:ctrlPr>
              </m:e>
            </m:func>
            <m:ctrlPr>
              <w:rPr>
                <w:rFonts w:hint="default" w:ascii="Cambria Math" w:hAnsi="Cambria Math" w:cs="Times New Roman"/>
                <w:sz w:val="28"/>
                <w:szCs w:val="28"/>
              </w:rPr>
            </m:ctrlPr>
          </m:num>
          <m:den>
            <m:sSup>
              <m:sSupPr>
                <m:ctrlPr>
                  <w:rPr>
                    <w:rFonts w:hint="default" w:ascii="Cambria Math" w:hAnsi="Cambria Math" w:cs="Times New Roman"/>
                    <w:sz w:val="28"/>
                    <w:szCs w:val="28"/>
                  </w:rPr>
                </m:ctrlPr>
              </m:sSupPr>
              <m:e>
                <m:d>
                  <m:dPr>
                    <m:ctrlPr>
                      <w:rPr>
                        <w:rFonts w:hint="default" w:ascii="Cambria Math" w:hAnsi="Cambria Math" w:cs="Times New Roman"/>
                        <w:sz w:val="28"/>
                        <w:szCs w:val="28"/>
                      </w:rPr>
                    </m:ctrlPr>
                  </m:dPr>
                  <m:e>
                    <m:r>
                      <m:rPr>
                        <m:nor/>
                        <m:sty m:val="p"/>
                      </m:rPr>
                      <w:rPr>
                        <w:rFonts w:hint="default" w:ascii="Times New Roman" w:hAnsi="Times New Roman" w:cs="Times New Roman"/>
                        <w:b w:val="0"/>
                        <w:i w:val="0"/>
                        <w:sz w:val="28"/>
                        <w:szCs w:val="28"/>
                      </w:rPr>
                      <m:t>1-</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bSup>
                    <m:ctrlPr>
                      <w:rPr>
                        <w:rFonts w:hint="default" w:ascii="Cambria Math" w:hAnsi="Cambria Math" w:cs="Times New Roman"/>
                        <w:sz w:val="28"/>
                        <w:szCs w:val="28"/>
                      </w:rPr>
                    </m:ctrlPr>
                  </m:e>
                </m:d>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2</m:t>
                </m:r>
                <m:ctrlPr>
                  <w:rPr>
                    <w:rFonts w:hint="default" w:ascii="Cambria Math" w:hAnsi="Cambria Math" w:cs="Times New Roman"/>
                    <w:sz w:val="28"/>
                    <w:szCs w:val="28"/>
                  </w:rPr>
                </m:ctrlPr>
              </m:sup>
            </m:sSup>
            <m:func>
              <m:funcPr>
                <m:ctrlPr>
                  <w:rPr>
                    <w:rFonts w:hint="default" w:ascii="Cambria Math" w:hAnsi="Cambria Math" w:cs="Times New Roman"/>
                    <w:sz w:val="28"/>
                    <w:szCs w:val="28"/>
                  </w:rPr>
                </m:ctrlPr>
              </m:funcPr>
              <m:fName>
                <m:r>
                  <m:rPr>
                    <m:nor/>
                    <m:sty m:val="p"/>
                  </m:rPr>
                  <w:rPr>
                    <w:rFonts w:hint="default" w:ascii="Times New Roman" w:hAnsi="Times New Roman" w:cs="Times New Roman"/>
                    <w:b w:val="0"/>
                    <w:i w:val="0"/>
                    <w:sz w:val="28"/>
                    <w:szCs w:val="28"/>
                  </w:rPr>
                  <m:t>ln</m:t>
                </m:r>
                <m:ctrlPr>
                  <w:rPr>
                    <w:rFonts w:hint="default" w:ascii="Cambria Math" w:hAnsi="Cambria Math" w:cs="Times New Roman"/>
                    <w:sz w:val="28"/>
                    <w:szCs w:val="28"/>
                  </w:rPr>
                </m:ctrlPr>
              </m:fName>
              <m:e>
                <m:f>
                  <m:fPr>
                    <m:ctrlPr>
                      <w:rPr>
                        <w:rFonts w:hint="default" w:ascii="Cambria Math" w:hAnsi="Cambria Math" w:cs="Times New Roman"/>
                        <w:sz w:val="28"/>
                        <w:szCs w:val="28"/>
                      </w:rPr>
                    </m:ctrlPr>
                  </m:fPr>
                  <m:num>
                    <m:d>
                      <m:dPr>
                        <m:ctrlPr>
                          <w:rPr>
                            <w:rFonts w:hint="default" w:ascii="Cambria Math" w:hAnsi="Cambria Math" w:cs="Times New Roman"/>
                            <w:sz w:val="28"/>
                            <w:szCs w:val="28"/>
                          </w:rPr>
                        </m:ctrlPr>
                      </m:dPr>
                      <m:e>
                        <m:r>
                          <m:rPr>
                            <m:nor/>
                            <m:sty m:val="p"/>
                          </m:rPr>
                          <w:rPr>
                            <w:rFonts w:hint="default" w:ascii="Times New Roman" w:hAnsi="Times New Roman" w:cs="Times New Roman"/>
                            <w:b w:val="0"/>
                            <w:i w:val="0"/>
                            <w:sz w:val="28"/>
                            <w:szCs w:val="28"/>
                          </w:rPr>
                          <m:t>1-</m:t>
                        </m:r>
                        <m:sSub>
                          <m:sSubPr>
                            <m:ctrlPr>
                              <w:rPr>
                                <w:rFonts w:hint="default" w:ascii="Cambria Math" w:hAnsi="Cambria Math" w:cs="Times New Roman"/>
                                <w:sz w:val="28"/>
                                <w:szCs w:val="28"/>
                              </w:rPr>
                            </m:ctrlPr>
                          </m:sSubPr>
                          <m:e>
                            <m:r>
                              <m:rPr>
                                <m:nor/>
                              </m:rPr>
                              <w:rPr>
                                <w:rFonts w:hint="default" w:ascii="Times New Roman" w:hAnsi="Times New Roman" w:cs="Times New Roman"/>
                                <w:i/>
                                <w:sz w:val="28"/>
                                <w:szCs w:val="28"/>
                              </w:rPr>
                              <m:t>α</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Sub>
                        <m:ctrlPr>
                          <w:rPr>
                            <w:rFonts w:hint="default" w:ascii="Cambria Math" w:hAnsi="Cambria Math" w:cs="Times New Roman"/>
                            <w:sz w:val="28"/>
                            <w:szCs w:val="28"/>
                          </w:rPr>
                        </m:ctrlPr>
                      </m:e>
                    </m:d>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12</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bSup>
                    <m:ctrlPr>
                      <w:rPr>
                        <w:rFonts w:hint="default" w:ascii="Cambria Math" w:hAnsi="Cambria Math" w:cs="Times New Roman"/>
                        <w:sz w:val="28"/>
                        <w:szCs w:val="28"/>
                      </w:rPr>
                    </m:ctrlPr>
                  </m:num>
                  <m:den>
                    <m:d>
                      <m:dPr>
                        <m:ctrlPr>
                          <w:rPr>
                            <w:rFonts w:hint="default" w:ascii="Cambria Math" w:hAnsi="Cambria Math" w:cs="Times New Roman"/>
                            <w:sz w:val="28"/>
                            <w:szCs w:val="28"/>
                          </w:rPr>
                        </m:ctrlPr>
                      </m:dPr>
                      <m:e>
                        <m:r>
                          <m:rPr>
                            <m:nor/>
                            <m:sty m:val="p"/>
                          </m:rPr>
                          <w:rPr>
                            <w:rFonts w:hint="default" w:ascii="Times New Roman" w:hAnsi="Times New Roman" w:cs="Times New Roman"/>
                            <w:b w:val="0"/>
                            <w:i w:val="0"/>
                            <w:sz w:val="28"/>
                            <w:szCs w:val="28"/>
                          </w:rPr>
                          <m:t>1-</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bSup>
                        <m:ctrlPr>
                          <w:rPr>
                            <w:rFonts w:hint="default" w:ascii="Cambria Math" w:hAnsi="Cambria Math" w:cs="Times New Roman"/>
                            <w:sz w:val="28"/>
                            <w:szCs w:val="28"/>
                          </w:rPr>
                        </m:ctrlPr>
                      </m:e>
                    </m:d>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2</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bSup>
                    <m:ctrlPr>
                      <w:rPr>
                        <w:rFonts w:hint="default" w:ascii="Cambria Math" w:hAnsi="Cambria Math" w:cs="Times New Roman"/>
                        <w:sz w:val="28"/>
                        <w:szCs w:val="28"/>
                      </w:rPr>
                    </m:ctrlPr>
                  </m:den>
                </m:f>
                <m:ctrlPr>
                  <w:rPr>
                    <w:rFonts w:hint="default" w:ascii="Cambria Math" w:hAnsi="Cambria Math" w:cs="Times New Roman"/>
                    <w:sz w:val="28"/>
                    <w:szCs w:val="28"/>
                  </w:rPr>
                </m:ctrlPr>
              </m:e>
            </m:func>
            <m:ctrlPr>
              <w:rPr>
                <w:rFonts w:hint="default" w:ascii="Cambria Math" w:hAnsi="Cambria Math" w:cs="Times New Roman"/>
                <w:sz w:val="28"/>
                <w:szCs w:val="28"/>
              </w:rPr>
            </m:ctrlPr>
          </m:den>
        </m:f>
        <m:r>
          <m:rPr>
            <m:nor/>
            <m:sty m:val="p"/>
          </m:rPr>
          <w:rPr>
            <w:rFonts w:hint="default" w:ascii="Times New Roman" w:hAnsi="Times New Roman" w:cs="Times New Roman"/>
            <w:b w:val="0"/>
            <w:i w:val="0"/>
            <w:sz w:val="28"/>
            <w:szCs w:val="28"/>
          </w:rPr>
          <m:t xml:space="preserve"> </m:t>
        </m:r>
      </m:oMath>
      <w:r>
        <w:rPr>
          <w:rFonts w:hint="default" w:ascii="Times New Roman" w:hAnsi="Times New Roman" w:cs="Times New Roman"/>
          <w:sz w:val="28"/>
          <w:szCs w:val="28"/>
        </w:rPr>
        <w:t xml:space="preserve">                                                       (5</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rPr>
        <w:t>3)</w:t>
      </w:r>
    </w:p>
    <w:p w14:paraId="2E64963C">
      <w:pPr>
        <w:widowControl/>
        <w:ind w:firstLine="709" w:firstLineChars="0"/>
        <w:jc w:val="right"/>
        <w:rPr>
          <w:rFonts w:hint="default" w:ascii="Times New Roman" w:hAnsi="Times New Roman" w:cs="Times New Roman"/>
          <w:sz w:val="28"/>
          <w:szCs w:val="28"/>
        </w:rPr>
      </w:pPr>
      <m:oMath>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p>
        <m:r>
          <m:rPr>
            <m:nor/>
            <m:sty m:val="p"/>
          </m:rPr>
          <w:rPr>
            <w:rFonts w:hint="default" w:ascii="Times New Roman" w:hAnsi="Times New Roman" w:cs="Times New Roman"/>
            <w:b w:val="0"/>
            <w:i w:val="0"/>
            <w:sz w:val="28"/>
            <w:szCs w:val="28"/>
          </w:rPr>
          <m:t>=</m:t>
        </m:r>
        <m:f>
          <m:fPr>
            <m:ctrlPr>
              <w:rPr>
                <w:rFonts w:hint="default" w:ascii="Cambria Math" w:hAnsi="Cambria Math" w:cs="Times New Roman"/>
                <w:sz w:val="28"/>
                <w:szCs w:val="28"/>
              </w:rPr>
            </m:ctrlPr>
          </m:fPr>
          <m:num>
            <m:func>
              <m:funcPr>
                <m:ctrlPr>
                  <w:rPr>
                    <w:rFonts w:hint="default" w:ascii="Cambria Math" w:hAnsi="Cambria Math" w:cs="Times New Roman"/>
                    <w:sz w:val="28"/>
                    <w:szCs w:val="28"/>
                  </w:rPr>
                </m:ctrlPr>
              </m:funcPr>
              <m:fName>
                <m:r>
                  <m:rPr>
                    <m:nor/>
                    <m:sty m:val="p"/>
                  </m:rPr>
                  <w:rPr>
                    <w:rFonts w:hint="default" w:ascii="Times New Roman" w:hAnsi="Times New Roman" w:cs="Times New Roman"/>
                    <w:b w:val="0"/>
                    <w:i w:val="0"/>
                    <w:sz w:val="28"/>
                    <w:szCs w:val="28"/>
                  </w:rPr>
                  <m:t>ln</m:t>
                </m:r>
                <m:ctrlPr>
                  <w:rPr>
                    <w:rFonts w:hint="default" w:ascii="Cambria Math" w:hAnsi="Cambria Math" w:cs="Times New Roman"/>
                    <w:sz w:val="28"/>
                    <w:szCs w:val="28"/>
                  </w:rPr>
                </m:ctrlPr>
              </m:fName>
              <m:e>
                <m:f>
                  <m:fPr>
                    <m:ctrlPr>
                      <w:rPr>
                        <w:rFonts w:hint="default" w:ascii="Cambria Math" w:hAnsi="Cambria Math" w:cs="Times New Roman"/>
                        <w:sz w:val="28"/>
                        <w:szCs w:val="28"/>
                      </w:rPr>
                    </m:ctrlPr>
                  </m:fPr>
                  <m:num>
                    <m:sSub>
                      <m:sSubPr>
                        <m:ctrlPr>
                          <w:rPr>
                            <w:rFonts w:hint="default" w:ascii="Cambria Math" w:hAnsi="Cambria Math" w:cs="Times New Roman"/>
                            <w:sz w:val="28"/>
                            <w:szCs w:val="28"/>
                          </w:rPr>
                        </m:ctrlPr>
                      </m:sSubPr>
                      <m:e>
                        <m:r>
                          <m:rPr>
                            <m:nor/>
                          </m:rPr>
                          <w:rPr>
                            <w:rFonts w:hint="default" w:ascii="Times New Roman" w:hAnsi="Times New Roman" w:cs="Times New Roman"/>
                            <w:i/>
                            <w:sz w:val="28"/>
                            <w:szCs w:val="28"/>
                          </w:rPr>
                          <m:t>α</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Sub>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12</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bSup>
                    <m:ctrlPr>
                      <w:rPr>
                        <w:rFonts w:hint="default" w:ascii="Cambria Math" w:hAnsi="Cambria Math" w:cs="Times New Roman"/>
                        <w:sz w:val="28"/>
                        <w:szCs w:val="28"/>
                      </w:rPr>
                    </m:ctrlPr>
                  </m:num>
                  <m:den>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bSup>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bSup>
                    <m:ctrlPr>
                      <w:rPr>
                        <w:rFonts w:hint="default" w:ascii="Cambria Math" w:hAnsi="Cambria Math" w:cs="Times New Roman"/>
                        <w:sz w:val="28"/>
                        <w:szCs w:val="28"/>
                      </w:rPr>
                    </m:ctrlPr>
                  </m:den>
                </m:f>
                <m:ctrlPr>
                  <w:rPr>
                    <w:rFonts w:hint="default" w:ascii="Cambria Math" w:hAnsi="Cambria Math" w:cs="Times New Roman"/>
                    <w:sz w:val="28"/>
                    <w:szCs w:val="28"/>
                  </w:rPr>
                </m:ctrlPr>
              </m:e>
            </m:func>
            <m:ctrlPr>
              <w:rPr>
                <w:rFonts w:hint="default" w:ascii="Cambria Math" w:hAnsi="Cambria Math" w:cs="Times New Roman"/>
                <w:sz w:val="28"/>
                <w:szCs w:val="28"/>
              </w:rPr>
            </m:ctrlPr>
          </m:num>
          <m:den>
            <m:sSup>
              <m:sSupPr>
                <m:ctrlPr>
                  <w:rPr>
                    <w:rFonts w:hint="default" w:ascii="Cambria Math" w:hAnsi="Cambria Math" w:cs="Times New Roman"/>
                    <w:sz w:val="28"/>
                    <w:szCs w:val="28"/>
                  </w:rPr>
                </m:ctrlPr>
              </m:sSupPr>
              <m:e>
                <m:d>
                  <m:dPr>
                    <m:ctrlPr>
                      <w:rPr>
                        <w:rFonts w:hint="default" w:ascii="Cambria Math" w:hAnsi="Cambria Math" w:cs="Times New Roman"/>
                        <w:sz w:val="28"/>
                        <w:szCs w:val="28"/>
                      </w:rPr>
                    </m:ctrlPr>
                  </m:dPr>
                  <m:e>
                    <m:r>
                      <m:rPr>
                        <m:nor/>
                        <m:sty m:val="p"/>
                      </m:rPr>
                      <w:rPr>
                        <w:rFonts w:hint="default" w:ascii="Times New Roman" w:hAnsi="Times New Roman" w:cs="Times New Roman"/>
                        <w:b w:val="0"/>
                        <w:i w:val="0"/>
                        <w:sz w:val="28"/>
                        <w:szCs w:val="28"/>
                      </w:rPr>
                      <m:t>1-</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bSup>
                    <m:ctrlPr>
                      <w:rPr>
                        <w:rFonts w:hint="default" w:ascii="Cambria Math" w:hAnsi="Cambria Math" w:cs="Times New Roman"/>
                        <w:sz w:val="28"/>
                        <w:szCs w:val="28"/>
                      </w:rPr>
                    </m:ctrlPr>
                  </m:e>
                </m:d>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2</m:t>
                </m:r>
                <m:ctrlPr>
                  <w:rPr>
                    <w:rFonts w:hint="default" w:ascii="Cambria Math" w:hAnsi="Cambria Math" w:cs="Times New Roman"/>
                    <w:sz w:val="28"/>
                    <w:szCs w:val="28"/>
                  </w:rPr>
                </m:ctrlPr>
              </m:sup>
            </m:sSup>
            <m:ctrlPr>
              <w:rPr>
                <w:rFonts w:hint="default" w:ascii="Cambria Math" w:hAnsi="Cambria Math" w:cs="Times New Roman"/>
                <w:sz w:val="28"/>
                <w:szCs w:val="28"/>
              </w:rPr>
            </m:ctrlPr>
          </m:den>
        </m:f>
      </m:oMath>
      <w:r>
        <w:rPr>
          <w:rFonts w:hint="default" w:ascii="Times New Roman" w:hAnsi="Times New Roman" w:cs="Times New Roman"/>
          <w:sz w:val="28"/>
          <w:szCs w:val="28"/>
        </w:rPr>
        <w:t xml:space="preserve">                                                           (5</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rPr>
        <w:t>4)</w:t>
      </w:r>
    </w:p>
    <w:p w14:paraId="63E4479F">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Where </w:t>
      </w:r>
      <m:oMath>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denotes the micellar mole fraction of component 1. </w:t>
      </w:r>
      <m:oMath>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12</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is the cmc of the mixtures, while </w:t>
      </w:r>
      <m:oMath>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and </w:t>
      </w:r>
      <m:oMath>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2</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correspond to the cmc of individual surfactants, respectively. </w:t>
      </w:r>
      <m:oMath>
        <m:sSub>
          <m:sSubPr>
            <m:ctrlPr>
              <w:rPr>
                <w:rFonts w:hint="default" w:ascii="Cambria Math" w:hAnsi="Cambria Math" w:cs="Times New Roman"/>
                <w:sz w:val="28"/>
                <w:szCs w:val="28"/>
              </w:rPr>
            </m:ctrlPr>
          </m:sSubPr>
          <m:e>
            <m:r>
              <m:rPr>
                <m:nor/>
              </m:rPr>
              <w:rPr>
                <w:rFonts w:hint="default" w:ascii="Times New Roman" w:hAnsi="Times New Roman" w:cs="Times New Roman"/>
                <w:i/>
                <w:sz w:val="28"/>
                <w:szCs w:val="28"/>
              </w:rPr>
              <m:t>α</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represents the bulk mole fraction of component 1. </w:t>
      </w:r>
      <m:oMath>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p>
      </m:oMath>
      <w:r>
        <w:rPr>
          <w:rFonts w:hint="default" w:ascii="Times New Roman" w:hAnsi="Times New Roman" w:cs="Times New Roman"/>
          <w:sz w:val="28"/>
          <w:szCs w:val="28"/>
        </w:rPr>
        <w:t xml:space="preserve"> decribes the interaction parameters between two components in a mixed micelle.</w:t>
      </w:r>
    </w:p>
    <w:p w14:paraId="479C9812">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733" w:name="_Toc18439"/>
      <w:bookmarkStart w:id="734" w:name="_Toc13632"/>
      <w:bookmarkStart w:id="735" w:name="_Toc19004"/>
      <w:bookmarkStart w:id="736" w:name="_Toc12163"/>
      <w:bookmarkStart w:id="737" w:name="_Toc4336"/>
      <w:bookmarkStart w:id="738" w:name="_Toc18238"/>
      <w:bookmarkStart w:id="739" w:name="_Toc29488"/>
      <w:r>
        <w:rPr>
          <w:rFonts w:hint="default" w:ascii="Times New Roman" w:hAnsi="Times New Roman" w:cs="Times New Roman"/>
          <w:i w:val="0"/>
          <w:iCs w:val="0"/>
          <w:sz w:val="28"/>
          <w:szCs w:val="28"/>
        </w:rPr>
        <w:t>5.2.3 Interface tension measurement</w:t>
      </w:r>
      <w:bookmarkEnd w:id="733"/>
      <w:bookmarkEnd w:id="734"/>
      <w:bookmarkEnd w:id="735"/>
      <w:bookmarkEnd w:id="736"/>
      <w:bookmarkEnd w:id="737"/>
      <w:bookmarkEnd w:id="738"/>
      <w:bookmarkEnd w:id="739"/>
    </w:p>
    <w:p w14:paraId="5D82C74C">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Referring to Section 3.3.3, 0.1 wt% complex surfactant solution was prepared using deionized water as the medium. The interfacial tension of the complex surfactant system was measured at 60 ℃ using Changqing crude oil Z27, and kerosene as the oil phase, and the effect of NaCl on the interfacial tension of the complex surfactant solution was investigated.</w:t>
      </w:r>
    </w:p>
    <w:p w14:paraId="7D24A9DD">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740" w:name="_Toc29102"/>
      <w:bookmarkStart w:id="741" w:name="_Toc25462"/>
      <w:bookmarkStart w:id="742" w:name="_Toc19875"/>
      <w:bookmarkStart w:id="743" w:name="_Toc16525"/>
      <w:bookmarkStart w:id="744" w:name="_Toc11518"/>
      <w:bookmarkStart w:id="745" w:name="_Toc3134"/>
      <w:bookmarkStart w:id="746" w:name="_Toc6952"/>
      <w:bookmarkStart w:id="747" w:name="_Hlk153544822"/>
      <w:bookmarkStart w:id="748" w:name="_Hlk153544804"/>
      <w:r>
        <w:rPr>
          <w:rFonts w:hint="default" w:ascii="Times New Roman" w:hAnsi="Times New Roman" w:cs="Times New Roman"/>
          <w:i w:val="0"/>
          <w:iCs w:val="0"/>
          <w:sz w:val="28"/>
          <w:szCs w:val="28"/>
        </w:rPr>
        <w:t>5.2.4 Core flooding experiment</w:t>
      </w:r>
      <w:bookmarkEnd w:id="740"/>
      <w:bookmarkEnd w:id="741"/>
      <w:bookmarkEnd w:id="742"/>
      <w:bookmarkEnd w:id="743"/>
      <w:bookmarkEnd w:id="744"/>
      <w:bookmarkEnd w:id="745"/>
      <w:bookmarkEnd w:id="746"/>
    </w:p>
    <w:p w14:paraId="02957BC6">
      <w:pPr>
        <w:widowControl/>
        <w:autoSpaceDE w:val="0"/>
        <w:autoSpaceDN w:val="0"/>
        <w:adjustRightInd w:val="0"/>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According to Section 4.2.7, the optimal mixed surfactant system composed of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and 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was systematically evaluated through core flooding experiments to assess its practical oil-displacement performance under simulated reservoir conditions. These experiments were designed to reproduce the porous media, temperature, salinity, and crude oil characteristics of the target reservoir, thereby allowing a realistic assessment of the synergistic effects between the zwitterionic extended surfactant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and the gemini cationic surfactant (C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During the flooding process, key parameters including injection pressure, produced fluid volume, water cut, and incremental oil recovery were continuously monitored. The mixed surfactant system was injected after conventional water flooding to evaluate its ability to mobilize residual oil trapped by capillary forces [165].</w:t>
      </w:r>
    </w:p>
    <w:bookmarkEnd w:id="747"/>
    <w:p w14:paraId="3BBA1167">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749" w:name="_Toc8836"/>
      <w:bookmarkStart w:id="750" w:name="_Toc21416"/>
      <w:bookmarkStart w:id="751" w:name="_Toc16998"/>
      <w:bookmarkStart w:id="752" w:name="_Toc28851"/>
      <w:bookmarkStart w:id="753" w:name="_Toc13397"/>
      <w:bookmarkStart w:id="754" w:name="_Toc15138"/>
      <w:bookmarkStart w:id="755" w:name="_Toc4777"/>
      <w:r>
        <w:rPr>
          <w:rFonts w:hint="default" w:ascii="Times New Roman" w:hAnsi="Times New Roman" w:cs="Times New Roman"/>
          <w:i w:val="0"/>
          <w:iCs w:val="0"/>
          <w:sz w:val="28"/>
          <w:szCs w:val="28"/>
        </w:rPr>
        <w:t>5.2.5 Emulsification performance measurement</w:t>
      </w:r>
      <w:bookmarkEnd w:id="749"/>
      <w:bookmarkEnd w:id="750"/>
      <w:bookmarkEnd w:id="751"/>
      <w:bookmarkEnd w:id="752"/>
      <w:bookmarkEnd w:id="753"/>
      <w:bookmarkEnd w:id="754"/>
      <w:bookmarkEnd w:id="755"/>
    </w:p>
    <w:p w14:paraId="6C3A7848">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Following the procedure described in Section 3.3.4, emulsions were prepared by mixing the mixed surfactant solution (0.2 wt%) with kerosene at a volume ratio of 7:3 to explore the emulsification performance of optimal compound </w:t>
      </w:r>
      <w:r>
        <w:rPr>
          <w:rFonts w:hint="default" w:ascii="Times New Roman" w:hAnsi="Times New Roman" w:cs="Times New Roman"/>
          <w:sz w:val="28"/>
          <w:szCs w:val="28"/>
          <w:lang w:val="en-US" w:eastAsia="zh-CN"/>
        </w:rPr>
        <w:t>system</w:t>
      </w:r>
      <w:r>
        <w:rPr>
          <w:rFonts w:hint="default" w:ascii="Times New Roman" w:hAnsi="Times New Roman" w:cs="Times New Roman"/>
          <w:sz w:val="28"/>
          <w:szCs w:val="28"/>
        </w:rPr>
        <w:t>s.</w:t>
      </w:r>
    </w:p>
    <w:p w14:paraId="1A25472A">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756" w:name="_Toc23856"/>
      <w:bookmarkStart w:id="757" w:name="_Toc23678"/>
      <w:bookmarkStart w:id="758" w:name="_Toc28311"/>
      <w:bookmarkStart w:id="759" w:name="_Toc16731"/>
      <w:bookmarkStart w:id="760" w:name="_Toc4054"/>
      <w:bookmarkStart w:id="761" w:name="_Toc31226"/>
      <w:bookmarkStart w:id="762" w:name="_Toc12551"/>
      <w:r>
        <w:rPr>
          <w:rFonts w:hint="default" w:ascii="Times New Roman" w:hAnsi="Times New Roman" w:cs="Times New Roman"/>
          <w:i w:val="0"/>
          <w:iCs w:val="0"/>
          <w:sz w:val="28"/>
          <w:szCs w:val="28"/>
        </w:rPr>
        <w:t>5.2.6 Viscoelasticity determination</w:t>
      </w:r>
      <w:bookmarkEnd w:id="756"/>
      <w:bookmarkEnd w:id="757"/>
      <w:bookmarkEnd w:id="758"/>
      <w:bookmarkEnd w:id="759"/>
      <w:bookmarkEnd w:id="760"/>
      <w:bookmarkEnd w:id="761"/>
      <w:bookmarkEnd w:id="762"/>
    </w:p>
    <w:p w14:paraId="2327C40B">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dilational interfacial viscoelastic properties of the mixed surfactant systems were investigated using an automated drop tensiometer (Tracker, Teclis–IT Concept, France) at a controlled temperature of 60 ℃. An oil droplet with an initial volume of 5 μL was formed in the surfactant solution, and each system was allowed to equilibrate until the interfacial tension reached a stable value, ensuring equilibrium adsorption of surfactant molecules at the oil–water interface. Interfacial rheological measurements were then conducted by subjecting the oil droplet to periodic oscillations, during which the droplet volume was sinusoidally deformed by 10% relative to its initial volume at selected frequencies. During the oscillatory deformation, the interfacial area underwent cyclic compression and expansion at a given frequency (f), leading to a corresponding dynamic response of the interfacial tension. The interfacial dilational viscoelasticity was quantitatively characterized by the Gibbs interfacial dilational modulus (ε), which is defined as the ratio of the variation in interfacial tension (γ) to the relative change in interfacial area (A). This relationship can be expressed as Eq. (5</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rPr>
        <w:t>5), and provides a fundamental parameter for evaluating the mechanical strength and viscoelastic behavior of the interfacial film formed by the surfactant mixtures [165,167,168].</w:t>
      </w:r>
    </w:p>
    <w:p w14:paraId="47988CCC">
      <w:pPr>
        <w:widowControl/>
        <w:ind w:firstLine="709" w:firstLineChars="0"/>
        <w:jc w:val="right"/>
        <w:rPr>
          <w:rFonts w:hint="default" w:ascii="Times New Roman" w:hAnsi="Times New Roman" w:cs="Times New Roman"/>
          <w:sz w:val="28"/>
          <w:szCs w:val="28"/>
        </w:rPr>
      </w:pPr>
      <m:oMath>
        <m:r>
          <m:rPr>
            <m:nor/>
            <m:sty m:val="p"/>
          </m:rPr>
          <w:rPr>
            <w:rFonts w:hint="default" w:ascii="Times New Roman" w:hAnsi="Times New Roman" w:cs="Times New Roman"/>
            <w:b w:val="0"/>
            <w:i w:val="0"/>
            <w:sz w:val="28"/>
            <w:szCs w:val="28"/>
          </w:rPr>
          <m:t>ε=</m:t>
        </m:r>
        <m:f>
          <m:fPr>
            <m:ctrlPr>
              <w:rPr>
                <w:rFonts w:hint="default" w:ascii="Cambria Math" w:hAnsi="Cambria Math" w:cs="Times New Roman"/>
                <w:sz w:val="28"/>
                <w:szCs w:val="28"/>
              </w:rPr>
            </m:ctrlPr>
          </m:fPr>
          <m:num>
            <m:r>
              <m:rPr>
                <m:nor/>
                <m:sty m:val="p"/>
              </m:rPr>
              <w:rPr>
                <w:rFonts w:hint="default" w:ascii="Times New Roman" w:hAnsi="Times New Roman" w:cs="Times New Roman"/>
                <w:b w:val="0"/>
                <w:i w:val="0"/>
                <w:sz w:val="28"/>
                <w:szCs w:val="28"/>
              </w:rPr>
              <m:t>dγ</m:t>
            </m:r>
            <m:ctrlPr>
              <w:rPr>
                <w:rFonts w:hint="default" w:ascii="Cambria Math" w:hAnsi="Cambria Math" w:cs="Times New Roman"/>
                <w:sz w:val="28"/>
                <w:szCs w:val="28"/>
              </w:rPr>
            </m:ctrlPr>
          </m:num>
          <m:den>
            <m:r>
              <m:rPr>
                <m:nor/>
                <m:sty m:val="p"/>
              </m:rPr>
              <w:rPr>
                <w:rFonts w:hint="default" w:ascii="Times New Roman" w:hAnsi="Times New Roman" w:cs="Times New Roman"/>
                <w:b w:val="0"/>
                <w:i w:val="0"/>
                <w:sz w:val="28"/>
                <w:szCs w:val="28"/>
              </w:rPr>
              <m:t>dlnA</m:t>
            </m:r>
            <m:ctrlPr>
              <w:rPr>
                <w:rFonts w:hint="default" w:ascii="Cambria Math" w:hAnsi="Cambria Math" w:cs="Times New Roman"/>
                <w:sz w:val="28"/>
                <w:szCs w:val="28"/>
              </w:rPr>
            </m:ctrlPr>
          </m:den>
        </m:f>
      </m:oMath>
      <w:r>
        <w:rPr>
          <w:rFonts w:hint="default" w:ascii="Times New Roman" w:hAnsi="Times New Roman" w:cs="Times New Roman"/>
          <w:sz w:val="28"/>
          <w:szCs w:val="28"/>
        </w:rPr>
        <w:t xml:space="preserve">                                                            (5</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rPr>
        <w:t>5)</w:t>
      </w:r>
    </w:p>
    <w:p w14:paraId="425E4DCB">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The interfacial dilational modulus (ɛ) can also be expressed as the sum of real (elasticity,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ε</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d</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and imaginary components (viscosity,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ε</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η</m:t>
            </m:r>
            <m:ctrlPr>
              <w:rPr>
                <w:rFonts w:hint="default" w:ascii="Cambria Math" w:hAnsi="Cambria Math" w:cs="Times New Roman"/>
                <w:sz w:val="28"/>
                <w:szCs w:val="28"/>
              </w:rPr>
            </m:ctrlPr>
          </m:sub>
        </m:sSub>
        <m:r>
          <m:rPr>
            <m:nor/>
            <m:sty m:val="p"/>
          </m:rPr>
          <w:rPr>
            <w:rFonts w:hint="default" w:ascii="Times New Roman" w:hAnsi="Times New Roman" w:cs="Times New Roman"/>
            <w:b w:val="0"/>
            <w:i w:val="0"/>
            <w:sz w:val="28"/>
            <w:szCs w:val="28"/>
          </w:rPr>
          <m:t>=ω</m:t>
        </m:r>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η</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d</m:t>
            </m:r>
            <m:ctrlPr>
              <w:rPr>
                <w:rFonts w:hint="default" w:ascii="Cambria Math" w:hAnsi="Cambria Math" w:cs="Times New Roman"/>
                <w:sz w:val="28"/>
                <w:szCs w:val="28"/>
              </w:rPr>
            </m:ctrlPr>
          </m:sub>
        </m:sSub>
      </m:oMath>
      <w:r>
        <w:rPr>
          <w:rFonts w:hint="default" w:ascii="Times New Roman" w:hAnsi="Times New Roman" w:cs="Times New Roman"/>
          <w:sz w:val="28"/>
          <w:szCs w:val="28"/>
        </w:rPr>
        <w:t>) according to the following Eq. (5</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rPr>
        <w:t>6).</w:t>
      </w:r>
    </w:p>
    <w:p w14:paraId="36DB3CDD">
      <w:pPr>
        <w:widowControl/>
        <w:ind w:firstLine="709" w:firstLineChars="0"/>
        <w:jc w:val="right"/>
        <w:rPr>
          <w:rFonts w:hint="default" w:ascii="Times New Roman" w:hAnsi="Times New Roman" w:cs="Times New Roman"/>
          <w:sz w:val="28"/>
          <w:szCs w:val="28"/>
        </w:rPr>
      </w:pPr>
      <m:oMath>
        <m:r>
          <m:rPr>
            <m:nor/>
            <m:sty m:val="p"/>
          </m:rPr>
          <w:rPr>
            <w:rFonts w:hint="default" w:ascii="Times New Roman" w:hAnsi="Times New Roman" w:cs="Times New Roman"/>
            <w:b w:val="0"/>
            <w:i w:val="0"/>
            <w:sz w:val="28"/>
            <w:szCs w:val="28"/>
          </w:rPr>
          <m:t>ε=</m:t>
        </m:r>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ε</m:t>
            </m:r>
            <m:ctrlPr>
              <w:rPr>
                <w:rFonts w:hint="default" w:ascii="Cambria Math" w:hAnsi="Cambria Math" w:cs="Times New Roman"/>
                <w:i/>
                <w:sz w:val="28"/>
                <w:szCs w:val="28"/>
              </w:rPr>
            </m:ctrlPr>
          </m:e>
          <m:sub>
            <m:r>
              <m:rPr>
                <m:nor/>
              </m:rPr>
              <w:rPr>
                <w:rFonts w:hint="default" w:ascii="Times New Roman" w:hAnsi="Times New Roman" w:cs="Times New Roman"/>
                <w:i/>
                <w:sz w:val="28"/>
                <w:szCs w:val="28"/>
              </w:rPr>
              <m:t>d</m:t>
            </m:r>
            <m:ctrlPr>
              <w:rPr>
                <w:rFonts w:hint="default" w:ascii="Cambria Math" w:hAnsi="Cambria Math" w:cs="Times New Roman"/>
                <w:i/>
                <w:sz w:val="28"/>
                <w:szCs w:val="28"/>
              </w:rPr>
            </m:ctrlPr>
          </m:sub>
        </m:sSub>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sz w:val="28"/>
            <w:szCs w:val="28"/>
          </w:rPr>
          <m:t>i</m:t>
        </m:r>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ε</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η</m:t>
            </m:r>
            <m:ctrlPr>
              <w:rPr>
                <w:rFonts w:hint="default" w:ascii="Cambria Math" w:hAnsi="Cambria Math" w:cs="Times New Roman"/>
                <w:sz w:val="28"/>
                <w:szCs w:val="28"/>
              </w:rPr>
            </m:ctrlPr>
          </m:sub>
        </m:sSub>
        <m:r>
          <m:rPr>
            <m:nor/>
            <m:sty m:val="p"/>
          </m:rPr>
          <w:rPr>
            <w:rFonts w:hint="default" w:ascii="Times New Roman" w:hAnsi="Times New Roman" w:cs="Times New Roman"/>
            <w:b w:val="0"/>
            <w:i w:val="0"/>
            <w:sz w:val="28"/>
            <w:szCs w:val="28"/>
          </w:rPr>
          <m:t>=</m:t>
        </m:r>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ε</m:t>
            </m:r>
            <m:ctrlPr>
              <w:rPr>
                <w:rFonts w:hint="default" w:ascii="Cambria Math" w:hAnsi="Cambria Math" w:cs="Times New Roman"/>
                <w:i/>
                <w:sz w:val="28"/>
                <w:szCs w:val="28"/>
              </w:rPr>
            </m:ctrlPr>
          </m:e>
          <m:sub>
            <m:r>
              <m:rPr>
                <m:nor/>
              </m:rPr>
              <w:rPr>
                <w:rFonts w:hint="default" w:ascii="Times New Roman" w:hAnsi="Times New Roman" w:cs="Times New Roman"/>
                <w:i/>
                <w:sz w:val="28"/>
                <w:szCs w:val="28"/>
              </w:rPr>
              <m:t>d</m:t>
            </m:r>
            <m:ctrlPr>
              <w:rPr>
                <w:rFonts w:hint="default" w:ascii="Cambria Math" w:hAnsi="Cambria Math" w:cs="Times New Roman"/>
                <w:i/>
                <w:sz w:val="28"/>
                <w:szCs w:val="28"/>
              </w:rPr>
            </m:ctrlPr>
          </m:sub>
        </m:sSub>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sz w:val="28"/>
            <w:szCs w:val="28"/>
          </w:rPr>
          <m:t>iω</m:t>
        </m:r>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η</m:t>
            </m:r>
            <m:ctrlPr>
              <w:rPr>
                <w:rFonts w:hint="default" w:ascii="Cambria Math" w:hAnsi="Cambria Math" w:cs="Times New Roman"/>
                <w:i/>
                <w:sz w:val="28"/>
                <w:szCs w:val="28"/>
              </w:rPr>
            </m:ctrlPr>
          </m:e>
          <m:sub>
            <m:r>
              <m:rPr>
                <m:nor/>
              </m:rPr>
              <w:rPr>
                <w:rFonts w:hint="default" w:ascii="Times New Roman" w:hAnsi="Times New Roman" w:cs="Times New Roman"/>
                <w:i/>
                <w:sz w:val="28"/>
                <w:szCs w:val="28"/>
              </w:rPr>
              <m:t>d</m:t>
            </m:r>
            <m:ctrlPr>
              <w:rPr>
                <w:rFonts w:hint="default" w:ascii="Cambria Math" w:hAnsi="Cambria Math" w:cs="Times New Roman"/>
                <w:i/>
                <w:sz w:val="28"/>
                <w:szCs w:val="28"/>
              </w:rPr>
            </m:ctrlPr>
          </m:sub>
        </m:sSub>
      </m:oMath>
      <w:r>
        <w:rPr>
          <w:rFonts w:hint="default" w:ascii="Times New Roman" w:hAnsi="Times New Roman" w:cs="Times New Roman"/>
          <w:sz w:val="28"/>
          <w:szCs w:val="28"/>
        </w:rPr>
        <w:t xml:space="preserve">                                                (5</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rPr>
        <w:t>6)</w:t>
      </w:r>
    </w:p>
    <w:p w14:paraId="13BAB524">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Where </w:t>
      </w:r>
      <m:oMath>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ε</m:t>
            </m:r>
            <m:ctrlPr>
              <w:rPr>
                <w:rFonts w:hint="default" w:ascii="Cambria Math" w:hAnsi="Cambria Math" w:cs="Times New Roman"/>
                <w:i/>
                <w:sz w:val="28"/>
                <w:szCs w:val="28"/>
              </w:rPr>
            </m:ctrlPr>
          </m:e>
          <m:sub>
            <m:r>
              <m:rPr>
                <m:nor/>
              </m:rPr>
              <w:rPr>
                <w:rFonts w:hint="default" w:ascii="Times New Roman" w:hAnsi="Times New Roman" w:cs="Times New Roman"/>
                <w:i/>
                <w:sz w:val="28"/>
                <w:szCs w:val="28"/>
              </w:rPr>
              <m:t>d</m:t>
            </m:r>
            <m:ctrlPr>
              <w:rPr>
                <w:rFonts w:hint="default" w:ascii="Cambria Math" w:hAnsi="Cambria Math" w:cs="Times New Roman"/>
                <w:i/>
                <w:sz w:val="28"/>
                <w:szCs w:val="28"/>
              </w:rPr>
            </m:ctrlPr>
          </m:sub>
        </m:sSub>
      </m:oMath>
      <w:r>
        <w:rPr>
          <w:rFonts w:hint="default" w:ascii="Times New Roman" w:hAnsi="Times New Roman" w:cs="Times New Roman"/>
          <w:sz w:val="28"/>
          <w:szCs w:val="28"/>
        </w:rPr>
        <w:t xml:space="preserve"> is the dilational elasticity and </w:t>
      </w:r>
      <m:oMath>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ε</m:t>
            </m:r>
            <m:ctrlPr>
              <w:rPr>
                <w:rFonts w:hint="default" w:ascii="Cambria Math" w:hAnsi="Cambria Math" w:cs="Times New Roman"/>
                <w:i/>
                <w:sz w:val="28"/>
                <w:szCs w:val="28"/>
              </w:rPr>
            </m:ctrlPr>
          </m:e>
          <m:sub>
            <m:r>
              <m:rPr>
                <m:nor/>
              </m:rPr>
              <w:rPr>
                <w:rFonts w:hint="default" w:ascii="Times New Roman" w:hAnsi="Times New Roman" w:cs="Times New Roman"/>
                <w:i/>
                <w:sz w:val="28"/>
                <w:szCs w:val="28"/>
              </w:rPr>
              <m:t>η</m:t>
            </m:r>
            <m:ctrlPr>
              <w:rPr>
                <w:rFonts w:hint="default" w:ascii="Cambria Math" w:hAnsi="Cambria Math" w:cs="Times New Roman"/>
                <w:i/>
                <w:sz w:val="28"/>
                <w:szCs w:val="28"/>
              </w:rPr>
            </m:ctrlPr>
          </m:sub>
        </m:sSub>
      </m:oMath>
      <w:r>
        <w:rPr>
          <w:rFonts w:hint="default" w:ascii="Times New Roman" w:hAnsi="Times New Roman" w:cs="Times New Roman"/>
          <w:sz w:val="28"/>
          <w:szCs w:val="28"/>
        </w:rPr>
        <w:t xml:space="preserve"> is the dilational viscosity.</w:t>
      </w:r>
    </w:p>
    <w:p w14:paraId="7CC3EB29">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phase angle (</w:t>
      </w:r>
      <m:oMath>
        <m:r>
          <m:rPr>
            <m:nor/>
          </m:rPr>
          <w:rPr>
            <w:rFonts w:hint="default" w:ascii="Times New Roman" w:hAnsi="Times New Roman" w:cs="Times New Roman"/>
            <w:i/>
            <w:sz w:val="28"/>
            <w:szCs w:val="28"/>
          </w:rPr>
          <m:t>θ</m:t>
        </m:r>
      </m:oMath>
      <w:r>
        <w:rPr>
          <w:rFonts w:hint="default" w:ascii="Times New Roman" w:hAnsi="Times New Roman" w:cs="Times New Roman"/>
          <w:sz w:val="28"/>
          <w:szCs w:val="28"/>
        </w:rPr>
        <w:t>) is obtained according to Eq. (5</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rPr>
        <w:t>7),</w:t>
      </w:r>
    </w:p>
    <w:p w14:paraId="03216FDF">
      <w:pPr>
        <w:widowControl/>
        <w:ind w:firstLine="709" w:firstLineChars="0"/>
        <w:jc w:val="right"/>
        <w:rPr>
          <w:rFonts w:hint="default" w:ascii="Times New Roman" w:hAnsi="Times New Roman" w:cs="Times New Roman"/>
          <w:sz w:val="28"/>
          <w:szCs w:val="28"/>
        </w:rPr>
      </w:pPr>
      <m:oMath>
        <m:r>
          <m:rPr>
            <m:nor/>
            <m:sty m:val="p"/>
          </m:rPr>
          <w:rPr>
            <w:rFonts w:hint="default" w:ascii="Times New Roman" w:hAnsi="Times New Roman" w:cs="Times New Roman"/>
            <w:b w:val="0"/>
            <w:i w:val="0"/>
            <w:sz w:val="28"/>
            <w:szCs w:val="28"/>
          </w:rPr>
          <m:t>tan</m:t>
        </m:r>
        <m:r>
          <m:rPr>
            <m:nor/>
          </m:rPr>
          <w:rPr>
            <w:rFonts w:hint="default" w:ascii="Times New Roman" w:hAnsi="Times New Roman" w:cs="Times New Roman"/>
            <w:i/>
            <w:sz w:val="28"/>
            <w:szCs w:val="28"/>
          </w:rPr>
          <m:t>θ</m:t>
        </m:r>
        <m:r>
          <m:rPr>
            <m:nor/>
            <m:sty m:val="p"/>
          </m:rPr>
          <w:rPr>
            <w:rFonts w:hint="default" w:ascii="Times New Roman" w:hAnsi="Times New Roman" w:cs="Times New Roman"/>
            <w:b w:val="0"/>
            <w:i w:val="0"/>
            <w:sz w:val="28"/>
            <w:szCs w:val="28"/>
          </w:rPr>
          <m:t>=</m:t>
        </m:r>
        <m:f>
          <m:fPr>
            <m:ctrlPr>
              <w:rPr>
                <w:rFonts w:hint="default" w:ascii="Cambria Math" w:hAnsi="Cambria Math" w:cs="Times New Roman"/>
                <w:sz w:val="28"/>
                <w:szCs w:val="28"/>
              </w:rPr>
            </m:ctrlPr>
          </m:fPr>
          <m:num>
            <m:r>
              <m:rPr>
                <m:nor/>
              </m:rPr>
              <w:rPr>
                <w:rFonts w:hint="default" w:ascii="Times New Roman" w:hAnsi="Times New Roman" w:cs="Times New Roman"/>
                <w:i/>
                <w:sz w:val="28"/>
                <w:szCs w:val="28"/>
              </w:rPr>
              <m:t>ω</m:t>
            </m:r>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η</m:t>
                </m:r>
                <m:ctrlPr>
                  <w:rPr>
                    <w:rFonts w:hint="default" w:ascii="Cambria Math" w:hAnsi="Cambria Math" w:cs="Times New Roman"/>
                    <w:i/>
                    <w:sz w:val="28"/>
                    <w:szCs w:val="28"/>
                  </w:rPr>
                </m:ctrlPr>
              </m:e>
              <m:sub>
                <m:r>
                  <m:rPr>
                    <m:nor/>
                  </m:rPr>
                  <w:rPr>
                    <w:rFonts w:hint="default" w:ascii="Times New Roman" w:hAnsi="Times New Roman" w:cs="Times New Roman"/>
                    <w:i/>
                    <w:sz w:val="28"/>
                    <w:szCs w:val="28"/>
                  </w:rPr>
                  <m:t>d</m:t>
                </m:r>
                <m:ctrlPr>
                  <w:rPr>
                    <w:rFonts w:hint="default" w:ascii="Cambria Math" w:hAnsi="Cambria Math" w:cs="Times New Roman"/>
                    <w:i/>
                    <w:sz w:val="28"/>
                    <w:szCs w:val="28"/>
                  </w:rPr>
                </m:ctrlPr>
              </m:sub>
            </m:sSub>
            <m:ctrlPr>
              <w:rPr>
                <w:rFonts w:hint="default" w:ascii="Cambria Math" w:hAnsi="Cambria Math" w:cs="Times New Roman"/>
                <w:sz w:val="28"/>
                <w:szCs w:val="28"/>
              </w:rPr>
            </m:ctrlPr>
          </m:num>
          <m:den>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ε</m:t>
                </m:r>
                <m:ctrlPr>
                  <w:rPr>
                    <w:rFonts w:hint="default" w:ascii="Cambria Math" w:hAnsi="Cambria Math" w:cs="Times New Roman"/>
                    <w:i/>
                    <w:sz w:val="28"/>
                    <w:szCs w:val="28"/>
                  </w:rPr>
                </m:ctrlPr>
              </m:e>
              <m:sub>
                <m:r>
                  <m:rPr>
                    <m:nor/>
                  </m:rPr>
                  <w:rPr>
                    <w:rFonts w:hint="default" w:ascii="Times New Roman" w:hAnsi="Times New Roman" w:cs="Times New Roman"/>
                    <w:i/>
                    <w:sz w:val="28"/>
                    <w:szCs w:val="28"/>
                  </w:rPr>
                  <m:t>d</m:t>
                </m:r>
                <m:ctrlPr>
                  <w:rPr>
                    <w:rFonts w:hint="default" w:ascii="Cambria Math" w:hAnsi="Cambria Math" w:cs="Times New Roman"/>
                    <w:i/>
                    <w:sz w:val="28"/>
                    <w:szCs w:val="28"/>
                  </w:rPr>
                </m:ctrlPr>
              </m:sub>
            </m:sSub>
            <m:ctrlPr>
              <w:rPr>
                <w:rFonts w:hint="default" w:ascii="Cambria Math" w:hAnsi="Cambria Math" w:cs="Times New Roman"/>
                <w:sz w:val="28"/>
                <w:szCs w:val="28"/>
              </w:rPr>
            </m:ctrlPr>
          </m:den>
        </m:f>
      </m:oMath>
      <w:r>
        <w:rPr>
          <w:rFonts w:hint="default" w:ascii="Times New Roman" w:hAnsi="Times New Roman" w:cs="Times New Roman"/>
          <w:sz w:val="28"/>
          <w:szCs w:val="28"/>
        </w:rPr>
        <w:t xml:space="preserve">                                                        (5</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rPr>
        <w:t>7)</w:t>
      </w:r>
    </w:p>
    <w:p w14:paraId="34CD67BF">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When the phase of interfacial tension oscillation is ahead of the interfacial area, the phase angle value is positive; otherwise, the value of phase angle is negative.</w:t>
      </w:r>
    </w:p>
    <w:p w14:paraId="4711EAE6">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763" w:name="_Toc27327"/>
      <w:bookmarkStart w:id="764" w:name="_Toc17182"/>
      <w:bookmarkStart w:id="765" w:name="_Toc7266"/>
      <w:bookmarkStart w:id="766" w:name="_Toc6574"/>
      <w:bookmarkStart w:id="767" w:name="_Toc15871"/>
      <w:bookmarkStart w:id="768" w:name="_Toc18680"/>
      <w:bookmarkStart w:id="769" w:name="_Toc9449"/>
      <w:r>
        <w:rPr>
          <w:rFonts w:hint="default" w:ascii="Times New Roman" w:hAnsi="Times New Roman" w:cs="Times New Roman"/>
          <w:i w:val="0"/>
          <w:iCs w:val="0"/>
          <w:sz w:val="28"/>
          <w:szCs w:val="28"/>
        </w:rPr>
        <w:t>5.2.7 Zeta potential test</w:t>
      </w:r>
      <w:bookmarkEnd w:id="763"/>
      <w:bookmarkEnd w:id="764"/>
      <w:bookmarkEnd w:id="765"/>
      <w:bookmarkEnd w:id="766"/>
      <w:bookmarkEnd w:id="767"/>
      <w:bookmarkEnd w:id="768"/>
      <w:bookmarkEnd w:id="769"/>
    </w:p>
    <w:p w14:paraId="156D423D">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zeta potential of emulsion droplets was measured to assess their surface charge characteristics, which directly influence emulsion stability and droplet interactions. Measurements were conducted using a Zetasizer Nano ZS90 instrument (Malvern, UK) based on the microelectrophoresis technique. In this method, a small volume of the emulsion sample was introduced into an electrophoresis cell, and an external electric field was applied. The migration velocity of the droplets under the electric field was recorded, with the magnitude of this velocity corresponding to the zeta potential, while the direction of motion indicated the sign of the surface charge (positive or negative). All measurements were performed at a controlled temperature of 25 ℃ to minimize thermal fluctuations, and each sample was analyzed in triplicate to ensure reproducibility. The mean values were reported along with standard error bars, which were determined to be ±5% of the measured values, providing a reliable estimate of experimental uncertainty. This approach enables a quantitative evaluation of the electrostatic stabilization of emulsions formed by surfactant systems and helps in understanding the correlation between surface charge and emulsion behavior [165,169-170].</w:t>
      </w:r>
    </w:p>
    <w:p w14:paraId="1B92D8FB">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770" w:name="_Toc9889"/>
      <w:bookmarkStart w:id="771" w:name="_Toc12043"/>
      <w:bookmarkStart w:id="772" w:name="_Toc21210"/>
      <w:bookmarkStart w:id="773" w:name="_Toc12430"/>
      <w:bookmarkStart w:id="774" w:name="_Toc16908"/>
      <w:bookmarkStart w:id="775" w:name="_Toc4497"/>
      <w:bookmarkStart w:id="776" w:name="_Toc25861"/>
      <w:r>
        <w:rPr>
          <w:rFonts w:hint="default" w:ascii="Times New Roman" w:hAnsi="Times New Roman" w:cs="Times New Roman"/>
          <w:i w:val="0"/>
          <w:iCs w:val="0"/>
          <w:sz w:val="28"/>
          <w:szCs w:val="28"/>
        </w:rPr>
        <w:t>5.2.8 Contact angle determination</w:t>
      </w:r>
      <w:bookmarkEnd w:id="770"/>
      <w:bookmarkEnd w:id="771"/>
      <w:bookmarkEnd w:id="772"/>
      <w:bookmarkEnd w:id="773"/>
      <w:bookmarkEnd w:id="774"/>
      <w:bookmarkEnd w:id="775"/>
      <w:bookmarkEnd w:id="776"/>
    </w:p>
    <w:p w14:paraId="6B9ADF36">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According to Section 4.2.9, the contact angle of optimal surfactant system was measured to quantitatively characterize its wettability-alteration performance on solid surfaces.</w:t>
      </w:r>
    </w:p>
    <w:p w14:paraId="2F720624">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777" w:name="_Toc10271"/>
      <w:bookmarkStart w:id="778" w:name="_Toc10831"/>
      <w:bookmarkStart w:id="779" w:name="_Toc25311"/>
      <w:bookmarkStart w:id="780" w:name="_Toc942"/>
      <w:bookmarkStart w:id="781" w:name="_Toc9720"/>
      <w:bookmarkStart w:id="782" w:name="_Toc23469"/>
      <w:bookmarkStart w:id="783" w:name="_Toc28324"/>
      <w:r>
        <w:rPr>
          <w:rFonts w:hint="default" w:ascii="Times New Roman" w:hAnsi="Times New Roman" w:cs="Times New Roman"/>
          <w:i w:val="0"/>
          <w:iCs w:val="0"/>
          <w:sz w:val="28"/>
          <w:szCs w:val="28"/>
        </w:rPr>
        <w:t>5.2.9 Adsorption determination</w:t>
      </w:r>
      <w:bookmarkEnd w:id="777"/>
      <w:bookmarkEnd w:id="778"/>
      <w:bookmarkEnd w:id="779"/>
      <w:bookmarkEnd w:id="780"/>
      <w:bookmarkEnd w:id="781"/>
      <w:bookmarkEnd w:id="782"/>
      <w:bookmarkEnd w:id="783"/>
    </w:p>
    <w:p w14:paraId="44625FBB">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To investigate the adsorption behavior of the surfactant onto reservoir rock particles, a batch adsorption experiment was conducted. Specifically, 1 g of core powder was added to a 20 mL aqueous surfactant solution (0.1 wt%), prepared with distilled water, and the mixture was transferred into a sealed tube. The tubes were then placed in a thermostatic oscillator and subjected to continuous agitation at 60 ℃ for predetermined time intervals of 2, 4, 8, 16, 24, 48, and 72 hours to ensure sufficient interaction between the surfactant molecules and the solid particles. After the adsorption period, the suspensions were centrifuged to separate the solid core powder from the supernatant solution. The concentration of surfactant remaining in the supernatant was quantified using a UV–Visible spectrophotometer (PE Lambda 650). The measurement principle relies on the interaction of monochromatic light with the surfactant molecules: absorption of light at specific wavelengths induces electronic transitions in the molecular or atomic constituents, producing characteristic absorption peaks. The surfactant concentration in the supernatant was determined by correlating the measured absorbance to a calibration curve, which was obtained from a linear fit of absorbance values versus known surfactant concentrations. This procedure allowed for accurate quantification of the surfactant adsorption onto core powders over time, providing insights into the adsorption kinetics and equilibrium behavior of the system [165,171].</w:t>
      </w:r>
      <w:bookmarkEnd w:id="748"/>
    </w:p>
    <w:p w14:paraId="0CFF5BCF">
      <w:pPr>
        <w:pStyle w:val="3"/>
        <w:keepNext w:val="0"/>
        <w:keepLines w:val="0"/>
        <w:widowControl/>
        <w:spacing w:line="240" w:lineRule="auto"/>
        <w:ind w:firstLine="709"/>
        <w:jc w:val="both"/>
        <w:rPr>
          <w:rFonts w:hint="default" w:ascii="Times New Roman" w:hAnsi="Times New Roman" w:cs="Times New Roman"/>
          <w:b/>
          <w:bCs w:val="0"/>
          <w:i w:val="0"/>
          <w:iCs w:val="0"/>
          <w:sz w:val="28"/>
          <w:szCs w:val="28"/>
        </w:rPr>
      </w:pPr>
      <w:bookmarkStart w:id="784" w:name="_Toc18821"/>
      <w:bookmarkStart w:id="785" w:name="_Toc31905"/>
      <w:bookmarkStart w:id="786" w:name="_Toc5929"/>
      <w:bookmarkStart w:id="787" w:name="_Toc1384"/>
      <w:bookmarkStart w:id="788" w:name="_Toc1064"/>
      <w:bookmarkStart w:id="789" w:name="_Toc15072"/>
      <w:bookmarkStart w:id="790" w:name="_Toc31137"/>
      <w:r>
        <w:rPr>
          <w:rFonts w:hint="default" w:ascii="Times New Roman" w:hAnsi="Times New Roman" w:cs="Times New Roman"/>
          <w:b/>
          <w:bCs w:val="0"/>
          <w:i w:val="0"/>
          <w:iCs w:val="0"/>
          <w:sz w:val="28"/>
          <w:szCs w:val="28"/>
        </w:rPr>
        <w:t>5.3 Results and discussion</w:t>
      </w:r>
      <w:bookmarkEnd w:id="784"/>
      <w:bookmarkEnd w:id="785"/>
      <w:bookmarkEnd w:id="786"/>
      <w:bookmarkEnd w:id="787"/>
      <w:bookmarkEnd w:id="788"/>
      <w:bookmarkEnd w:id="789"/>
      <w:bookmarkEnd w:id="790"/>
    </w:p>
    <w:p w14:paraId="3B71C3A1">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791" w:name="_Toc1387"/>
      <w:bookmarkStart w:id="792" w:name="_Toc7530"/>
      <w:bookmarkStart w:id="793" w:name="_Toc9489"/>
      <w:bookmarkStart w:id="794" w:name="_Toc17847"/>
      <w:bookmarkStart w:id="795" w:name="_Toc9835"/>
      <w:bookmarkStart w:id="796" w:name="_Toc23860"/>
      <w:bookmarkStart w:id="797" w:name="_Toc11309"/>
      <w:r>
        <w:rPr>
          <w:rFonts w:hint="default" w:ascii="Times New Roman" w:hAnsi="Times New Roman" w:cs="Times New Roman"/>
          <w:i w:val="0"/>
          <w:iCs w:val="0"/>
          <w:sz w:val="28"/>
          <w:szCs w:val="28"/>
        </w:rPr>
        <w:t>5.3.1 Surface properties</w:t>
      </w:r>
      <w:bookmarkEnd w:id="791"/>
      <w:bookmarkEnd w:id="792"/>
      <w:bookmarkEnd w:id="793"/>
      <w:bookmarkEnd w:id="794"/>
      <w:bookmarkEnd w:id="795"/>
      <w:bookmarkEnd w:id="796"/>
      <w:bookmarkEnd w:id="797"/>
    </w:p>
    <w:p w14:paraId="166AD082">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curves of surface tension (γ) versus the bulk-phase concentration in moles per liter for aqueous solution of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mixtures with different mixed ratios are exhibited in Figure 5.1.</w:t>
      </w:r>
    </w:p>
    <w:p w14:paraId="1ACDB69D">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As shown in Figure 5.1, the surface tension of the surfactant solutions decreases progressively with increasing surfactant concentration and eventually reaches a plateau due to the adsorption of surfactant molecules at the air–water interface. The cmcs of the individual surfactants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and 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were determined to be 0.098 mmol·L</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(γ</w:t>
      </w:r>
      <w:r>
        <w:rPr>
          <w:rFonts w:hint="default" w:ascii="Times New Roman" w:hAnsi="Times New Roman" w:cs="Times New Roman"/>
          <w:sz w:val="28"/>
          <w:szCs w:val="28"/>
          <w:vertAlign w:val="subscript"/>
        </w:rPr>
        <w:t>cmc</w:t>
      </w:r>
      <w:r>
        <w:rPr>
          <w:rFonts w:hint="default" w:ascii="Times New Roman" w:hAnsi="Times New Roman" w:cs="Times New Roman"/>
          <w:sz w:val="28"/>
          <w:szCs w:val="28"/>
        </w:rPr>
        <w:t xml:space="preserve"> = 31.49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and 0.4 mmol·L</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(γ</w:t>
      </w:r>
      <w:r>
        <w:rPr>
          <w:rFonts w:hint="default" w:ascii="Times New Roman" w:hAnsi="Times New Roman" w:cs="Times New Roman"/>
          <w:sz w:val="28"/>
          <w:szCs w:val="28"/>
          <w:vertAlign w:val="subscript"/>
        </w:rPr>
        <w:t>cmc</w:t>
      </w:r>
      <w:r>
        <w:rPr>
          <w:rFonts w:hint="default" w:ascii="Times New Roman" w:hAnsi="Times New Roman" w:cs="Times New Roman"/>
          <w:sz w:val="28"/>
          <w:szCs w:val="28"/>
        </w:rPr>
        <w:t xml:space="preserve"> = 30.2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respectively. Compared with the individual components, both the cmc and the corresponding γ</w:t>
      </w:r>
      <w:r>
        <w:rPr>
          <w:rFonts w:hint="default" w:ascii="Times New Roman" w:hAnsi="Times New Roman" w:cs="Times New Roman"/>
          <w:sz w:val="28"/>
          <w:szCs w:val="28"/>
          <w:vertAlign w:val="subscript"/>
        </w:rPr>
        <w:t>cmc</w:t>
      </w:r>
      <w:r>
        <w:rPr>
          <w:rFonts w:hint="default" w:ascii="Times New Roman" w:hAnsi="Times New Roman" w:cs="Times New Roman"/>
          <w:sz w:val="28"/>
          <w:szCs w:val="28"/>
        </w:rPr>
        <w:t xml:space="preserve"> of the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mixtures are significantly reduced, indicating pronounced synergistic effects in interfacial adsorption. This improvement can be primarily attributed to strong electrostatic interactions between the positively charged headgroups of the cationic surfactant (C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and the negatively charged or zwitterionic headgroups of the amphoteric surfactant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as illustrated in Figure 5.2 [83,146,165]. Such interactions facilitate tighter packing of surfactant molecules at the interface, thereby reducing surface tension more effectively. In addition to electrostatic attraction, hydrophobic interactions between the long alkyl chains of both surfactants further promote their association in the bulk solution, accelerating adsorption to the interface and enhancing micelle formation [83,165,172].</w:t>
      </w:r>
    </w:p>
    <w:p w14:paraId="5FE805CD">
      <w:pPr>
        <w:widowControl/>
        <w:ind w:left="0" w:leftChars="0" w:firstLine="0" w:firstLineChars="0"/>
        <w:rPr>
          <w:rFonts w:hint="default" w:ascii="Times New Roman" w:hAnsi="Times New Roman" w:cs="Times New Roman"/>
          <w:sz w:val="28"/>
          <w:szCs w:val="28"/>
        </w:rPr>
      </w:pPr>
    </w:p>
    <w:p w14:paraId="60E35F07">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4140200" cy="3132455"/>
            <wp:effectExtent l="0" t="0" r="0" b="0"/>
            <wp:docPr id="5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15"/>
                    <pic:cNvPicPr>
                      <a:picLocks noChangeAspect="1"/>
                    </pic:cNvPicPr>
                  </pic:nvPicPr>
                  <pic:blipFill>
                    <a:blip r:embed="rId60"/>
                    <a:stretch>
                      <a:fillRect/>
                    </a:stretch>
                  </pic:blipFill>
                  <pic:spPr>
                    <a:xfrm>
                      <a:off x="0" y="0"/>
                      <a:ext cx="4148958" cy="3139158"/>
                    </a:xfrm>
                    <a:prstGeom prst="rect">
                      <a:avLst/>
                    </a:prstGeom>
                    <a:noFill/>
                    <a:ln>
                      <a:noFill/>
                    </a:ln>
                  </pic:spPr>
                </pic:pic>
              </a:graphicData>
            </a:graphic>
          </wp:inline>
        </w:drawing>
      </w:r>
    </w:p>
    <w:p w14:paraId="0DC18004">
      <w:pPr>
        <w:widowControl/>
        <w:ind w:firstLine="0" w:firstLineChars="0"/>
        <w:jc w:val="center"/>
        <w:rPr>
          <w:rFonts w:hint="default" w:ascii="Times New Roman" w:hAnsi="Times New Roman" w:eastAsia="宋体" w:cs="Times New Roman"/>
          <w:sz w:val="28"/>
          <w:szCs w:val="28"/>
          <w:vertAlign w:val="baseline"/>
          <w:lang w:val="en-US" w:eastAsia="zh-CN"/>
        </w:rPr>
      </w:pPr>
      <w:r>
        <w:rPr>
          <w:rFonts w:hint="default" w:ascii="Times New Roman" w:hAnsi="Times New Roman" w:cs="Times New Roman"/>
          <w:sz w:val="28"/>
          <w:szCs w:val="28"/>
        </w:rPr>
        <w:t>Figure 5.1 – Surface tension with the different ratio of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and 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vertAlign w:val="baseline"/>
          <w:lang w:val="en-US" w:eastAsia="zh-CN"/>
        </w:rPr>
        <w:t>.</w:t>
      </w:r>
    </w:p>
    <w:p w14:paraId="0D1577C1">
      <w:pPr>
        <w:widowControl/>
        <w:ind w:firstLine="709" w:firstLineChars="0"/>
        <w:rPr>
          <w:rFonts w:hint="default" w:ascii="Times New Roman" w:hAnsi="Times New Roman" w:cs="Times New Roman"/>
          <w:sz w:val="28"/>
          <w:szCs w:val="28"/>
        </w:rPr>
      </w:pPr>
    </w:p>
    <w:p w14:paraId="0B9FD725">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3438525" cy="2724150"/>
            <wp:effectExtent l="0" t="0" r="9525" b="0"/>
            <wp:docPr id="6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6"/>
                    <pic:cNvPicPr>
                      <a:picLocks noChangeAspect="1"/>
                    </pic:cNvPicPr>
                  </pic:nvPicPr>
                  <pic:blipFill>
                    <a:blip r:embed="rId61"/>
                    <a:stretch>
                      <a:fillRect/>
                    </a:stretch>
                  </pic:blipFill>
                  <pic:spPr>
                    <a:xfrm>
                      <a:off x="0" y="0"/>
                      <a:ext cx="3438525" cy="2724150"/>
                    </a:xfrm>
                    <a:prstGeom prst="rect">
                      <a:avLst/>
                    </a:prstGeom>
                    <a:noFill/>
                    <a:ln>
                      <a:noFill/>
                    </a:ln>
                  </pic:spPr>
                </pic:pic>
              </a:graphicData>
            </a:graphic>
          </wp:inline>
        </w:drawing>
      </w:r>
    </w:p>
    <w:p w14:paraId="0E0D6A7B">
      <w:pPr>
        <w:widowControl/>
        <w:ind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Figure 5.2 – Schematic illustration of the adsorption of mixed surfactants at the air-water interface</w:t>
      </w:r>
      <w:r>
        <w:rPr>
          <w:rFonts w:hint="default" w:ascii="Times New Roman" w:hAnsi="Times New Roman" w:cs="Times New Roman"/>
          <w:sz w:val="28"/>
          <w:szCs w:val="28"/>
          <w:lang w:val="en-US" w:eastAsia="zh-CN"/>
        </w:rPr>
        <w:t>.</w:t>
      </w:r>
    </w:p>
    <w:p w14:paraId="6C131418">
      <w:pPr>
        <w:widowControl/>
        <w:ind w:firstLine="709" w:firstLineChars="0"/>
        <w:rPr>
          <w:rFonts w:hint="default" w:ascii="Times New Roman" w:hAnsi="Times New Roman" w:cs="Times New Roman"/>
          <w:sz w:val="28"/>
          <w:szCs w:val="28"/>
        </w:rPr>
      </w:pPr>
    </w:p>
    <w:p w14:paraId="2B7E5F00">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observed trend of the cmc values of the mixed surfactant systems — initially decreasing and then increasing with varying molar ratios — reflects the presence of synergistic interactions between the two surfactants. Notably, the mixtures with molar ratios of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to 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of 1:1 and 2:3 exhibited the lowest cmc of 0.020 mmol·L</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demonstrating the strongest synergistic effect. These results indicate that an appropriate combination of amphoteric and cationic surfactants can significantly enhance interfacial activity, which is critical for applications such as enhanced oil recovery, where ultra-low interfacial tension and efficient surface adsorption are required. The interaction parameters of these mixtures, utilized to describe the interaction behavior, are calculated as listed in Table 5.2 [83,86,165].</w:t>
      </w:r>
    </w:p>
    <w:p w14:paraId="19D10F3A">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To further investigate the interaction behavior between the two surfactants, the interaction parameters of the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mixtures were calculated based on established thermodynamic equations, and the relationship between the concentrations of mixed micelles in ideal and real solutions was evaluated, as summarized in Table 5.2 (where 1 corresponds to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and 2 corresponds to 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The experimentally determined cmcs of the mixed systems were consistently lower than the corresponding ideal cmcs, indicating significant deviations from ideal solution behavior. This deviation can be attributed to favorable interactions between the surfactant molecules in the mixture, which reduce the free energy of micellization and enhance the tendency for aggregate formation.</w:t>
      </w:r>
    </w:p>
    <w:p w14:paraId="0441D201">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Additionally, the calculated micellar mole fraction of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w:t>
      </w:r>
      <m:oMath>
        <m:sSubSup>
          <m:sSubSupPr>
            <m:ctrlPr>
              <w:rPr>
                <w:rFonts w:hint="default" w:ascii="Cambria Math" w:hAnsi="Cambria Math" w:cs="Times New Roman"/>
                <w:sz w:val="28"/>
                <w:szCs w:val="28"/>
              </w:rPr>
            </m:ctrlPr>
          </m:sSubSupPr>
          <m:e>
            <m:r>
              <m:rPr>
                <m:nor/>
                <m:sty m:val="p"/>
              </m:rPr>
              <w:rPr>
                <w:rFonts w:hint="default" w:ascii="Times New Roman" w:hAnsi="Times New Roman" w:cs="Times New Roman"/>
                <w:b w:val="0"/>
                <w:i w:val="0"/>
                <w:sz w:val="28"/>
                <w:szCs w:val="28"/>
              </w:rPr>
              <m:t>X</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bSup>
      </m:oMath>
      <w:r>
        <w:rPr>
          <w:rFonts w:hint="default" w:ascii="Times New Roman" w:hAnsi="Times New Roman" w:cs="Times New Roman"/>
          <w:sz w:val="28"/>
          <w:szCs w:val="28"/>
        </w:rPr>
        <w:t>) was found to be higher than its mole fraction at the interface (</w:t>
      </w:r>
      <m:oMath>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σ</m:t>
            </m:r>
            <m:ctrlPr>
              <w:rPr>
                <w:rFonts w:hint="default" w:ascii="Cambria Math" w:hAnsi="Cambria Math" w:cs="Times New Roman"/>
                <w:sz w:val="28"/>
                <w:szCs w:val="28"/>
              </w:rPr>
            </m:ctrlPr>
          </m:sup>
        </m:sSubSup>
      </m:oMath>
      <w:r>
        <w:rPr>
          <w:rFonts w:hint="default" w:ascii="Times New Roman" w:hAnsi="Times New Roman" w:cs="Times New Roman"/>
          <w:sz w:val="28"/>
          <w:szCs w:val="28"/>
        </w:rPr>
        <w:t>). This observation implies that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preferentially partitions into the mixed micelles rather than the interfacial layer, reflecting its stronger propensity to form stable mixed aggregates in the bulk solution relative to its overall composition in the mixture [152,165]. Such preferential incorporation of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into micelles enhances micelle stability and promotes synergistic interactions with 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which in turn contributes to the reduction of the cmc and the improvement of interfacial properties. These findings provide important insights into the molecular-level interactions and self-assembly behavior of cationic–amphoteric surfactant mixtures, which are critical for optimizing their performance in applications such as enhanced oil recovery and emulsion stabilization.</w:t>
      </w:r>
    </w:p>
    <w:p w14:paraId="7748BEBC">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Further insights into the interaction behavior of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mixtures were obtained by analyzing the composition of mixed micelles and the associated interaction parameters. As shown in Figure 5.3, the micellar mole fraction of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w:t>
      </w:r>
      <m:oMath>
        <m:sSubSup>
          <m:sSubSupPr>
            <m:ctrlPr>
              <w:rPr>
                <w:rFonts w:hint="default" w:ascii="Cambria Math" w:hAnsi="Cambria Math" w:cs="Times New Roman"/>
                <w:sz w:val="28"/>
                <w:szCs w:val="28"/>
              </w:rPr>
            </m:ctrlPr>
          </m:sSubSupPr>
          <m:e>
            <m:r>
              <m:rPr>
                <m:nor/>
                <m:sty m:val="p"/>
              </m:rPr>
              <w:rPr>
                <w:rFonts w:hint="default" w:ascii="Times New Roman" w:hAnsi="Times New Roman" w:cs="Times New Roman"/>
                <w:b w:val="0"/>
                <w:i w:val="0"/>
                <w:sz w:val="28"/>
                <w:szCs w:val="28"/>
              </w:rPr>
              <m:t>X</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bSup>
      </m:oMath>
      <w:r>
        <w:rPr>
          <w:rFonts w:hint="default" w:ascii="Times New Roman" w:hAnsi="Times New Roman" w:cs="Times New Roman"/>
          <w:sz w:val="28"/>
          <w:szCs w:val="28"/>
        </w:rPr>
        <w:t>) generally decreases with decreasing overall mole fraction of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in the binary mixtures, indicating that the formation of mixed micelles is thermodynamically more favorable than the formation of single-component micelles. Moreover, the mixed micelles are enriched in the zwitterionic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molecules, reflecting their stronger tendency to participate in micellar aggregates relative to the cationic Gemini surfactant 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w:t>
      </w:r>
    </w:p>
    <w:p w14:paraId="2B22BFB5">
      <w:pPr>
        <w:widowControl/>
        <w:ind w:firstLine="709" w:firstLineChars="0"/>
        <w:rPr>
          <w:rFonts w:hint="default" w:ascii="Times New Roman" w:hAnsi="Times New Roman" w:cs="Times New Roman"/>
          <w:sz w:val="28"/>
          <w:szCs w:val="28"/>
        </w:rPr>
      </w:pPr>
    </w:p>
    <w:p w14:paraId="08E943CE">
      <w:pPr>
        <w:widowControl/>
        <w:ind w:firstLine="709" w:firstLineChars="0"/>
        <w:rPr>
          <w:rFonts w:hint="default" w:ascii="Times New Roman" w:hAnsi="Times New Roman" w:cs="Times New Roman"/>
          <w:sz w:val="28"/>
          <w:szCs w:val="28"/>
        </w:rPr>
      </w:pPr>
    </w:p>
    <w:p w14:paraId="76C289E2">
      <w:pPr>
        <w:widowControl/>
        <w:ind w:left="0" w:leftChars="0" w:firstLine="0" w:firstLineChars="0"/>
        <w:rPr>
          <w:rFonts w:hint="default" w:ascii="Times New Roman" w:hAnsi="Times New Roman" w:cs="Times New Roman"/>
          <w:sz w:val="28"/>
          <w:szCs w:val="28"/>
        </w:rPr>
      </w:pPr>
      <w:r>
        <w:rPr>
          <w:rFonts w:hint="default" w:ascii="Times New Roman" w:hAnsi="Times New Roman" w:cs="Times New Roman"/>
          <w:sz w:val="28"/>
          <w:szCs w:val="28"/>
        </w:rPr>
        <w:t>Table 5.2 – The interaction parameters of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mixtures.</w:t>
      </w:r>
    </w:p>
    <w:tbl>
      <w:tblPr>
        <w:tblStyle w:val="17"/>
        <w:tblW w:w="4997" w:type="pct"/>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40"/>
        <w:gridCol w:w="1640"/>
        <w:gridCol w:w="1640"/>
        <w:gridCol w:w="1640"/>
        <w:gridCol w:w="1644"/>
        <w:gridCol w:w="1644"/>
      </w:tblGrid>
      <w:tr w14:paraId="58359BE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pct"/>
            <w:tcBorders>
              <w:bottom w:val="single" w:color="auto" w:sz="4" w:space="0"/>
            </w:tcBorders>
            <w:vAlign w:val="center"/>
          </w:tcPr>
          <w:p w14:paraId="2030A268">
            <w:pPr>
              <w:widowControl/>
              <w:ind w:firstLine="0" w:firstLineChars="0"/>
              <w:jc w:val="center"/>
              <w:rPr>
                <w:rFonts w:hint="default" w:ascii="Times New Roman" w:hAnsi="Times New Roman" w:cs="Times New Roman"/>
                <w:sz w:val="28"/>
                <w:szCs w:val="28"/>
              </w:rPr>
            </w:pPr>
            <m:oMathPara>
              <m:oMath>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α</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Sub>
              </m:oMath>
            </m:oMathPara>
          </w:p>
        </w:tc>
        <w:tc>
          <w:tcPr>
            <w:tcW w:w="832" w:type="pct"/>
            <w:tcBorders>
              <w:bottom w:val="single" w:color="auto" w:sz="4" w:space="0"/>
            </w:tcBorders>
            <w:vAlign w:val="center"/>
          </w:tcPr>
          <w:p w14:paraId="04D33AA3">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0.8</w:t>
            </w:r>
          </w:p>
        </w:tc>
        <w:tc>
          <w:tcPr>
            <w:tcW w:w="832" w:type="pct"/>
            <w:tcBorders>
              <w:bottom w:val="single" w:color="auto" w:sz="4" w:space="0"/>
            </w:tcBorders>
            <w:vAlign w:val="center"/>
          </w:tcPr>
          <w:p w14:paraId="367D444D">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0.6</w:t>
            </w:r>
          </w:p>
        </w:tc>
        <w:tc>
          <w:tcPr>
            <w:tcW w:w="832" w:type="pct"/>
            <w:tcBorders>
              <w:bottom w:val="single" w:color="auto" w:sz="4" w:space="0"/>
            </w:tcBorders>
            <w:vAlign w:val="center"/>
          </w:tcPr>
          <w:p w14:paraId="7EB20394">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0.5</w:t>
            </w:r>
          </w:p>
        </w:tc>
        <w:tc>
          <w:tcPr>
            <w:tcW w:w="834" w:type="pct"/>
            <w:tcBorders>
              <w:bottom w:val="single" w:color="auto" w:sz="4" w:space="0"/>
            </w:tcBorders>
            <w:vAlign w:val="center"/>
          </w:tcPr>
          <w:p w14:paraId="0E403B2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0.4</w:t>
            </w:r>
          </w:p>
        </w:tc>
        <w:tc>
          <w:tcPr>
            <w:tcW w:w="834" w:type="pct"/>
            <w:tcBorders>
              <w:bottom w:val="single" w:color="auto" w:sz="4" w:space="0"/>
            </w:tcBorders>
            <w:vAlign w:val="center"/>
          </w:tcPr>
          <w:p w14:paraId="512A20B5">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0.2</w:t>
            </w:r>
          </w:p>
        </w:tc>
      </w:tr>
      <w:tr w14:paraId="5BA19F7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pct"/>
            <w:vAlign w:val="center"/>
          </w:tcPr>
          <w:p w14:paraId="1BAB49E2">
            <w:pPr>
              <w:widowControl/>
              <w:ind w:firstLine="0" w:firstLineChars="0"/>
              <w:jc w:val="center"/>
              <w:rPr>
                <w:rFonts w:hint="default" w:ascii="Times New Roman" w:hAnsi="Times New Roman" w:cs="Times New Roman" w:eastAsiaTheme="minorEastAsia"/>
                <w:sz w:val="28"/>
                <w:szCs w:val="28"/>
              </w:rPr>
            </w:pPr>
            <m:oMathPara>
              <m:oMath>
                <m:sSubSup>
                  <m:sSubSupPr>
                    <m:ctrlPr>
                      <w:rPr>
                        <w:rFonts w:hint="default" w:ascii="Cambria Math" w:hAnsi="Cambria Math" w:cs="Times New Roman"/>
                        <w:sz w:val="28"/>
                        <w:szCs w:val="28"/>
                      </w:rPr>
                    </m:ctrlPr>
                  </m:sSubSupPr>
                  <m:e>
                    <m:r>
                      <m:rPr>
                        <m:nor/>
                        <m:sty m:val="p"/>
                      </m:rPr>
                      <w:rPr>
                        <w:rFonts w:hint="default" w:ascii="Times New Roman" w:hAnsi="Times New Roman" w:cs="Times New Roman"/>
                        <w:b w:val="0"/>
                        <w:i w:val="0"/>
                        <w:sz w:val="28"/>
                        <w:szCs w:val="28"/>
                      </w:rPr>
                      <m:t>X</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bSup>
              </m:oMath>
            </m:oMathPara>
          </w:p>
        </w:tc>
        <w:tc>
          <w:tcPr>
            <w:tcW w:w="832" w:type="pct"/>
            <w:vAlign w:val="center"/>
          </w:tcPr>
          <w:p w14:paraId="153E2FD5">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0.6333</w:t>
            </w:r>
          </w:p>
        </w:tc>
        <w:tc>
          <w:tcPr>
            <w:tcW w:w="832" w:type="pct"/>
            <w:vAlign w:val="center"/>
          </w:tcPr>
          <w:p w14:paraId="0DBDB1DC">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0.5856</w:t>
            </w:r>
          </w:p>
        </w:tc>
        <w:tc>
          <w:tcPr>
            <w:tcW w:w="832" w:type="pct"/>
            <w:vAlign w:val="center"/>
          </w:tcPr>
          <w:p w14:paraId="415CF03B">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0.5639</w:t>
            </w:r>
          </w:p>
        </w:tc>
        <w:tc>
          <w:tcPr>
            <w:tcW w:w="834" w:type="pct"/>
            <w:vAlign w:val="center"/>
          </w:tcPr>
          <w:p w14:paraId="2578E0D3">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0.5448</w:t>
            </w:r>
          </w:p>
        </w:tc>
        <w:tc>
          <w:tcPr>
            <w:tcW w:w="834" w:type="pct"/>
            <w:vAlign w:val="center"/>
          </w:tcPr>
          <w:p w14:paraId="2955CCE1">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0.5015</w:t>
            </w:r>
          </w:p>
        </w:tc>
      </w:tr>
      <w:tr w14:paraId="2146D8B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pct"/>
            <w:vAlign w:val="center"/>
          </w:tcPr>
          <w:p w14:paraId="627070C0">
            <w:pPr>
              <w:widowControl/>
              <w:ind w:firstLine="0" w:firstLineChars="0"/>
              <w:jc w:val="center"/>
              <w:rPr>
                <w:rFonts w:hint="default" w:ascii="Times New Roman" w:hAnsi="Times New Roman" w:cs="Times New Roman" w:eastAsiaTheme="minorEastAsia"/>
                <w:sz w:val="28"/>
                <w:szCs w:val="28"/>
              </w:rPr>
            </w:pPr>
            <m:oMathPara>
              <m:oMath>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p>
              </m:oMath>
            </m:oMathPara>
          </w:p>
        </w:tc>
        <w:tc>
          <w:tcPr>
            <w:tcW w:w="832" w:type="pct"/>
            <w:vAlign w:val="center"/>
          </w:tcPr>
          <w:p w14:paraId="0EA256A3">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-8.4215</w:t>
            </w:r>
          </w:p>
        </w:tc>
        <w:tc>
          <w:tcPr>
            <w:tcW w:w="832" w:type="pct"/>
            <w:vAlign w:val="center"/>
          </w:tcPr>
          <w:p w14:paraId="04E25960">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-8.5579</w:t>
            </w:r>
          </w:p>
        </w:tc>
        <w:tc>
          <w:tcPr>
            <w:tcW w:w="832" w:type="pct"/>
            <w:vAlign w:val="center"/>
          </w:tcPr>
          <w:p w14:paraId="7A8B6727">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-8.9887</w:t>
            </w:r>
          </w:p>
        </w:tc>
        <w:tc>
          <w:tcPr>
            <w:tcW w:w="834" w:type="pct"/>
            <w:vAlign w:val="center"/>
          </w:tcPr>
          <w:p w14:paraId="5101349C">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-9.1608</w:t>
            </w:r>
          </w:p>
        </w:tc>
        <w:tc>
          <w:tcPr>
            <w:tcW w:w="834" w:type="pct"/>
            <w:vAlign w:val="center"/>
          </w:tcPr>
          <w:p w14:paraId="364C1ED0">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-4.7757</w:t>
            </w:r>
          </w:p>
        </w:tc>
      </w:tr>
      <w:tr w14:paraId="27A7140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pct"/>
            <w:vAlign w:val="center"/>
          </w:tcPr>
          <w:p w14:paraId="35F5E04B">
            <w:pPr>
              <w:widowControl/>
              <w:ind w:firstLine="0" w:firstLineChars="0"/>
              <w:jc w:val="center"/>
              <w:rPr>
                <w:rFonts w:hint="default" w:ascii="Times New Roman" w:hAnsi="Times New Roman" w:cs="Times New Roman"/>
                <w:sz w:val="28"/>
                <w:szCs w:val="28"/>
              </w:rPr>
            </w:pPr>
            <m:oMathPara>
              <m:oMath>
                <m:func>
                  <m:funcPr>
                    <m:ctrlPr>
                      <w:rPr>
                        <w:rFonts w:hint="default" w:ascii="Cambria Math" w:hAnsi="Cambria Math" w:cs="Times New Roman"/>
                        <w:sz w:val="28"/>
                        <w:szCs w:val="28"/>
                      </w:rPr>
                    </m:ctrlPr>
                  </m:funcPr>
                  <m:fName>
                    <m:r>
                      <m:rPr>
                        <m:nor/>
                      </m:rPr>
                      <w:rPr>
                        <w:rFonts w:hint="default" w:ascii="Times New Roman" w:hAnsi="Times New Roman" w:cs="Times New Roman"/>
                        <w:i/>
                        <w:sz w:val="28"/>
                        <w:szCs w:val="28"/>
                      </w:rPr>
                      <m:t>ln</m:t>
                    </m:r>
                    <m:ctrlPr>
                      <w:rPr>
                        <w:rFonts w:hint="default" w:ascii="Cambria Math" w:hAnsi="Cambria Math" w:cs="Times New Roman"/>
                        <w:sz w:val="28"/>
                        <w:szCs w:val="28"/>
                      </w:rPr>
                    </m:ctrlPr>
                  </m:fName>
                  <m:e>
                    <m:d>
                      <m:dPr>
                        <m:ctrlPr>
                          <w:rPr>
                            <w:rFonts w:hint="default" w:ascii="Cambria Math" w:hAnsi="Cambria Math" w:cs="Times New Roman"/>
                            <w:sz w:val="28"/>
                            <w:szCs w:val="28"/>
                          </w:rPr>
                        </m:ctrlPr>
                      </m:dPr>
                      <m:e>
                        <m:f>
                          <m:fPr>
                            <m:ctrlPr>
                              <w:rPr>
                                <w:rFonts w:hint="default" w:ascii="Cambria Math" w:hAnsi="Cambria Math" w:cs="Times New Roman"/>
                                <w:sz w:val="28"/>
                                <w:szCs w:val="28"/>
                              </w:rPr>
                            </m:ctrlPr>
                          </m:fPr>
                          <m:num>
                            <m:sSubSup>
                              <m:sSubSupPr>
                                <m:ctrlPr>
                                  <w:rPr>
                                    <w:rFonts w:hint="default" w:ascii="Cambria Math" w:hAnsi="Cambria Math" w:cs="Times New Roman"/>
                                    <w:i/>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up>
                                <m:r>
                                  <m:rPr>
                                    <m:nor/>
                                  </m:rPr>
                                  <w:rPr>
                                    <w:rFonts w:hint="default" w:ascii="Times New Roman" w:hAnsi="Times New Roman" w:cs="Times New Roman"/>
                                    <w:i/>
                                    <w:sz w:val="28"/>
                                    <w:szCs w:val="28"/>
                                  </w:rPr>
                                  <m:t>m</m:t>
                                </m:r>
                                <m:ctrlPr>
                                  <w:rPr>
                                    <w:rFonts w:hint="default" w:ascii="Cambria Math" w:hAnsi="Cambria Math" w:cs="Times New Roman"/>
                                    <w:i/>
                                    <w:sz w:val="28"/>
                                    <w:szCs w:val="28"/>
                                  </w:rPr>
                                </m:ctrlPr>
                              </m:sup>
                            </m:sSubSup>
                            <m:ctrlPr>
                              <w:rPr>
                                <w:rFonts w:hint="default" w:ascii="Cambria Math" w:hAnsi="Cambria Math" w:cs="Times New Roman"/>
                                <w:sz w:val="28"/>
                                <w:szCs w:val="28"/>
                              </w:rPr>
                            </m:ctrlPr>
                          </m:num>
                          <m:den>
                            <m:sSubSup>
                              <m:sSubSupPr>
                                <m:ctrlPr>
                                  <w:rPr>
                                    <w:rFonts w:hint="default" w:ascii="Cambria Math" w:hAnsi="Cambria Math" w:cs="Times New Roman"/>
                                    <w:i/>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2</m:t>
                                </m:r>
                                <m:ctrlPr>
                                  <w:rPr>
                                    <w:rFonts w:hint="default" w:ascii="Cambria Math" w:hAnsi="Cambria Math" w:cs="Times New Roman"/>
                                    <w:i/>
                                    <w:sz w:val="28"/>
                                    <w:szCs w:val="28"/>
                                  </w:rPr>
                                </m:ctrlPr>
                              </m:sub>
                              <m:sup>
                                <m:r>
                                  <m:rPr>
                                    <m:nor/>
                                  </m:rPr>
                                  <w:rPr>
                                    <w:rFonts w:hint="default" w:ascii="Times New Roman" w:hAnsi="Times New Roman" w:cs="Times New Roman"/>
                                    <w:i/>
                                    <w:sz w:val="28"/>
                                    <w:szCs w:val="28"/>
                                  </w:rPr>
                                  <m:t>m</m:t>
                                </m:r>
                                <m:ctrlPr>
                                  <w:rPr>
                                    <w:rFonts w:hint="default" w:ascii="Cambria Math" w:hAnsi="Cambria Math" w:cs="Times New Roman"/>
                                    <w:i/>
                                    <w:sz w:val="28"/>
                                    <w:szCs w:val="28"/>
                                  </w:rPr>
                                </m:ctrlPr>
                              </m:sup>
                            </m:sSubSup>
                            <m:ctrlPr>
                              <w:rPr>
                                <w:rFonts w:hint="default" w:ascii="Cambria Math" w:hAnsi="Cambria Math" w:cs="Times New Roman"/>
                                <w:sz w:val="28"/>
                                <w:szCs w:val="28"/>
                              </w:rPr>
                            </m:ctrlPr>
                          </m:den>
                        </m:f>
                        <m:ctrlPr>
                          <w:rPr>
                            <w:rFonts w:hint="default" w:ascii="Cambria Math" w:hAnsi="Cambria Math" w:cs="Times New Roman"/>
                            <w:sz w:val="28"/>
                            <w:szCs w:val="28"/>
                          </w:rPr>
                        </m:ctrlPr>
                      </m:e>
                    </m:d>
                    <m:ctrlPr>
                      <w:rPr>
                        <w:rFonts w:hint="default" w:ascii="Cambria Math" w:hAnsi="Cambria Math" w:cs="Times New Roman"/>
                        <w:sz w:val="28"/>
                        <w:szCs w:val="28"/>
                      </w:rPr>
                    </m:ctrlPr>
                  </m:e>
                </m:func>
              </m:oMath>
            </m:oMathPara>
          </w:p>
        </w:tc>
        <w:tc>
          <w:tcPr>
            <w:tcW w:w="832" w:type="pct"/>
            <w:vAlign w:val="center"/>
          </w:tcPr>
          <w:p w14:paraId="34AA6CF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eastAsiaTheme="minorEastAsia"/>
                <w:sz w:val="28"/>
                <w:szCs w:val="28"/>
              </w:rPr>
              <w:t>-1.4065</w:t>
            </w:r>
          </w:p>
        </w:tc>
        <w:tc>
          <w:tcPr>
            <w:tcW w:w="832" w:type="pct"/>
            <w:vAlign w:val="center"/>
          </w:tcPr>
          <w:p w14:paraId="09234A20">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eastAsiaTheme="minorEastAsia"/>
                <w:sz w:val="28"/>
                <w:szCs w:val="28"/>
              </w:rPr>
              <w:t>-1.4065</w:t>
            </w:r>
          </w:p>
        </w:tc>
        <w:tc>
          <w:tcPr>
            <w:tcW w:w="832" w:type="pct"/>
            <w:vAlign w:val="center"/>
          </w:tcPr>
          <w:p w14:paraId="29DF73E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eastAsiaTheme="minorEastAsia"/>
                <w:sz w:val="28"/>
                <w:szCs w:val="28"/>
              </w:rPr>
              <w:t>-1.4065</w:t>
            </w:r>
          </w:p>
        </w:tc>
        <w:tc>
          <w:tcPr>
            <w:tcW w:w="834" w:type="pct"/>
            <w:vAlign w:val="center"/>
          </w:tcPr>
          <w:p w14:paraId="7C6E73A7">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eastAsiaTheme="minorEastAsia"/>
                <w:sz w:val="28"/>
                <w:szCs w:val="28"/>
              </w:rPr>
              <w:t>-1.4065</w:t>
            </w:r>
          </w:p>
        </w:tc>
        <w:tc>
          <w:tcPr>
            <w:tcW w:w="834" w:type="pct"/>
            <w:vAlign w:val="center"/>
          </w:tcPr>
          <w:p w14:paraId="3457CED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eastAsiaTheme="minorEastAsia"/>
                <w:sz w:val="28"/>
                <w:szCs w:val="28"/>
              </w:rPr>
              <w:t>-1.4065</w:t>
            </w:r>
          </w:p>
        </w:tc>
      </w:tr>
      <w:tr w14:paraId="3F36110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pct"/>
            <w:vAlign w:val="center"/>
          </w:tcPr>
          <w:p w14:paraId="4FB7348B">
            <w:pPr>
              <w:widowControl/>
              <w:ind w:firstLine="0" w:firstLineChars="0"/>
              <w:jc w:val="center"/>
              <w:rPr>
                <w:rFonts w:hint="default" w:ascii="Times New Roman" w:hAnsi="Times New Roman" w:cs="Times New Roman"/>
                <w:sz w:val="28"/>
                <w:szCs w:val="28"/>
              </w:rPr>
            </w:pPr>
            <m:oMathPara>
              <m:oMath>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f</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rPr>
                      <w:rPr>
                        <w:rFonts w:hint="default" w:ascii="Times New Roman" w:hAnsi="Times New Roman" w:cs="Times New Roman"/>
                        <w:i/>
                        <w:sz w:val="28"/>
                        <w:szCs w:val="28"/>
                      </w:rPr>
                      <m:t>m</m:t>
                    </m:r>
                    <m:ctrlPr>
                      <w:rPr>
                        <w:rFonts w:hint="default" w:ascii="Cambria Math" w:hAnsi="Cambria Math" w:cs="Times New Roman"/>
                        <w:sz w:val="28"/>
                        <w:szCs w:val="28"/>
                      </w:rPr>
                    </m:ctrlPr>
                  </m:sup>
                </m:sSubSup>
              </m:oMath>
            </m:oMathPara>
          </w:p>
        </w:tc>
        <w:tc>
          <w:tcPr>
            <w:tcW w:w="832" w:type="pct"/>
            <w:vAlign w:val="center"/>
          </w:tcPr>
          <w:p w14:paraId="42678B97">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eastAsiaTheme="minorEastAsia"/>
                <w:sz w:val="28"/>
                <w:szCs w:val="28"/>
              </w:rPr>
              <w:t>0.3223</w:t>
            </w:r>
          </w:p>
        </w:tc>
        <w:tc>
          <w:tcPr>
            <w:tcW w:w="832" w:type="pct"/>
            <w:vAlign w:val="center"/>
          </w:tcPr>
          <w:p w14:paraId="19630A8E">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eastAsiaTheme="minorEastAsia"/>
                <w:sz w:val="28"/>
                <w:szCs w:val="28"/>
              </w:rPr>
              <w:t>0.2300</w:t>
            </w:r>
          </w:p>
        </w:tc>
        <w:tc>
          <w:tcPr>
            <w:tcW w:w="832" w:type="pct"/>
            <w:vAlign w:val="center"/>
          </w:tcPr>
          <w:p w14:paraId="0798B63E">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eastAsiaTheme="minorEastAsia"/>
                <w:sz w:val="28"/>
                <w:szCs w:val="28"/>
              </w:rPr>
              <w:t>0.1810</w:t>
            </w:r>
          </w:p>
        </w:tc>
        <w:tc>
          <w:tcPr>
            <w:tcW w:w="834" w:type="pct"/>
            <w:vAlign w:val="center"/>
          </w:tcPr>
          <w:p w14:paraId="0894150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eastAsiaTheme="minorEastAsia"/>
                <w:sz w:val="28"/>
                <w:szCs w:val="28"/>
              </w:rPr>
              <w:t>0.1498</w:t>
            </w:r>
          </w:p>
        </w:tc>
        <w:tc>
          <w:tcPr>
            <w:tcW w:w="834" w:type="pct"/>
            <w:vAlign w:val="center"/>
          </w:tcPr>
          <w:p w14:paraId="33F7A9B3">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eastAsiaTheme="minorEastAsia"/>
                <w:sz w:val="28"/>
                <w:szCs w:val="28"/>
              </w:rPr>
              <w:t>0.3052</w:t>
            </w:r>
          </w:p>
        </w:tc>
      </w:tr>
      <w:tr w14:paraId="7C36B89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pct"/>
            <w:vAlign w:val="center"/>
          </w:tcPr>
          <w:p w14:paraId="1838A4BF">
            <w:pPr>
              <w:widowControl/>
              <w:ind w:firstLine="0" w:firstLineChars="0"/>
              <w:jc w:val="center"/>
              <w:rPr>
                <w:rFonts w:hint="default" w:ascii="Times New Roman" w:hAnsi="Times New Roman" w:cs="Times New Roman"/>
                <w:sz w:val="28"/>
                <w:szCs w:val="28"/>
              </w:rPr>
            </w:pPr>
            <m:oMathPara>
              <m:oMath>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f</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2</m:t>
                    </m:r>
                    <m:ctrlPr>
                      <w:rPr>
                        <w:rFonts w:hint="default" w:ascii="Cambria Math" w:hAnsi="Cambria Math" w:cs="Times New Roman"/>
                        <w:sz w:val="28"/>
                        <w:szCs w:val="28"/>
                      </w:rPr>
                    </m:ctrlPr>
                  </m:sub>
                  <m:sup>
                    <m:r>
                      <m:rPr>
                        <m:nor/>
                      </m:rPr>
                      <w:rPr>
                        <w:rFonts w:hint="default" w:ascii="Times New Roman" w:hAnsi="Times New Roman" w:cs="Times New Roman"/>
                        <w:i/>
                        <w:sz w:val="28"/>
                        <w:szCs w:val="28"/>
                      </w:rPr>
                      <m:t>m</m:t>
                    </m:r>
                    <m:ctrlPr>
                      <w:rPr>
                        <w:rFonts w:hint="default" w:ascii="Cambria Math" w:hAnsi="Cambria Math" w:cs="Times New Roman"/>
                        <w:sz w:val="28"/>
                        <w:szCs w:val="28"/>
                      </w:rPr>
                    </m:ctrlPr>
                  </m:sup>
                </m:sSubSup>
              </m:oMath>
            </m:oMathPara>
          </w:p>
        </w:tc>
        <w:tc>
          <w:tcPr>
            <w:tcW w:w="832" w:type="pct"/>
            <w:vAlign w:val="center"/>
          </w:tcPr>
          <w:p w14:paraId="5014ED6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eastAsiaTheme="minorEastAsia"/>
                <w:sz w:val="28"/>
                <w:szCs w:val="28"/>
              </w:rPr>
              <w:t>0.0341</w:t>
            </w:r>
          </w:p>
        </w:tc>
        <w:tc>
          <w:tcPr>
            <w:tcW w:w="832" w:type="pct"/>
            <w:vAlign w:val="center"/>
          </w:tcPr>
          <w:p w14:paraId="4DE392B5">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eastAsiaTheme="minorEastAsia"/>
                <w:sz w:val="28"/>
                <w:szCs w:val="28"/>
              </w:rPr>
              <w:t>0.0531</w:t>
            </w:r>
          </w:p>
        </w:tc>
        <w:tc>
          <w:tcPr>
            <w:tcW w:w="832" w:type="pct"/>
            <w:vAlign w:val="center"/>
          </w:tcPr>
          <w:p w14:paraId="2E7FF5E2">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eastAsiaTheme="minorEastAsia"/>
                <w:sz w:val="28"/>
                <w:szCs w:val="28"/>
              </w:rPr>
              <w:t>0.0574</w:t>
            </w:r>
          </w:p>
        </w:tc>
        <w:tc>
          <w:tcPr>
            <w:tcW w:w="834" w:type="pct"/>
            <w:vAlign w:val="center"/>
          </w:tcPr>
          <w:p w14:paraId="7E08A78E">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eastAsiaTheme="minorEastAsia"/>
                <w:sz w:val="28"/>
                <w:szCs w:val="28"/>
              </w:rPr>
              <w:t>0.0659</w:t>
            </w:r>
          </w:p>
        </w:tc>
        <w:tc>
          <w:tcPr>
            <w:tcW w:w="834" w:type="pct"/>
            <w:vAlign w:val="center"/>
          </w:tcPr>
          <w:p w14:paraId="2D10E53A">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eastAsiaTheme="minorEastAsia"/>
                <w:sz w:val="28"/>
                <w:szCs w:val="28"/>
              </w:rPr>
              <w:t>0.3009</w:t>
            </w:r>
          </w:p>
        </w:tc>
      </w:tr>
      <w:tr w14:paraId="5E054BB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pct"/>
            <w:vAlign w:val="center"/>
          </w:tcPr>
          <w:p w14:paraId="5A553101">
            <w:pPr>
              <w:widowControl/>
              <w:ind w:firstLine="0" w:firstLineChars="0"/>
              <w:jc w:val="center"/>
              <w:rPr>
                <w:rFonts w:hint="default" w:ascii="Times New Roman" w:hAnsi="Times New Roman" w:cs="Times New Roman" w:eastAsiaTheme="minorEastAsia"/>
                <w:sz w:val="28"/>
                <w:szCs w:val="28"/>
              </w:rPr>
            </w:pPr>
            <m:oMathPara>
              <m:oMath>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σ</m:t>
                    </m:r>
                    <m:ctrlPr>
                      <w:rPr>
                        <w:rFonts w:hint="default" w:ascii="Cambria Math" w:hAnsi="Cambria Math" w:cs="Times New Roman"/>
                        <w:sz w:val="28"/>
                        <w:szCs w:val="28"/>
                      </w:rPr>
                    </m:ctrlPr>
                  </m:sup>
                </m:sSubSup>
              </m:oMath>
            </m:oMathPara>
          </w:p>
        </w:tc>
        <w:tc>
          <w:tcPr>
            <w:tcW w:w="832" w:type="pct"/>
            <w:vAlign w:val="center"/>
          </w:tcPr>
          <w:p w14:paraId="1145E8C7">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0.6118</w:t>
            </w:r>
          </w:p>
        </w:tc>
        <w:tc>
          <w:tcPr>
            <w:tcW w:w="832" w:type="pct"/>
            <w:vAlign w:val="center"/>
          </w:tcPr>
          <w:p w14:paraId="41FFE5F9">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0.5653</w:t>
            </w:r>
          </w:p>
        </w:tc>
        <w:tc>
          <w:tcPr>
            <w:tcW w:w="832" w:type="pct"/>
            <w:vAlign w:val="center"/>
          </w:tcPr>
          <w:p w14:paraId="11264678">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0.5469</w:t>
            </w:r>
          </w:p>
        </w:tc>
        <w:tc>
          <w:tcPr>
            <w:tcW w:w="834" w:type="pct"/>
            <w:vAlign w:val="center"/>
          </w:tcPr>
          <w:p w14:paraId="046A283D">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0.5315</w:t>
            </w:r>
          </w:p>
        </w:tc>
        <w:tc>
          <w:tcPr>
            <w:tcW w:w="834" w:type="pct"/>
            <w:vAlign w:val="center"/>
          </w:tcPr>
          <w:p w14:paraId="779659F0">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0.4932</w:t>
            </w:r>
          </w:p>
        </w:tc>
      </w:tr>
      <w:tr w14:paraId="3B91997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pct"/>
            <w:vAlign w:val="center"/>
          </w:tcPr>
          <w:p w14:paraId="0C368B51">
            <w:pPr>
              <w:widowControl/>
              <w:ind w:firstLine="0" w:firstLineChars="0"/>
              <w:jc w:val="center"/>
              <w:rPr>
                <w:rFonts w:hint="default" w:ascii="Times New Roman" w:hAnsi="Times New Roman" w:cs="Times New Roman" w:eastAsiaTheme="minorEastAsia"/>
                <w:sz w:val="28"/>
                <w:szCs w:val="28"/>
              </w:rPr>
            </w:pPr>
            <m:oMathPara>
              <m:oMath>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σ</m:t>
                    </m:r>
                    <m:ctrlPr>
                      <w:rPr>
                        <w:rFonts w:hint="default" w:ascii="Cambria Math" w:hAnsi="Cambria Math" w:cs="Times New Roman"/>
                        <w:sz w:val="28"/>
                        <w:szCs w:val="28"/>
                      </w:rPr>
                    </m:ctrlPr>
                  </m:sup>
                </m:sSup>
              </m:oMath>
            </m:oMathPara>
          </w:p>
        </w:tc>
        <w:tc>
          <w:tcPr>
            <w:tcW w:w="832" w:type="pct"/>
            <w:vAlign w:val="center"/>
          </w:tcPr>
          <w:p w14:paraId="238B621E">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-9.6610</w:t>
            </w:r>
          </w:p>
        </w:tc>
        <w:tc>
          <w:tcPr>
            <w:tcW w:w="832" w:type="pct"/>
            <w:vAlign w:val="center"/>
          </w:tcPr>
          <w:p w14:paraId="353FDB83">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-10.4971</w:t>
            </w:r>
          </w:p>
        </w:tc>
        <w:tc>
          <w:tcPr>
            <w:tcW w:w="832" w:type="pct"/>
            <w:vAlign w:val="center"/>
          </w:tcPr>
          <w:p w14:paraId="6DD4F66C">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-11.0733</w:t>
            </w:r>
          </w:p>
        </w:tc>
        <w:tc>
          <w:tcPr>
            <w:tcW w:w="834" w:type="pct"/>
            <w:vAlign w:val="center"/>
          </w:tcPr>
          <w:p w14:paraId="1DFE722A">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-11.0613</w:t>
            </w:r>
          </w:p>
        </w:tc>
        <w:tc>
          <w:tcPr>
            <w:tcW w:w="834" w:type="pct"/>
            <w:vAlign w:val="center"/>
          </w:tcPr>
          <w:p w14:paraId="456E8282">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-9.6780</w:t>
            </w:r>
          </w:p>
        </w:tc>
      </w:tr>
      <w:tr w14:paraId="2B0CECF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pct"/>
            <w:vAlign w:val="center"/>
          </w:tcPr>
          <w:p w14:paraId="5BB9DEDF">
            <w:pPr>
              <w:widowControl/>
              <w:ind w:firstLine="0" w:firstLineChars="0"/>
              <w:jc w:val="center"/>
              <w:rPr>
                <w:rFonts w:hint="default" w:ascii="Times New Roman" w:hAnsi="Times New Roman" w:cs="Times New Roman" w:eastAsiaTheme="minorEastAsia"/>
                <w:sz w:val="28"/>
                <w:szCs w:val="28"/>
              </w:rPr>
            </w:pPr>
            <m:oMathPara>
              <m:oMath>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f</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σ</m:t>
                    </m:r>
                    <m:ctrlPr>
                      <w:rPr>
                        <w:rFonts w:hint="default" w:ascii="Cambria Math" w:hAnsi="Cambria Math" w:cs="Times New Roman"/>
                        <w:sz w:val="28"/>
                        <w:szCs w:val="28"/>
                      </w:rPr>
                    </m:ctrlPr>
                  </m:sup>
                </m:sSubSup>
              </m:oMath>
            </m:oMathPara>
          </w:p>
        </w:tc>
        <w:tc>
          <w:tcPr>
            <w:tcW w:w="832" w:type="pct"/>
            <w:vAlign w:val="center"/>
          </w:tcPr>
          <w:p w14:paraId="04A7ED07">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0.2332</w:t>
            </w:r>
          </w:p>
        </w:tc>
        <w:tc>
          <w:tcPr>
            <w:tcW w:w="832" w:type="pct"/>
            <w:vAlign w:val="center"/>
          </w:tcPr>
          <w:p w14:paraId="393CDB1E">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0.1376</w:t>
            </w:r>
          </w:p>
        </w:tc>
        <w:tc>
          <w:tcPr>
            <w:tcW w:w="832" w:type="pct"/>
            <w:vAlign w:val="center"/>
          </w:tcPr>
          <w:p w14:paraId="6EAEE2DD">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0.1030</w:t>
            </w:r>
          </w:p>
        </w:tc>
        <w:tc>
          <w:tcPr>
            <w:tcW w:w="834" w:type="pct"/>
            <w:vAlign w:val="center"/>
          </w:tcPr>
          <w:p w14:paraId="464237BD">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0.0882</w:t>
            </w:r>
          </w:p>
        </w:tc>
        <w:tc>
          <w:tcPr>
            <w:tcW w:w="834" w:type="pct"/>
            <w:vAlign w:val="center"/>
          </w:tcPr>
          <w:p w14:paraId="75612672">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0.0833</w:t>
            </w:r>
          </w:p>
        </w:tc>
      </w:tr>
      <w:tr w14:paraId="1FE40AC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pct"/>
            <w:vAlign w:val="center"/>
          </w:tcPr>
          <w:p w14:paraId="29EC45E8">
            <w:pPr>
              <w:widowControl/>
              <w:ind w:firstLine="0" w:firstLineChars="0"/>
              <w:jc w:val="center"/>
              <w:rPr>
                <w:rFonts w:hint="default" w:ascii="Times New Roman" w:hAnsi="Times New Roman" w:cs="Times New Roman" w:eastAsiaTheme="minorEastAsia"/>
                <w:sz w:val="28"/>
                <w:szCs w:val="28"/>
              </w:rPr>
            </w:pPr>
            <m:oMathPara>
              <m:oMath>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f</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2</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σ</m:t>
                    </m:r>
                    <m:ctrlPr>
                      <w:rPr>
                        <w:rFonts w:hint="default" w:ascii="Cambria Math" w:hAnsi="Cambria Math" w:cs="Times New Roman"/>
                        <w:sz w:val="28"/>
                        <w:szCs w:val="28"/>
                      </w:rPr>
                    </m:ctrlPr>
                  </m:sup>
                </m:sSubSup>
              </m:oMath>
            </m:oMathPara>
          </w:p>
        </w:tc>
        <w:tc>
          <w:tcPr>
            <w:tcW w:w="832" w:type="pct"/>
            <w:vAlign w:val="center"/>
          </w:tcPr>
          <w:p w14:paraId="68429E42">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0.0269</w:t>
            </w:r>
          </w:p>
        </w:tc>
        <w:tc>
          <w:tcPr>
            <w:tcW w:w="832" w:type="pct"/>
            <w:vAlign w:val="center"/>
          </w:tcPr>
          <w:p w14:paraId="5EBE4708">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0.0349</w:t>
            </w:r>
          </w:p>
        </w:tc>
        <w:tc>
          <w:tcPr>
            <w:tcW w:w="832" w:type="pct"/>
            <w:vAlign w:val="center"/>
          </w:tcPr>
          <w:p w14:paraId="44B7DDD1">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0.0364</w:t>
            </w:r>
          </w:p>
        </w:tc>
        <w:tc>
          <w:tcPr>
            <w:tcW w:w="834" w:type="pct"/>
            <w:vAlign w:val="center"/>
          </w:tcPr>
          <w:p w14:paraId="5CC56195">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0.0439</w:t>
            </w:r>
          </w:p>
        </w:tc>
        <w:tc>
          <w:tcPr>
            <w:tcW w:w="834" w:type="pct"/>
            <w:vAlign w:val="center"/>
          </w:tcPr>
          <w:p w14:paraId="1B3D75FC">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0.0950</w:t>
            </w:r>
          </w:p>
        </w:tc>
      </w:tr>
      <w:tr w14:paraId="05C5887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pct"/>
            <w:vAlign w:val="center"/>
          </w:tcPr>
          <w:p w14:paraId="0A7D6F86">
            <w:pPr>
              <w:widowControl/>
              <w:ind w:firstLine="0" w:firstLineChars="0"/>
              <w:jc w:val="center"/>
              <w:rPr>
                <w:rFonts w:hint="default" w:ascii="Times New Roman" w:hAnsi="Times New Roman" w:cs="Times New Roman" w:eastAsiaTheme="minorEastAsia"/>
                <w:sz w:val="28"/>
                <w:szCs w:val="28"/>
              </w:rPr>
            </w:pPr>
            <m:oMathPara>
              <m:oMath>
                <m:func>
                  <m:funcPr>
                    <m:ctrlPr>
                      <w:rPr>
                        <w:rFonts w:hint="default" w:ascii="Cambria Math" w:hAnsi="Cambria Math" w:cs="Times New Roman"/>
                        <w:sz w:val="28"/>
                        <w:szCs w:val="28"/>
                      </w:rPr>
                    </m:ctrlPr>
                  </m:funcPr>
                  <m:fName>
                    <m:r>
                      <m:rPr>
                        <m:nor/>
                        <m:sty m:val="p"/>
                      </m:rPr>
                      <w:rPr>
                        <w:rFonts w:hint="default" w:ascii="Times New Roman" w:hAnsi="Times New Roman" w:cs="Times New Roman"/>
                        <w:b w:val="0"/>
                        <w:i w:val="0"/>
                        <w:sz w:val="28"/>
                        <w:szCs w:val="28"/>
                      </w:rPr>
                      <m:t>ln</m:t>
                    </m:r>
                    <m:ctrlPr>
                      <w:rPr>
                        <w:rFonts w:hint="default" w:ascii="Cambria Math" w:hAnsi="Cambria Math" w:cs="Times New Roman"/>
                        <w:sz w:val="28"/>
                        <w:szCs w:val="28"/>
                      </w:rPr>
                    </m:ctrlPr>
                  </m:fName>
                  <m:e>
                    <m:d>
                      <m:dPr>
                        <m:ctrlPr>
                          <w:rPr>
                            <w:rFonts w:hint="default" w:ascii="Cambria Math" w:hAnsi="Cambria Math" w:cs="Times New Roman"/>
                            <w:sz w:val="28"/>
                            <w:szCs w:val="28"/>
                          </w:rPr>
                        </m:ctrlPr>
                      </m:dPr>
                      <m:e>
                        <m:f>
                          <m:fPr>
                            <m:ctrlPr>
                              <w:rPr>
                                <w:rFonts w:hint="default" w:ascii="Cambria Math" w:hAnsi="Cambria Math" w:cs="Times New Roman"/>
                                <w:sz w:val="28"/>
                                <w:szCs w:val="28"/>
                              </w:rPr>
                            </m:ctrlPr>
                          </m:fPr>
                          <m:num>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0</m:t>
                                </m:r>
                                <m:ctrlPr>
                                  <w:rPr>
                                    <w:rFonts w:hint="default" w:ascii="Cambria Math" w:hAnsi="Cambria Math" w:cs="Times New Roman"/>
                                    <w:sz w:val="28"/>
                                    <w:szCs w:val="28"/>
                                  </w:rPr>
                                </m:ctrlPr>
                              </m:sup>
                            </m:sSubSup>
                            <m:ctrlPr>
                              <w:rPr>
                                <w:rFonts w:hint="default" w:ascii="Cambria Math" w:hAnsi="Cambria Math" w:cs="Times New Roman"/>
                                <w:sz w:val="28"/>
                                <w:szCs w:val="28"/>
                              </w:rPr>
                            </m:ctrlPr>
                          </m:num>
                          <m:den>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2</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0</m:t>
                                </m:r>
                                <m:ctrlPr>
                                  <w:rPr>
                                    <w:rFonts w:hint="default" w:ascii="Cambria Math" w:hAnsi="Cambria Math" w:cs="Times New Roman"/>
                                    <w:sz w:val="28"/>
                                    <w:szCs w:val="28"/>
                                  </w:rPr>
                                </m:ctrlPr>
                              </m:sup>
                            </m:sSubSup>
                            <m:ctrlPr>
                              <w:rPr>
                                <w:rFonts w:hint="default" w:ascii="Cambria Math" w:hAnsi="Cambria Math" w:cs="Times New Roman"/>
                                <w:sz w:val="28"/>
                                <w:szCs w:val="28"/>
                              </w:rPr>
                            </m:ctrlPr>
                          </m:den>
                        </m:f>
                        <m:ctrlPr>
                          <w:rPr>
                            <w:rFonts w:hint="default" w:ascii="Cambria Math" w:hAnsi="Cambria Math" w:cs="Times New Roman"/>
                            <w:sz w:val="28"/>
                            <w:szCs w:val="28"/>
                          </w:rPr>
                        </m:ctrlPr>
                      </m:e>
                    </m:d>
                    <m:ctrlPr>
                      <w:rPr>
                        <w:rFonts w:hint="default" w:ascii="Cambria Math" w:hAnsi="Cambria Math" w:cs="Times New Roman"/>
                        <w:sz w:val="28"/>
                        <w:szCs w:val="28"/>
                      </w:rPr>
                    </m:ctrlPr>
                  </m:e>
                </m:func>
              </m:oMath>
            </m:oMathPara>
          </w:p>
        </w:tc>
        <w:tc>
          <w:tcPr>
            <w:tcW w:w="832" w:type="pct"/>
            <w:vAlign w:val="center"/>
          </w:tcPr>
          <w:p w14:paraId="092C2041">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-1.2278</w:t>
            </w:r>
          </w:p>
        </w:tc>
        <w:tc>
          <w:tcPr>
            <w:tcW w:w="832" w:type="pct"/>
            <w:vAlign w:val="center"/>
          </w:tcPr>
          <w:p w14:paraId="7CDE1668">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-1.2278</w:t>
            </w:r>
          </w:p>
        </w:tc>
        <w:tc>
          <w:tcPr>
            <w:tcW w:w="832" w:type="pct"/>
            <w:vAlign w:val="center"/>
          </w:tcPr>
          <w:p w14:paraId="6F0E87D8">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-1.2278</w:t>
            </w:r>
          </w:p>
        </w:tc>
        <w:tc>
          <w:tcPr>
            <w:tcW w:w="834" w:type="pct"/>
            <w:vAlign w:val="center"/>
          </w:tcPr>
          <w:p w14:paraId="1B7E513F">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-1.2278</w:t>
            </w:r>
          </w:p>
        </w:tc>
        <w:tc>
          <w:tcPr>
            <w:tcW w:w="834" w:type="pct"/>
            <w:vAlign w:val="center"/>
          </w:tcPr>
          <w:p w14:paraId="57FFA764">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-1.2278</w:t>
            </w:r>
          </w:p>
        </w:tc>
      </w:tr>
      <w:tr w14:paraId="2F70907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pct"/>
            <w:vAlign w:val="center"/>
          </w:tcPr>
          <w:p w14:paraId="060FF3C1">
            <w:pPr>
              <w:widowControl/>
              <w:ind w:firstLine="0" w:firstLineChars="0"/>
              <w:jc w:val="center"/>
              <w:rPr>
                <w:rFonts w:hint="default" w:ascii="Times New Roman" w:hAnsi="Times New Roman" w:cs="Times New Roman"/>
                <w:sz w:val="28"/>
                <w:szCs w:val="28"/>
              </w:rPr>
            </w:pPr>
            <m:oMath>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σ</m:t>
                  </m:r>
                  <m:ctrlPr>
                    <w:rPr>
                      <w:rFonts w:hint="default" w:ascii="Cambria Math" w:hAnsi="Cambria Math" w:cs="Times New Roman"/>
                      <w:sz w:val="28"/>
                      <w:szCs w:val="28"/>
                    </w:rPr>
                  </m:ctrlPr>
                </m:sup>
              </m:sSup>
            </m:oMath>
            <w:r>
              <w:rPr>
                <w:rFonts w:hint="default" w:ascii="Times New Roman" w:hAnsi="Times New Roman" w:cs="Times New Roman"/>
                <w:sz w:val="28"/>
                <w:szCs w:val="28"/>
              </w:rPr>
              <w:t>-</w:t>
            </w:r>
            <m:oMath>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p>
            </m:oMath>
          </w:p>
        </w:tc>
        <w:tc>
          <w:tcPr>
            <w:tcW w:w="832" w:type="pct"/>
            <w:vAlign w:val="center"/>
          </w:tcPr>
          <w:p w14:paraId="2D06D60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-1.2395</w:t>
            </w:r>
          </w:p>
        </w:tc>
        <w:tc>
          <w:tcPr>
            <w:tcW w:w="832" w:type="pct"/>
            <w:vAlign w:val="center"/>
          </w:tcPr>
          <w:p w14:paraId="7A4DBD1B">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-1.9392</w:t>
            </w:r>
          </w:p>
        </w:tc>
        <w:tc>
          <w:tcPr>
            <w:tcW w:w="832" w:type="pct"/>
            <w:vAlign w:val="center"/>
          </w:tcPr>
          <w:p w14:paraId="135CAA9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-2.0846</w:t>
            </w:r>
          </w:p>
        </w:tc>
        <w:tc>
          <w:tcPr>
            <w:tcW w:w="834" w:type="pct"/>
            <w:vAlign w:val="center"/>
          </w:tcPr>
          <w:p w14:paraId="650977BC">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-1.9005</w:t>
            </w:r>
          </w:p>
        </w:tc>
        <w:tc>
          <w:tcPr>
            <w:tcW w:w="834" w:type="pct"/>
            <w:vAlign w:val="center"/>
          </w:tcPr>
          <w:p w14:paraId="3743646E">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-4.9023</w:t>
            </w:r>
          </w:p>
        </w:tc>
      </w:tr>
      <w:tr w14:paraId="11A8781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pct"/>
            <w:vAlign w:val="center"/>
          </w:tcPr>
          <w:p w14:paraId="0C635ADC">
            <w:pPr>
              <w:widowControl/>
              <w:ind w:firstLine="0" w:firstLineChars="0"/>
              <w:jc w:val="center"/>
              <w:rPr>
                <w:rFonts w:hint="default" w:ascii="Times New Roman" w:hAnsi="Times New Roman" w:cs="Times New Roman"/>
                <w:sz w:val="28"/>
                <w:szCs w:val="28"/>
              </w:rPr>
            </w:pPr>
            <m:oMathPara>
              <m:oMath>
                <m:func>
                  <m:funcPr>
                    <m:ctrlPr>
                      <w:rPr>
                        <w:rFonts w:hint="default" w:ascii="Cambria Math" w:hAnsi="Cambria Math" w:cs="Times New Roman"/>
                        <w:sz w:val="28"/>
                        <w:szCs w:val="28"/>
                      </w:rPr>
                    </m:ctrlPr>
                  </m:funcPr>
                  <m:fName>
                    <m:r>
                      <m:rPr>
                        <m:nor/>
                      </m:rPr>
                      <w:rPr>
                        <w:rFonts w:hint="default" w:ascii="Times New Roman" w:hAnsi="Times New Roman" w:cs="Times New Roman"/>
                        <w:i/>
                        <w:sz w:val="28"/>
                        <w:szCs w:val="28"/>
                      </w:rPr>
                      <m:t>ln</m:t>
                    </m:r>
                    <m:ctrlPr>
                      <w:rPr>
                        <w:rFonts w:hint="default" w:ascii="Cambria Math" w:hAnsi="Cambria Math" w:cs="Times New Roman"/>
                        <w:sz w:val="28"/>
                        <w:szCs w:val="28"/>
                      </w:rPr>
                    </m:ctrlPr>
                  </m:fName>
                  <m:e>
                    <m:d>
                      <m:dPr>
                        <m:ctrlPr>
                          <w:rPr>
                            <w:rFonts w:hint="default" w:ascii="Cambria Math" w:hAnsi="Cambria Math" w:cs="Times New Roman"/>
                            <w:sz w:val="28"/>
                            <w:szCs w:val="28"/>
                          </w:rPr>
                        </m:ctrlPr>
                      </m:dPr>
                      <m:e>
                        <m:f>
                          <m:fPr>
                            <m:ctrlPr>
                              <w:rPr>
                                <w:rFonts w:hint="default" w:ascii="Cambria Math" w:hAnsi="Cambria Math" w:cs="Times New Roman"/>
                                <w:sz w:val="28"/>
                                <w:szCs w:val="28"/>
                              </w:rPr>
                            </m:ctrlPr>
                          </m:fPr>
                          <m:num>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0</m:t>
                                </m:r>
                                <m:ctrlPr>
                                  <w:rPr>
                                    <w:rFonts w:hint="default" w:ascii="Cambria Math" w:hAnsi="Cambria Math" w:cs="Times New Roman"/>
                                    <w:sz w:val="28"/>
                                    <w:szCs w:val="28"/>
                                  </w:rPr>
                                </m:ctrlPr>
                              </m:sup>
                            </m:sSubSup>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2</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0</m:t>
                                </m:r>
                                <m:ctrlPr>
                                  <w:rPr>
                                    <w:rFonts w:hint="default" w:ascii="Cambria Math" w:hAnsi="Cambria Math" w:cs="Times New Roman"/>
                                    <w:sz w:val="28"/>
                                    <w:szCs w:val="28"/>
                                  </w:rPr>
                                </m:ctrlPr>
                              </m:sup>
                            </m:sSubSup>
                            <m:ctrlPr>
                              <w:rPr>
                                <w:rFonts w:hint="default" w:ascii="Cambria Math" w:hAnsi="Cambria Math" w:cs="Times New Roman"/>
                                <w:sz w:val="28"/>
                                <w:szCs w:val="28"/>
                              </w:rPr>
                            </m:ctrlPr>
                          </m:num>
                          <m:den>
                            <m:sSubSup>
                              <m:sSubSupPr>
                                <m:ctrlPr>
                                  <w:rPr>
                                    <w:rFonts w:hint="default" w:ascii="Cambria Math" w:hAnsi="Cambria Math" w:cs="Times New Roman"/>
                                    <w:i/>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up>
                                <m:r>
                                  <m:rPr>
                                    <m:nor/>
                                  </m:rPr>
                                  <w:rPr>
                                    <w:rFonts w:hint="default" w:ascii="Times New Roman" w:hAnsi="Times New Roman" w:cs="Times New Roman"/>
                                    <w:i/>
                                    <w:sz w:val="28"/>
                                    <w:szCs w:val="28"/>
                                  </w:rPr>
                                  <m:t>m</m:t>
                                </m:r>
                                <m:ctrlPr>
                                  <w:rPr>
                                    <w:rFonts w:hint="default" w:ascii="Cambria Math" w:hAnsi="Cambria Math" w:cs="Times New Roman"/>
                                    <w:i/>
                                    <w:sz w:val="28"/>
                                    <w:szCs w:val="28"/>
                                  </w:rPr>
                                </m:ctrlPr>
                              </m:sup>
                            </m:sSubSup>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i/>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2</m:t>
                                </m:r>
                                <m:ctrlPr>
                                  <w:rPr>
                                    <w:rFonts w:hint="default" w:ascii="Cambria Math" w:hAnsi="Cambria Math" w:cs="Times New Roman"/>
                                    <w:i/>
                                    <w:sz w:val="28"/>
                                    <w:szCs w:val="28"/>
                                  </w:rPr>
                                </m:ctrlPr>
                              </m:sub>
                              <m:sup>
                                <m:r>
                                  <m:rPr>
                                    <m:nor/>
                                  </m:rPr>
                                  <w:rPr>
                                    <w:rFonts w:hint="default" w:ascii="Times New Roman" w:hAnsi="Times New Roman" w:cs="Times New Roman"/>
                                    <w:i/>
                                    <w:sz w:val="28"/>
                                    <w:szCs w:val="28"/>
                                  </w:rPr>
                                  <m:t>m</m:t>
                                </m:r>
                                <m:ctrlPr>
                                  <w:rPr>
                                    <w:rFonts w:hint="default" w:ascii="Cambria Math" w:hAnsi="Cambria Math" w:cs="Times New Roman"/>
                                    <w:i/>
                                    <w:sz w:val="28"/>
                                    <w:szCs w:val="28"/>
                                  </w:rPr>
                                </m:ctrlPr>
                              </m:sup>
                            </m:sSubSup>
                            <m:ctrlPr>
                              <w:rPr>
                                <w:rFonts w:hint="default" w:ascii="Cambria Math" w:hAnsi="Cambria Math" w:cs="Times New Roman"/>
                                <w:sz w:val="28"/>
                                <w:szCs w:val="28"/>
                              </w:rPr>
                            </m:ctrlPr>
                          </m:den>
                        </m:f>
                        <m:ctrlPr>
                          <w:rPr>
                            <w:rFonts w:hint="default" w:ascii="Cambria Math" w:hAnsi="Cambria Math" w:cs="Times New Roman"/>
                            <w:sz w:val="28"/>
                            <w:szCs w:val="28"/>
                          </w:rPr>
                        </m:ctrlPr>
                      </m:e>
                    </m:d>
                    <m:ctrlPr>
                      <w:rPr>
                        <w:rFonts w:hint="default" w:ascii="Cambria Math" w:hAnsi="Cambria Math" w:cs="Times New Roman"/>
                        <w:sz w:val="28"/>
                        <w:szCs w:val="28"/>
                      </w:rPr>
                    </m:ctrlPr>
                  </m:e>
                </m:func>
              </m:oMath>
            </m:oMathPara>
          </w:p>
        </w:tc>
        <w:tc>
          <w:tcPr>
            <w:tcW w:w="832" w:type="pct"/>
            <w:vAlign w:val="center"/>
          </w:tcPr>
          <w:p w14:paraId="5AA168C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eastAsiaTheme="minorEastAsia"/>
                <w:sz w:val="28"/>
                <w:szCs w:val="28"/>
              </w:rPr>
              <w:t>0.1787</w:t>
            </w:r>
          </w:p>
        </w:tc>
        <w:tc>
          <w:tcPr>
            <w:tcW w:w="832" w:type="pct"/>
            <w:vAlign w:val="center"/>
          </w:tcPr>
          <w:p w14:paraId="7D3DD01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eastAsiaTheme="minorEastAsia"/>
                <w:sz w:val="28"/>
                <w:szCs w:val="28"/>
              </w:rPr>
              <w:t>0.1787</w:t>
            </w:r>
          </w:p>
        </w:tc>
        <w:tc>
          <w:tcPr>
            <w:tcW w:w="832" w:type="pct"/>
            <w:vAlign w:val="center"/>
          </w:tcPr>
          <w:p w14:paraId="47640F57">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eastAsiaTheme="minorEastAsia"/>
                <w:sz w:val="28"/>
                <w:szCs w:val="28"/>
              </w:rPr>
              <w:t>0.1787</w:t>
            </w:r>
          </w:p>
        </w:tc>
        <w:tc>
          <w:tcPr>
            <w:tcW w:w="834" w:type="pct"/>
            <w:vAlign w:val="center"/>
          </w:tcPr>
          <w:p w14:paraId="64AD5D7C">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eastAsiaTheme="minorEastAsia"/>
                <w:sz w:val="28"/>
                <w:szCs w:val="28"/>
              </w:rPr>
              <w:t>0.1787</w:t>
            </w:r>
          </w:p>
        </w:tc>
        <w:tc>
          <w:tcPr>
            <w:tcW w:w="834" w:type="pct"/>
            <w:vAlign w:val="center"/>
          </w:tcPr>
          <w:p w14:paraId="69E858ED">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eastAsiaTheme="minorEastAsia"/>
                <w:sz w:val="28"/>
                <w:szCs w:val="28"/>
              </w:rPr>
              <w:t>0.1787</w:t>
            </w:r>
          </w:p>
        </w:tc>
      </w:tr>
    </w:tbl>
    <w:p w14:paraId="265945C0">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Quantitative analysis of the interaction parameters further highlights the synergistic behavior of the system. For the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mixtures, the surface interaction parameters (</w:t>
      </w:r>
      <m:oMath>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σ</m:t>
            </m:r>
            <m:ctrlPr>
              <w:rPr>
                <w:rFonts w:hint="default" w:ascii="Cambria Math" w:hAnsi="Cambria Math" w:cs="Times New Roman"/>
                <w:sz w:val="28"/>
                <w:szCs w:val="28"/>
              </w:rPr>
            </m:ctrlPr>
          </m:sup>
        </m:sSup>
      </m:oMath>
      <w:r>
        <w:rPr>
          <w:rFonts w:hint="default" w:ascii="Times New Roman" w:hAnsi="Times New Roman" w:cs="Times New Roman"/>
          <w:sz w:val="28"/>
          <w:szCs w:val="28"/>
        </w:rPr>
        <w:t>) range from −9.66 to −11.07, while the micellar interaction parameters (</w:t>
      </w:r>
      <m:oMath>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p>
      </m:oMath>
      <w:r>
        <w:rPr>
          <w:rFonts w:hint="default" w:ascii="Times New Roman" w:hAnsi="Times New Roman" w:cs="Times New Roman"/>
          <w:sz w:val="28"/>
          <w:szCs w:val="28"/>
        </w:rPr>
        <w:t>) vary between −4.77 and −9.16 at different mole ratios. Notably, the mixture with a molar ratio of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to 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of 2:3 exhibits the smallest absolute value of </w:t>
      </w:r>
      <m:oMath>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p>
      </m:oMath>
      <w:r>
        <w:rPr>
          <w:rFonts w:hint="default" w:ascii="Times New Roman" w:hAnsi="Times New Roman" w:cs="Times New Roman"/>
          <w:sz w:val="28"/>
          <w:szCs w:val="28"/>
        </w:rPr>
        <w:t xml:space="preserve">, indicating an optimal balance in micellar interactions. The large negative values of both </w:t>
      </w:r>
      <m:oMath>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σ</m:t>
            </m:r>
            <m:ctrlPr>
              <w:rPr>
                <w:rFonts w:hint="default" w:ascii="Cambria Math" w:hAnsi="Cambria Math" w:cs="Times New Roman"/>
                <w:sz w:val="28"/>
                <w:szCs w:val="28"/>
              </w:rPr>
            </m:ctrlPr>
          </m:sup>
        </m:sSup>
      </m:oMath>
      <w:r>
        <w:rPr>
          <w:rFonts w:hint="default" w:ascii="Times New Roman" w:hAnsi="Times New Roman" w:cs="Times New Roman"/>
          <w:sz w:val="28"/>
          <w:szCs w:val="28"/>
        </w:rPr>
        <w:t xml:space="preserve"> and </w:t>
      </w:r>
      <m:oMath>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p>
      </m:oMath>
      <w:r>
        <w:rPr>
          <w:rFonts w:hint="default" w:ascii="Times New Roman" w:hAnsi="Times New Roman" w:cs="Times New Roman"/>
          <w:sz w:val="28"/>
          <w:szCs w:val="28"/>
        </w:rPr>
        <w:t xml:space="preserve"> reflect strong attractive interactions between the negatively charged groups of zwitterionic surfactant molecules and the positively charged headgroups of the cationic surfactant [60,165]. The fact that </w:t>
      </w:r>
      <m:oMath>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σ</m:t>
            </m:r>
            <m:ctrlPr>
              <w:rPr>
                <w:rFonts w:hint="default" w:ascii="Cambria Math" w:hAnsi="Cambria Math" w:cs="Times New Roman"/>
                <w:sz w:val="28"/>
                <w:szCs w:val="28"/>
              </w:rPr>
            </m:ctrlPr>
          </m:sup>
        </m:sSup>
      </m:oMath>
      <w:r>
        <w:rPr>
          <w:rFonts w:hint="default" w:ascii="Times New Roman" w:hAnsi="Times New Roman" w:cs="Times New Roman"/>
          <w:sz w:val="28"/>
          <w:szCs w:val="28"/>
        </w:rPr>
        <w:t xml:space="preserve"> is more negative than </w:t>
      </w:r>
      <m:oMath>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p>
      </m:oMath>
      <w:r>
        <w:rPr>
          <w:rFonts w:hint="default" w:ascii="Times New Roman" w:hAnsi="Times New Roman" w:cs="Times New Roman"/>
          <w:sz w:val="28"/>
          <w:szCs w:val="28"/>
        </w:rPr>
        <w:t xml:space="preserve"> suggests that the interaction at the interface is stronger than in the bulk micelles. According to the established thermodynamic criteria, the conditions </w:t>
      </w:r>
      <m:oMath>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σ</m:t>
            </m:r>
            <m:ctrlPr>
              <w:rPr>
                <w:rFonts w:hint="default" w:ascii="Cambria Math" w:hAnsi="Cambria Math" w:cs="Times New Roman"/>
                <w:sz w:val="28"/>
                <w:szCs w:val="28"/>
              </w:rPr>
            </m:ctrlPr>
          </m:sup>
        </m:sSup>
      </m:oMath>
      <w:r>
        <w:rPr>
          <w:rFonts w:hint="default" w:ascii="Times New Roman" w:hAnsi="Times New Roman" w:cs="Times New Roman"/>
          <w:i w:val="0"/>
          <w:sz w:val="28"/>
          <w:szCs w:val="28"/>
          <w:lang w:val="en-US" w:eastAsia="zh-CN"/>
        </w:rPr>
        <w:t xml:space="preserve"> </w:t>
      </w:r>
      <w:r>
        <w:rPr>
          <w:rFonts w:hint="default" w:ascii="Times New Roman" w:hAnsi="Times New Roman" w:cs="Times New Roman"/>
          <w:sz w:val="28"/>
          <w:szCs w:val="28"/>
        </w:rPr>
        <w:t>&lt;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t xml:space="preserve">0 and </w:t>
      </w:r>
      <m:oMath>
        <m:d>
          <m:dPr>
            <m:begChr m:val="|"/>
            <m:endChr m:val="|"/>
            <m:ctrlPr>
              <w:rPr>
                <w:rFonts w:hint="default" w:ascii="Cambria Math" w:hAnsi="Cambria Math" w:cs="Times New Roman"/>
                <w:sz w:val="28"/>
                <w:szCs w:val="28"/>
              </w:rPr>
            </m:ctrlPr>
          </m:dPr>
          <m:e>
            <m:func>
              <m:funcPr>
                <m:ctrlPr>
                  <w:rPr>
                    <w:rFonts w:hint="default" w:ascii="Cambria Math" w:hAnsi="Cambria Math" w:cs="Times New Roman"/>
                    <w:sz w:val="28"/>
                    <w:szCs w:val="28"/>
                  </w:rPr>
                </m:ctrlPr>
              </m:funcPr>
              <m:fName>
                <m:r>
                  <m:rPr>
                    <m:nor/>
                    <m:sty m:val="p"/>
                  </m:rPr>
                  <w:rPr>
                    <w:rFonts w:hint="default" w:ascii="Times New Roman" w:hAnsi="Times New Roman" w:cs="Times New Roman"/>
                    <w:b w:val="0"/>
                    <w:i w:val="0"/>
                    <w:sz w:val="28"/>
                    <w:szCs w:val="28"/>
                  </w:rPr>
                  <m:t>ln</m:t>
                </m:r>
                <m:ctrlPr>
                  <w:rPr>
                    <w:rFonts w:hint="default" w:ascii="Cambria Math" w:hAnsi="Cambria Math" w:cs="Times New Roman"/>
                    <w:sz w:val="28"/>
                    <w:szCs w:val="28"/>
                  </w:rPr>
                </m:ctrlPr>
              </m:fName>
              <m:e>
                <m:d>
                  <m:dPr>
                    <m:ctrlPr>
                      <w:rPr>
                        <w:rFonts w:hint="default" w:ascii="Cambria Math" w:hAnsi="Cambria Math" w:cs="Times New Roman"/>
                        <w:sz w:val="28"/>
                        <w:szCs w:val="28"/>
                      </w:rPr>
                    </m:ctrlPr>
                  </m:dPr>
                  <m:e>
                    <m:f>
                      <m:fPr>
                        <m:ctrlPr>
                          <w:rPr>
                            <w:rFonts w:hint="default" w:ascii="Cambria Math" w:hAnsi="Cambria Math" w:cs="Times New Roman"/>
                            <w:sz w:val="28"/>
                            <w:szCs w:val="28"/>
                          </w:rPr>
                        </m:ctrlPr>
                      </m:fPr>
                      <m:num>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0</m:t>
                            </m:r>
                            <m:ctrlPr>
                              <w:rPr>
                                <w:rFonts w:hint="default" w:ascii="Cambria Math" w:hAnsi="Cambria Math" w:cs="Times New Roman"/>
                                <w:sz w:val="28"/>
                                <w:szCs w:val="28"/>
                              </w:rPr>
                            </m:ctrlPr>
                          </m:sup>
                        </m:sSubSup>
                        <m:ctrlPr>
                          <w:rPr>
                            <w:rFonts w:hint="default" w:ascii="Cambria Math" w:hAnsi="Cambria Math" w:cs="Times New Roman"/>
                            <w:sz w:val="28"/>
                            <w:szCs w:val="28"/>
                          </w:rPr>
                        </m:ctrlPr>
                      </m:num>
                      <m:den>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2</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0</m:t>
                            </m:r>
                            <m:ctrlPr>
                              <w:rPr>
                                <w:rFonts w:hint="default" w:ascii="Cambria Math" w:hAnsi="Cambria Math" w:cs="Times New Roman"/>
                                <w:sz w:val="28"/>
                                <w:szCs w:val="28"/>
                              </w:rPr>
                            </m:ctrlPr>
                          </m:sup>
                        </m:sSubSup>
                        <m:ctrlPr>
                          <w:rPr>
                            <w:rFonts w:hint="default" w:ascii="Cambria Math" w:hAnsi="Cambria Math" w:cs="Times New Roman"/>
                            <w:sz w:val="28"/>
                            <w:szCs w:val="28"/>
                          </w:rPr>
                        </m:ctrlPr>
                      </m:den>
                    </m:f>
                    <m:ctrlPr>
                      <w:rPr>
                        <w:rFonts w:hint="default" w:ascii="Cambria Math" w:hAnsi="Cambria Math" w:cs="Times New Roman"/>
                        <w:sz w:val="28"/>
                        <w:szCs w:val="28"/>
                      </w:rPr>
                    </m:ctrlPr>
                  </m:e>
                </m:d>
                <m:ctrlPr>
                  <w:rPr>
                    <w:rFonts w:hint="default" w:ascii="Cambria Math" w:hAnsi="Cambria Math" w:cs="Times New Roman"/>
                    <w:sz w:val="28"/>
                    <w:szCs w:val="28"/>
                  </w:rPr>
                </m:ctrlPr>
              </m:e>
            </m:func>
            <m:ctrlPr>
              <w:rPr>
                <w:rFonts w:hint="default" w:ascii="Cambria Math" w:hAnsi="Cambria Math" w:cs="Times New Roman"/>
                <w:sz w:val="28"/>
                <w:szCs w:val="28"/>
              </w:rPr>
            </m:ctrlPr>
          </m:e>
        </m:d>
        <m:r>
          <m:rPr>
            <m:nor/>
            <m:sty m:val="p"/>
          </m:rPr>
          <w:rPr>
            <w:rFonts w:hint="default" w:ascii="Times New Roman" w:hAnsi="Times New Roman" w:cs="Times New Roman"/>
            <w:b w:val="0"/>
            <w:i w:val="0"/>
            <w:sz w:val="28"/>
            <w:szCs w:val="28"/>
            <w:lang w:val="en-US" w:eastAsia="zh-CN"/>
          </w:rPr>
          <m:t xml:space="preserve"> </m:t>
        </m:r>
        <m:r>
          <m:rPr>
            <m:nor/>
            <m:sty m:val="p"/>
          </m:rPr>
          <w:rPr>
            <w:rFonts w:hint="default" w:ascii="Times New Roman" w:hAnsi="Times New Roman" w:cs="Times New Roman"/>
            <w:b w:val="0"/>
            <w:i w:val="0"/>
            <w:sz w:val="28"/>
            <w:szCs w:val="28"/>
          </w:rPr>
          <m:t>&lt;</m:t>
        </m:r>
        <m:r>
          <m:rPr>
            <m:nor/>
            <m:sty m:val="p"/>
          </m:rPr>
          <w:rPr>
            <w:rFonts w:hint="default" w:ascii="Times New Roman" w:hAnsi="Times New Roman" w:cs="Times New Roman"/>
            <w:b w:val="0"/>
            <w:i w:val="0"/>
            <w:sz w:val="28"/>
            <w:szCs w:val="28"/>
            <w:lang w:val="en-US" w:eastAsia="zh-CN"/>
          </w:rPr>
          <m:t xml:space="preserve"> </m:t>
        </m:r>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σ</m:t>
            </m:r>
            <m:ctrlPr>
              <w:rPr>
                <w:rFonts w:hint="default" w:ascii="Cambria Math" w:hAnsi="Cambria Math" w:cs="Times New Roman"/>
                <w:sz w:val="28"/>
                <w:szCs w:val="28"/>
              </w:rPr>
            </m:ctrlPr>
          </m:sup>
        </m:sSup>
      </m:oMath>
      <w:r>
        <w:rPr>
          <w:rFonts w:hint="default" w:ascii="Times New Roman" w:hAnsi="Times New Roman" w:cs="Times New Roman"/>
          <w:sz w:val="28"/>
          <w:szCs w:val="28"/>
        </w:rPr>
        <w:t xml:space="preserve"> indicate a synergistic effect in reducing surface tension, whereas </w:t>
      </w:r>
      <m:oMath>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p>
      </m:oMath>
      <w:r>
        <w:rPr>
          <w:rFonts w:hint="default" w:ascii="Times New Roman" w:hAnsi="Times New Roman" w:cs="Times New Roman"/>
          <w:sz w:val="28"/>
          <w:szCs w:val="28"/>
        </w:rPr>
        <w:t xml:space="preserve"> &lt; 0 and </w:t>
      </w:r>
      <m:oMath>
        <m:d>
          <m:dPr>
            <m:begChr m:val="|"/>
            <m:endChr m:val="|"/>
            <m:ctrlPr>
              <w:rPr>
                <w:rFonts w:hint="default" w:ascii="Cambria Math" w:hAnsi="Cambria Math" w:cs="Times New Roman"/>
                <w:sz w:val="28"/>
                <w:szCs w:val="28"/>
              </w:rPr>
            </m:ctrlPr>
          </m:dPr>
          <m:e>
            <m:func>
              <m:funcPr>
                <m:ctrlPr>
                  <w:rPr>
                    <w:rFonts w:hint="default" w:ascii="Cambria Math" w:hAnsi="Cambria Math" w:cs="Times New Roman"/>
                    <w:sz w:val="28"/>
                    <w:szCs w:val="28"/>
                  </w:rPr>
                </m:ctrlPr>
              </m:funcPr>
              <m:fName>
                <m:r>
                  <m:rPr>
                    <m:nor/>
                    <m:sty m:val="p"/>
                  </m:rPr>
                  <w:rPr>
                    <w:rFonts w:hint="default" w:ascii="Times New Roman" w:hAnsi="Times New Roman" w:cs="Times New Roman"/>
                    <w:b w:val="0"/>
                    <w:i w:val="0"/>
                    <w:sz w:val="28"/>
                    <w:szCs w:val="28"/>
                  </w:rPr>
                  <m:t>ln</m:t>
                </m:r>
                <m:ctrlPr>
                  <w:rPr>
                    <w:rFonts w:hint="default" w:ascii="Cambria Math" w:hAnsi="Cambria Math" w:cs="Times New Roman"/>
                    <w:sz w:val="28"/>
                    <w:szCs w:val="28"/>
                  </w:rPr>
                </m:ctrlPr>
              </m:fName>
              <m:e>
                <m:d>
                  <m:dPr>
                    <m:ctrlPr>
                      <w:rPr>
                        <w:rFonts w:hint="default" w:ascii="Cambria Math" w:hAnsi="Cambria Math" w:cs="Times New Roman"/>
                        <w:sz w:val="28"/>
                        <w:szCs w:val="28"/>
                      </w:rPr>
                    </m:ctrlPr>
                  </m:dPr>
                  <m:e>
                    <m:f>
                      <m:fPr>
                        <m:ctrlPr>
                          <w:rPr>
                            <w:rFonts w:hint="default" w:ascii="Cambria Math" w:hAnsi="Cambria Math" w:cs="Times New Roman"/>
                            <w:sz w:val="28"/>
                            <w:szCs w:val="28"/>
                          </w:rPr>
                        </m:ctrlPr>
                      </m:fPr>
                      <m:num>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bSup>
                        <m:ctrlPr>
                          <w:rPr>
                            <w:rFonts w:hint="default" w:ascii="Cambria Math" w:hAnsi="Cambria Math" w:cs="Times New Roman"/>
                            <w:sz w:val="28"/>
                            <w:szCs w:val="28"/>
                          </w:rPr>
                        </m:ctrlPr>
                      </m:num>
                      <m:den>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2</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bSup>
                        <m:ctrlPr>
                          <w:rPr>
                            <w:rFonts w:hint="default" w:ascii="Cambria Math" w:hAnsi="Cambria Math" w:cs="Times New Roman"/>
                            <w:sz w:val="28"/>
                            <w:szCs w:val="28"/>
                          </w:rPr>
                        </m:ctrlPr>
                      </m:den>
                    </m:f>
                    <m:ctrlPr>
                      <w:rPr>
                        <w:rFonts w:hint="default" w:ascii="Cambria Math" w:hAnsi="Cambria Math" w:cs="Times New Roman"/>
                        <w:sz w:val="28"/>
                        <w:szCs w:val="28"/>
                      </w:rPr>
                    </m:ctrlPr>
                  </m:e>
                </m:d>
                <m:ctrlPr>
                  <w:rPr>
                    <w:rFonts w:hint="default" w:ascii="Cambria Math" w:hAnsi="Cambria Math" w:cs="Times New Roman"/>
                    <w:sz w:val="28"/>
                    <w:szCs w:val="28"/>
                  </w:rPr>
                </m:ctrlPr>
              </m:e>
            </m:func>
            <m:ctrlPr>
              <w:rPr>
                <w:rFonts w:hint="default" w:ascii="Cambria Math" w:hAnsi="Cambria Math" w:cs="Times New Roman"/>
                <w:sz w:val="28"/>
                <w:szCs w:val="28"/>
              </w:rPr>
            </m:ctrlPr>
          </m:e>
        </m:d>
        <m:r>
          <m:rPr>
            <m:nor/>
            <m:sty m:val="p"/>
          </m:rPr>
          <w:rPr>
            <w:rFonts w:hint="default" w:ascii="Times New Roman" w:hAnsi="Times New Roman" w:cs="Times New Roman"/>
            <w:b w:val="0"/>
            <w:i w:val="0"/>
            <w:sz w:val="28"/>
            <w:szCs w:val="28"/>
            <w:lang w:val="en-US" w:eastAsia="zh-CN"/>
          </w:rPr>
          <m:t xml:space="preserve"> </m:t>
        </m:r>
        <m:r>
          <m:rPr>
            <m:nor/>
            <m:sty m:val="p"/>
          </m:rPr>
          <w:rPr>
            <w:rFonts w:hint="default" w:ascii="Times New Roman" w:hAnsi="Times New Roman" w:cs="Times New Roman"/>
            <w:b w:val="0"/>
            <w:i w:val="0"/>
            <w:sz w:val="28"/>
            <w:szCs w:val="28"/>
          </w:rPr>
          <m:t>&lt;</m:t>
        </m:r>
        <m:r>
          <m:rPr>
            <m:nor/>
            <m:sty m:val="p"/>
          </m:rPr>
          <w:rPr>
            <w:rFonts w:hint="default" w:ascii="Times New Roman" w:hAnsi="Times New Roman" w:cs="Times New Roman"/>
            <w:b w:val="0"/>
            <w:i w:val="0"/>
            <w:sz w:val="28"/>
            <w:szCs w:val="28"/>
            <w:lang w:val="en-US" w:eastAsia="zh-CN"/>
          </w:rPr>
          <m:t xml:space="preserve"> </m:t>
        </m:r>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p>
      </m:oMath>
      <w:r>
        <w:rPr>
          <w:rFonts w:hint="default" w:ascii="Times New Roman" w:hAnsi="Times New Roman" w:cs="Times New Roman"/>
          <w:sz w:val="28"/>
          <w:szCs w:val="28"/>
        </w:rPr>
        <w:t xml:space="preserve"> indicate a synergistic effect in micelle formation. Furthermore, given that </w:t>
      </w:r>
      <m:oMath>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p>
        <m:r>
          <m:rPr>
            <m:nor/>
            <m:sty m:val="p"/>
          </m:rPr>
          <w:rPr>
            <w:rFonts w:hint="default" w:ascii="Times New Roman" w:hAnsi="Times New Roman" w:cs="Times New Roman"/>
            <w:b w:val="0"/>
            <w:i w:val="0"/>
            <w:sz w:val="28"/>
            <w:szCs w:val="28"/>
            <w:lang w:val="en-US" w:eastAsia="zh-CN"/>
          </w:rPr>
          <m:t xml:space="preserve"> </m:t>
        </m:r>
        <m:r>
          <m:rPr>
            <m:nor/>
            <m:sty m:val="p"/>
          </m:rPr>
          <w:rPr>
            <w:rFonts w:hint="default" w:ascii="Times New Roman" w:hAnsi="Times New Roman" w:cs="Times New Roman"/>
            <w:b w:val="0"/>
            <w:i w:val="0"/>
            <w:sz w:val="28"/>
            <w:szCs w:val="28"/>
          </w:rPr>
          <m:t>&lt;</m:t>
        </m:r>
        <m:r>
          <m:rPr>
            <m:nor/>
            <m:sty m:val="p"/>
          </m:rPr>
          <w:rPr>
            <w:rFonts w:hint="default" w:ascii="Times New Roman" w:hAnsi="Times New Roman" w:cs="Times New Roman"/>
            <w:b w:val="0"/>
            <w:i w:val="0"/>
            <w:sz w:val="28"/>
            <w:szCs w:val="28"/>
            <w:lang w:val="en-US" w:eastAsia="zh-CN"/>
          </w:rPr>
          <m:t xml:space="preserve"> </m:t>
        </m:r>
        <m:r>
          <m:rPr>
            <m:nor/>
            <m:sty m:val="p"/>
          </m:rPr>
          <w:rPr>
            <w:rFonts w:hint="default" w:ascii="Times New Roman" w:hAnsi="Times New Roman" w:cs="Times New Roman"/>
            <w:b w:val="0"/>
            <w:i w:val="0"/>
            <w:sz w:val="28"/>
            <w:szCs w:val="28"/>
          </w:rPr>
          <m:t>0</m:t>
        </m:r>
      </m:oMath>
      <w:r>
        <w:rPr>
          <w:rFonts w:hint="default" w:ascii="Times New Roman" w:hAnsi="Times New Roman" w:cs="Times New Roman"/>
          <w:sz w:val="28"/>
          <w:szCs w:val="28"/>
        </w:rPr>
        <w:t xml:space="preserve">, </w:t>
      </w:r>
      <m:oMath>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σ</m:t>
            </m:r>
            <m:ctrlPr>
              <w:rPr>
                <w:rFonts w:hint="default" w:ascii="Cambria Math" w:hAnsi="Cambria Math" w:cs="Times New Roman"/>
                <w:sz w:val="28"/>
                <w:szCs w:val="28"/>
              </w:rPr>
            </m:ctrlPr>
          </m:sup>
        </m:sSup>
        <m:r>
          <m:rPr>
            <m:nor/>
            <m:sty m:val="p"/>
          </m:rPr>
          <w:rPr>
            <w:rFonts w:hint="default" w:ascii="Times New Roman" w:hAnsi="Times New Roman" w:cs="Times New Roman"/>
            <w:b w:val="0"/>
            <w:i w:val="0"/>
            <w:sz w:val="28"/>
            <w:szCs w:val="28"/>
          </w:rPr>
          <m:t>-</m:t>
        </m:r>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p>
        <m:r>
          <m:rPr>
            <m:nor/>
            <m:sty m:val="p"/>
          </m:rPr>
          <w:rPr>
            <w:rFonts w:hint="default" w:ascii="Times New Roman" w:hAnsi="Times New Roman" w:cs="Times New Roman"/>
            <w:b w:val="0"/>
            <w:i w:val="0"/>
            <w:sz w:val="28"/>
            <w:szCs w:val="28"/>
            <w:lang w:val="en-US" w:eastAsia="zh-CN"/>
          </w:rPr>
          <m:t xml:space="preserve"> </m:t>
        </m:r>
        <m:r>
          <m:rPr>
            <m:nor/>
            <m:sty m:val="p"/>
          </m:rPr>
          <w:rPr>
            <w:rFonts w:hint="default" w:ascii="Times New Roman" w:hAnsi="Times New Roman" w:cs="Times New Roman"/>
            <w:b w:val="0"/>
            <w:i w:val="0"/>
            <w:sz w:val="28"/>
            <w:szCs w:val="28"/>
          </w:rPr>
          <m:t>&lt;</m:t>
        </m:r>
        <m:r>
          <m:rPr>
            <m:nor/>
            <m:sty m:val="p"/>
          </m:rPr>
          <w:rPr>
            <w:rFonts w:hint="default" w:ascii="Times New Roman" w:hAnsi="Times New Roman" w:cs="Times New Roman"/>
            <w:b w:val="0"/>
            <w:i w:val="0"/>
            <w:sz w:val="28"/>
            <w:szCs w:val="28"/>
            <w:lang w:val="en-US" w:eastAsia="zh-CN"/>
          </w:rPr>
          <m:t xml:space="preserve"> </m:t>
        </m:r>
        <m:r>
          <m:rPr>
            <m:nor/>
            <m:sty m:val="p"/>
          </m:rPr>
          <w:rPr>
            <w:rFonts w:hint="default" w:ascii="Times New Roman" w:hAnsi="Times New Roman" w:cs="Times New Roman"/>
            <w:b w:val="0"/>
            <w:i w:val="0"/>
            <w:sz w:val="28"/>
            <w:szCs w:val="28"/>
          </w:rPr>
          <m:t>0</m:t>
        </m:r>
      </m:oMath>
      <w:r>
        <w:rPr>
          <w:rFonts w:hint="default" w:ascii="Times New Roman" w:hAnsi="Times New Roman" w:cs="Times New Roman"/>
          <w:sz w:val="28"/>
          <w:szCs w:val="28"/>
        </w:rPr>
        <w:t xml:space="preserve"> and </w:t>
      </w:r>
      <m:oMath>
        <m:d>
          <m:dPr>
            <m:begChr m:val="|"/>
            <m:endChr m:val="|"/>
            <m:ctrlPr>
              <w:rPr>
                <w:rFonts w:hint="default" w:ascii="Cambria Math" w:hAnsi="Cambria Math" w:cs="Times New Roman"/>
                <w:sz w:val="28"/>
                <w:szCs w:val="28"/>
              </w:rPr>
            </m:ctrlPr>
          </m:dPr>
          <m:e>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σ</m:t>
                </m:r>
                <m:ctrlPr>
                  <w:rPr>
                    <w:rFonts w:hint="default" w:ascii="Cambria Math" w:hAnsi="Cambria Math" w:cs="Times New Roman"/>
                    <w:sz w:val="28"/>
                    <w:szCs w:val="28"/>
                  </w:rPr>
                </m:ctrlPr>
              </m:sup>
            </m:sSup>
            <m:r>
              <m:rPr>
                <m:nor/>
                <m:sty m:val="p"/>
              </m:rPr>
              <w:rPr>
                <w:rFonts w:hint="default" w:ascii="Times New Roman" w:hAnsi="Times New Roman" w:cs="Times New Roman"/>
                <w:b w:val="0"/>
                <w:i w:val="0"/>
                <w:sz w:val="28"/>
                <w:szCs w:val="28"/>
              </w:rPr>
              <m:t>-</m:t>
            </m:r>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p>
            <m:ctrlPr>
              <w:rPr>
                <w:rFonts w:hint="default" w:ascii="Cambria Math" w:hAnsi="Cambria Math" w:cs="Times New Roman"/>
                <w:sz w:val="28"/>
                <w:szCs w:val="28"/>
              </w:rPr>
            </m:ctrlPr>
          </m:e>
        </m:d>
        <m:r>
          <m:rPr>
            <m:nor/>
            <m:sty m:val="p"/>
          </m:rPr>
          <w:rPr>
            <w:rFonts w:hint="default" w:ascii="Times New Roman" w:hAnsi="Times New Roman" w:cs="Times New Roman"/>
            <w:b w:val="0"/>
            <w:i w:val="0"/>
            <w:sz w:val="28"/>
            <w:szCs w:val="28"/>
            <w:lang w:val="en-US" w:eastAsia="zh-CN"/>
          </w:rPr>
          <m:t xml:space="preserve"> </m:t>
        </m:r>
        <m:r>
          <m:rPr>
            <m:nor/>
            <m:sty m:val="p"/>
          </m:rPr>
          <w:rPr>
            <w:rFonts w:hint="default" w:ascii="Times New Roman" w:hAnsi="Times New Roman" w:cs="Times New Roman"/>
            <w:b w:val="0"/>
            <w:i w:val="0"/>
            <w:sz w:val="28"/>
            <w:szCs w:val="28"/>
          </w:rPr>
          <m:t>&gt;</m:t>
        </m:r>
        <m:r>
          <m:rPr>
            <m:nor/>
            <m:sty m:val="p"/>
          </m:rPr>
          <w:rPr>
            <w:rFonts w:hint="default" w:ascii="Times New Roman" w:hAnsi="Times New Roman" w:cs="Times New Roman"/>
            <w:b w:val="0"/>
            <w:i w:val="0"/>
            <w:sz w:val="28"/>
            <w:szCs w:val="28"/>
            <w:lang w:val="en-US" w:eastAsia="zh-CN"/>
          </w:rPr>
          <m:t xml:space="preserve"> </m:t>
        </m:r>
        <m:d>
          <m:dPr>
            <m:begChr m:val="|"/>
            <m:endChr m:val="|"/>
            <m:ctrlPr>
              <w:rPr>
                <w:rFonts w:hint="default" w:ascii="Cambria Math" w:hAnsi="Cambria Math" w:cs="Times New Roman"/>
                <w:sz w:val="28"/>
                <w:szCs w:val="28"/>
              </w:rPr>
            </m:ctrlPr>
          </m:dPr>
          <m:e>
            <m:func>
              <m:funcPr>
                <m:ctrlPr>
                  <w:rPr>
                    <w:rFonts w:hint="default" w:ascii="Cambria Math" w:hAnsi="Cambria Math" w:cs="Times New Roman"/>
                    <w:sz w:val="28"/>
                    <w:szCs w:val="28"/>
                  </w:rPr>
                </m:ctrlPr>
              </m:funcPr>
              <m:fName>
                <m:r>
                  <m:rPr>
                    <m:nor/>
                    <m:sty m:val="p"/>
                  </m:rPr>
                  <w:rPr>
                    <w:rFonts w:hint="default" w:ascii="Times New Roman" w:hAnsi="Times New Roman" w:cs="Times New Roman"/>
                    <w:b w:val="0"/>
                    <w:i w:val="0"/>
                    <w:sz w:val="28"/>
                    <w:szCs w:val="28"/>
                  </w:rPr>
                  <m:t>ln</m:t>
                </m:r>
                <m:ctrlPr>
                  <w:rPr>
                    <w:rFonts w:hint="default" w:ascii="Cambria Math" w:hAnsi="Cambria Math" w:cs="Times New Roman"/>
                    <w:sz w:val="28"/>
                    <w:szCs w:val="28"/>
                  </w:rPr>
                </m:ctrlPr>
              </m:fName>
              <m:e>
                <m:d>
                  <m:dPr>
                    <m:ctrlPr>
                      <w:rPr>
                        <w:rFonts w:hint="default" w:ascii="Cambria Math" w:hAnsi="Cambria Math" w:cs="Times New Roman"/>
                        <w:sz w:val="28"/>
                        <w:szCs w:val="28"/>
                      </w:rPr>
                    </m:ctrlPr>
                  </m:dPr>
                  <m:e>
                    <m:f>
                      <m:fPr>
                        <m:ctrlPr>
                          <w:rPr>
                            <w:rFonts w:hint="default" w:ascii="Cambria Math" w:hAnsi="Cambria Math" w:cs="Times New Roman"/>
                            <w:sz w:val="28"/>
                            <w:szCs w:val="28"/>
                          </w:rPr>
                        </m:ctrlPr>
                      </m:fPr>
                      <m:num>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0</m:t>
                            </m:r>
                            <m:ctrlPr>
                              <w:rPr>
                                <w:rFonts w:hint="default" w:ascii="Cambria Math" w:hAnsi="Cambria Math" w:cs="Times New Roman"/>
                                <w:sz w:val="28"/>
                                <w:szCs w:val="28"/>
                              </w:rPr>
                            </m:ctrlPr>
                          </m:sup>
                        </m:sSubSup>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2</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0</m:t>
                            </m:r>
                            <m:ctrlPr>
                              <w:rPr>
                                <w:rFonts w:hint="default" w:ascii="Cambria Math" w:hAnsi="Cambria Math" w:cs="Times New Roman"/>
                                <w:sz w:val="28"/>
                                <w:szCs w:val="28"/>
                              </w:rPr>
                            </m:ctrlPr>
                          </m:sup>
                        </m:sSubSup>
                        <m:ctrlPr>
                          <w:rPr>
                            <w:rFonts w:hint="default" w:ascii="Cambria Math" w:hAnsi="Cambria Math" w:cs="Times New Roman"/>
                            <w:sz w:val="28"/>
                            <w:szCs w:val="28"/>
                          </w:rPr>
                        </m:ctrlPr>
                      </m:num>
                      <m:den>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bSup>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2</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bSup>
                        <m:ctrlPr>
                          <w:rPr>
                            <w:rFonts w:hint="default" w:ascii="Cambria Math" w:hAnsi="Cambria Math" w:cs="Times New Roman"/>
                            <w:sz w:val="28"/>
                            <w:szCs w:val="28"/>
                          </w:rPr>
                        </m:ctrlPr>
                      </m:den>
                    </m:f>
                    <m:ctrlPr>
                      <w:rPr>
                        <w:rFonts w:hint="default" w:ascii="Cambria Math" w:hAnsi="Cambria Math" w:cs="Times New Roman"/>
                        <w:sz w:val="28"/>
                        <w:szCs w:val="28"/>
                      </w:rPr>
                    </m:ctrlPr>
                  </m:e>
                </m:d>
                <m:ctrlPr>
                  <w:rPr>
                    <w:rFonts w:hint="default" w:ascii="Cambria Math" w:hAnsi="Cambria Math" w:cs="Times New Roman"/>
                    <w:sz w:val="28"/>
                    <w:szCs w:val="28"/>
                  </w:rPr>
                </m:ctrlPr>
              </m:e>
            </m:func>
            <m:ctrlPr>
              <w:rPr>
                <w:rFonts w:hint="default" w:ascii="Cambria Math" w:hAnsi="Cambria Math" w:cs="Times New Roman"/>
                <w:sz w:val="28"/>
                <w:szCs w:val="28"/>
              </w:rPr>
            </m:ctrlPr>
          </m:e>
        </m:d>
      </m:oMath>
      <w:r>
        <w:rPr>
          <w:rFonts w:hint="default" w:ascii="Times New Roman" w:hAnsi="Times New Roman" w:cs="Times New Roman"/>
          <w:sz w:val="28"/>
          <w:szCs w:val="28"/>
        </w:rPr>
        <w:t xml:space="preserve">, the system exhibits a combined synergistic effect in lowering surface tension [162,165]. The observation that </w:t>
      </w:r>
      <m:oMath>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id</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&gt; </w:t>
      </w:r>
      <m:oMath>
        <m:sSubSup>
          <m:sSubSupPr>
            <m:ctrlPr>
              <w:rPr>
                <w:rFonts w:hint="default" w:ascii="Cambria Math" w:hAnsi="Cambria Math" w:cs="Times New Roman"/>
                <w:sz w:val="28"/>
                <w:szCs w:val="28"/>
              </w:rPr>
            </m:ctrlPr>
          </m:sSubSupPr>
          <m:e>
            <m:r>
              <m:rPr>
                <m:nor/>
                <m:sty m:val="p"/>
              </m:rPr>
              <w:rPr>
                <w:rFonts w:hint="default" w:ascii="Times New Roman" w:hAnsi="Times New Roman" w:cs="Times New Roman"/>
                <w:b w:val="0"/>
                <w:i w:val="0"/>
                <w:sz w:val="28"/>
                <w:szCs w:val="28"/>
              </w:rPr>
              <m:t>X</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(Figure 5.3) indicates that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dominates the mixed adsorption layer and preferentially accumulates at the interface, which enhances surface activity. Consistently, the activity coefficients (</w:t>
      </w:r>
      <m:oMath>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f</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i</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calculated according to the regular solution approach are less than unity, confirming the non-ideality of the system. Among the mixed micelles, </w:t>
      </w:r>
      <m:oMath>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f</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&gt; </w:t>
      </w:r>
      <m:oMath>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f</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2</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bSup>
      </m:oMath>
      <w:r>
        <w:rPr>
          <w:rFonts w:hint="default" w:ascii="Times New Roman" w:hAnsi="Times New Roman" w:cs="Times New Roman"/>
          <w:sz w:val="28"/>
          <w:szCs w:val="28"/>
        </w:rPr>
        <w:t>, further indicating a higher participation of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compared to 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w:t>
      </w:r>
    </w:p>
    <w:p w14:paraId="49D5A7E6">
      <w:pPr>
        <w:widowControl/>
        <w:ind w:firstLine="709" w:firstLineChars="0"/>
        <w:rPr>
          <w:rFonts w:hint="default" w:ascii="Times New Roman" w:hAnsi="Times New Roman" w:cs="Times New Roman"/>
          <w:sz w:val="28"/>
          <w:szCs w:val="28"/>
        </w:rPr>
      </w:pPr>
    </w:p>
    <w:tbl>
      <w:tblPr>
        <w:tblStyle w:val="1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96"/>
        <w:gridCol w:w="4236"/>
      </w:tblGrid>
      <w:tr w14:paraId="5B304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291" w:type="dxa"/>
          </w:tcPr>
          <w:p w14:paraId="2496F18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eastAsiaTheme="minorEastAsia"/>
                <w:sz w:val="28"/>
                <w:szCs w:val="28"/>
              </w:rPr>
              <w:drawing>
                <wp:inline distT="0" distB="0" distL="114300" distR="114300">
                  <wp:extent cx="2578100" cy="1979930"/>
                  <wp:effectExtent l="0" t="0" r="12700" b="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62"/>
                          <a:stretch>
                            <a:fillRect/>
                          </a:stretch>
                        </pic:blipFill>
                        <pic:spPr>
                          <a:xfrm>
                            <a:off x="0" y="0"/>
                            <a:ext cx="2578100" cy="1979930"/>
                          </a:xfrm>
                          <a:prstGeom prst="rect">
                            <a:avLst/>
                          </a:prstGeom>
                          <a:noFill/>
                          <a:ln>
                            <a:noFill/>
                          </a:ln>
                        </pic:spPr>
                      </pic:pic>
                    </a:graphicData>
                  </a:graphic>
                </wp:inline>
              </w:drawing>
            </w:r>
          </w:p>
        </w:tc>
        <w:tc>
          <w:tcPr>
            <w:tcW w:w="4231" w:type="dxa"/>
          </w:tcPr>
          <w:p w14:paraId="4DBCB31D">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eastAsiaTheme="minorEastAsia"/>
                <w:sz w:val="28"/>
                <w:szCs w:val="28"/>
              </w:rPr>
              <w:drawing>
                <wp:inline distT="0" distB="0" distL="114300" distR="114300">
                  <wp:extent cx="2551430" cy="1979930"/>
                  <wp:effectExtent l="0" t="0" r="127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63"/>
                          <a:stretch>
                            <a:fillRect/>
                          </a:stretch>
                        </pic:blipFill>
                        <pic:spPr>
                          <a:xfrm>
                            <a:off x="0" y="0"/>
                            <a:ext cx="2551430" cy="1979930"/>
                          </a:xfrm>
                          <a:prstGeom prst="rect">
                            <a:avLst/>
                          </a:prstGeom>
                          <a:noFill/>
                          <a:ln>
                            <a:noFill/>
                          </a:ln>
                        </pic:spPr>
                      </pic:pic>
                    </a:graphicData>
                  </a:graphic>
                </wp:inline>
              </w:drawing>
            </w:r>
          </w:p>
        </w:tc>
      </w:tr>
      <w:tr w14:paraId="352B0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522" w:type="dxa"/>
            <w:gridSpan w:val="2"/>
          </w:tcPr>
          <w:p w14:paraId="6754A42B">
            <w:pPr>
              <w:widowControl/>
              <w:ind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 xml:space="preserve">Figure 5.3 – Values of mole fraction </w:t>
            </w:r>
            <m:oMath>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w:t>
            </w:r>
            <m:oMath>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σ</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and interaction parameter </w:t>
            </w:r>
            <w:r>
              <w:rPr>
                <w:rFonts w:hint="default" w:ascii="Times New Roman" w:hAnsi="Times New Roman" w:cs="Times New Roman"/>
                <w:i/>
                <w:iCs/>
                <w:sz w:val="28"/>
                <w:szCs w:val="28"/>
              </w:rPr>
              <w:t>β</w:t>
            </w:r>
            <w:r>
              <w:rPr>
                <w:rFonts w:hint="default" w:ascii="Times New Roman" w:hAnsi="Times New Roman" w:cs="Times New Roman"/>
                <w:sz w:val="28"/>
                <w:szCs w:val="28"/>
              </w:rPr>
              <w:t xml:space="preserve"> of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mixtures</w:t>
            </w:r>
            <w:r>
              <w:rPr>
                <w:rFonts w:hint="default" w:ascii="Times New Roman" w:hAnsi="Times New Roman" w:cs="Times New Roman"/>
                <w:sz w:val="28"/>
                <w:szCs w:val="28"/>
                <w:lang w:val="en-US" w:eastAsia="zh-CN"/>
              </w:rPr>
              <w:t>.</w:t>
            </w:r>
          </w:p>
        </w:tc>
      </w:tr>
    </w:tbl>
    <w:p w14:paraId="4DD51AD7">
      <w:pPr>
        <w:widowControl/>
        <w:ind w:firstLine="709" w:firstLineChars="0"/>
        <w:rPr>
          <w:rFonts w:hint="default" w:ascii="Times New Roman" w:hAnsi="Times New Roman" w:cs="Times New Roman"/>
          <w:sz w:val="28"/>
          <w:szCs w:val="28"/>
        </w:rPr>
      </w:pPr>
    </w:p>
    <w:p w14:paraId="03738F43">
      <w:pPr>
        <w:widowControl/>
        <w:ind w:firstLine="0" w:firstLineChars="0"/>
        <w:jc w:val="center"/>
        <w:rPr>
          <w:rFonts w:hint="default" w:ascii="Times New Roman" w:hAnsi="Times New Roman" w:cs="Times New Roman" w:eastAsiaTheme="minorEastAsia"/>
          <w:sz w:val="28"/>
          <w:szCs w:val="28"/>
        </w:rPr>
      </w:pPr>
      <w:r>
        <w:rPr>
          <w:rFonts w:hint="default" w:ascii="Times New Roman" w:hAnsi="Times New Roman" w:cs="Times New Roman"/>
          <w:sz w:val="28"/>
          <w:szCs w:val="28"/>
        </w:rPr>
        <w:drawing>
          <wp:inline distT="0" distB="0" distL="114300" distR="114300">
            <wp:extent cx="4321810" cy="3340100"/>
            <wp:effectExtent l="0" t="0" r="2540" b="0"/>
            <wp:docPr id="6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7"/>
                    <pic:cNvPicPr>
                      <a:picLocks noChangeAspect="1"/>
                    </pic:cNvPicPr>
                  </pic:nvPicPr>
                  <pic:blipFill>
                    <a:blip r:embed="rId64"/>
                    <a:stretch>
                      <a:fillRect/>
                    </a:stretch>
                  </pic:blipFill>
                  <pic:spPr>
                    <a:xfrm>
                      <a:off x="0" y="0"/>
                      <a:ext cx="4333187" cy="3349436"/>
                    </a:xfrm>
                    <a:prstGeom prst="rect">
                      <a:avLst/>
                    </a:prstGeom>
                    <a:noFill/>
                    <a:ln>
                      <a:noFill/>
                    </a:ln>
                  </pic:spPr>
                </pic:pic>
              </a:graphicData>
            </a:graphic>
          </wp:inline>
        </w:drawing>
      </w:r>
    </w:p>
    <w:p w14:paraId="034BB910">
      <w:pPr>
        <w:widowControl/>
        <w:ind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Figure 5.4 – Particle size of mixed surfactant solutions at different molar ratios</w:t>
      </w:r>
      <w:r>
        <w:rPr>
          <w:rFonts w:hint="default" w:ascii="Times New Roman" w:hAnsi="Times New Roman" w:cs="Times New Roman"/>
          <w:sz w:val="28"/>
          <w:szCs w:val="28"/>
          <w:lang w:val="en-US" w:eastAsia="zh-CN"/>
        </w:rPr>
        <w:t>.</w:t>
      </w:r>
    </w:p>
    <w:p w14:paraId="0B074560">
      <w:pPr>
        <w:widowControl/>
        <w:ind w:firstLine="709" w:firstLineChars="0"/>
        <w:rPr>
          <w:rFonts w:hint="default" w:ascii="Times New Roman" w:hAnsi="Times New Roman" w:cs="Times New Roman"/>
          <w:sz w:val="28"/>
          <w:szCs w:val="28"/>
        </w:rPr>
      </w:pPr>
    </w:p>
    <w:p w14:paraId="55662F5A">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In addition to surface tension and interaction parameter analyses, dynamic light scattering (DLS) was employed to characterize the micellization behavior in solution, as shown in Figure 5.4. When the system is rich in zwitterionic molecules (α(C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&lt; 0.5), the average particle size is relatively small, which can be attributed to partial neutralization of surface charges and the formation of more compact micellar aggregates. However, as the Gemini surfactant content increases (α(C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&gt; 0.5), the average particle size becomes larger, suggesting that electrostatic repulsion between the cationic headgroups dominates, favoring the formation of larger vesicular or lamellar structures. These results highlight the critical role of surfactant composition in controlling both micellar size and interfacial packing, and provide a mechanistic understanding of the synergistic effects observed in reducing surface tension and stabilizing mixed micelles.</w:t>
      </w:r>
    </w:p>
    <w:p w14:paraId="30FD2DF3">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798" w:name="_Toc4199"/>
      <w:bookmarkStart w:id="799" w:name="_Toc459"/>
      <w:bookmarkStart w:id="800" w:name="_Toc30664"/>
      <w:bookmarkStart w:id="801" w:name="_Toc9806"/>
      <w:bookmarkStart w:id="802" w:name="_Toc31802"/>
      <w:bookmarkStart w:id="803" w:name="_Toc3692"/>
      <w:bookmarkStart w:id="804" w:name="_Toc11038"/>
      <w:r>
        <w:rPr>
          <w:rFonts w:hint="default" w:ascii="Times New Roman" w:hAnsi="Times New Roman" w:cs="Times New Roman"/>
          <w:i w:val="0"/>
          <w:iCs w:val="0"/>
          <w:sz w:val="28"/>
          <w:szCs w:val="28"/>
        </w:rPr>
        <w:t>5.3.2 Calculation of thermodynamic parameters</w:t>
      </w:r>
      <w:bookmarkEnd w:id="798"/>
      <w:bookmarkEnd w:id="799"/>
      <w:bookmarkEnd w:id="800"/>
      <w:bookmarkEnd w:id="801"/>
      <w:bookmarkEnd w:id="802"/>
      <w:bookmarkEnd w:id="803"/>
      <w:bookmarkEnd w:id="804"/>
    </w:p>
    <w:p w14:paraId="7BD884FA">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micellization thermodynamics of binary surfactant systems are determined using the Gibbs adsorption theory and Rosen’s methodology [83,143,144]. The calculation results of thermodynamic parameters of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compound system are shown in Tables 5</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rPr>
        <w:t>3.</w:t>
      </w:r>
    </w:p>
    <w:p w14:paraId="48EF9E56">
      <w:pPr>
        <w:widowControl/>
        <w:ind w:firstLine="709" w:firstLineChars="0"/>
        <w:rPr>
          <w:rFonts w:hint="default" w:ascii="Times New Roman" w:hAnsi="Times New Roman" w:cs="Times New Roman"/>
          <w:sz w:val="28"/>
          <w:szCs w:val="28"/>
        </w:rPr>
      </w:pPr>
    </w:p>
    <w:p w14:paraId="0BEF6D80">
      <w:pPr>
        <w:widowControl/>
        <w:ind w:left="0" w:leftChars="0" w:firstLine="0" w:firstLineChars="0"/>
        <w:rPr>
          <w:rFonts w:hint="default" w:ascii="Times New Roman" w:hAnsi="Times New Roman" w:cs="Times New Roman"/>
          <w:sz w:val="28"/>
          <w:szCs w:val="28"/>
        </w:rPr>
      </w:pPr>
      <w:r>
        <w:rPr>
          <w:rFonts w:hint="default" w:ascii="Times New Roman" w:hAnsi="Times New Roman" w:cs="Times New Roman"/>
          <w:sz w:val="28"/>
          <w:szCs w:val="28"/>
        </w:rPr>
        <w:t>Table 5.3 – Thermodynamic parameters of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compound system.</w:t>
      </w:r>
    </w:p>
    <w:tbl>
      <w:tblPr>
        <w:tblStyle w:val="17"/>
        <w:tblW w:w="4997" w:type="pct"/>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7"/>
        <w:gridCol w:w="1215"/>
        <w:gridCol w:w="1215"/>
        <w:gridCol w:w="1215"/>
        <w:gridCol w:w="1215"/>
        <w:gridCol w:w="1574"/>
        <w:gridCol w:w="1215"/>
        <w:gridCol w:w="1812"/>
      </w:tblGrid>
      <w:tr w14:paraId="1766AC8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7" w:type="pct"/>
            <w:tcBorders>
              <w:bottom w:val="single" w:color="auto" w:sz="4" w:space="0"/>
            </w:tcBorders>
            <w:vAlign w:val="center"/>
          </w:tcPr>
          <w:p w14:paraId="7B486EE9">
            <w:pPr>
              <w:widowControl/>
              <w:ind w:left="-113" w:right="-166" w:firstLine="0" w:firstLineChars="0"/>
              <w:jc w:val="center"/>
              <w:rPr>
                <w:rFonts w:hint="default" w:ascii="Times New Roman" w:hAnsi="Times New Roman" w:cs="Times New Roman"/>
                <w:sz w:val="24"/>
                <w:szCs w:val="24"/>
              </w:rPr>
            </w:pPr>
            <m:oMathPara>
              <m:oMath>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α</m:t>
                    </m:r>
                    <m:ctrlPr>
                      <w:rPr>
                        <w:rFonts w:hint="default" w:ascii="Cambria Math" w:hAnsi="Cambria Math" w:cs="Times New Roman"/>
                        <w:sz w:val="24"/>
                        <w:szCs w:val="24"/>
                      </w:rPr>
                    </m:ctrlPr>
                  </m:e>
                  <m:sub>
                    <m:r>
                      <m:rPr>
                        <m:nor/>
                        <m:sty m:val="p"/>
                      </m:rPr>
                      <w:rPr>
                        <w:rFonts w:hint="default" w:ascii="Times New Roman" w:hAnsi="Times New Roman" w:cs="Times New Roman"/>
                        <w:b w:val="0"/>
                        <w:i w:val="0"/>
                        <w:sz w:val="24"/>
                        <w:szCs w:val="24"/>
                      </w:rPr>
                      <m:t>1</m:t>
                    </m:r>
                    <m:ctrlPr>
                      <w:rPr>
                        <w:rFonts w:hint="default" w:ascii="Cambria Math" w:hAnsi="Cambria Math" w:cs="Times New Roman"/>
                        <w:sz w:val="24"/>
                        <w:szCs w:val="24"/>
                      </w:rPr>
                    </m:ctrlPr>
                  </m:sub>
                </m:sSub>
              </m:oMath>
            </m:oMathPara>
          </w:p>
        </w:tc>
        <w:tc>
          <w:tcPr>
            <w:tcW w:w="616" w:type="pct"/>
            <w:tcBorders>
              <w:bottom w:val="single" w:color="auto" w:sz="4" w:space="0"/>
            </w:tcBorders>
            <w:vAlign w:val="center"/>
          </w:tcPr>
          <w:p w14:paraId="34625A4F">
            <w:pPr>
              <w:widowControl/>
              <w:ind w:left="-113" w:right="-166"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∆G</w:t>
            </w:r>
            <w:r>
              <w:rPr>
                <w:rFonts w:hint="default" w:ascii="Times New Roman" w:hAnsi="Times New Roman" w:cs="Times New Roman"/>
                <w:sz w:val="24"/>
                <w:szCs w:val="24"/>
                <w:vertAlign w:val="subscript"/>
              </w:rPr>
              <w:t>mic</w:t>
            </w:r>
          </w:p>
          <w:p w14:paraId="6CC514D7">
            <w:pPr>
              <w:widowControl/>
              <w:ind w:left="-113" w:right="-166"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w:t>
            </w:r>
            <w:r>
              <w:rPr>
                <w:rStyle w:val="41"/>
                <w:rFonts w:hint="default" w:ascii="Times New Roman" w:hAnsi="Times New Roman" w:cs="Times New Roman"/>
                <w:color w:val="auto"/>
                <w:sz w:val="24"/>
                <w:szCs w:val="24"/>
                <w:lang w:bidi="ar"/>
              </w:rPr>
              <w:t>kJ·mol</w:t>
            </w:r>
            <w:r>
              <w:rPr>
                <w:rStyle w:val="42"/>
                <w:rFonts w:hint="default" w:ascii="Times New Roman" w:hAnsi="Times New Roman" w:cs="Times New Roman"/>
                <w:color w:val="auto"/>
                <w:sz w:val="24"/>
                <w:szCs w:val="24"/>
                <w:lang w:bidi="ar"/>
              </w:rPr>
              <w:t>-1</w:t>
            </w:r>
            <w:r>
              <w:rPr>
                <w:rStyle w:val="42"/>
                <w:rFonts w:hint="default" w:ascii="Times New Roman" w:hAnsi="Times New Roman" w:cs="Times New Roman"/>
                <w:color w:val="auto"/>
                <w:sz w:val="24"/>
                <w:szCs w:val="24"/>
                <w:vertAlign w:val="baseline"/>
                <w:lang w:bidi="ar"/>
              </w:rPr>
              <w:t>)</w:t>
            </w:r>
          </w:p>
        </w:tc>
        <w:tc>
          <w:tcPr>
            <w:tcW w:w="616" w:type="pct"/>
            <w:tcBorders>
              <w:bottom w:val="single" w:color="auto" w:sz="4" w:space="0"/>
            </w:tcBorders>
            <w:vAlign w:val="center"/>
          </w:tcPr>
          <w:p w14:paraId="1BAA7E4B">
            <w:pPr>
              <w:widowControl/>
              <w:ind w:left="-113" w:right="-166"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∆G</w:t>
            </w:r>
            <w:r>
              <w:rPr>
                <w:rFonts w:hint="default" w:ascii="Times New Roman" w:hAnsi="Times New Roman" w:cs="Times New Roman"/>
                <w:sz w:val="24"/>
                <w:szCs w:val="24"/>
                <w:vertAlign w:val="subscript"/>
              </w:rPr>
              <w:t>mic,ideal</w:t>
            </w:r>
          </w:p>
          <w:p w14:paraId="7F5A4247">
            <w:pPr>
              <w:widowControl/>
              <w:ind w:left="-113" w:right="-166"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w:t>
            </w:r>
            <w:r>
              <w:rPr>
                <w:rStyle w:val="41"/>
                <w:rFonts w:hint="default" w:ascii="Times New Roman" w:hAnsi="Times New Roman" w:cs="Times New Roman"/>
                <w:color w:val="auto"/>
                <w:sz w:val="24"/>
                <w:szCs w:val="24"/>
                <w:lang w:bidi="ar"/>
              </w:rPr>
              <w:t>kJ·mol</w:t>
            </w:r>
            <w:r>
              <w:rPr>
                <w:rStyle w:val="42"/>
                <w:rFonts w:hint="default" w:ascii="Times New Roman" w:hAnsi="Times New Roman" w:cs="Times New Roman"/>
                <w:color w:val="auto"/>
                <w:sz w:val="24"/>
                <w:szCs w:val="24"/>
                <w:lang w:bidi="ar"/>
              </w:rPr>
              <w:t>-1</w:t>
            </w:r>
            <w:r>
              <w:rPr>
                <w:rStyle w:val="42"/>
                <w:rFonts w:hint="default" w:ascii="Times New Roman" w:hAnsi="Times New Roman" w:cs="Times New Roman"/>
                <w:color w:val="auto"/>
                <w:sz w:val="24"/>
                <w:szCs w:val="24"/>
                <w:vertAlign w:val="baseline"/>
                <w:lang w:bidi="ar"/>
              </w:rPr>
              <w:t>)</w:t>
            </w:r>
          </w:p>
        </w:tc>
        <w:tc>
          <w:tcPr>
            <w:tcW w:w="616" w:type="pct"/>
            <w:tcBorders>
              <w:bottom w:val="single" w:color="auto" w:sz="4" w:space="0"/>
            </w:tcBorders>
            <w:vAlign w:val="center"/>
          </w:tcPr>
          <w:p w14:paraId="3141869A">
            <w:pPr>
              <w:widowControl/>
              <w:ind w:left="-113" w:right="-166"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∆G</w:t>
            </w:r>
            <w:r>
              <w:rPr>
                <w:rFonts w:hint="default" w:ascii="Times New Roman" w:hAnsi="Times New Roman" w:cs="Times New Roman"/>
                <w:sz w:val="24"/>
                <w:szCs w:val="24"/>
                <w:vertAlign w:val="subscript"/>
              </w:rPr>
              <w:t>ads</w:t>
            </w:r>
          </w:p>
          <w:p w14:paraId="5448294F">
            <w:pPr>
              <w:widowControl/>
              <w:ind w:left="-113" w:right="-166"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w:t>
            </w:r>
            <w:r>
              <w:rPr>
                <w:rStyle w:val="41"/>
                <w:rFonts w:hint="default" w:ascii="Times New Roman" w:hAnsi="Times New Roman" w:cs="Times New Roman"/>
                <w:color w:val="auto"/>
                <w:sz w:val="24"/>
                <w:szCs w:val="24"/>
                <w:lang w:bidi="ar"/>
              </w:rPr>
              <w:t>kJ·mol</w:t>
            </w:r>
            <w:r>
              <w:rPr>
                <w:rStyle w:val="42"/>
                <w:rFonts w:hint="default" w:ascii="Times New Roman" w:hAnsi="Times New Roman" w:cs="Times New Roman"/>
                <w:color w:val="auto"/>
                <w:sz w:val="24"/>
                <w:szCs w:val="24"/>
                <w:lang w:bidi="ar"/>
              </w:rPr>
              <w:t>-1</w:t>
            </w:r>
            <w:r>
              <w:rPr>
                <w:rStyle w:val="42"/>
                <w:rFonts w:hint="default" w:ascii="Times New Roman" w:hAnsi="Times New Roman" w:cs="Times New Roman"/>
                <w:color w:val="auto"/>
                <w:sz w:val="24"/>
                <w:szCs w:val="24"/>
                <w:vertAlign w:val="baseline"/>
                <w:lang w:bidi="ar"/>
              </w:rPr>
              <w:t>)</w:t>
            </w:r>
          </w:p>
        </w:tc>
        <w:tc>
          <w:tcPr>
            <w:tcW w:w="616" w:type="pct"/>
            <w:tcBorders>
              <w:bottom w:val="single" w:color="auto" w:sz="4" w:space="0"/>
            </w:tcBorders>
            <w:vAlign w:val="center"/>
          </w:tcPr>
          <w:p w14:paraId="56225FDA">
            <w:pPr>
              <w:widowControl/>
              <w:ind w:left="-113" w:right="-166"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∆H</w:t>
            </w:r>
            <w:r>
              <w:rPr>
                <w:rFonts w:hint="default" w:ascii="Times New Roman" w:hAnsi="Times New Roman" w:cs="Times New Roman"/>
                <w:sz w:val="24"/>
                <w:szCs w:val="24"/>
                <w:vertAlign w:val="subscript"/>
              </w:rPr>
              <w:t>mic</w:t>
            </w:r>
          </w:p>
          <w:p w14:paraId="2A821A23">
            <w:pPr>
              <w:widowControl/>
              <w:ind w:left="-113" w:right="-166"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w:t>
            </w:r>
            <w:r>
              <w:rPr>
                <w:rStyle w:val="41"/>
                <w:rFonts w:hint="default" w:ascii="Times New Roman" w:hAnsi="Times New Roman" w:cs="Times New Roman"/>
                <w:color w:val="auto"/>
                <w:sz w:val="24"/>
                <w:szCs w:val="24"/>
                <w:lang w:bidi="ar"/>
              </w:rPr>
              <w:t>kJ·mol</w:t>
            </w:r>
            <w:r>
              <w:rPr>
                <w:rStyle w:val="42"/>
                <w:rFonts w:hint="default" w:ascii="Times New Roman" w:hAnsi="Times New Roman" w:cs="Times New Roman"/>
                <w:color w:val="auto"/>
                <w:sz w:val="24"/>
                <w:szCs w:val="24"/>
                <w:lang w:bidi="ar"/>
              </w:rPr>
              <w:t>-1</w:t>
            </w:r>
            <w:r>
              <w:rPr>
                <w:rStyle w:val="42"/>
                <w:rFonts w:hint="default" w:ascii="Times New Roman" w:hAnsi="Times New Roman" w:cs="Times New Roman"/>
                <w:color w:val="auto"/>
                <w:sz w:val="24"/>
                <w:szCs w:val="24"/>
                <w:vertAlign w:val="baseline"/>
                <w:lang w:bidi="ar"/>
              </w:rPr>
              <w:t>)</w:t>
            </w:r>
          </w:p>
        </w:tc>
        <w:tc>
          <w:tcPr>
            <w:tcW w:w="798" w:type="pct"/>
            <w:tcBorders>
              <w:bottom w:val="single" w:color="auto" w:sz="4" w:space="0"/>
            </w:tcBorders>
            <w:vAlign w:val="center"/>
          </w:tcPr>
          <w:p w14:paraId="184A4DE7">
            <w:pPr>
              <w:widowControl/>
              <w:ind w:left="-113" w:right="-166"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∆S</w:t>
            </w:r>
            <w:r>
              <w:rPr>
                <w:rFonts w:hint="default" w:ascii="Times New Roman" w:hAnsi="Times New Roman" w:cs="Times New Roman"/>
                <w:sz w:val="24"/>
                <w:szCs w:val="24"/>
                <w:vertAlign w:val="subscript"/>
              </w:rPr>
              <w:t>mic</w:t>
            </w:r>
          </w:p>
          <w:p w14:paraId="72DF83CA">
            <w:pPr>
              <w:widowControl/>
              <w:ind w:left="-113" w:right="-166"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w:t>
            </w:r>
            <w:r>
              <w:rPr>
                <w:rStyle w:val="41"/>
                <w:rFonts w:hint="default" w:ascii="Times New Roman" w:hAnsi="Times New Roman" w:cs="Times New Roman"/>
                <w:color w:val="auto"/>
                <w:sz w:val="24"/>
                <w:szCs w:val="24"/>
                <w:lang w:bidi="ar"/>
              </w:rPr>
              <w:t>J·mol</w:t>
            </w:r>
            <w:r>
              <w:rPr>
                <w:rStyle w:val="42"/>
                <w:rFonts w:hint="default" w:ascii="Times New Roman" w:hAnsi="Times New Roman" w:cs="Times New Roman"/>
                <w:color w:val="auto"/>
                <w:sz w:val="24"/>
                <w:szCs w:val="24"/>
                <w:lang w:bidi="ar"/>
              </w:rPr>
              <w:t>-1</w:t>
            </w:r>
            <w:r>
              <w:rPr>
                <w:rStyle w:val="41"/>
                <w:rFonts w:hint="default" w:ascii="Times New Roman" w:hAnsi="Times New Roman" w:cs="Times New Roman"/>
                <w:color w:val="auto"/>
                <w:sz w:val="24"/>
                <w:szCs w:val="24"/>
                <w:lang w:bidi="ar"/>
              </w:rPr>
              <w:t>·K</w:t>
            </w:r>
            <w:r>
              <w:rPr>
                <w:rStyle w:val="42"/>
                <w:rFonts w:hint="default" w:ascii="Times New Roman" w:hAnsi="Times New Roman" w:cs="Times New Roman"/>
                <w:color w:val="auto"/>
                <w:sz w:val="24"/>
                <w:szCs w:val="24"/>
                <w:lang w:bidi="ar"/>
              </w:rPr>
              <w:t>-1</w:t>
            </w:r>
            <w:r>
              <w:rPr>
                <w:rStyle w:val="42"/>
                <w:rFonts w:hint="default" w:ascii="Times New Roman" w:hAnsi="Times New Roman" w:cs="Times New Roman"/>
                <w:color w:val="auto"/>
                <w:sz w:val="24"/>
                <w:szCs w:val="24"/>
                <w:vertAlign w:val="baseline"/>
                <w:lang w:bidi="ar"/>
              </w:rPr>
              <w:t>)</w:t>
            </w:r>
          </w:p>
        </w:tc>
        <w:tc>
          <w:tcPr>
            <w:tcW w:w="616" w:type="pct"/>
            <w:tcBorders>
              <w:bottom w:val="single" w:color="auto" w:sz="4" w:space="0"/>
            </w:tcBorders>
            <w:vAlign w:val="center"/>
          </w:tcPr>
          <w:p w14:paraId="6FE121EE">
            <w:pPr>
              <w:widowControl/>
              <w:ind w:left="-113" w:right="-166" w:firstLine="0" w:firstLineChars="0"/>
              <w:jc w:val="center"/>
              <w:textAlignment w:val="center"/>
              <w:rPr>
                <w:rStyle w:val="41"/>
                <w:rFonts w:hint="default" w:ascii="Times New Roman" w:hAnsi="Times New Roman" w:cs="Times New Roman"/>
                <w:color w:val="auto"/>
                <w:sz w:val="24"/>
                <w:szCs w:val="24"/>
                <w:lang w:bidi="ar"/>
              </w:rPr>
            </w:pPr>
            <w:r>
              <w:rPr>
                <w:rStyle w:val="41"/>
                <w:rFonts w:hint="default" w:ascii="Times New Roman" w:hAnsi="Times New Roman" w:cs="Times New Roman"/>
                <w:color w:val="auto"/>
                <w:sz w:val="24"/>
                <w:szCs w:val="24"/>
                <w:lang w:bidi="ar"/>
              </w:rPr>
              <w:t>T∆S</w:t>
            </w:r>
            <w:r>
              <w:rPr>
                <w:rStyle w:val="41"/>
                <w:rFonts w:hint="default" w:ascii="Times New Roman" w:hAnsi="Times New Roman" w:cs="Times New Roman"/>
                <w:color w:val="auto"/>
                <w:sz w:val="24"/>
                <w:szCs w:val="24"/>
                <w:vertAlign w:val="subscript"/>
                <w:lang w:bidi="ar"/>
              </w:rPr>
              <w:t>mic</w:t>
            </w:r>
          </w:p>
          <w:p w14:paraId="58C13311">
            <w:pPr>
              <w:widowControl/>
              <w:ind w:left="-113" w:right="-166" w:firstLine="0" w:firstLineChars="0"/>
              <w:jc w:val="center"/>
              <w:textAlignment w:val="center"/>
              <w:rPr>
                <w:rFonts w:hint="default" w:ascii="Times New Roman" w:hAnsi="Times New Roman" w:cs="Times New Roman"/>
                <w:sz w:val="24"/>
                <w:szCs w:val="24"/>
              </w:rPr>
            </w:pPr>
            <w:r>
              <w:rPr>
                <w:rStyle w:val="41"/>
                <w:rFonts w:hint="default" w:ascii="Times New Roman" w:hAnsi="Times New Roman" w:cs="Times New Roman"/>
                <w:color w:val="auto"/>
                <w:sz w:val="24"/>
                <w:szCs w:val="24"/>
                <w:lang w:bidi="ar"/>
              </w:rPr>
              <w:t>(kJ·mol</w:t>
            </w:r>
            <w:r>
              <w:rPr>
                <w:rStyle w:val="42"/>
                <w:rFonts w:hint="default" w:ascii="Times New Roman" w:hAnsi="Times New Roman" w:cs="Times New Roman"/>
                <w:color w:val="auto"/>
                <w:sz w:val="24"/>
                <w:szCs w:val="24"/>
                <w:lang w:bidi="ar"/>
              </w:rPr>
              <w:t>-1</w:t>
            </w:r>
            <w:r>
              <w:rPr>
                <w:rStyle w:val="42"/>
                <w:rFonts w:hint="default" w:ascii="Times New Roman" w:hAnsi="Times New Roman" w:cs="Times New Roman"/>
                <w:color w:val="auto"/>
                <w:sz w:val="24"/>
                <w:szCs w:val="24"/>
                <w:vertAlign w:val="baseline"/>
                <w:lang w:bidi="ar"/>
              </w:rPr>
              <w:t>)</w:t>
            </w:r>
          </w:p>
        </w:tc>
        <w:tc>
          <w:tcPr>
            <w:tcW w:w="919" w:type="pct"/>
            <w:tcBorders>
              <w:bottom w:val="single" w:color="auto" w:sz="4" w:space="0"/>
            </w:tcBorders>
            <w:vAlign w:val="center"/>
          </w:tcPr>
          <w:p w14:paraId="06D0E826">
            <w:pPr>
              <w:widowControl/>
              <w:ind w:left="-113" w:right="-166"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w:t>
            </w:r>
            <m:oMath>
              <m:r>
                <m:rPr>
                  <m:nor/>
                </m:rPr>
                <w:rPr>
                  <w:rFonts w:hint="default" w:ascii="Times New Roman" w:hAnsi="Times New Roman" w:cs="Times New Roman"/>
                  <w:i/>
                  <w:sz w:val="24"/>
                  <w:szCs w:val="24"/>
                </w:rPr>
                <m:t>T</m:t>
              </m:r>
              <m:sSub>
                <m:sSubPr>
                  <m:ctrlPr>
                    <w:rPr>
                      <w:rFonts w:hint="default" w:ascii="Cambria Math" w:hAnsi="Cambria Math" w:cs="Times New Roman"/>
                      <w:sz w:val="24"/>
                      <w:szCs w:val="24"/>
                    </w:rPr>
                  </m:ctrlPr>
                </m:sSubPr>
                <m:e>
                  <m:r>
                    <m:rPr>
                      <m:nor/>
                      <m:sty m:val="p"/>
                    </m:rPr>
                    <w:rPr>
                      <w:rFonts w:hint="default" w:ascii="Times New Roman" w:hAnsi="Times New Roman" w:cs="Times New Roman"/>
                      <w:b w:val="0"/>
                      <w:i w:val="0"/>
                      <w:sz w:val="24"/>
                      <w:szCs w:val="24"/>
                    </w:rPr>
                    <m:t>∆</m:t>
                  </m:r>
                  <m:r>
                    <m:rPr>
                      <m:nor/>
                    </m:rPr>
                    <w:rPr>
                      <w:rFonts w:hint="default" w:ascii="Times New Roman" w:hAnsi="Times New Roman" w:cs="Times New Roman"/>
                      <w:i/>
                      <w:sz w:val="24"/>
                      <w:szCs w:val="24"/>
                    </w:rPr>
                    <m:t>S</m:t>
                  </m:r>
                  <m:ctrlPr>
                    <w:rPr>
                      <w:rFonts w:hint="default" w:ascii="Cambria Math" w:hAnsi="Cambria Math" w:cs="Times New Roman"/>
                      <w:sz w:val="24"/>
                      <w:szCs w:val="24"/>
                    </w:rPr>
                  </m:ctrlPr>
                </m:e>
                <m:sub>
                  <m:r>
                    <m:rPr>
                      <m:nor/>
                      <m:sty m:val="p"/>
                    </m:rPr>
                    <w:rPr>
                      <w:rFonts w:hint="default" w:ascii="Times New Roman" w:hAnsi="Times New Roman" w:cs="Times New Roman"/>
                      <w:b w:val="0"/>
                      <w:i w:val="0"/>
                      <w:sz w:val="24"/>
                      <w:szCs w:val="24"/>
                    </w:rPr>
                    <m:t>mic</m:t>
                  </m:r>
                  <m:ctrlPr>
                    <w:rPr>
                      <w:rFonts w:hint="default" w:ascii="Cambria Math" w:hAnsi="Cambria Math" w:cs="Times New Roman"/>
                      <w:sz w:val="24"/>
                      <w:szCs w:val="24"/>
                    </w:rPr>
                  </m:ctrlPr>
                </m:sub>
              </m:sSub>
            </m:oMath>
            <w:r>
              <w:rPr>
                <w:rFonts w:hint="default" w:ascii="Times New Roman" w:hAnsi="Times New Roman" w:cs="Times New Roman"/>
                <w:sz w:val="24"/>
                <w:szCs w:val="24"/>
              </w:rPr>
              <w:t>/</w:t>
            </w:r>
            <m:oMath>
              <m:sSub>
                <m:sSubPr>
                  <m:ctrlPr>
                    <w:rPr>
                      <w:rFonts w:hint="default" w:ascii="Cambria Math" w:hAnsi="Cambria Math" w:cs="Times New Roman"/>
                      <w:sz w:val="24"/>
                      <w:szCs w:val="24"/>
                    </w:rPr>
                  </m:ctrlPr>
                </m:sSubPr>
                <m:e>
                  <m:r>
                    <m:rPr>
                      <m:nor/>
                      <m:sty m:val="p"/>
                    </m:rPr>
                    <w:rPr>
                      <w:rFonts w:hint="default" w:ascii="Times New Roman" w:hAnsi="Times New Roman" w:cs="Times New Roman"/>
                      <w:b w:val="0"/>
                      <w:i w:val="0"/>
                      <w:sz w:val="24"/>
                      <w:szCs w:val="24"/>
                    </w:rPr>
                    <m:t>∆</m:t>
                  </m:r>
                  <m:r>
                    <m:rPr>
                      <m:nor/>
                    </m:rPr>
                    <w:rPr>
                      <w:rFonts w:hint="default" w:ascii="Times New Roman" w:hAnsi="Times New Roman" w:cs="Times New Roman"/>
                      <w:i/>
                      <w:sz w:val="24"/>
                      <w:szCs w:val="24"/>
                    </w:rPr>
                    <m:t>G</m:t>
                  </m:r>
                  <m:ctrlPr>
                    <w:rPr>
                      <w:rFonts w:hint="default" w:ascii="Cambria Math" w:hAnsi="Cambria Math" w:cs="Times New Roman"/>
                      <w:sz w:val="24"/>
                      <w:szCs w:val="24"/>
                    </w:rPr>
                  </m:ctrlPr>
                </m:e>
                <m:sub>
                  <m:r>
                    <m:rPr>
                      <m:nor/>
                      <m:sty m:val="p"/>
                    </m:rPr>
                    <w:rPr>
                      <w:rFonts w:hint="default" w:ascii="Times New Roman" w:hAnsi="Times New Roman" w:cs="Times New Roman"/>
                      <w:b w:val="0"/>
                      <w:i w:val="0"/>
                      <w:sz w:val="24"/>
                      <w:szCs w:val="24"/>
                    </w:rPr>
                    <m:t>mic</m:t>
                  </m:r>
                  <m:ctrlPr>
                    <w:rPr>
                      <w:rFonts w:hint="default" w:ascii="Cambria Math" w:hAnsi="Cambria Math" w:cs="Times New Roman"/>
                      <w:sz w:val="24"/>
                      <w:szCs w:val="24"/>
                    </w:rPr>
                  </m:ctrlPr>
                </m:sub>
              </m:sSub>
            </m:oMath>
            <w:r>
              <w:rPr>
                <w:rFonts w:hint="default" w:ascii="Times New Roman" w:hAnsi="Times New Roman" w:cs="Times New Roman"/>
                <w:sz w:val="24"/>
                <w:szCs w:val="24"/>
              </w:rPr>
              <w:t>|</w:t>
            </w:r>
          </w:p>
        </w:tc>
      </w:tr>
      <w:tr w14:paraId="1BAB73D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7" w:type="pct"/>
            <w:tcBorders>
              <w:top w:val="single" w:color="auto" w:sz="4" w:space="0"/>
            </w:tcBorders>
            <w:vAlign w:val="center"/>
          </w:tcPr>
          <w:p w14:paraId="58F5B61F">
            <w:pPr>
              <w:widowControl/>
              <w:ind w:left="-113" w:right="-166"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0.8</w:t>
            </w:r>
          </w:p>
        </w:tc>
        <w:tc>
          <w:tcPr>
            <w:tcW w:w="616" w:type="pct"/>
            <w:tcBorders>
              <w:top w:val="single" w:color="auto" w:sz="4" w:space="0"/>
            </w:tcBorders>
            <w:vAlign w:val="center"/>
          </w:tcPr>
          <w:p w14:paraId="65589F7F">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-6.4769</w:t>
            </w:r>
          </w:p>
        </w:tc>
        <w:tc>
          <w:tcPr>
            <w:tcW w:w="616" w:type="pct"/>
            <w:tcBorders>
              <w:top w:val="single" w:color="auto" w:sz="4" w:space="0"/>
            </w:tcBorders>
            <w:vAlign w:val="center"/>
          </w:tcPr>
          <w:p w14:paraId="13EBBBFB">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-1.6290</w:t>
            </w:r>
          </w:p>
        </w:tc>
        <w:tc>
          <w:tcPr>
            <w:tcW w:w="616" w:type="pct"/>
            <w:tcBorders>
              <w:top w:val="single" w:color="auto" w:sz="4" w:space="0"/>
            </w:tcBorders>
            <w:vAlign w:val="center"/>
          </w:tcPr>
          <w:p w14:paraId="559754CA">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-6.4771</w:t>
            </w:r>
          </w:p>
        </w:tc>
        <w:tc>
          <w:tcPr>
            <w:tcW w:w="616" w:type="pct"/>
            <w:tcBorders>
              <w:top w:val="single" w:color="auto" w:sz="4" w:space="0"/>
            </w:tcBorders>
            <w:vAlign w:val="center"/>
          </w:tcPr>
          <w:p w14:paraId="299CA399">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-4.8479</w:t>
            </w:r>
          </w:p>
        </w:tc>
        <w:tc>
          <w:tcPr>
            <w:tcW w:w="798" w:type="pct"/>
            <w:tcBorders>
              <w:top w:val="single" w:color="auto" w:sz="4" w:space="0"/>
            </w:tcBorders>
            <w:vAlign w:val="center"/>
          </w:tcPr>
          <w:p w14:paraId="793CF2BB">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5.4600</w:t>
            </w:r>
          </w:p>
        </w:tc>
        <w:tc>
          <w:tcPr>
            <w:tcW w:w="616" w:type="pct"/>
            <w:tcBorders>
              <w:top w:val="single" w:color="auto" w:sz="4" w:space="0"/>
            </w:tcBorders>
            <w:vAlign w:val="center"/>
          </w:tcPr>
          <w:p w14:paraId="3238DB15">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1.6290</w:t>
            </w:r>
          </w:p>
        </w:tc>
        <w:tc>
          <w:tcPr>
            <w:tcW w:w="919" w:type="pct"/>
            <w:tcBorders>
              <w:top w:val="single" w:color="auto" w:sz="4" w:space="0"/>
            </w:tcBorders>
            <w:vAlign w:val="center"/>
          </w:tcPr>
          <w:p w14:paraId="4A3984E0">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-0.2500</w:t>
            </w:r>
          </w:p>
        </w:tc>
      </w:tr>
      <w:tr w14:paraId="395A717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7" w:type="pct"/>
            <w:vAlign w:val="center"/>
          </w:tcPr>
          <w:p w14:paraId="1B870F17">
            <w:pPr>
              <w:widowControl/>
              <w:ind w:left="-113" w:right="-166"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0.6</w:t>
            </w:r>
          </w:p>
        </w:tc>
        <w:tc>
          <w:tcPr>
            <w:tcW w:w="616" w:type="pct"/>
            <w:vAlign w:val="center"/>
          </w:tcPr>
          <w:p w14:paraId="275AA9FE">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-6.8296</w:t>
            </w:r>
          </w:p>
        </w:tc>
        <w:tc>
          <w:tcPr>
            <w:tcW w:w="616" w:type="pct"/>
            <w:vAlign w:val="center"/>
          </w:tcPr>
          <w:p w14:paraId="5C38376F">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-1.6817</w:t>
            </w:r>
          </w:p>
        </w:tc>
        <w:tc>
          <w:tcPr>
            <w:tcW w:w="616" w:type="pct"/>
            <w:vAlign w:val="center"/>
          </w:tcPr>
          <w:p w14:paraId="73B38612">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-6.8299</w:t>
            </w:r>
          </w:p>
        </w:tc>
        <w:tc>
          <w:tcPr>
            <w:tcW w:w="616" w:type="pct"/>
            <w:vAlign w:val="center"/>
          </w:tcPr>
          <w:p w14:paraId="492B5E32">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-5.1480</w:t>
            </w:r>
          </w:p>
        </w:tc>
        <w:tc>
          <w:tcPr>
            <w:tcW w:w="798" w:type="pct"/>
            <w:vAlign w:val="center"/>
          </w:tcPr>
          <w:p w14:paraId="1FC96F2B">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5.6400</w:t>
            </w:r>
          </w:p>
        </w:tc>
        <w:tc>
          <w:tcPr>
            <w:tcW w:w="616" w:type="pct"/>
            <w:vAlign w:val="center"/>
          </w:tcPr>
          <w:p w14:paraId="0DBA97A5">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1.6817</w:t>
            </w:r>
          </w:p>
        </w:tc>
        <w:tc>
          <w:tcPr>
            <w:tcW w:w="919" w:type="pct"/>
            <w:vAlign w:val="center"/>
          </w:tcPr>
          <w:p w14:paraId="4A58524F">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-0.2500</w:t>
            </w:r>
          </w:p>
        </w:tc>
      </w:tr>
      <w:tr w14:paraId="5A98748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7" w:type="pct"/>
            <w:vAlign w:val="center"/>
          </w:tcPr>
          <w:p w14:paraId="5DC00174">
            <w:pPr>
              <w:widowControl/>
              <w:ind w:left="-113" w:right="-166"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0.5</w:t>
            </w:r>
          </w:p>
        </w:tc>
        <w:tc>
          <w:tcPr>
            <w:tcW w:w="616" w:type="pct"/>
            <w:vAlign w:val="center"/>
          </w:tcPr>
          <w:p w14:paraId="2A049875">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-7.1773</w:t>
            </w:r>
          </w:p>
        </w:tc>
        <w:tc>
          <w:tcPr>
            <w:tcW w:w="616" w:type="pct"/>
            <w:vAlign w:val="center"/>
          </w:tcPr>
          <w:p w14:paraId="0D5987C4">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-1.6978</w:t>
            </w:r>
          </w:p>
        </w:tc>
        <w:tc>
          <w:tcPr>
            <w:tcW w:w="616" w:type="pct"/>
            <w:vAlign w:val="center"/>
          </w:tcPr>
          <w:p w14:paraId="3EBA13B7">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-7.1776</w:t>
            </w:r>
          </w:p>
        </w:tc>
        <w:tc>
          <w:tcPr>
            <w:tcW w:w="616" w:type="pct"/>
            <w:vAlign w:val="center"/>
          </w:tcPr>
          <w:p w14:paraId="03931F16">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-5.4794</w:t>
            </w:r>
          </w:p>
        </w:tc>
        <w:tc>
          <w:tcPr>
            <w:tcW w:w="798" w:type="pct"/>
            <w:vAlign w:val="center"/>
          </w:tcPr>
          <w:p w14:paraId="3E1C4D09">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5.6900</w:t>
            </w:r>
          </w:p>
        </w:tc>
        <w:tc>
          <w:tcPr>
            <w:tcW w:w="616" w:type="pct"/>
            <w:vAlign w:val="center"/>
          </w:tcPr>
          <w:p w14:paraId="5EC41507">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1.6979</w:t>
            </w:r>
          </w:p>
        </w:tc>
        <w:tc>
          <w:tcPr>
            <w:tcW w:w="919" w:type="pct"/>
            <w:vAlign w:val="center"/>
          </w:tcPr>
          <w:p w14:paraId="2367A7AE">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-0.2400</w:t>
            </w:r>
          </w:p>
        </w:tc>
      </w:tr>
      <w:tr w14:paraId="1744717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7" w:type="pct"/>
            <w:vAlign w:val="center"/>
          </w:tcPr>
          <w:p w14:paraId="25BB79B2">
            <w:pPr>
              <w:widowControl/>
              <w:ind w:left="-113" w:right="-166"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0.4</w:t>
            </w:r>
          </w:p>
        </w:tc>
        <w:tc>
          <w:tcPr>
            <w:tcW w:w="616" w:type="pct"/>
            <w:vAlign w:val="center"/>
          </w:tcPr>
          <w:p w14:paraId="243877E9">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-7.3397</w:t>
            </w:r>
          </w:p>
        </w:tc>
        <w:tc>
          <w:tcPr>
            <w:tcW w:w="616" w:type="pct"/>
            <w:vAlign w:val="center"/>
          </w:tcPr>
          <w:p w14:paraId="255CDBBF">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-1.7082</w:t>
            </w:r>
          </w:p>
        </w:tc>
        <w:tc>
          <w:tcPr>
            <w:tcW w:w="616" w:type="pct"/>
            <w:vAlign w:val="center"/>
          </w:tcPr>
          <w:p w14:paraId="7666E767">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-7.3400</w:t>
            </w:r>
          </w:p>
        </w:tc>
        <w:tc>
          <w:tcPr>
            <w:tcW w:w="616" w:type="pct"/>
            <w:vAlign w:val="center"/>
          </w:tcPr>
          <w:p w14:paraId="64C86363">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-5.6314</w:t>
            </w:r>
          </w:p>
        </w:tc>
        <w:tc>
          <w:tcPr>
            <w:tcW w:w="798" w:type="pct"/>
            <w:vAlign w:val="center"/>
          </w:tcPr>
          <w:p w14:paraId="7699A84D">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5.7300</w:t>
            </w:r>
          </w:p>
        </w:tc>
        <w:tc>
          <w:tcPr>
            <w:tcW w:w="616" w:type="pct"/>
            <w:vAlign w:val="center"/>
          </w:tcPr>
          <w:p w14:paraId="7FDA7BEB">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1.7082</w:t>
            </w:r>
          </w:p>
        </w:tc>
        <w:tc>
          <w:tcPr>
            <w:tcW w:w="919" w:type="pct"/>
            <w:vAlign w:val="center"/>
          </w:tcPr>
          <w:p w14:paraId="7BD0E093">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-0.2300</w:t>
            </w:r>
          </w:p>
        </w:tc>
      </w:tr>
      <w:tr w14:paraId="68A447E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7" w:type="pct"/>
            <w:vAlign w:val="center"/>
          </w:tcPr>
          <w:p w14:paraId="37C2E5FC">
            <w:pPr>
              <w:widowControl/>
              <w:ind w:left="-113" w:right="-166"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0.2</w:t>
            </w:r>
          </w:p>
        </w:tc>
        <w:tc>
          <w:tcPr>
            <w:tcW w:w="616" w:type="pct"/>
            <w:vAlign w:val="center"/>
          </w:tcPr>
          <w:p w14:paraId="4AFDCE03">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-4.6777</w:t>
            </w:r>
          </w:p>
        </w:tc>
        <w:tc>
          <w:tcPr>
            <w:tcW w:w="616" w:type="pct"/>
            <w:vAlign w:val="center"/>
          </w:tcPr>
          <w:p w14:paraId="05D51E4A">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-1.7182</w:t>
            </w:r>
          </w:p>
        </w:tc>
        <w:tc>
          <w:tcPr>
            <w:tcW w:w="616" w:type="pct"/>
            <w:vAlign w:val="center"/>
          </w:tcPr>
          <w:p w14:paraId="5BF79E26">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-4.6780</w:t>
            </w:r>
          </w:p>
        </w:tc>
        <w:tc>
          <w:tcPr>
            <w:tcW w:w="616" w:type="pct"/>
            <w:vAlign w:val="center"/>
          </w:tcPr>
          <w:p w14:paraId="457B0A85">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-2.9595</w:t>
            </w:r>
          </w:p>
        </w:tc>
        <w:tc>
          <w:tcPr>
            <w:tcW w:w="798" w:type="pct"/>
            <w:vAlign w:val="center"/>
          </w:tcPr>
          <w:p w14:paraId="1C4F6DAE">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5.7600</w:t>
            </w:r>
          </w:p>
        </w:tc>
        <w:tc>
          <w:tcPr>
            <w:tcW w:w="616" w:type="pct"/>
            <w:vAlign w:val="center"/>
          </w:tcPr>
          <w:p w14:paraId="2E2F6C20">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1.7182</w:t>
            </w:r>
          </w:p>
        </w:tc>
        <w:tc>
          <w:tcPr>
            <w:tcW w:w="919" w:type="pct"/>
            <w:vAlign w:val="center"/>
          </w:tcPr>
          <w:p w14:paraId="6C53DF24">
            <w:pPr>
              <w:widowControl/>
              <w:ind w:left="-113" w:right="-166" w:firstLine="0" w:firstLineChars="0"/>
              <w:jc w:val="center"/>
              <w:textAlignment w:val="center"/>
              <w:rPr>
                <w:rFonts w:hint="default" w:ascii="Times New Roman" w:hAnsi="Times New Roman" w:cs="Times New Roman"/>
                <w:sz w:val="28"/>
                <w:szCs w:val="28"/>
              </w:rPr>
            </w:pPr>
            <w:r>
              <w:rPr>
                <w:rFonts w:hint="default" w:ascii="Times New Roman" w:hAnsi="Times New Roman" w:cs="Times New Roman"/>
                <w:kern w:val="0"/>
                <w:sz w:val="28"/>
                <w:szCs w:val="28"/>
                <w:lang w:bidi="ar"/>
              </w:rPr>
              <w:t>-0.3700</w:t>
            </w:r>
          </w:p>
        </w:tc>
      </w:tr>
    </w:tbl>
    <w:p w14:paraId="01679BC7">
      <w:pPr>
        <w:widowControl/>
        <w:ind w:firstLine="709" w:firstLineChars="0"/>
        <w:rPr>
          <w:rFonts w:hint="default" w:ascii="Times New Roman" w:hAnsi="Times New Roman" w:cs="Times New Roman"/>
          <w:sz w:val="28"/>
          <w:szCs w:val="28"/>
        </w:rPr>
      </w:pPr>
    </w:p>
    <w:p w14:paraId="7ECFC481">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The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values of all mixed systems are negative, indicating that micellization is a spontaneous and thermodynamically favorable process [83,144]. This spontaneity mainly originates from the repulsive interactions between the hydrophobic tails of surfactant molecules and the polar solvent, as well as electrostatic interactions among the polar headgroups [145]. Moreover, the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values of the mixed systems are more negative than their corresponding ideal values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 ideal</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confirming the non-ideal mixing behavior and the enhanced stability of the mixed micelles. In addition, both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and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ads</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are negative for all systems, demonstrating that micelle formation and interfacial adsorption occur spontaneously [83,146]. The fact that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ads</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is more negative than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further suggests that the surfactant mixtures preferentially adsorb at the interface rather than form micelles in bulk solution. The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sz w:val="28"/>
                <w:szCs w:val="28"/>
              </w:rPr>
              <m:t>H</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values are all negative, indicating that micellization is an exothermic process. This heat release can be attributed to the association of hydrophobic chains, which reduces their contact with water and liberates structured water molecules from the hydration shells [15,83]. A more negative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sz w:val="28"/>
                <w:szCs w:val="28"/>
              </w:rPr>
              <m:t>H</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reflects a stronger thermodynamic driving force for micelle formation. Among the studied compositions, the most negative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sz w:val="28"/>
                <w:szCs w:val="28"/>
              </w:rPr>
              <m:t>H</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occurs at α</w:t>
      </w:r>
      <w:r>
        <w:rPr>
          <w:rFonts w:hint="default" w:ascii="Times New Roman" w:hAnsi="Times New Roman" w:cs="Times New Roman"/>
          <w:sz w:val="28"/>
          <w:szCs w:val="28"/>
          <w:vertAlign w:val="subscript"/>
        </w:rPr>
        <w:t>1</w:t>
      </w:r>
      <w:r>
        <w:rPr>
          <w:rFonts w:hint="default" w:ascii="Times New Roman" w:hAnsi="Times New Roman" w:cs="Times New Roman"/>
          <w:sz w:val="28"/>
          <w:szCs w:val="28"/>
        </w:rPr>
        <w:t xml:space="preserve"> = 0.4, indicating that micellization is most favorable at this mixing ratio, in good agreement with the cmc analysis. Meanwhile, the negative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values suggest that the micellar state is more disordered than the free surfactant molecules, implying that micellization is predominantly entropy-driven. When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Sub>
      </m:oMath>
      <w:r>
        <w:rPr>
          <w:rFonts w:hint="default" w:ascii="Times New Roman" w:hAnsi="Times New Roman" w:cs="Times New Roman"/>
          <w:i w:val="0"/>
          <w:sz w:val="28"/>
          <w:szCs w:val="28"/>
          <w:lang w:val="en-US" w:eastAsia="zh-CN"/>
        </w:rPr>
        <w:t xml:space="preserve"> </w:t>
      </w:r>
      <w:r>
        <w:rPr>
          <w:rFonts w:hint="default" w:ascii="Times New Roman" w:hAnsi="Times New Roman" w:cs="Times New Roman"/>
          <w:sz w:val="28"/>
          <w:szCs w:val="28"/>
        </w:rPr>
        <w:t>&lt;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t xml:space="preserve">0 and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sz w:val="28"/>
                <w:szCs w:val="28"/>
              </w:rPr>
              <m:t>S</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Sub>
      </m:oMath>
      <w:r>
        <w:rPr>
          <w:rFonts w:hint="default" w:ascii="Times New Roman" w:hAnsi="Times New Roman" w:cs="Times New Roman"/>
          <w:i w:val="0"/>
          <w:sz w:val="28"/>
          <w:szCs w:val="28"/>
          <w:lang w:val="en-US" w:eastAsia="zh-CN"/>
        </w:rPr>
        <w:t xml:space="preserve"> </w:t>
      </w:r>
      <w:r>
        <w:rPr>
          <w:rFonts w:hint="default" w:ascii="Times New Roman" w:hAnsi="Times New Roman" w:cs="Times New Roman"/>
          <w:sz w:val="28"/>
          <w:szCs w:val="28"/>
        </w:rPr>
        <w:t>&gt;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t>0, the synergistic interactions in the mixed system are governed by hydrophobic effects and electrostatic interactions [83,147-149]. Furthermore, the condition |</w:t>
      </w:r>
      <m:oMath>
        <m:r>
          <m:rPr>
            <m:nor/>
          </m:rPr>
          <w:rPr>
            <w:rFonts w:hint="default" w:ascii="Times New Roman" w:hAnsi="Times New Roman" w:cs="Times New Roman"/>
            <w:i/>
            <w:sz w:val="28"/>
            <w:szCs w:val="28"/>
          </w:rPr>
          <m:t>T</m:t>
        </m:r>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sz w:val="28"/>
                <w:szCs w:val="28"/>
              </w:rPr>
              <m:t>S</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Sub>
      </m:oMath>
      <w:r>
        <w:rPr>
          <w:rFonts w:hint="default" w:ascii="Times New Roman" w:hAnsi="Times New Roman" w:cs="Times New Roman"/>
          <w:sz w:val="28"/>
          <w:szCs w:val="28"/>
        </w:rPr>
        <w:t>/</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Sub>
      </m:oMath>
      <w:r>
        <w:rPr>
          <w:rFonts w:hint="default" w:ascii="Times New Roman" w:hAnsi="Times New Roman" w:cs="Times New Roman"/>
          <w:sz w:val="28"/>
          <w:szCs w:val="28"/>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t>&lt;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t xml:space="preserve">0.5 indicates that micellization in these systems is largely enthalpy-controlled. Although the thermodynamic analysis clearly demonstrates synergism between the extended amphoteric surfactants and the gemini surfactants, this behavior can be further understood at the molecular level. The amphoteric surfactants provide charge-regulated electrostatic attraction toward the positively charged gemini headgroups, thereby enhancing interfacial adsorption and leading to more negative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ads</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values [83,150]. Meanwhile, the dual-head and dual-tail architecture of gemini surfactants enables more compact molecular packing at the interface. Therefore, the observed synergism arises from the combined effects of electrostatic interactions and steric complementarity, which improve interfacial film stability and enhance the spontaneity of both micellization and adsorption [83,151]. These molecular-level interactions further account for the improved oil recovery performance of the mixed surfactant systems, as reported in the literature [83,113].</w:t>
      </w:r>
    </w:p>
    <w:p w14:paraId="03B2974F">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805" w:name="_Toc4582"/>
      <w:bookmarkStart w:id="806" w:name="_Toc6117"/>
      <w:bookmarkStart w:id="807" w:name="_Toc18715"/>
      <w:bookmarkStart w:id="808" w:name="_Toc4483"/>
      <w:bookmarkStart w:id="809" w:name="_Toc22005"/>
      <w:bookmarkStart w:id="810" w:name="_Toc22219"/>
      <w:bookmarkStart w:id="811" w:name="_Toc26448"/>
      <w:r>
        <w:rPr>
          <w:rFonts w:hint="default" w:ascii="Times New Roman" w:hAnsi="Times New Roman" w:cs="Times New Roman"/>
          <w:i w:val="0"/>
          <w:iCs w:val="0"/>
          <w:sz w:val="28"/>
          <w:szCs w:val="28"/>
        </w:rPr>
        <w:t>5.3.3 Interfacial tension</w:t>
      </w:r>
      <w:bookmarkEnd w:id="805"/>
      <w:bookmarkEnd w:id="806"/>
      <w:bookmarkEnd w:id="807"/>
      <w:bookmarkEnd w:id="808"/>
      <w:bookmarkEnd w:id="809"/>
      <w:bookmarkEnd w:id="810"/>
      <w:bookmarkEnd w:id="811"/>
    </w:p>
    <w:p w14:paraId="756355E3">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As Figure 5.5 illustrated, the impact of molar ratios and salt concentration, which can affect the distance of surfactant molecules and the morphology of aggregates due to the dissociation into ions, on the measured IFTs between 0.1% mixed surfactant solutions and crude oil Z27 was explored at 60 °C [78,165].</w:t>
      </w:r>
    </w:p>
    <w:p w14:paraId="7EE2DB66">
      <w:pPr>
        <w:widowControl/>
        <w:ind w:firstLine="709" w:firstLineChars="0"/>
        <w:rPr>
          <w:rFonts w:hint="default" w:ascii="Times New Roman" w:hAnsi="Times New Roman" w:cs="Times New Roman"/>
          <w:sz w:val="28"/>
          <w:szCs w:val="28"/>
        </w:rPr>
      </w:pPr>
    </w:p>
    <w:tbl>
      <w:tblPr>
        <w:tblStyle w:val="1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58"/>
        <w:gridCol w:w="4293"/>
      </w:tblGrid>
      <w:tr w14:paraId="7CB31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331" w:type="dxa"/>
            <w:vAlign w:val="center"/>
          </w:tcPr>
          <w:p w14:paraId="6007D4A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2693670" cy="1979930"/>
                  <wp:effectExtent l="0" t="0" r="0" b="0"/>
                  <wp:docPr id="2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8"/>
                          <pic:cNvPicPr>
                            <a:picLocks noChangeAspect="1"/>
                          </pic:cNvPicPr>
                        </pic:nvPicPr>
                        <pic:blipFill>
                          <a:blip r:embed="rId65"/>
                          <a:stretch>
                            <a:fillRect/>
                          </a:stretch>
                        </pic:blipFill>
                        <pic:spPr>
                          <a:xfrm>
                            <a:off x="0" y="0"/>
                            <a:ext cx="2693670" cy="1979930"/>
                          </a:xfrm>
                          <a:prstGeom prst="rect">
                            <a:avLst/>
                          </a:prstGeom>
                          <a:noFill/>
                          <a:ln>
                            <a:noFill/>
                          </a:ln>
                        </pic:spPr>
                      </pic:pic>
                    </a:graphicData>
                  </a:graphic>
                </wp:inline>
              </w:drawing>
            </w:r>
          </w:p>
        </w:tc>
        <w:tc>
          <w:tcPr>
            <w:tcW w:w="4173" w:type="dxa"/>
            <w:vAlign w:val="center"/>
          </w:tcPr>
          <w:p w14:paraId="277633E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2588895" cy="1984375"/>
                  <wp:effectExtent l="0" t="0" r="0" b="0"/>
                  <wp:docPr id="6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8"/>
                          <pic:cNvPicPr>
                            <a:picLocks noChangeAspect="1"/>
                          </pic:cNvPicPr>
                        </pic:nvPicPr>
                        <pic:blipFill>
                          <a:blip r:embed="rId66"/>
                          <a:stretch>
                            <a:fillRect/>
                          </a:stretch>
                        </pic:blipFill>
                        <pic:spPr>
                          <a:xfrm>
                            <a:off x="0" y="0"/>
                            <a:ext cx="2588895" cy="1984375"/>
                          </a:xfrm>
                          <a:prstGeom prst="rect">
                            <a:avLst/>
                          </a:prstGeom>
                          <a:noFill/>
                          <a:ln>
                            <a:noFill/>
                          </a:ln>
                        </pic:spPr>
                      </pic:pic>
                    </a:graphicData>
                  </a:graphic>
                </wp:inline>
              </w:drawing>
            </w:r>
          </w:p>
        </w:tc>
      </w:tr>
      <w:tr w14:paraId="4D225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04" w:type="dxa"/>
            <w:gridSpan w:val="2"/>
          </w:tcPr>
          <w:p w14:paraId="7DA5650B">
            <w:pPr>
              <w:widowControl/>
              <w:ind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Figure 5.5 – IFT between surfactant solution and (a) crude oil Z27 / (b) kerosene as function of the concentration of salinity</w:t>
            </w:r>
            <w:r>
              <w:rPr>
                <w:rFonts w:hint="default" w:ascii="Times New Roman" w:hAnsi="Times New Roman" w:cs="Times New Roman"/>
                <w:sz w:val="28"/>
                <w:szCs w:val="28"/>
                <w:lang w:val="en-US" w:eastAsia="zh-CN"/>
              </w:rPr>
              <w:t>.</w:t>
            </w:r>
          </w:p>
        </w:tc>
      </w:tr>
    </w:tbl>
    <w:p w14:paraId="39C2CDEA">
      <w:pPr>
        <w:widowControl/>
        <w:ind w:firstLine="709" w:firstLineChars="0"/>
        <w:rPr>
          <w:rFonts w:hint="default" w:ascii="Times New Roman" w:hAnsi="Times New Roman" w:cs="Times New Roman"/>
          <w:sz w:val="28"/>
          <w:szCs w:val="28"/>
        </w:rPr>
      </w:pPr>
    </w:p>
    <w:p w14:paraId="01624BF3">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As shown in Figure 5.5, the oil–water interfacial tensions (IFTs) of both the single surfactants and their mixed systems generally decrease with increasing NaCl concentration for crude oil Z27 and kerosene. This salinity-dependent behavior can be attributed to the electrolyte shielding effect, whereby NaCl screens the electrostatic repulsion between the ionic headgroups of surfactant molecules and compresses the electrical double layer at the oil–water interface, leading to a denser interfacial adsorption layer and consequently a lower IFT [86,165]. For crude oil Z27 (Figure 5.5(a)), all mixed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systems exhibit significantly lower IFTs than either single surfactant at moderate-to-high salinities, indicating a strong synergistic effect. In particular, at NaCl concentrations above 5 wt%, the 1:1 and 2:3 mixtures show a sharp reduction in IFT, reaching the ultra-low level of the order of 10</w:t>
      </w:r>
      <w:r>
        <w:rPr>
          <w:rFonts w:hint="default" w:ascii="Times New Roman" w:hAnsi="Times New Roman" w:cs="Times New Roman"/>
          <w:sz w:val="28"/>
          <w:szCs w:val="28"/>
          <w:vertAlign w:val="superscript"/>
        </w:rPr>
        <w:t>-3</w:t>
      </w:r>
      <w:r>
        <w:rPr>
          <w:rFonts w:hint="default" w:ascii="Times New Roman" w:hAnsi="Times New Roman" w:cs="Times New Roman"/>
          <w:sz w:val="28"/>
          <w:szCs w:val="28"/>
        </w:rPr>
        <w:t xml:space="preserve">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at 10 wt% NaCl, whereas the individual surfactants only reach minimum IFTs in the range of 10</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–10</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This demonstrates that the mixed system possesses both enhanced interfacial activity and superior salt tolerance. A similar trend is observed for kerosene (Figure 5.5(b)), where the IFTs of the mixed systems are consistently lower than those of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or 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alone over the entire salinity range. At 10 wt% NaCl, the IFTs of the mixtures with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molar ratios of 3:2, 1:1, and 2:3 decrease to 0.04592, 0.06605, and 0.01067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respectively, with the 2:3 system showing the most pronounced IFT-reduction capability. In contrast, single surfactants exhibit relatively higher minimum IFT values and a weaker salinity adaptability. These results indicate that combining the salt-resistant amphoteric surfactant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with the highly interfacially active cationic gemini surfactant 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produces a mixed adsorption layer with stronger interfacial packing and lower free energy.</w:t>
      </w:r>
    </w:p>
    <w:p w14:paraId="330856C3">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Moreover, it is evident that mixtures containing 40–50%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(corresponding to molar ratios of 2:3 and 1:1) are able to achieve ultralow IFTs (~10</w:t>
      </w:r>
      <w:r>
        <w:rPr>
          <w:rFonts w:hint="default" w:ascii="Times New Roman" w:hAnsi="Times New Roman" w:cs="Times New Roman"/>
          <w:sz w:val="28"/>
          <w:szCs w:val="28"/>
          <w:vertAlign w:val="superscript"/>
        </w:rPr>
        <w:t>-3</w:t>
      </w:r>
      <w:r>
        <w:rPr>
          <w:rFonts w:hint="default" w:ascii="Times New Roman" w:hAnsi="Times New Roman" w:cs="Times New Roman"/>
          <w:sz w:val="28"/>
          <w:szCs w:val="28"/>
        </w:rPr>
        <w:t xml:space="preserve">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under high-salinity conditions, whereas mixtures with higher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fractions (e.g., 60%) only reach IFTs on the order of 10</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 xml:space="preserve">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This composition-dependent behavior is consistent with the interaction parameters and micellization characteristics discussed previously, confirming that optimal molecular packing and electrostatic compensation occur near these compositions. Therefore, the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systems with molar ratios of 2:3 (C23) and 1:1 (C11), which display the strongest synergistic IFT-reduction performance and excellent salt tolerance, were selected as the optimal formulations for subsequent core-flooding experiments.</w:t>
      </w:r>
    </w:p>
    <w:p w14:paraId="61F53421">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812" w:name="_Toc29403"/>
      <w:bookmarkStart w:id="813" w:name="_Toc31341"/>
      <w:bookmarkStart w:id="814" w:name="_Toc10230"/>
      <w:bookmarkStart w:id="815" w:name="_Toc27542"/>
      <w:bookmarkStart w:id="816" w:name="_Toc13462"/>
      <w:bookmarkStart w:id="817" w:name="_Toc979"/>
      <w:bookmarkStart w:id="818" w:name="_Toc31036"/>
      <w:r>
        <w:rPr>
          <w:rFonts w:hint="default" w:ascii="Times New Roman" w:hAnsi="Times New Roman" w:cs="Times New Roman"/>
          <w:i w:val="0"/>
          <w:iCs w:val="0"/>
          <w:sz w:val="28"/>
          <w:szCs w:val="28"/>
        </w:rPr>
        <w:t>5.3.4 Oil displacement efficiency</w:t>
      </w:r>
      <w:bookmarkEnd w:id="812"/>
      <w:bookmarkEnd w:id="813"/>
      <w:bookmarkEnd w:id="814"/>
      <w:bookmarkEnd w:id="815"/>
      <w:bookmarkEnd w:id="816"/>
      <w:bookmarkEnd w:id="817"/>
      <w:bookmarkEnd w:id="818"/>
    </w:p>
    <w:p w14:paraId="16DDD1A9">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oil displacement performance of the compound surfactant systems is summarized in Table 5.4, where the results of core flooding experiments are presented in terms of incremental oil recovery, injection pressure behavior, and displacement efficiency.</w:t>
      </w:r>
    </w:p>
    <w:p w14:paraId="56C0FF55">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As shown in Figure 5.6 and summarized in Table 5.4, the coreflooding experiments reveal the dynamic behavior of injection pressure and oil recovery for the optimized mixed surfactant systems,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 2:3 (C23) and 1:1 (C11). Initially, upon injection of formation water into the sand-packed cores, the injection pressure increased as the system adjusted to the introduction of the displacing fluid. After approximately 20 pore volumes (PVs) of brine injection, the mobile oil was effectively displaced from the core, and the injection pressure stabilized, indicating that the waterflood had reached equilibrium. Under these conditions, the waterflood alone recovered 56.07% and 57.49% of the initial oil in place (IOIP) for C23 and C11, respectively, with corresponding injection pressure drops of 2.91 MPa and 2.97 MPa. Subsequently, 15 PVs of the surfactant solution were introduced into the system. The injection of the surfactant solution was accompanied by a sudden increase in injection pressure, which can be attributed to the emulsification of residual crude oil by the surfactant, leading to higher fluid viscosity and, consequently, increased flow resistance [165,177,178]. This transient pressure rise reflects the formation of oil-in-water emulsions, which enhance mobilization of trapped oil in the pore network. Following the surfactant injection, chase water was applied until no additional oil could be recovered, at which point the injection pressure gradually decreased and reached a stable, constant value. According to the Leas and Rappaport scaling criteria applied for each injection fluid, the average pressure difference across the core, approximately 145 Psig, indicates a stable displacement front and uniform flood propagation [165,177,178]. The results demonstrate the superior performance of the mixed surfactant systems in enhancing oil recovery. The chemical injection of C23 and C11, followed by chase water, led to incremental oil recoveries of 12.20% and 9.74%, with corresponding injection pressure reduction rates of 10.30% and 8.75%, respectively. These values are significantly higher than those reported for conventional surfactants under similar conditions [67,165,159,179].</w:t>
      </w:r>
    </w:p>
    <w:p w14:paraId="45104FE6">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Moreover, the C23 system exhibits both higher pressure reduction and greater oil displacement efficiency compared to C11, highlighting the influence of surfactant composition on enhancing the effectiveness of chemical flooding. These findings indicate that the synergistic interaction between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and 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in the optimized 2:3 molar ratio contributes to improved mobility control, emulsification efficiency, and overall enhanced oil recovery performance in high-salinity reservoirs.</w:t>
      </w:r>
    </w:p>
    <w:p w14:paraId="596822D7">
      <w:pPr>
        <w:widowControl/>
        <w:ind w:firstLine="709" w:firstLineChars="0"/>
        <w:rPr>
          <w:rFonts w:hint="default" w:ascii="Times New Roman" w:hAnsi="Times New Roman" w:cs="Times New Roman"/>
          <w:sz w:val="28"/>
          <w:szCs w:val="28"/>
        </w:rPr>
      </w:pPr>
    </w:p>
    <w:p w14:paraId="1DD5F33D">
      <w:pPr>
        <w:widowControl/>
        <w:ind w:left="0" w:leftChars="0" w:firstLine="0" w:firstLineChars="0"/>
        <w:rPr>
          <w:rFonts w:hint="default" w:ascii="Times New Roman" w:hAnsi="Times New Roman" w:eastAsia="宋体" w:cs="Times New Roman"/>
          <w:sz w:val="28"/>
          <w:szCs w:val="28"/>
          <w:lang w:val="en-US" w:eastAsia="zh-CN"/>
        </w:rPr>
      </w:pPr>
      <w:r>
        <w:rPr>
          <w:rFonts w:hint="default" w:ascii="Times New Roman" w:hAnsi="Times New Roman" w:cs="Times New Roman"/>
          <w:kern w:val="0"/>
          <w:sz w:val="28"/>
          <w:szCs w:val="28"/>
        </w:rPr>
        <w:t xml:space="preserve">Table 5.4 </w:t>
      </w:r>
      <w:r>
        <w:rPr>
          <w:rFonts w:hint="default" w:ascii="Times New Roman" w:hAnsi="Times New Roman" w:cs="Times New Roman"/>
          <w:sz w:val="28"/>
          <w:szCs w:val="28"/>
        </w:rPr>
        <w:t>–</w:t>
      </w:r>
      <w:r>
        <w:rPr>
          <w:rFonts w:hint="default" w:ascii="Times New Roman" w:hAnsi="Times New Roman" w:cs="Times New Roman"/>
          <w:kern w:val="0"/>
          <w:sz w:val="28"/>
          <w:szCs w:val="28"/>
        </w:rPr>
        <w:t xml:space="preserve"> </w:t>
      </w:r>
      <w:r>
        <w:rPr>
          <w:rFonts w:hint="default" w:ascii="Times New Roman" w:hAnsi="Times New Roman" w:cs="Times New Roman"/>
          <w:sz w:val="28"/>
          <w:szCs w:val="28"/>
        </w:rPr>
        <w:t>Results of core flooding test for two compounds</w:t>
      </w:r>
      <w:r>
        <w:rPr>
          <w:rFonts w:hint="default" w:ascii="Times New Roman" w:hAnsi="Times New Roman" w:cs="Times New Roman"/>
          <w:sz w:val="28"/>
          <w:szCs w:val="28"/>
          <w:lang w:val="en-US" w:eastAsia="zh-CN"/>
        </w:rPr>
        <w:t>.</w:t>
      </w:r>
    </w:p>
    <w:tbl>
      <w:tblPr>
        <w:tblStyle w:val="17"/>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18"/>
        <w:gridCol w:w="1373"/>
        <w:gridCol w:w="1428"/>
        <w:gridCol w:w="1318"/>
        <w:gridCol w:w="1373"/>
        <w:gridCol w:w="2172"/>
        <w:gridCol w:w="872"/>
      </w:tblGrid>
      <w:tr w14:paraId="3C5C303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bottom w:val="single" w:color="auto" w:sz="4" w:space="0"/>
            </w:tcBorders>
            <w:vAlign w:val="center"/>
          </w:tcPr>
          <w:p w14:paraId="33E125FB">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Injection pressure (MPa)</w:t>
            </w:r>
          </w:p>
        </w:tc>
        <w:tc>
          <w:tcPr>
            <w:tcW w:w="0" w:type="auto"/>
            <w:tcBorders>
              <w:bottom w:val="single" w:color="auto" w:sz="4" w:space="0"/>
            </w:tcBorders>
            <w:vAlign w:val="center"/>
          </w:tcPr>
          <w:p w14:paraId="5F7AD836">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kern w:val="0"/>
                <w:sz w:val="28"/>
                <w:szCs w:val="28"/>
              </w:rPr>
              <w:t>Water flooding recovery factor (%)</w:t>
            </w:r>
          </w:p>
        </w:tc>
        <w:tc>
          <w:tcPr>
            <w:tcW w:w="0" w:type="auto"/>
            <w:tcBorders>
              <w:bottom w:val="single" w:color="auto" w:sz="4" w:space="0"/>
            </w:tcBorders>
            <w:vAlign w:val="center"/>
          </w:tcPr>
          <w:p w14:paraId="06C57B25">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kern w:val="0"/>
                <w:sz w:val="28"/>
                <w:szCs w:val="28"/>
              </w:rPr>
              <w:t>Surfactant flooding</w:t>
            </w:r>
          </w:p>
        </w:tc>
        <w:tc>
          <w:tcPr>
            <w:tcW w:w="0" w:type="auto"/>
            <w:tcBorders>
              <w:bottom w:val="single" w:color="auto" w:sz="4" w:space="0"/>
            </w:tcBorders>
            <w:vAlign w:val="center"/>
          </w:tcPr>
          <w:p w14:paraId="6111E0A7">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Injection pressure (MPa)</w:t>
            </w:r>
          </w:p>
        </w:tc>
        <w:tc>
          <w:tcPr>
            <w:tcW w:w="0" w:type="auto"/>
            <w:tcBorders>
              <w:bottom w:val="single" w:color="auto" w:sz="4" w:space="0"/>
            </w:tcBorders>
            <w:vAlign w:val="center"/>
          </w:tcPr>
          <w:p w14:paraId="05E458F0">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kern w:val="0"/>
                <w:sz w:val="28"/>
                <w:szCs w:val="28"/>
              </w:rPr>
              <w:t>Water flooding recovery factor (%)</w:t>
            </w:r>
          </w:p>
        </w:tc>
        <w:tc>
          <w:tcPr>
            <w:tcW w:w="0" w:type="auto"/>
            <w:tcBorders>
              <w:bottom w:val="single" w:color="auto" w:sz="4" w:space="0"/>
            </w:tcBorders>
            <w:vAlign w:val="center"/>
          </w:tcPr>
          <w:p w14:paraId="2434A2BD">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kern w:val="0"/>
                <w:sz w:val="28"/>
                <w:szCs w:val="28"/>
              </w:rPr>
              <w:t>Depressurization rate (%)</w:t>
            </w:r>
          </w:p>
        </w:tc>
        <w:tc>
          <w:tcPr>
            <w:tcW w:w="0" w:type="auto"/>
            <w:tcBorders>
              <w:bottom w:val="single" w:color="auto" w:sz="4" w:space="0"/>
            </w:tcBorders>
            <w:vAlign w:val="center"/>
          </w:tcPr>
          <w:p w14:paraId="1254054E">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EOR (%)</w:t>
            </w:r>
          </w:p>
        </w:tc>
      </w:tr>
      <w:tr w14:paraId="51F264B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37B38920">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2.91</w:t>
            </w:r>
          </w:p>
        </w:tc>
        <w:tc>
          <w:tcPr>
            <w:tcW w:w="0" w:type="auto"/>
            <w:vAlign w:val="center"/>
          </w:tcPr>
          <w:p w14:paraId="7DA058DA">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56.07</w:t>
            </w:r>
          </w:p>
        </w:tc>
        <w:tc>
          <w:tcPr>
            <w:tcW w:w="0" w:type="auto"/>
            <w:vAlign w:val="center"/>
          </w:tcPr>
          <w:p w14:paraId="0B7DA74C">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C23</w:t>
            </w:r>
          </w:p>
        </w:tc>
        <w:tc>
          <w:tcPr>
            <w:tcW w:w="0" w:type="auto"/>
            <w:vAlign w:val="center"/>
          </w:tcPr>
          <w:p w14:paraId="6E87CB13">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2.61</w:t>
            </w:r>
          </w:p>
        </w:tc>
        <w:tc>
          <w:tcPr>
            <w:tcW w:w="0" w:type="auto"/>
            <w:vAlign w:val="center"/>
          </w:tcPr>
          <w:p w14:paraId="6A868825">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68.27</w:t>
            </w:r>
          </w:p>
        </w:tc>
        <w:tc>
          <w:tcPr>
            <w:tcW w:w="0" w:type="auto"/>
            <w:vAlign w:val="center"/>
          </w:tcPr>
          <w:p w14:paraId="4621D12D">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10.30</w:t>
            </w:r>
          </w:p>
        </w:tc>
        <w:tc>
          <w:tcPr>
            <w:tcW w:w="0" w:type="auto"/>
            <w:vAlign w:val="center"/>
          </w:tcPr>
          <w:p w14:paraId="1A628E1B">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12.20</w:t>
            </w:r>
          </w:p>
        </w:tc>
      </w:tr>
      <w:tr w14:paraId="0AFC61F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5B0EC88D">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2.97</w:t>
            </w:r>
          </w:p>
        </w:tc>
        <w:tc>
          <w:tcPr>
            <w:tcW w:w="0" w:type="auto"/>
            <w:vAlign w:val="center"/>
          </w:tcPr>
          <w:p w14:paraId="61309DAA">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57.49</w:t>
            </w:r>
          </w:p>
        </w:tc>
        <w:tc>
          <w:tcPr>
            <w:tcW w:w="0" w:type="auto"/>
            <w:vAlign w:val="center"/>
          </w:tcPr>
          <w:p w14:paraId="211D77CC">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C11</w:t>
            </w:r>
          </w:p>
        </w:tc>
        <w:tc>
          <w:tcPr>
            <w:tcW w:w="0" w:type="auto"/>
            <w:vAlign w:val="center"/>
          </w:tcPr>
          <w:p w14:paraId="02899C50">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2.71</w:t>
            </w:r>
          </w:p>
        </w:tc>
        <w:tc>
          <w:tcPr>
            <w:tcW w:w="0" w:type="auto"/>
            <w:vAlign w:val="center"/>
          </w:tcPr>
          <w:p w14:paraId="743E5C50">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67.23</w:t>
            </w:r>
          </w:p>
        </w:tc>
        <w:tc>
          <w:tcPr>
            <w:tcW w:w="0" w:type="auto"/>
            <w:vAlign w:val="center"/>
          </w:tcPr>
          <w:p w14:paraId="17684C33">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8.75</w:t>
            </w:r>
          </w:p>
        </w:tc>
        <w:tc>
          <w:tcPr>
            <w:tcW w:w="0" w:type="auto"/>
            <w:vAlign w:val="center"/>
          </w:tcPr>
          <w:p w14:paraId="173FF08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9.74</w:t>
            </w:r>
          </w:p>
        </w:tc>
      </w:tr>
    </w:tbl>
    <w:p w14:paraId="0F47D7B1">
      <w:pPr>
        <w:widowControl/>
        <w:ind w:firstLine="709" w:firstLineChars="0"/>
        <w:rPr>
          <w:rFonts w:hint="default" w:ascii="Times New Roman" w:hAnsi="Times New Roman" w:cs="Times New Roman"/>
          <w:sz w:val="28"/>
          <w:szCs w:val="28"/>
        </w:rPr>
      </w:pPr>
    </w:p>
    <w:tbl>
      <w:tblPr>
        <w:tblStyle w:val="1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38"/>
        <w:gridCol w:w="4371"/>
      </w:tblGrid>
      <w:tr w14:paraId="720F9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261" w:type="dxa"/>
          </w:tcPr>
          <w:p w14:paraId="522A5E4B">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2617470" cy="1663065"/>
                  <wp:effectExtent l="0" t="0" r="0" b="13335"/>
                  <wp:docPr id="13" name="图片 4"/>
                  <wp:cNvGraphicFramePr/>
                  <a:graphic xmlns:a="http://schemas.openxmlformats.org/drawingml/2006/main">
                    <a:graphicData uri="http://schemas.openxmlformats.org/drawingml/2006/picture">
                      <pic:pic xmlns:pic="http://schemas.openxmlformats.org/drawingml/2006/picture">
                        <pic:nvPicPr>
                          <pic:cNvPr id="13" name="图片 4"/>
                          <pic:cNvPicPr/>
                        </pic:nvPicPr>
                        <pic:blipFill>
                          <a:blip r:embed="rId67"/>
                          <a:stretch>
                            <a:fillRect/>
                          </a:stretch>
                        </pic:blipFill>
                        <pic:spPr>
                          <a:xfrm>
                            <a:off x="0" y="0"/>
                            <a:ext cx="2617470" cy="1663065"/>
                          </a:xfrm>
                          <a:prstGeom prst="rect">
                            <a:avLst/>
                          </a:prstGeom>
                          <a:noFill/>
                          <a:ln>
                            <a:noFill/>
                          </a:ln>
                        </pic:spPr>
                      </pic:pic>
                    </a:graphicData>
                  </a:graphic>
                </wp:inline>
              </w:drawing>
            </w:r>
          </w:p>
        </w:tc>
        <w:tc>
          <w:tcPr>
            <w:tcW w:w="4261" w:type="dxa"/>
          </w:tcPr>
          <w:p w14:paraId="3E70378A">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2638425" cy="1685925"/>
                  <wp:effectExtent l="0" t="0" r="0" b="0"/>
                  <wp:docPr id="6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20"/>
                          <pic:cNvPicPr>
                            <a:picLocks noChangeAspect="1"/>
                          </pic:cNvPicPr>
                        </pic:nvPicPr>
                        <pic:blipFill>
                          <a:blip r:embed="rId68"/>
                          <a:stretch>
                            <a:fillRect/>
                          </a:stretch>
                        </pic:blipFill>
                        <pic:spPr>
                          <a:xfrm>
                            <a:off x="0" y="0"/>
                            <a:ext cx="2638425" cy="1685925"/>
                          </a:xfrm>
                          <a:prstGeom prst="rect">
                            <a:avLst/>
                          </a:prstGeom>
                          <a:noFill/>
                          <a:ln>
                            <a:noFill/>
                          </a:ln>
                        </pic:spPr>
                      </pic:pic>
                    </a:graphicData>
                  </a:graphic>
                </wp:inline>
              </w:drawing>
            </w:r>
          </w:p>
        </w:tc>
      </w:tr>
      <w:tr w14:paraId="2B2A6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2" w:type="dxa"/>
            <w:gridSpan w:val="2"/>
          </w:tcPr>
          <w:p w14:paraId="5A1D253D">
            <w:pPr>
              <w:widowControl/>
              <w:ind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Figure 5.6 – Injection pressure, oil recovery and water cut of compounds as a function of injected pore volume (a: C23, b: C11)</w:t>
            </w:r>
            <w:r>
              <w:rPr>
                <w:rFonts w:hint="default" w:ascii="Times New Roman" w:hAnsi="Times New Roman" w:cs="Times New Roman"/>
                <w:sz w:val="28"/>
                <w:szCs w:val="28"/>
                <w:lang w:val="en-US" w:eastAsia="zh-CN"/>
              </w:rPr>
              <w:t>.</w:t>
            </w:r>
          </w:p>
        </w:tc>
      </w:tr>
    </w:tbl>
    <w:p w14:paraId="33CBBD30">
      <w:pPr>
        <w:widowControl/>
        <w:autoSpaceDE w:val="0"/>
        <w:autoSpaceDN w:val="0"/>
        <w:adjustRightInd w:val="0"/>
        <w:ind w:firstLine="709" w:firstLineChars="0"/>
        <w:rPr>
          <w:rFonts w:hint="default" w:ascii="Times New Roman" w:hAnsi="Times New Roman" w:cs="Times New Roman"/>
          <w:sz w:val="28"/>
          <w:szCs w:val="28"/>
        </w:rPr>
      </w:pPr>
    </w:p>
    <w:p w14:paraId="2A25A42B">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819" w:name="_Toc10519"/>
      <w:bookmarkStart w:id="820" w:name="_Toc20208"/>
      <w:bookmarkStart w:id="821" w:name="_Toc21284"/>
      <w:bookmarkStart w:id="822" w:name="_Toc20929"/>
      <w:bookmarkStart w:id="823" w:name="_Toc30765"/>
      <w:bookmarkStart w:id="824" w:name="_Toc7668"/>
      <w:bookmarkStart w:id="825" w:name="_Toc15021"/>
      <w:r>
        <w:rPr>
          <w:rFonts w:hint="default" w:ascii="Times New Roman" w:hAnsi="Times New Roman" w:cs="Times New Roman"/>
          <w:i w:val="0"/>
          <w:iCs w:val="0"/>
          <w:sz w:val="28"/>
          <w:szCs w:val="28"/>
        </w:rPr>
        <w:t>5.3.5 Emulsification performance</w:t>
      </w:r>
      <w:bookmarkEnd w:id="819"/>
      <w:bookmarkEnd w:id="820"/>
      <w:bookmarkEnd w:id="821"/>
      <w:bookmarkEnd w:id="822"/>
      <w:bookmarkEnd w:id="823"/>
      <w:bookmarkEnd w:id="824"/>
      <w:bookmarkEnd w:id="825"/>
    </w:p>
    <w:p w14:paraId="0117D546">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Emulsification is considered another significant mechanism in EOR besides ultra-low IFT [135,150,181]. Herein, emulsification experiments were conducted to evaluate the emulsion static stability of mixed surfactants and the effect of salinity is also observed as depicted in Figure 5.7.</w:t>
      </w:r>
    </w:p>
    <w:p w14:paraId="1C847105">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mixed surfactant systems demonstrated superior emulsifying performance compared to the single-component surfactant 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and other similar surfactant systems reported in the literature [179]. As shown in Figure 5.7(a) and 5-7(b), the emulsion phase volume generated by the C23 mixture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 2:3) is larger than that of the C11 mixture (1:1 ratio), indicating a more efficient emulsification process. Furthermore, optical micrographs (Figure 5.7(c) and 5-7(d)) reveal that the emulsified oil droplets formed by C23 are smaller and more uniformly distributed compared to C11, demonstrating enhanced emulsion stability with the increased proportion of the Gemini surfactant 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This improvement in emulsifying properties can be attributed to the structural and electrostatic effects induced by the Gemini surfactant. The incorporation of 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increases the density of positive charges at the oil–water interface, as evidenced by the measured zeta potentials of 64.51 mV (±2 mV) for C23 and 58.90 mV (±2 mV) for C11. The higher surface charge density promotes a closer packing of surfactant molecules at the interface and enhances electrostatic repulsion between individual oil droplets, thereby inhibiting coalescence and stabilizing the emulsion [165,182-183]. In addition, the dual-head and dual-tail structure of the Gemini surfactant provides steric stabilization, further contributing to the formation of smaller and more stable droplets [165,184]. Collectively, these results indicate that the synergistic combination of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and 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not only improves interfacial activity but also significantly enhances the emulsification efficiency and stability, which is crucial for mobilizing residual oil in enhanced oil recovery applications.</w:t>
      </w:r>
    </w:p>
    <w:p w14:paraId="081EB7FD">
      <w:pPr>
        <w:widowControl/>
        <w:ind w:firstLine="709" w:firstLineChars="0"/>
        <w:rPr>
          <w:rFonts w:hint="default" w:ascii="Times New Roman" w:hAnsi="Times New Roman" w:cs="Times New Roman"/>
          <w:sz w:val="28"/>
          <w:szCs w:val="28"/>
        </w:rPr>
      </w:pPr>
    </w:p>
    <w:tbl>
      <w:tblPr>
        <w:tblStyle w:val="1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68"/>
        <w:gridCol w:w="4356"/>
      </w:tblGrid>
      <w:tr w14:paraId="77F03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455" w:type="dxa"/>
            <w:vAlign w:val="center"/>
          </w:tcPr>
          <w:p w14:paraId="0A5D9522">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2700020" cy="1595755"/>
                  <wp:effectExtent l="0" t="0" r="0" b="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69"/>
                          <a:stretch>
                            <a:fillRect/>
                          </a:stretch>
                        </pic:blipFill>
                        <pic:spPr>
                          <a:xfrm>
                            <a:off x="0" y="0"/>
                            <a:ext cx="2700020" cy="1595755"/>
                          </a:xfrm>
                          <a:prstGeom prst="rect">
                            <a:avLst/>
                          </a:prstGeom>
                          <a:noFill/>
                          <a:ln>
                            <a:noFill/>
                          </a:ln>
                        </pic:spPr>
                      </pic:pic>
                    </a:graphicData>
                  </a:graphic>
                </wp:inline>
              </w:drawing>
            </w:r>
          </w:p>
        </w:tc>
        <w:tc>
          <w:tcPr>
            <w:tcW w:w="4067" w:type="dxa"/>
            <w:vAlign w:val="center"/>
          </w:tcPr>
          <w:p w14:paraId="432EDD65">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2360295" cy="1800225"/>
                  <wp:effectExtent l="0" t="0" r="1905" b="9525"/>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70"/>
                          <a:stretch>
                            <a:fillRect/>
                          </a:stretch>
                        </pic:blipFill>
                        <pic:spPr>
                          <a:xfrm>
                            <a:off x="0" y="0"/>
                            <a:ext cx="2360295" cy="1800225"/>
                          </a:xfrm>
                          <a:prstGeom prst="rect">
                            <a:avLst/>
                          </a:prstGeom>
                          <a:noFill/>
                          <a:ln>
                            <a:noFill/>
                          </a:ln>
                        </pic:spPr>
                      </pic:pic>
                    </a:graphicData>
                  </a:graphic>
                </wp:inline>
              </w:drawing>
            </w:r>
          </w:p>
        </w:tc>
      </w:tr>
      <w:tr w14:paraId="6D244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455" w:type="dxa"/>
            <w:vAlign w:val="center"/>
          </w:tcPr>
          <w:p w14:paraId="55C109F6">
            <w:pPr>
              <w:widowControl/>
              <w:ind w:firstLine="0" w:firstLineChars="0"/>
              <w:jc w:val="center"/>
              <w:rPr>
                <w:rFonts w:hint="default" w:ascii="Times New Roman" w:hAnsi="Times New Roman" w:cs="Times New Roman"/>
                <w:b/>
                <w:bCs/>
                <w:sz w:val="28"/>
                <w:szCs w:val="28"/>
              </w:rPr>
            </w:pPr>
            <w:r>
              <w:rPr>
                <w:rFonts w:hint="default" w:ascii="Times New Roman" w:hAnsi="Times New Roman" w:cs="Times New Roman"/>
                <w:sz w:val="28"/>
                <w:szCs w:val="28"/>
              </w:rPr>
              <w:drawing>
                <wp:inline distT="0" distB="0" distL="114300" distR="114300">
                  <wp:extent cx="2644775" cy="1976120"/>
                  <wp:effectExtent l="0" t="0" r="3175" b="5080"/>
                  <wp:docPr id="2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
                          <pic:cNvPicPr>
                            <a:picLocks noChangeAspect="1"/>
                          </pic:cNvPicPr>
                        </pic:nvPicPr>
                        <pic:blipFill>
                          <a:blip r:embed="rId71"/>
                          <a:stretch>
                            <a:fillRect/>
                          </a:stretch>
                        </pic:blipFill>
                        <pic:spPr>
                          <a:xfrm>
                            <a:off x="0" y="0"/>
                            <a:ext cx="2644775" cy="1976120"/>
                          </a:xfrm>
                          <a:prstGeom prst="rect">
                            <a:avLst/>
                          </a:prstGeom>
                          <a:noFill/>
                          <a:ln>
                            <a:noFill/>
                          </a:ln>
                        </pic:spPr>
                      </pic:pic>
                    </a:graphicData>
                  </a:graphic>
                </wp:inline>
              </w:drawing>
            </w:r>
          </w:p>
        </w:tc>
        <w:tc>
          <w:tcPr>
            <w:tcW w:w="4067" w:type="dxa"/>
            <w:vAlign w:val="center"/>
          </w:tcPr>
          <w:p w14:paraId="69A80066">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2618740" cy="1976120"/>
                  <wp:effectExtent l="0" t="0" r="10160" b="5080"/>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72"/>
                          <a:stretch>
                            <a:fillRect/>
                          </a:stretch>
                        </pic:blipFill>
                        <pic:spPr>
                          <a:xfrm>
                            <a:off x="0" y="0"/>
                            <a:ext cx="2618740" cy="1976120"/>
                          </a:xfrm>
                          <a:prstGeom prst="rect">
                            <a:avLst/>
                          </a:prstGeom>
                          <a:noFill/>
                          <a:ln>
                            <a:noFill/>
                          </a:ln>
                        </pic:spPr>
                      </pic:pic>
                    </a:graphicData>
                  </a:graphic>
                </wp:inline>
              </w:drawing>
            </w:r>
          </w:p>
        </w:tc>
      </w:tr>
    </w:tbl>
    <w:p w14:paraId="23DEDD5E">
      <w:pPr>
        <w:widowControl/>
        <w:ind w:firstLine="0" w:firstLineChars="0"/>
        <w:jc w:val="center"/>
        <w:rPr>
          <w:rFonts w:hint="default" w:ascii="Times New Roman" w:hAnsi="Times New Roman" w:eastAsia="宋体" w:cs="Times New Roman"/>
          <w:b/>
          <w:bCs/>
          <w:sz w:val="28"/>
          <w:szCs w:val="28"/>
          <w:lang w:val="en-US" w:eastAsia="zh-CN"/>
        </w:rPr>
      </w:pPr>
      <w:r>
        <w:rPr>
          <w:rFonts w:hint="default" w:ascii="Times New Roman" w:hAnsi="Times New Roman" w:cs="Times New Roman"/>
          <w:sz w:val="28"/>
          <w:szCs w:val="28"/>
        </w:rPr>
        <w:t>Figure 5.7 – Image of emulsion with different salinity after stabilized for 3 days at 60 ℃ (a), emulsification rate versus salinity plots (b) and microscopic image of emulsified oil droplets for emulsion without salinity (c: C23, d: C11)</w:t>
      </w:r>
      <w:r>
        <w:rPr>
          <w:rFonts w:hint="default" w:ascii="Times New Roman" w:hAnsi="Times New Roman" w:cs="Times New Roman"/>
          <w:sz w:val="28"/>
          <w:szCs w:val="28"/>
          <w:lang w:val="en-US" w:eastAsia="zh-CN"/>
        </w:rPr>
        <w:t>.</w:t>
      </w:r>
    </w:p>
    <w:p w14:paraId="37DF1C11">
      <w:pPr>
        <w:widowControl/>
        <w:ind w:firstLine="709" w:firstLineChars="0"/>
        <w:rPr>
          <w:rFonts w:hint="default" w:ascii="Times New Roman" w:hAnsi="Times New Roman" w:cs="Times New Roman"/>
          <w:sz w:val="28"/>
          <w:szCs w:val="28"/>
        </w:rPr>
      </w:pPr>
    </w:p>
    <w:p w14:paraId="30C26AB9">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Additionally, the coalescence behavior of emulsion droplets can be effectively evaluated by interfacial viscoelasticity, which quantifies the resistance of an interface to perturbations when it is expanded or compressed away from equilibrium. The dilational interfacial viscoelasticity of the mixed surfactant systems was investigated and the results are presented in Figure 5.8, with the relevant quantitative parameters summarized in Table 5.5. It is evident that, for both compound systems, the interfacial dilational modulus (ε) and the elasticity modulus (</w:t>
      </w:r>
      <m:oMath>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ε</m:t>
            </m:r>
            <m:ctrlPr>
              <w:rPr>
                <w:rFonts w:hint="default" w:ascii="Cambria Math" w:hAnsi="Cambria Math" w:cs="Times New Roman"/>
                <w:i/>
                <w:sz w:val="28"/>
                <w:szCs w:val="28"/>
              </w:rPr>
            </m:ctrlPr>
          </m:e>
          <m:sub>
            <m:r>
              <m:rPr>
                <m:nor/>
              </m:rPr>
              <w:rPr>
                <w:rFonts w:hint="default" w:ascii="Times New Roman" w:hAnsi="Times New Roman" w:cs="Times New Roman"/>
                <w:i/>
                <w:sz w:val="28"/>
                <w:szCs w:val="28"/>
              </w:rPr>
              <m:t>d</m:t>
            </m:r>
            <m:ctrlPr>
              <w:rPr>
                <w:rFonts w:hint="default" w:ascii="Cambria Math" w:hAnsi="Cambria Math" w:cs="Times New Roman"/>
                <w:i/>
                <w:sz w:val="28"/>
                <w:szCs w:val="28"/>
              </w:rPr>
            </m:ctrlPr>
          </m:sub>
        </m:sSub>
      </m:oMath>
      <w:r>
        <w:rPr>
          <w:rFonts w:hint="default" w:ascii="Times New Roman" w:hAnsi="Times New Roman" w:cs="Times New Roman"/>
          <w:sz w:val="28"/>
          <w:szCs w:val="28"/>
        </w:rPr>
        <w:t>) increase with increasing oscillation frequency. This behavior can be attributed to the reduced relaxation time required for the interfacial film to restore equilibrium and the enhanced resistance of the liquid film to deformation under dynamic perturbation [133,165]. Moreover, the phase angles increase with frequency, indicating that the interfacial films exhibit predominantly elastic rather than viscous behavior for both mixtures.</w:t>
      </w:r>
    </w:p>
    <w:p w14:paraId="2D851246">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 comparison between the two compound systems reveals that the interfacial dilational modulus of C23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 2:3) is higher than that of C11 (1:1 ratio), suggesting that the addition of the Gemini surfactant 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significantly strengthens the interfacial film. This enhancement can be explained by the increased electrostatic interactions between the positively charged headgroups of the Gemini surfactant and the zwitterionic headgroups of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which promote a more closely packed molecular arrangement at the oil–water interface [165]. Consequently, the mechanical strength of the interfacial adsorption layer is improved, providing greater resistance against coalescence and resulting in a more stable emulsion. These findings demonstrate that the synergistic interaction between the extended amphoteric and Gemini surfactants not only enhances interfacial film strength but also contributes directly to improved emulsion stability, which is critical for efficient mobilization of trapped oil in enhanced oil recovery processes [146,165,185].</w:t>
      </w:r>
    </w:p>
    <w:p w14:paraId="651AE3D0">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Furthermore, the effect of salinity on the emulsification performance of the mixed surfactant systems was systematically evaluated. As shown in Figure 5.7(b), the emulsification rate decreases with increasing salt concentration. This phenomenon can be attributed to the reduction in the charge density at the oil–brine interface and the concomitant thinning of the electrical double layer surrounding the emulsion droplets, which results from the increased ionic strength in the solution. The diminished electrostatic repulsion between droplets weakens the mechanical strength of the interfacial film, thereby facilitating droplet coalescence and reducing the overall emulsification efficiency [165,173].</w:t>
      </w:r>
    </w:p>
    <w:p w14:paraId="21146D56">
      <w:pPr>
        <w:widowControl/>
        <w:ind w:firstLine="709" w:firstLineChars="0"/>
        <w:rPr>
          <w:rFonts w:hint="default" w:ascii="Times New Roman" w:hAnsi="Times New Roman" w:cs="Times New Roman"/>
          <w:sz w:val="28"/>
          <w:szCs w:val="28"/>
        </w:rPr>
      </w:pPr>
    </w:p>
    <w:p w14:paraId="27B330D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4340860" cy="3267075"/>
            <wp:effectExtent l="0" t="0" r="0" b="0"/>
            <wp:docPr id="7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22"/>
                    <pic:cNvPicPr>
                      <a:picLocks noChangeAspect="1"/>
                    </pic:cNvPicPr>
                  </pic:nvPicPr>
                  <pic:blipFill>
                    <a:blip r:embed="rId73"/>
                    <a:stretch>
                      <a:fillRect/>
                    </a:stretch>
                  </pic:blipFill>
                  <pic:spPr>
                    <a:xfrm>
                      <a:off x="0" y="0"/>
                      <a:ext cx="4345629" cy="3270657"/>
                    </a:xfrm>
                    <a:prstGeom prst="rect">
                      <a:avLst/>
                    </a:prstGeom>
                    <a:noFill/>
                    <a:ln>
                      <a:noFill/>
                    </a:ln>
                  </pic:spPr>
                </pic:pic>
              </a:graphicData>
            </a:graphic>
          </wp:inline>
        </w:drawing>
      </w:r>
    </w:p>
    <w:p w14:paraId="20659594">
      <w:pPr>
        <w:widowControl/>
        <w:ind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Figure 5.8 – The dynamic IFTs of compound system C23 and C11 at the crude oil/water interface</w:t>
      </w:r>
      <w:r>
        <w:rPr>
          <w:rFonts w:hint="default" w:ascii="Times New Roman" w:hAnsi="Times New Roman" w:cs="Times New Roman"/>
          <w:sz w:val="28"/>
          <w:szCs w:val="28"/>
          <w:lang w:val="en-US" w:eastAsia="zh-CN"/>
        </w:rPr>
        <w:t>.</w:t>
      </w:r>
    </w:p>
    <w:p w14:paraId="742810B3">
      <w:pPr>
        <w:widowControl/>
        <w:ind w:firstLine="709" w:firstLineChars="0"/>
        <w:rPr>
          <w:rFonts w:hint="default" w:ascii="Times New Roman" w:hAnsi="Times New Roman" w:cs="Times New Roman"/>
          <w:sz w:val="28"/>
          <w:szCs w:val="28"/>
        </w:rPr>
      </w:pPr>
    </w:p>
    <w:p w14:paraId="40159D3C">
      <w:pPr>
        <w:widowControl/>
        <w:ind w:left="0" w:leftChars="0" w:firstLine="0" w:firstLineChars="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Table 5.5 – Effects of frequency on the dilational interfacial viscoelasticity of C23 and C11 systems at the crude oil/water interface</w:t>
      </w:r>
      <w:r>
        <w:rPr>
          <w:rFonts w:hint="default" w:ascii="Times New Roman" w:hAnsi="Times New Roman" w:cs="Times New Roman"/>
          <w:sz w:val="28"/>
          <w:szCs w:val="28"/>
          <w:lang w:val="en-US" w:eastAsia="zh-CN"/>
        </w:rPr>
        <w:t>.</w:t>
      </w:r>
    </w:p>
    <w:tbl>
      <w:tblPr>
        <w:tblStyle w:val="17"/>
        <w:tblW w:w="4999" w:type="pct"/>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3190"/>
        <w:gridCol w:w="1109"/>
        <w:gridCol w:w="1109"/>
        <w:gridCol w:w="1112"/>
        <w:gridCol w:w="1110"/>
        <w:gridCol w:w="1110"/>
        <w:gridCol w:w="1112"/>
      </w:tblGrid>
      <w:tr w14:paraId="6909557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19" w:type="pct"/>
            <w:vMerge w:val="restart"/>
            <w:tcBorders>
              <w:top w:val="single" w:color="auto" w:sz="12" w:space="0"/>
            </w:tcBorders>
            <w:vAlign w:val="center"/>
          </w:tcPr>
          <w:p w14:paraId="183DEA87">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Dilational</w:t>
            </w:r>
          </w:p>
          <w:p w14:paraId="1A5B0DD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interfacial elasticity</w:t>
            </w:r>
          </w:p>
        </w:tc>
        <w:tc>
          <w:tcPr>
            <w:tcW w:w="1690" w:type="pct"/>
            <w:gridSpan w:val="3"/>
            <w:tcBorders>
              <w:top w:val="single" w:color="auto" w:sz="12" w:space="0"/>
              <w:bottom w:val="single" w:color="auto" w:sz="4" w:space="0"/>
            </w:tcBorders>
          </w:tcPr>
          <w:p w14:paraId="322DDD6C">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C23</w:t>
            </w:r>
          </w:p>
        </w:tc>
        <w:tc>
          <w:tcPr>
            <w:tcW w:w="1690" w:type="pct"/>
            <w:gridSpan w:val="3"/>
            <w:tcBorders>
              <w:top w:val="single" w:color="auto" w:sz="12" w:space="0"/>
              <w:bottom w:val="single" w:color="auto" w:sz="4" w:space="0"/>
            </w:tcBorders>
          </w:tcPr>
          <w:p w14:paraId="2494518D">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C11</w:t>
            </w:r>
          </w:p>
        </w:tc>
      </w:tr>
      <w:tr w14:paraId="7054189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19" w:type="pct"/>
            <w:vMerge w:val="continue"/>
            <w:tcBorders>
              <w:bottom w:val="single" w:color="auto" w:sz="6" w:space="0"/>
            </w:tcBorders>
            <w:vAlign w:val="center"/>
          </w:tcPr>
          <w:p w14:paraId="26211F8F">
            <w:pPr>
              <w:widowControl/>
              <w:ind w:firstLine="0" w:firstLineChars="0"/>
              <w:jc w:val="center"/>
              <w:rPr>
                <w:rFonts w:hint="default" w:ascii="Times New Roman" w:hAnsi="Times New Roman" w:cs="Times New Roman"/>
                <w:sz w:val="28"/>
                <w:szCs w:val="28"/>
              </w:rPr>
            </w:pPr>
          </w:p>
        </w:tc>
        <w:tc>
          <w:tcPr>
            <w:tcW w:w="563" w:type="pct"/>
            <w:tcBorders>
              <w:top w:val="single" w:color="auto" w:sz="4" w:space="0"/>
              <w:bottom w:val="single" w:color="auto" w:sz="6" w:space="0"/>
            </w:tcBorders>
          </w:tcPr>
          <w:p w14:paraId="5FC47C8D">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0.1</w:t>
            </w:r>
          </w:p>
        </w:tc>
        <w:tc>
          <w:tcPr>
            <w:tcW w:w="563" w:type="pct"/>
            <w:tcBorders>
              <w:top w:val="single" w:color="auto" w:sz="4" w:space="0"/>
              <w:bottom w:val="single" w:color="auto" w:sz="6" w:space="0"/>
            </w:tcBorders>
          </w:tcPr>
          <w:p w14:paraId="0FEB11A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0.05</w:t>
            </w:r>
          </w:p>
        </w:tc>
        <w:tc>
          <w:tcPr>
            <w:tcW w:w="563" w:type="pct"/>
            <w:tcBorders>
              <w:top w:val="single" w:color="auto" w:sz="4" w:space="0"/>
              <w:bottom w:val="single" w:color="auto" w:sz="6" w:space="0"/>
            </w:tcBorders>
          </w:tcPr>
          <w:p w14:paraId="48101040">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0.02</w:t>
            </w:r>
          </w:p>
        </w:tc>
        <w:tc>
          <w:tcPr>
            <w:tcW w:w="563" w:type="pct"/>
            <w:tcBorders>
              <w:top w:val="single" w:color="auto" w:sz="4" w:space="0"/>
              <w:bottom w:val="single" w:color="auto" w:sz="6" w:space="0"/>
            </w:tcBorders>
          </w:tcPr>
          <w:p w14:paraId="2B4C3B05">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0.1</w:t>
            </w:r>
          </w:p>
        </w:tc>
        <w:tc>
          <w:tcPr>
            <w:tcW w:w="563" w:type="pct"/>
            <w:tcBorders>
              <w:top w:val="single" w:color="auto" w:sz="4" w:space="0"/>
              <w:bottom w:val="single" w:color="auto" w:sz="6" w:space="0"/>
            </w:tcBorders>
          </w:tcPr>
          <w:p w14:paraId="26810B8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0.05</w:t>
            </w:r>
          </w:p>
        </w:tc>
        <w:tc>
          <w:tcPr>
            <w:tcW w:w="563" w:type="pct"/>
            <w:tcBorders>
              <w:top w:val="single" w:color="auto" w:sz="4" w:space="0"/>
              <w:bottom w:val="single" w:color="auto" w:sz="6" w:space="0"/>
            </w:tcBorders>
          </w:tcPr>
          <w:p w14:paraId="3FA321CA">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0.02</w:t>
            </w:r>
          </w:p>
        </w:tc>
      </w:tr>
      <w:tr w14:paraId="2650064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84" w:hRule="atLeast"/>
        </w:trPr>
        <w:tc>
          <w:tcPr>
            <w:tcW w:w="1619" w:type="pct"/>
            <w:tcBorders>
              <w:top w:val="single" w:color="auto" w:sz="6" w:space="0"/>
              <w:bottom w:val="nil"/>
            </w:tcBorders>
            <w:vAlign w:val="center"/>
          </w:tcPr>
          <w:p w14:paraId="65418E96">
            <w:pPr>
              <w:widowControl/>
              <w:ind w:firstLine="0" w:firstLineChars="0"/>
              <w:jc w:val="center"/>
              <w:rPr>
                <w:rFonts w:hint="default" w:ascii="Times New Roman" w:hAnsi="Times New Roman" w:cs="Times New Roman"/>
                <w:sz w:val="28"/>
                <w:szCs w:val="28"/>
              </w:rPr>
            </w:pPr>
            <m:oMathPara>
              <m:oMath>
                <m:r>
                  <m:rPr>
                    <m:nor/>
                  </m:rPr>
                  <w:rPr>
                    <w:rFonts w:hint="default" w:ascii="Times New Roman" w:hAnsi="Times New Roman" w:cs="Times New Roman"/>
                    <w:i/>
                    <w:sz w:val="28"/>
                    <w:szCs w:val="28"/>
                  </w:rPr>
                  <m:t>ε</m:t>
                </m:r>
              </m:oMath>
            </m:oMathPara>
          </w:p>
        </w:tc>
        <w:tc>
          <w:tcPr>
            <w:tcW w:w="563" w:type="pct"/>
            <w:tcBorders>
              <w:top w:val="single" w:color="auto" w:sz="6" w:space="0"/>
              <w:bottom w:val="nil"/>
            </w:tcBorders>
            <w:vAlign w:val="center"/>
          </w:tcPr>
          <w:p w14:paraId="1F07F007">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43.88</w:t>
            </w:r>
          </w:p>
        </w:tc>
        <w:tc>
          <w:tcPr>
            <w:tcW w:w="563" w:type="pct"/>
            <w:tcBorders>
              <w:top w:val="single" w:color="auto" w:sz="6" w:space="0"/>
              <w:bottom w:val="nil"/>
            </w:tcBorders>
            <w:vAlign w:val="center"/>
          </w:tcPr>
          <w:p w14:paraId="0E9006BA">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37.66</w:t>
            </w:r>
          </w:p>
        </w:tc>
        <w:tc>
          <w:tcPr>
            <w:tcW w:w="563" w:type="pct"/>
            <w:tcBorders>
              <w:top w:val="single" w:color="auto" w:sz="6" w:space="0"/>
              <w:bottom w:val="nil"/>
            </w:tcBorders>
            <w:vAlign w:val="center"/>
          </w:tcPr>
          <w:p w14:paraId="465EBA4D">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30.26</w:t>
            </w:r>
          </w:p>
        </w:tc>
        <w:tc>
          <w:tcPr>
            <w:tcW w:w="563" w:type="pct"/>
            <w:tcBorders>
              <w:top w:val="single" w:color="auto" w:sz="6" w:space="0"/>
              <w:bottom w:val="nil"/>
            </w:tcBorders>
            <w:vAlign w:val="center"/>
          </w:tcPr>
          <w:p w14:paraId="3B1E06AC">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37.95</w:t>
            </w:r>
          </w:p>
        </w:tc>
        <w:tc>
          <w:tcPr>
            <w:tcW w:w="563" w:type="pct"/>
            <w:tcBorders>
              <w:top w:val="single" w:color="auto" w:sz="6" w:space="0"/>
              <w:bottom w:val="nil"/>
            </w:tcBorders>
            <w:vAlign w:val="center"/>
          </w:tcPr>
          <w:p w14:paraId="09F2C124">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32.43</w:t>
            </w:r>
          </w:p>
        </w:tc>
        <w:tc>
          <w:tcPr>
            <w:tcW w:w="563" w:type="pct"/>
            <w:tcBorders>
              <w:top w:val="single" w:color="auto" w:sz="6" w:space="0"/>
              <w:bottom w:val="nil"/>
            </w:tcBorders>
            <w:vAlign w:val="center"/>
          </w:tcPr>
          <w:p w14:paraId="40E82E96">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25.62</w:t>
            </w:r>
          </w:p>
        </w:tc>
      </w:tr>
      <w:tr w14:paraId="5159D30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19" w:type="pct"/>
            <w:tcBorders>
              <w:top w:val="nil"/>
              <w:bottom w:val="nil"/>
            </w:tcBorders>
            <w:vAlign w:val="center"/>
          </w:tcPr>
          <w:p w14:paraId="670DF788">
            <w:pPr>
              <w:widowControl/>
              <w:ind w:firstLine="0" w:firstLineChars="0"/>
              <w:jc w:val="center"/>
              <w:rPr>
                <w:rFonts w:hint="default" w:ascii="Times New Roman" w:hAnsi="Times New Roman" w:cs="Times New Roman"/>
                <w:sz w:val="28"/>
                <w:szCs w:val="28"/>
              </w:rPr>
            </w:pPr>
            <m:oMathPara>
              <m:oMath>
                <m:r>
                  <m:rPr>
                    <m:nor/>
                  </m:rPr>
                  <w:rPr>
                    <w:rFonts w:hint="default" w:ascii="Times New Roman" w:hAnsi="Times New Roman" w:cs="Times New Roman"/>
                    <w:i/>
                    <w:sz w:val="28"/>
                    <w:szCs w:val="28"/>
                  </w:rPr>
                  <m:t>θ</m:t>
                </m:r>
              </m:oMath>
            </m:oMathPara>
          </w:p>
        </w:tc>
        <w:tc>
          <w:tcPr>
            <w:tcW w:w="563" w:type="pct"/>
            <w:tcBorders>
              <w:top w:val="nil"/>
              <w:bottom w:val="nil"/>
            </w:tcBorders>
            <w:vAlign w:val="center"/>
          </w:tcPr>
          <w:p w14:paraId="1DDE1485">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18.27</w:t>
            </w:r>
          </w:p>
        </w:tc>
        <w:tc>
          <w:tcPr>
            <w:tcW w:w="563" w:type="pct"/>
            <w:tcBorders>
              <w:top w:val="nil"/>
              <w:bottom w:val="nil"/>
            </w:tcBorders>
            <w:vAlign w:val="center"/>
          </w:tcPr>
          <w:p w14:paraId="6BC5EC4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17.6</w:t>
            </w:r>
          </w:p>
        </w:tc>
        <w:tc>
          <w:tcPr>
            <w:tcW w:w="563" w:type="pct"/>
            <w:tcBorders>
              <w:top w:val="nil"/>
              <w:bottom w:val="nil"/>
            </w:tcBorders>
            <w:vAlign w:val="center"/>
          </w:tcPr>
          <w:p w14:paraId="2307832B">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26.03</w:t>
            </w:r>
          </w:p>
        </w:tc>
        <w:tc>
          <w:tcPr>
            <w:tcW w:w="563" w:type="pct"/>
            <w:tcBorders>
              <w:top w:val="nil"/>
              <w:bottom w:val="nil"/>
            </w:tcBorders>
            <w:vAlign w:val="center"/>
          </w:tcPr>
          <w:p w14:paraId="723FD4D2">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18.44</w:t>
            </w:r>
          </w:p>
        </w:tc>
        <w:tc>
          <w:tcPr>
            <w:tcW w:w="563" w:type="pct"/>
            <w:tcBorders>
              <w:top w:val="nil"/>
              <w:bottom w:val="nil"/>
            </w:tcBorders>
            <w:vAlign w:val="center"/>
          </w:tcPr>
          <w:p w14:paraId="15D47214">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21.91</w:t>
            </w:r>
          </w:p>
        </w:tc>
        <w:tc>
          <w:tcPr>
            <w:tcW w:w="563" w:type="pct"/>
            <w:tcBorders>
              <w:top w:val="nil"/>
              <w:bottom w:val="nil"/>
            </w:tcBorders>
            <w:vAlign w:val="center"/>
          </w:tcPr>
          <w:p w14:paraId="1229316D">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26.16</w:t>
            </w:r>
          </w:p>
        </w:tc>
      </w:tr>
      <w:tr w14:paraId="3D85780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19" w:type="pct"/>
            <w:tcBorders>
              <w:top w:val="nil"/>
              <w:bottom w:val="nil"/>
            </w:tcBorders>
            <w:vAlign w:val="center"/>
          </w:tcPr>
          <w:p w14:paraId="7E008DE0">
            <w:pPr>
              <w:widowControl/>
              <w:ind w:firstLine="0" w:firstLineChars="0"/>
              <w:jc w:val="center"/>
              <w:rPr>
                <w:rFonts w:hint="default" w:ascii="Times New Roman" w:hAnsi="Times New Roman" w:cs="Times New Roman"/>
                <w:sz w:val="28"/>
                <w:szCs w:val="28"/>
              </w:rPr>
            </w:pPr>
            <m:oMathPara>
              <m:oMath>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ε</m:t>
                    </m:r>
                    <m:ctrlPr>
                      <w:rPr>
                        <w:rFonts w:hint="default" w:ascii="Cambria Math" w:hAnsi="Cambria Math" w:cs="Times New Roman"/>
                        <w:i/>
                        <w:sz w:val="28"/>
                        <w:szCs w:val="28"/>
                      </w:rPr>
                    </m:ctrlPr>
                  </m:e>
                  <m:sub>
                    <m:r>
                      <m:rPr>
                        <m:nor/>
                      </m:rPr>
                      <w:rPr>
                        <w:rFonts w:hint="default" w:ascii="Times New Roman" w:hAnsi="Times New Roman" w:cs="Times New Roman"/>
                        <w:i/>
                        <w:sz w:val="28"/>
                        <w:szCs w:val="28"/>
                      </w:rPr>
                      <m:t>d</m:t>
                    </m:r>
                    <m:ctrlPr>
                      <w:rPr>
                        <w:rFonts w:hint="default" w:ascii="Cambria Math" w:hAnsi="Cambria Math" w:cs="Times New Roman"/>
                        <w:i/>
                        <w:sz w:val="28"/>
                        <w:szCs w:val="28"/>
                      </w:rPr>
                    </m:ctrlPr>
                  </m:sub>
                </m:sSub>
              </m:oMath>
            </m:oMathPara>
          </w:p>
        </w:tc>
        <w:tc>
          <w:tcPr>
            <w:tcW w:w="563" w:type="pct"/>
            <w:tcBorders>
              <w:top w:val="nil"/>
              <w:bottom w:val="nil"/>
            </w:tcBorders>
            <w:vAlign w:val="center"/>
          </w:tcPr>
          <w:p w14:paraId="764FB346">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41.67</w:t>
            </w:r>
          </w:p>
        </w:tc>
        <w:tc>
          <w:tcPr>
            <w:tcW w:w="563" w:type="pct"/>
            <w:tcBorders>
              <w:top w:val="nil"/>
              <w:bottom w:val="nil"/>
            </w:tcBorders>
            <w:vAlign w:val="center"/>
          </w:tcPr>
          <w:p w14:paraId="6A9D69A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35.9</w:t>
            </w:r>
          </w:p>
        </w:tc>
        <w:tc>
          <w:tcPr>
            <w:tcW w:w="563" w:type="pct"/>
            <w:tcBorders>
              <w:top w:val="nil"/>
              <w:bottom w:val="nil"/>
            </w:tcBorders>
            <w:vAlign w:val="center"/>
          </w:tcPr>
          <w:p w14:paraId="33EB3B2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27.19</w:t>
            </w:r>
          </w:p>
        </w:tc>
        <w:tc>
          <w:tcPr>
            <w:tcW w:w="563" w:type="pct"/>
            <w:tcBorders>
              <w:top w:val="nil"/>
              <w:bottom w:val="nil"/>
            </w:tcBorders>
            <w:vAlign w:val="center"/>
          </w:tcPr>
          <w:p w14:paraId="6249414D">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36.01</w:t>
            </w:r>
          </w:p>
        </w:tc>
        <w:tc>
          <w:tcPr>
            <w:tcW w:w="563" w:type="pct"/>
            <w:tcBorders>
              <w:top w:val="nil"/>
              <w:bottom w:val="nil"/>
            </w:tcBorders>
            <w:vAlign w:val="center"/>
          </w:tcPr>
          <w:p w14:paraId="2F5B03A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30.09</w:t>
            </w:r>
          </w:p>
        </w:tc>
        <w:tc>
          <w:tcPr>
            <w:tcW w:w="563" w:type="pct"/>
            <w:tcBorders>
              <w:top w:val="nil"/>
              <w:bottom w:val="nil"/>
            </w:tcBorders>
            <w:vAlign w:val="center"/>
          </w:tcPr>
          <w:p w14:paraId="51A83852">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 xml:space="preserve">23.00 </w:t>
            </w:r>
          </w:p>
        </w:tc>
      </w:tr>
      <w:tr w14:paraId="27DB466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19" w:type="pct"/>
            <w:tcBorders>
              <w:top w:val="nil"/>
              <w:bottom w:val="single" w:color="auto" w:sz="12" w:space="0"/>
            </w:tcBorders>
            <w:vAlign w:val="center"/>
          </w:tcPr>
          <w:p w14:paraId="445AA75E">
            <w:pPr>
              <w:widowControl/>
              <w:ind w:firstLine="0" w:firstLineChars="0"/>
              <w:jc w:val="center"/>
              <w:rPr>
                <w:rFonts w:hint="default" w:ascii="Times New Roman" w:hAnsi="Times New Roman" w:cs="Times New Roman"/>
                <w:sz w:val="28"/>
                <w:szCs w:val="28"/>
              </w:rPr>
            </w:pPr>
            <m:oMathPara>
              <m:oMath>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ε</m:t>
                    </m:r>
                    <m:ctrlPr>
                      <w:rPr>
                        <w:rFonts w:hint="default" w:ascii="Cambria Math" w:hAnsi="Cambria Math" w:cs="Times New Roman"/>
                        <w:i/>
                        <w:sz w:val="28"/>
                        <w:szCs w:val="28"/>
                      </w:rPr>
                    </m:ctrlPr>
                  </m:e>
                  <m:sub>
                    <m:r>
                      <m:rPr>
                        <m:nor/>
                      </m:rPr>
                      <w:rPr>
                        <w:rFonts w:hint="default" w:ascii="Times New Roman" w:hAnsi="Times New Roman" w:cs="Times New Roman"/>
                        <w:i/>
                        <w:sz w:val="28"/>
                        <w:szCs w:val="28"/>
                      </w:rPr>
                      <m:t>η</m:t>
                    </m:r>
                    <m:ctrlPr>
                      <w:rPr>
                        <w:rFonts w:hint="default" w:ascii="Cambria Math" w:hAnsi="Cambria Math" w:cs="Times New Roman"/>
                        <w:i/>
                        <w:sz w:val="28"/>
                        <w:szCs w:val="28"/>
                      </w:rPr>
                    </m:ctrlPr>
                  </m:sub>
                </m:sSub>
              </m:oMath>
            </m:oMathPara>
          </w:p>
        </w:tc>
        <w:tc>
          <w:tcPr>
            <w:tcW w:w="563" w:type="pct"/>
            <w:tcBorders>
              <w:top w:val="nil"/>
              <w:bottom w:val="single" w:color="auto" w:sz="12" w:space="0"/>
            </w:tcBorders>
            <w:vAlign w:val="center"/>
          </w:tcPr>
          <w:p w14:paraId="64D3A08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13.75</w:t>
            </w:r>
          </w:p>
        </w:tc>
        <w:tc>
          <w:tcPr>
            <w:tcW w:w="563" w:type="pct"/>
            <w:tcBorders>
              <w:top w:val="nil"/>
              <w:bottom w:val="single" w:color="auto" w:sz="12" w:space="0"/>
            </w:tcBorders>
            <w:vAlign w:val="center"/>
          </w:tcPr>
          <w:p w14:paraId="25C26404">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11.39</w:t>
            </w:r>
          </w:p>
        </w:tc>
        <w:tc>
          <w:tcPr>
            <w:tcW w:w="563" w:type="pct"/>
            <w:tcBorders>
              <w:top w:val="nil"/>
              <w:bottom w:val="single" w:color="auto" w:sz="12" w:space="0"/>
            </w:tcBorders>
            <w:vAlign w:val="center"/>
          </w:tcPr>
          <w:p w14:paraId="2D83A26E">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13.28</w:t>
            </w:r>
          </w:p>
        </w:tc>
        <w:tc>
          <w:tcPr>
            <w:tcW w:w="563" w:type="pct"/>
            <w:tcBorders>
              <w:top w:val="nil"/>
              <w:bottom w:val="single" w:color="auto" w:sz="12" w:space="0"/>
            </w:tcBorders>
            <w:vAlign w:val="center"/>
          </w:tcPr>
          <w:p w14:paraId="2DFB198C">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 xml:space="preserve">12.00 </w:t>
            </w:r>
          </w:p>
        </w:tc>
        <w:tc>
          <w:tcPr>
            <w:tcW w:w="563" w:type="pct"/>
            <w:tcBorders>
              <w:top w:val="nil"/>
              <w:bottom w:val="single" w:color="auto" w:sz="12" w:space="0"/>
            </w:tcBorders>
            <w:vAlign w:val="center"/>
          </w:tcPr>
          <w:p w14:paraId="150FE38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 xml:space="preserve">12.10 </w:t>
            </w:r>
          </w:p>
        </w:tc>
        <w:tc>
          <w:tcPr>
            <w:tcW w:w="563" w:type="pct"/>
            <w:tcBorders>
              <w:top w:val="nil"/>
              <w:bottom w:val="single" w:color="auto" w:sz="12" w:space="0"/>
            </w:tcBorders>
            <w:vAlign w:val="center"/>
          </w:tcPr>
          <w:p w14:paraId="1D99944E">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11.30</w:t>
            </w:r>
          </w:p>
        </w:tc>
      </w:tr>
    </w:tbl>
    <w:p w14:paraId="7C8030FA">
      <w:pPr>
        <w:widowControl/>
        <w:ind w:firstLine="709" w:firstLineChars="0"/>
        <w:rPr>
          <w:rFonts w:hint="default" w:ascii="Times New Roman" w:hAnsi="Times New Roman" w:cs="Times New Roman"/>
          <w:sz w:val="28"/>
          <w:szCs w:val="28"/>
        </w:rPr>
      </w:pPr>
    </w:p>
    <w:p w14:paraId="7BBBE132">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To quantitatively assess the interfacial characteristics of the emulsions, the equilibrium interfacial tensions at both the oil–emulsion and water–emulsion interfaces were calculated using Huh’s equation. Here,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σ</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om</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represents the equilibrium interfacial tension between the oil and emulsion phases, while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σ</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wm</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corresponds to the equilibrium interfacial tension between the water and emulsion phases. The calculated values for the different surfactant systems under varying salinity conditions are summarized in Table 5.6. The results indicate that higher salinity reduces both </w:t>
      </w:r>
      <m:oMath>
        <m:sSub>
          <m:sSubPr>
            <m:ctrlPr>
              <w:rPr>
                <w:rFonts w:hint="default" w:ascii="Cambria Math" w:hAnsi="Cambria Math" w:eastAsia="黑体" w:cs="Times New Roman"/>
                <w:i/>
                <w:kern w:val="0"/>
                <w:sz w:val="28"/>
                <w:szCs w:val="28"/>
                <w:lang w:bidi="ar"/>
              </w:rPr>
            </m:ctrlPr>
          </m:sSubPr>
          <m:e>
            <m:r>
              <m:rPr>
                <m:nor/>
              </m:rPr>
              <w:rPr>
                <w:rFonts w:hint="default" w:ascii="Times New Roman" w:hAnsi="Times New Roman" w:eastAsia="黑体" w:cs="Times New Roman"/>
                <w:i/>
                <w:kern w:val="0"/>
                <w:sz w:val="28"/>
                <w:szCs w:val="28"/>
                <w:lang w:bidi="ar"/>
              </w:rPr>
              <m:t>σ</m:t>
            </m:r>
            <m:ctrlPr>
              <w:rPr>
                <w:rFonts w:hint="default" w:ascii="Cambria Math" w:hAnsi="Cambria Math" w:eastAsia="黑体" w:cs="Times New Roman"/>
                <w:i/>
                <w:kern w:val="0"/>
                <w:sz w:val="28"/>
                <w:szCs w:val="28"/>
                <w:lang w:bidi="ar"/>
              </w:rPr>
            </m:ctrlPr>
          </m:e>
          <m:sub>
            <m:r>
              <m:rPr>
                <m:nor/>
                <m:sty m:val="p"/>
              </m:rPr>
              <w:rPr>
                <w:rFonts w:hint="default" w:ascii="Times New Roman" w:hAnsi="Times New Roman" w:eastAsia="黑体" w:cs="Times New Roman"/>
                <w:b w:val="0"/>
                <w:i w:val="0"/>
                <w:kern w:val="0"/>
                <w:sz w:val="28"/>
                <w:szCs w:val="28"/>
                <w:lang w:bidi="ar"/>
              </w:rPr>
              <m:t>om</m:t>
            </m:r>
            <m:ctrlPr>
              <w:rPr>
                <w:rFonts w:hint="default" w:ascii="Cambria Math" w:hAnsi="Cambria Math" w:eastAsia="黑体" w:cs="Times New Roman"/>
                <w:i/>
                <w:kern w:val="0"/>
                <w:sz w:val="28"/>
                <w:szCs w:val="28"/>
                <w:lang w:bidi="ar"/>
              </w:rPr>
            </m:ctrlPr>
          </m:sub>
        </m:sSub>
      </m:oMath>
      <w:r>
        <w:rPr>
          <w:rFonts w:hint="default" w:ascii="Times New Roman" w:hAnsi="Times New Roman" w:cs="Times New Roman"/>
          <w:sz w:val="28"/>
          <w:szCs w:val="28"/>
        </w:rPr>
        <w:t xml:space="preserve"> and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σ</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wm</m:t>
            </m:r>
            <m:ctrlPr>
              <w:rPr>
                <w:rFonts w:hint="default" w:ascii="Cambria Math" w:hAnsi="Cambria Math" w:cs="Times New Roman"/>
                <w:sz w:val="28"/>
                <w:szCs w:val="28"/>
              </w:rPr>
            </m:ctrlPr>
          </m:sub>
        </m:sSub>
      </m:oMath>
      <w:r>
        <w:rPr>
          <w:rFonts w:hint="default" w:ascii="Times New Roman" w:hAnsi="Times New Roman" w:cs="Times New Roman"/>
          <w:sz w:val="28"/>
          <w:szCs w:val="28"/>
        </w:rPr>
        <w:t>, reflecting the weakening of the interfacial film and supporting the observed decrease in emulsification rate. These findings highlight the critical role of interfacial charge and film thickness in governing the stability and performance of surfactant-stabilized emulsions, which is particularly relevant for enhanced oil recovery applications in high-salinity reservoirs [165,186]. The IFTs, documented in Table 5.6, at both the oil-emulsion interface and the emulsion-water interface can almost be reduced to an extremely low level and the IFTs of compound system C23 are lower than those of C11, indicating its better solubilization of oil and water and better emulsification ability.</w:t>
      </w:r>
    </w:p>
    <w:p w14:paraId="4CB07B28">
      <w:pPr>
        <w:widowControl/>
        <w:ind w:firstLine="709" w:firstLineChars="0"/>
        <w:rPr>
          <w:rFonts w:hint="default" w:ascii="Times New Roman" w:hAnsi="Times New Roman" w:cs="Times New Roman"/>
          <w:sz w:val="28"/>
          <w:szCs w:val="28"/>
        </w:rPr>
      </w:pPr>
    </w:p>
    <w:p w14:paraId="71B42293">
      <w:pPr>
        <w:widowControl/>
        <w:ind w:left="0" w:leftChars="0" w:firstLine="0" w:firstLineChars="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 xml:space="preserve">Table 5.6 – The value of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σ</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om</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and </w:t>
      </w: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σ</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wm</m:t>
            </m:r>
            <m:ctrlPr>
              <w:rPr>
                <w:rFonts w:hint="default" w:ascii="Cambria Math" w:hAnsi="Cambria Math" w:cs="Times New Roman"/>
                <w:sz w:val="28"/>
                <w:szCs w:val="28"/>
              </w:rPr>
            </m:ctrlPr>
          </m:sub>
        </m:sSub>
      </m:oMath>
      <w:r>
        <w:rPr>
          <w:rFonts w:hint="default" w:ascii="Times New Roman" w:hAnsi="Times New Roman" w:cs="Times New Roman"/>
          <w:i w:val="0"/>
          <w:sz w:val="28"/>
          <w:szCs w:val="28"/>
          <w:lang w:val="en-US" w:eastAsia="zh-CN"/>
        </w:rPr>
        <w:t>.</w:t>
      </w:r>
    </w:p>
    <w:tbl>
      <w:tblPr>
        <w:tblStyle w:val="16"/>
        <w:tblW w:w="4999" w:type="pct"/>
        <w:jc w:val="center"/>
        <w:tblBorders>
          <w:top w:val="single" w:color="auto" w:sz="12"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44"/>
        <w:gridCol w:w="2102"/>
        <w:gridCol w:w="1321"/>
        <w:gridCol w:w="1321"/>
        <w:gridCol w:w="1321"/>
        <w:gridCol w:w="1321"/>
        <w:gridCol w:w="1322"/>
      </w:tblGrid>
      <w:tr w14:paraId="3A489119">
        <w:tblPrEx>
          <w:tblBorders>
            <w:top w:val="single" w:color="auto" w:sz="12"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646" w:type="pct"/>
            <w:gridSpan w:val="2"/>
            <w:tcBorders>
              <w:bottom w:val="single" w:color="auto" w:sz="4" w:space="0"/>
            </w:tcBorders>
            <w:noWrap/>
            <w:vAlign w:val="center"/>
          </w:tcPr>
          <w:p w14:paraId="269F5565">
            <w:pPr>
              <w:widowControl/>
              <w:ind w:firstLine="0" w:firstLineChars="0"/>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Salinity (%)</w:t>
            </w:r>
          </w:p>
        </w:tc>
        <w:tc>
          <w:tcPr>
            <w:tcW w:w="670" w:type="pct"/>
            <w:tcBorders>
              <w:bottom w:val="single" w:color="auto" w:sz="4" w:space="0"/>
            </w:tcBorders>
            <w:noWrap/>
            <w:vAlign w:val="center"/>
          </w:tcPr>
          <w:p w14:paraId="499BBE0F">
            <w:pPr>
              <w:widowControl/>
              <w:ind w:firstLine="0" w:firstLineChars="0"/>
              <w:jc w:val="center"/>
              <w:textAlignment w:val="center"/>
              <w:rPr>
                <w:rFonts w:hint="default" w:ascii="Times New Roman" w:hAnsi="Times New Roman" w:eastAsia="黑体" w:cs="Times New Roman"/>
                <w:sz w:val="28"/>
                <w:szCs w:val="28"/>
              </w:rPr>
            </w:pPr>
            <w:r>
              <w:rPr>
                <w:rFonts w:hint="default" w:ascii="Times New Roman" w:hAnsi="Times New Roman" w:eastAsia="黑体" w:cs="Times New Roman"/>
                <w:kern w:val="0"/>
                <w:sz w:val="28"/>
                <w:szCs w:val="28"/>
                <w:lang w:bidi="ar"/>
              </w:rPr>
              <w:t>0</w:t>
            </w:r>
          </w:p>
        </w:tc>
        <w:tc>
          <w:tcPr>
            <w:tcW w:w="670" w:type="pct"/>
            <w:tcBorders>
              <w:bottom w:val="single" w:color="auto" w:sz="4" w:space="0"/>
            </w:tcBorders>
            <w:noWrap/>
            <w:vAlign w:val="center"/>
          </w:tcPr>
          <w:p w14:paraId="76D73264">
            <w:pPr>
              <w:widowControl/>
              <w:ind w:firstLine="0" w:firstLineChars="0"/>
              <w:jc w:val="center"/>
              <w:textAlignment w:val="center"/>
              <w:rPr>
                <w:rFonts w:hint="default" w:ascii="Times New Roman" w:hAnsi="Times New Roman" w:eastAsia="黑体" w:cs="Times New Roman"/>
                <w:sz w:val="28"/>
                <w:szCs w:val="28"/>
              </w:rPr>
            </w:pPr>
            <w:r>
              <w:rPr>
                <w:rFonts w:hint="default" w:ascii="Times New Roman" w:hAnsi="Times New Roman" w:eastAsia="黑体" w:cs="Times New Roman"/>
                <w:kern w:val="0"/>
                <w:sz w:val="28"/>
                <w:szCs w:val="28"/>
                <w:lang w:bidi="ar"/>
              </w:rPr>
              <w:t>0.5</w:t>
            </w:r>
          </w:p>
        </w:tc>
        <w:tc>
          <w:tcPr>
            <w:tcW w:w="670" w:type="pct"/>
            <w:tcBorders>
              <w:bottom w:val="single" w:color="auto" w:sz="4" w:space="0"/>
            </w:tcBorders>
            <w:noWrap/>
            <w:vAlign w:val="center"/>
          </w:tcPr>
          <w:p w14:paraId="38B52A94">
            <w:pPr>
              <w:widowControl/>
              <w:ind w:firstLine="0" w:firstLineChars="0"/>
              <w:jc w:val="center"/>
              <w:textAlignment w:val="center"/>
              <w:rPr>
                <w:rFonts w:hint="default" w:ascii="Times New Roman" w:hAnsi="Times New Roman" w:eastAsia="黑体" w:cs="Times New Roman"/>
                <w:sz w:val="28"/>
                <w:szCs w:val="28"/>
              </w:rPr>
            </w:pPr>
            <w:r>
              <w:rPr>
                <w:rFonts w:hint="default" w:ascii="Times New Roman" w:hAnsi="Times New Roman" w:eastAsia="黑体" w:cs="Times New Roman"/>
                <w:kern w:val="0"/>
                <w:sz w:val="28"/>
                <w:szCs w:val="28"/>
                <w:lang w:bidi="ar"/>
              </w:rPr>
              <w:t>1</w:t>
            </w:r>
          </w:p>
        </w:tc>
        <w:tc>
          <w:tcPr>
            <w:tcW w:w="670" w:type="pct"/>
            <w:tcBorders>
              <w:bottom w:val="single" w:color="auto" w:sz="4" w:space="0"/>
            </w:tcBorders>
            <w:noWrap/>
            <w:vAlign w:val="center"/>
          </w:tcPr>
          <w:p w14:paraId="192F3A2C">
            <w:pPr>
              <w:widowControl/>
              <w:ind w:firstLine="0" w:firstLineChars="0"/>
              <w:jc w:val="center"/>
              <w:textAlignment w:val="center"/>
              <w:rPr>
                <w:rFonts w:hint="default" w:ascii="Times New Roman" w:hAnsi="Times New Roman" w:eastAsia="黑体" w:cs="Times New Roman"/>
                <w:sz w:val="28"/>
                <w:szCs w:val="28"/>
              </w:rPr>
            </w:pPr>
            <w:r>
              <w:rPr>
                <w:rFonts w:hint="default" w:ascii="Times New Roman" w:hAnsi="Times New Roman" w:eastAsia="黑体" w:cs="Times New Roman"/>
                <w:kern w:val="0"/>
                <w:sz w:val="28"/>
                <w:szCs w:val="28"/>
                <w:lang w:bidi="ar"/>
              </w:rPr>
              <w:t>2</w:t>
            </w:r>
          </w:p>
        </w:tc>
        <w:tc>
          <w:tcPr>
            <w:tcW w:w="670" w:type="pct"/>
            <w:tcBorders>
              <w:bottom w:val="single" w:color="auto" w:sz="4" w:space="0"/>
            </w:tcBorders>
            <w:noWrap/>
            <w:vAlign w:val="center"/>
          </w:tcPr>
          <w:p w14:paraId="43D76B9F">
            <w:pPr>
              <w:widowControl/>
              <w:ind w:firstLine="0" w:firstLineChars="0"/>
              <w:jc w:val="center"/>
              <w:textAlignment w:val="center"/>
              <w:rPr>
                <w:rFonts w:hint="default" w:ascii="Times New Roman" w:hAnsi="Times New Roman" w:eastAsia="黑体" w:cs="Times New Roman"/>
                <w:sz w:val="28"/>
                <w:szCs w:val="28"/>
              </w:rPr>
            </w:pPr>
            <w:r>
              <w:rPr>
                <w:rFonts w:hint="default" w:ascii="Times New Roman" w:hAnsi="Times New Roman" w:eastAsia="黑体" w:cs="Times New Roman"/>
                <w:kern w:val="0"/>
                <w:sz w:val="28"/>
                <w:szCs w:val="28"/>
                <w:lang w:bidi="ar"/>
              </w:rPr>
              <w:t>3</w:t>
            </w:r>
          </w:p>
        </w:tc>
      </w:tr>
      <w:tr w14:paraId="099CFD26">
        <w:tblPrEx>
          <w:tblBorders>
            <w:top w:val="single" w:color="auto" w:sz="12"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80" w:type="pct"/>
            <w:vMerge w:val="restart"/>
            <w:tcBorders>
              <w:top w:val="single" w:color="auto" w:sz="4" w:space="0"/>
            </w:tcBorders>
            <w:noWrap/>
            <w:vAlign w:val="center"/>
          </w:tcPr>
          <w:p w14:paraId="0CF339DC">
            <w:pPr>
              <w:widowControl/>
              <w:ind w:firstLine="0" w:firstLineChars="0"/>
              <w:jc w:val="center"/>
              <w:textAlignment w:val="center"/>
              <w:rPr>
                <w:rFonts w:hint="default" w:ascii="Times New Roman" w:hAnsi="Times New Roman" w:eastAsia="黑体" w:cs="Times New Roman"/>
                <w:kern w:val="0"/>
                <w:sz w:val="28"/>
                <w:szCs w:val="28"/>
                <w:lang w:bidi="ar"/>
              </w:rPr>
            </w:pPr>
            <w:r>
              <w:rPr>
                <w:rFonts w:hint="default" w:ascii="Times New Roman" w:hAnsi="Times New Roman" w:eastAsia="黑体" w:cs="Times New Roman"/>
                <w:kern w:val="0"/>
                <w:sz w:val="28"/>
                <w:szCs w:val="28"/>
                <w:lang w:bidi="ar"/>
              </w:rPr>
              <w:t>C23</w:t>
            </w:r>
          </w:p>
        </w:tc>
        <w:tc>
          <w:tcPr>
            <w:tcW w:w="1066" w:type="pct"/>
            <w:tcBorders>
              <w:top w:val="single" w:color="auto" w:sz="4" w:space="0"/>
            </w:tcBorders>
            <w:noWrap/>
            <w:vAlign w:val="center"/>
          </w:tcPr>
          <w:p w14:paraId="69FF753A">
            <w:pPr>
              <w:widowControl/>
              <w:ind w:firstLine="0" w:firstLineChars="0"/>
              <w:jc w:val="center"/>
              <w:textAlignment w:val="center"/>
              <w:rPr>
                <w:rFonts w:hint="default" w:ascii="Times New Roman" w:hAnsi="Times New Roman" w:eastAsia="黑体" w:cs="Times New Roman"/>
                <w:sz w:val="28"/>
                <w:szCs w:val="28"/>
              </w:rPr>
            </w:pPr>
            <w:r>
              <w:rPr>
                <w:rFonts w:hint="default" w:ascii="Times New Roman" w:hAnsi="Times New Roman" w:cs="Times New Roman"/>
                <w:sz w:val="28"/>
                <w:szCs w:val="28"/>
              </w:rPr>
              <w:t>σ</w:t>
            </w:r>
            <w:r>
              <w:rPr>
                <w:rFonts w:hint="default" w:ascii="Times New Roman" w:hAnsi="Times New Roman" w:cs="Times New Roman"/>
                <w:sz w:val="28"/>
                <w:szCs w:val="28"/>
                <w:vertAlign w:val="subscript"/>
              </w:rPr>
              <w:t>om</w:t>
            </w:r>
            <w:r>
              <w:rPr>
                <w:rFonts w:hint="default" w:ascii="Times New Roman" w:hAnsi="Times New Roman" w:eastAsia="黑体" w:cs="Times New Roman"/>
                <w:kern w:val="0"/>
                <w:sz w:val="28"/>
                <w:szCs w:val="28"/>
                <w:lang w:bidi="ar"/>
              </w:rPr>
              <w:t xml:space="preserve"> (mN·m</w:t>
            </w:r>
            <w:r>
              <w:rPr>
                <w:rFonts w:hint="default" w:ascii="Times New Roman" w:hAnsi="Times New Roman" w:eastAsia="黑体" w:cs="Times New Roman"/>
                <w:kern w:val="0"/>
                <w:sz w:val="28"/>
                <w:szCs w:val="28"/>
                <w:vertAlign w:val="superscript"/>
                <w:lang w:bidi="ar"/>
              </w:rPr>
              <w:t>-1</w:t>
            </w:r>
            <w:r>
              <w:rPr>
                <w:rFonts w:hint="default" w:ascii="Times New Roman" w:hAnsi="Times New Roman" w:eastAsia="黑体" w:cs="Times New Roman"/>
                <w:kern w:val="0"/>
                <w:sz w:val="28"/>
                <w:szCs w:val="28"/>
                <w:lang w:bidi="ar"/>
              </w:rPr>
              <w:t>)</w:t>
            </w:r>
          </w:p>
        </w:tc>
        <w:tc>
          <w:tcPr>
            <w:tcW w:w="670" w:type="pct"/>
            <w:tcBorders>
              <w:top w:val="single" w:color="auto" w:sz="4" w:space="0"/>
            </w:tcBorders>
            <w:noWrap/>
            <w:vAlign w:val="center"/>
          </w:tcPr>
          <w:p w14:paraId="084116C7">
            <w:pPr>
              <w:widowControl/>
              <w:ind w:firstLine="0" w:firstLineChars="0"/>
              <w:jc w:val="center"/>
              <w:textAlignment w:val="center"/>
              <w:rPr>
                <w:rFonts w:hint="default" w:ascii="Times New Roman" w:hAnsi="Times New Roman" w:eastAsia="黑体" w:cs="Times New Roman"/>
                <w:sz w:val="28"/>
                <w:szCs w:val="28"/>
              </w:rPr>
            </w:pPr>
            <w:r>
              <w:rPr>
                <w:rFonts w:hint="default" w:ascii="Times New Roman" w:hAnsi="Times New Roman" w:eastAsia="黑体" w:cs="Times New Roman"/>
                <w:kern w:val="0"/>
                <w:sz w:val="28"/>
                <w:szCs w:val="28"/>
                <w:lang w:bidi="ar"/>
              </w:rPr>
              <w:t>4.08×10</w:t>
            </w:r>
            <w:r>
              <w:rPr>
                <w:rFonts w:hint="default" w:ascii="Times New Roman" w:hAnsi="Times New Roman" w:eastAsia="黑体" w:cs="Times New Roman"/>
                <w:kern w:val="0"/>
                <w:sz w:val="28"/>
                <w:szCs w:val="28"/>
                <w:vertAlign w:val="superscript"/>
                <w:lang w:bidi="ar"/>
              </w:rPr>
              <w:t>-5</w:t>
            </w:r>
          </w:p>
        </w:tc>
        <w:tc>
          <w:tcPr>
            <w:tcW w:w="670" w:type="pct"/>
            <w:tcBorders>
              <w:top w:val="single" w:color="auto" w:sz="4" w:space="0"/>
            </w:tcBorders>
            <w:noWrap/>
            <w:vAlign w:val="center"/>
          </w:tcPr>
          <w:p w14:paraId="44138890">
            <w:pPr>
              <w:widowControl/>
              <w:ind w:firstLine="0" w:firstLineChars="0"/>
              <w:jc w:val="center"/>
              <w:textAlignment w:val="center"/>
              <w:rPr>
                <w:rFonts w:hint="default" w:ascii="Times New Roman" w:hAnsi="Times New Roman" w:eastAsia="黑体" w:cs="Times New Roman"/>
                <w:sz w:val="28"/>
                <w:szCs w:val="28"/>
              </w:rPr>
            </w:pPr>
            <w:r>
              <w:rPr>
                <w:rFonts w:hint="default" w:ascii="Times New Roman" w:hAnsi="Times New Roman" w:eastAsia="黑体" w:cs="Times New Roman"/>
                <w:kern w:val="0"/>
                <w:sz w:val="28"/>
                <w:szCs w:val="28"/>
                <w:lang w:bidi="ar"/>
              </w:rPr>
              <w:t>1.88×10</w:t>
            </w:r>
            <w:r>
              <w:rPr>
                <w:rFonts w:hint="default" w:ascii="Times New Roman" w:hAnsi="Times New Roman" w:eastAsia="黑体" w:cs="Times New Roman"/>
                <w:kern w:val="0"/>
                <w:sz w:val="28"/>
                <w:szCs w:val="28"/>
                <w:vertAlign w:val="superscript"/>
                <w:lang w:bidi="ar"/>
              </w:rPr>
              <w:t>-4</w:t>
            </w:r>
          </w:p>
        </w:tc>
        <w:tc>
          <w:tcPr>
            <w:tcW w:w="670" w:type="pct"/>
            <w:tcBorders>
              <w:top w:val="single" w:color="auto" w:sz="4" w:space="0"/>
            </w:tcBorders>
            <w:noWrap/>
            <w:vAlign w:val="center"/>
          </w:tcPr>
          <w:p w14:paraId="3C6AE5F6">
            <w:pPr>
              <w:widowControl/>
              <w:ind w:firstLine="0" w:firstLineChars="0"/>
              <w:jc w:val="center"/>
              <w:textAlignment w:val="center"/>
              <w:rPr>
                <w:rFonts w:hint="default" w:ascii="Times New Roman" w:hAnsi="Times New Roman" w:eastAsia="黑体" w:cs="Times New Roman"/>
                <w:sz w:val="28"/>
                <w:szCs w:val="28"/>
              </w:rPr>
            </w:pPr>
            <w:r>
              <w:rPr>
                <w:rFonts w:hint="default" w:ascii="Times New Roman" w:hAnsi="Times New Roman" w:eastAsia="黑体" w:cs="Times New Roman"/>
                <w:kern w:val="0"/>
                <w:sz w:val="28"/>
                <w:szCs w:val="28"/>
                <w:lang w:bidi="ar"/>
              </w:rPr>
              <w:t>2.55×10</w:t>
            </w:r>
            <w:r>
              <w:rPr>
                <w:rFonts w:hint="default" w:ascii="Times New Roman" w:hAnsi="Times New Roman" w:eastAsia="黑体" w:cs="Times New Roman"/>
                <w:kern w:val="0"/>
                <w:sz w:val="28"/>
                <w:szCs w:val="28"/>
                <w:vertAlign w:val="superscript"/>
                <w:lang w:bidi="ar"/>
              </w:rPr>
              <w:t>-4</w:t>
            </w:r>
          </w:p>
        </w:tc>
        <w:tc>
          <w:tcPr>
            <w:tcW w:w="670" w:type="pct"/>
            <w:tcBorders>
              <w:top w:val="single" w:color="auto" w:sz="4" w:space="0"/>
            </w:tcBorders>
            <w:noWrap/>
            <w:vAlign w:val="center"/>
          </w:tcPr>
          <w:p w14:paraId="6C04EC8D">
            <w:pPr>
              <w:widowControl/>
              <w:ind w:firstLine="0" w:firstLineChars="0"/>
              <w:jc w:val="center"/>
              <w:textAlignment w:val="center"/>
              <w:rPr>
                <w:rFonts w:hint="default" w:ascii="Times New Roman" w:hAnsi="Times New Roman" w:eastAsia="黑体" w:cs="Times New Roman"/>
                <w:sz w:val="28"/>
                <w:szCs w:val="28"/>
              </w:rPr>
            </w:pPr>
            <w:r>
              <w:rPr>
                <w:rFonts w:hint="default" w:ascii="Times New Roman" w:hAnsi="Times New Roman" w:eastAsia="黑体" w:cs="Times New Roman"/>
                <w:kern w:val="0"/>
                <w:sz w:val="28"/>
                <w:szCs w:val="28"/>
                <w:lang w:bidi="ar"/>
              </w:rPr>
              <w:t>3.68×10</w:t>
            </w:r>
            <w:r>
              <w:rPr>
                <w:rFonts w:hint="default" w:ascii="Times New Roman" w:hAnsi="Times New Roman" w:eastAsia="黑体" w:cs="Times New Roman"/>
                <w:kern w:val="0"/>
                <w:sz w:val="28"/>
                <w:szCs w:val="28"/>
                <w:vertAlign w:val="superscript"/>
                <w:lang w:bidi="ar"/>
              </w:rPr>
              <w:t>-4</w:t>
            </w:r>
          </w:p>
        </w:tc>
        <w:tc>
          <w:tcPr>
            <w:tcW w:w="670" w:type="pct"/>
            <w:tcBorders>
              <w:top w:val="single" w:color="auto" w:sz="4" w:space="0"/>
            </w:tcBorders>
            <w:noWrap/>
            <w:vAlign w:val="center"/>
          </w:tcPr>
          <w:p w14:paraId="13F3C36E">
            <w:pPr>
              <w:widowControl/>
              <w:ind w:firstLine="0" w:firstLineChars="0"/>
              <w:jc w:val="center"/>
              <w:textAlignment w:val="center"/>
              <w:rPr>
                <w:rFonts w:hint="default" w:ascii="Times New Roman" w:hAnsi="Times New Roman" w:eastAsia="黑体" w:cs="Times New Roman"/>
                <w:sz w:val="28"/>
                <w:szCs w:val="28"/>
              </w:rPr>
            </w:pPr>
            <w:r>
              <w:rPr>
                <w:rFonts w:hint="default" w:ascii="Times New Roman" w:hAnsi="Times New Roman" w:eastAsia="黑体" w:cs="Times New Roman"/>
                <w:kern w:val="0"/>
                <w:sz w:val="28"/>
                <w:szCs w:val="28"/>
                <w:lang w:bidi="ar"/>
              </w:rPr>
              <w:t>7.5×10</w:t>
            </w:r>
            <w:r>
              <w:rPr>
                <w:rFonts w:hint="default" w:ascii="Times New Roman" w:hAnsi="Times New Roman" w:eastAsia="黑体" w:cs="Times New Roman"/>
                <w:kern w:val="0"/>
                <w:sz w:val="28"/>
                <w:szCs w:val="28"/>
                <w:vertAlign w:val="superscript"/>
                <w:lang w:bidi="ar"/>
              </w:rPr>
              <w:t>-4</w:t>
            </w:r>
          </w:p>
        </w:tc>
      </w:tr>
      <w:tr w14:paraId="53B7D5B6">
        <w:tblPrEx>
          <w:tblBorders>
            <w:top w:val="single" w:color="auto" w:sz="12"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80" w:type="pct"/>
            <w:vMerge w:val="continue"/>
            <w:tcBorders>
              <w:bottom w:val="nil"/>
            </w:tcBorders>
            <w:noWrap/>
            <w:vAlign w:val="center"/>
          </w:tcPr>
          <w:p w14:paraId="66A85865">
            <w:pPr>
              <w:widowControl/>
              <w:ind w:firstLine="0" w:firstLineChars="0"/>
              <w:jc w:val="center"/>
              <w:textAlignment w:val="center"/>
              <w:rPr>
                <w:rFonts w:hint="default" w:ascii="Times New Roman" w:hAnsi="Times New Roman" w:eastAsia="黑体" w:cs="Times New Roman"/>
                <w:kern w:val="0"/>
                <w:sz w:val="28"/>
                <w:szCs w:val="28"/>
                <w:lang w:bidi="ar"/>
              </w:rPr>
            </w:pPr>
          </w:p>
        </w:tc>
        <w:tc>
          <w:tcPr>
            <w:tcW w:w="1066" w:type="pct"/>
            <w:tcBorders>
              <w:bottom w:val="nil"/>
            </w:tcBorders>
            <w:noWrap/>
            <w:vAlign w:val="center"/>
          </w:tcPr>
          <w:p w14:paraId="6354005E">
            <w:pPr>
              <w:widowControl/>
              <w:ind w:firstLine="0" w:firstLineChars="0"/>
              <w:jc w:val="center"/>
              <w:textAlignment w:val="center"/>
              <w:rPr>
                <w:rFonts w:hint="default" w:ascii="Times New Roman" w:hAnsi="Times New Roman" w:eastAsia="黑体" w:cs="Times New Roman"/>
                <w:sz w:val="28"/>
                <w:szCs w:val="28"/>
              </w:rPr>
            </w:pPr>
            <w:r>
              <w:rPr>
                <w:rFonts w:hint="default" w:ascii="Times New Roman" w:hAnsi="Times New Roman" w:cs="Times New Roman"/>
                <w:sz w:val="28"/>
                <w:szCs w:val="28"/>
              </w:rPr>
              <w:t>σ</w:t>
            </w:r>
            <w:r>
              <w:rPr>
                <w:rFonts w:hint="default" w:ascii="Times New Roman" w:hAnsi="Times New Roman" w:cs="Times New Roman"/>
                <w:sz w:val="28"/>
                <w:szCs w:val="28"/>
                <w:vertAlign w:val="subscript"/>
              </w:rPr>
              <w:t>om</w:t>
            </w:r>
            <w:r>
              <w:rPr>
                <w:rFonts w:hint="default" w:ascii="Times New Roman" w:hAnsi="Times New Roman" w:eastAsia="黑体" w:cs="Times New Roman"/>
                <w:kern w:val="0"/>
                <w:sz w:val="28"/>
                <w:szCs w:val="28"/>
                <w:lang w:bidi="ar"/>
              </w:rPr>
              <w:t xml:space="preserve"> (mN·m</w:t>
            </w:r>
            <w:r>
              <w:rPr>
                <w:rFonts w:hint="default" w:ascii="Times New Roman" w:hAnsi="Times New Roman" w:eastAsia="黑体" w:cs="Times New Roman"/>
                <w:kern w:val="0"/>
                <w:sz w:val="28"/>
                <w:szCs w:val="28"/>
                <w:vertAlign w:val="superscript"/>
                <w:lang w:bidi="ar"/>
              </w:rPr>
              <w:t>-1</w:t>
            </w:r>
            <w:r>
              <w:rPr>
                <w:rFonts w:hint="default" w:ascii="Times New Roman" w:hAnsi="Times New Roman" w:eastAsia="黑体" w:cs="Times New Roman"/>
                <w:kern w:val="0"/>
                <w:sz w:val="28"/>
                <w:szCs w:val="28"/>
                <w:lang w:bidi="ar"/>
              </w:rPr>
              <w:t>)</w:t>
            </w:r>
          </w:p>
        </w:tc>
        <w:tc>
          <w:tcPr>
            <w:tcW w:w="670" w:type="pct"/>
            <w:tcBorders>
              <w:bottom w:val="nil"/>
            </w:tcBorders>
            <w:noWrap/>
            <w:vAlign w:val="center"/>
          </w:tcPr>
          <w:p w14:paraId="289F02A5">
            <w:pPr>
              <w:widowControl/>
              <w:ind w:firstLine="0" w:firstLineChars="0"/>
              <w:jc w:val="center"/>
              <w:textAlignment w:val="center"/>
              <w:rPr>
                <w:rFonts w:hint="default" w:ascii="Times New Roman" w:hAnsi="Times New Roman" w:eastAsia="黑体" w:cs="Times New Roman"/>
                <w:sz w:val="28"/>
                <w:szCs w:val="28"/>
              </w:rPr>
            </w:pPr>
            <w:r>
              <w:rPr>
                <w:rFonts w:hint="default" w:ascii="Times New Roman" w:hAnsi="Times New Roman" w:eastAsia="黑体" w:cs="Times New Roman"/>
                <w:kern w:val="0"/>
                <w:sz w:val="28"/>
                <w:szCs w:val="28"/>
                <w:lang w:bidi="ar"/>
              </w:rPr>
              <w:t>5.88×10</w:t>
            </w:r>
            <w:r>
              <w:rPr>
                <w:rFonts w:hint="default" w:ascii="Times New Roman" w:hAnsi="Times New Roman" w:eastAsia="黑体" w:cs="Times New Roman"/>
                <w:kern w:val="0"/>
                <w:sz w:val="28"/>
                <w:szCs w:val="28"/>
                <w:vertAlign w:val="superscript"/>
                <w:lang w:bidi="ar"/>
              </w:rPr>
              <w:t>-5</w:t>
            </w:r>
          </w:p>
        </w:tc>
        <w:tc>
          <w:tcPr>
            <w:tcW w:w="670" w:type="pct"/>
            <w:tcBorders>
              <w:bottom w:val="nil"/>
            </w:tcBorders>
            <w:noWrap/>
            <w:vAlign w:val="center"/>
          </w:tcPr>
          <w:p w14:paraId="77354E60">
            <w:pPr>
              <w:widowControl/>
              <w:ind w:firstLine="0" w:firstLineChars="0"/>
              <w:jc w:val="center"/>
              <w:textAlignment w:val="center"/>
              <w:rPr>
                <w:rFonts w:hint="default" w:ascii="Times New Roman" w:hAnsi="Times New Roman" w:eastAsia="黑体" w:cs="Times New Roman"/>
                <w:sz w:val="28"/>
                <w:szCs w:val="28"/>
              </w:rPr>
            </w:pPr>
            <w:r>
              <w:rPr>
                <w:rFonts w:hint="default" w:ascii="Times New Roman" w:hAnsi="Times New Roman" w:eastAsia="黑体" w:cs="Times New Roman"/>
                <w:kern w:val="0"/>
                <w:sz w:val="28"/>
                <w:szCs w:val="28"/>
                <w:lang w:bidi="ar"/>
              </w:rPr>
              <w:t>3.04×10</w:t>
            </w:r>
            <w:r>
              <w:rPr>
                <w:rFonts w:hint="default" w:ascii="Times New Roman" w:hAnsi="Times New Roman" w:eastAsia="黑体" w:cs="Times New Roman"/>
                <w:kern w:val="0"/>
                <w:sz w:val="28"/>
                <w:szCs w:val="28"/>
                <w:vertAlign w:val="superscript"/>
                <w:lang w:bidi="ar"/>
              </w:rPr>
              <w:t>-4</w:t>
            </w:r>
          </w:p>
        </w:tc>
        <w:tc>
          <w:tcPr>
            <w:tcW w:w="670" w:type="pct"/>
            <w:tcBorders>
              <w:bottom w:val="nil"/>
            </w:tcBorders>
            <w:noWrap/>
            <w:vAlign w:val="center"/>
          </w:tcPr>
          <w:p w14:paraId="530CC24B">
            <w:pPr>
              <w:widowControl/>
              <w:ind w:firstLine="0" w:firstLineChars="0"/>
              <w:jc w:val="center"/>
              <w:textAlignment w:val="center"/>
              <w:rPr>
                <w:rFonts w:hint="default" w:ascii="Times New Roman" w:hAnsi="Times New Roman" w:eastAsia="黑体" w:cs="Times New Roman"/>
                <w:sz w:val="28"/>
                <w:szCs w:val="28"/>
              </w:rPr>
            </w:pPr>
            <w:r>
              <w:rPr>
                <w:rFonts w:hint="default" w:ascii="Times New Roman" w:hAnsi="Times New Roman" w:eastAsia="黑体" w:cs="Times New Roman"/>
                <w:kern w:val="0"/>
                <w:sz w:val="28"/>
                <w:szCs w:val="28"/>
                <w:lang w:bidi="ar"/>
              </w:rPr>
              <w:t>3.68×10</w:t>
            </w:r>
            <w:r>
              <w:rPr>
                <w:rFonts w:hint="default" w:ascii="Times New Roman" w:hAnsi="Times New Roman" w:eastAsia="黑体" w:cs="Times New Roman"/>
                <w:kern w:val="0"/>
                <w:sz w:val="28"/>
                <w:szCs w:val="28"/>
                <w:vertAlign w:val="superscript"/>
                <w:lang w:bidi="ar"/>
              </w:rPr>
              <w:t>-4</w:t>
            </w:r>
          </w:p>
        </w:tc>
        <w:tc>
          <w:tcPr>
            <w:tcW w:w="670" w:type="pct"/>
            <w:tcBorders>
              <w:bottom w:val="nil"/>
            </w:tcBorders>
            <w:noWrap/>
            <w:vAlign w:val="center"/>
          </w:tcPr>
          <w:p w14:paraId="2B86962F">
            <w:pPr>
              <w:widowControl/>
              <w:ind w:firstLine="0" w:firstLineChars="0"/>
              <w:jc w:val="center"/>
              <w:textAlignment w:val="center"/>
              <w:rPr>
                <w:rFonts w:hint="default" w:ascii="Times New Roman" w:hAnsi="Times New Roman" w:eastAsia="黑体" w:cs="Times New Roman"/>
                <w:sz w:val="28"/>
                <w:szCs w:val="28"/>
              </w:rPr>
            </w:pPr>
            <w:r>
              <w:rPr>
                <w:rFonts w:hint="default" w:ascii="Times New Roman" w:hAnsi="Times New Roman" w:eastAsia="黑体" w:cs="Times New Roman"/>
                <w:kern w:val="0"/>
                <w:sz w:val="28"/>
                <w:szCs w:val="28"/>
                <w:lang w:bidi="ar"/>
              </w:rPr>
              <w:t>5.74×10</w:t>
            </w:r>
            <w:r>
              <w:rPr>
                <w:rFonts w:hint="default" w:ascii="Times New Roman" w:hAnsi="Times New Roman" w:eastAsia="黑体" w:cs="Times New Roman"/>
                <w:kern w:val="0"/>
                <w:sz w:val="28"/>
                <w:szCs w:val="28"/>
                <w:vertAlign w:val="superscript"/>
                <w:lang w:bidi="ar"/>
              </w:rPr>
              <w:t>-4</w:t>
            </w:r>
          </w:p>
        </w:tc>
        <w:tc>
          <w:tcPr>
            <w:tcW w:w="670" w:type="pct"/>
            <w:tcBorders>
              <w:bottom w:val="nil"/>
            </w:tcBorders>
            <w:noWrap/>
            <w:vAlign w:val="center"/>
          </w:tcPr>
          <w:p w14:paraId="653C41DE">
            <w:pPr>
              <w:widowControl/>
              <w:ind w:firstLine="0" w:firstLineChars="0"/>
              <w:jc w:val="center"/>
              <w:textAlignment w:val="center"/>
              <w:rPr>
                <w:rFonts w:hint="default" w:ascii="Times New Roman" w:hAnsi="Times New Roman" w:eastAsia="黑体" w:cs="Times New Roman"/>
                <w:sz w:val="28"/>
                <w:szCs w:val="28"/>
              </w:rPr>
            </w:pPr>
            <w:r>
              <w:rPr>
                <w:rFonts w:hint="default" w:ascii="Times New Roman" w:hAnsi="Times New Roman" w:eastAsia="黑体" w:cs="Times New Roman"/>
                <w:kern w:val="0"/>
                <w:sz w:val="28"/>
                <w:szCs w:val="28"/>
                <w:lang w:bidi="ar"/>
              </w:rPr>
              <w:t>1.02×10</w:t>
            </w:r>
            <w:r>
              <w:rPr>
                <w:rFonts w:hint="default" w:ascii="Times New Roman" w:hAnsi="Times New Roman" w:eastAsia="黑体" w:cs="Times New Roman"/>
                <w:kern w:val="0"/>
                <w:sz w:val="28"/>
                <w:szCs w:val="28"/>
                <w:vertAlign w:val="superscript"/>
                <w:lang w:bidi="ar"/>
              </w:rPr>
              <w:t>-3</w:t>
            </w:r>
          </w:p>
        </w:tc>
      </w:tr>
      <w:tr w14:paraId="3B433339">
        <w:tblPrEx>
          <w:tblBorders>
            <w:top w:val="single" w:color="auto" w:sz="12"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80" w:type="pct"/>
            <w:vMerge w:val="restart"/>
            <w:tcBorders>
              <w:top w:val="nil"/>
              <w:left w:val="nil"/>
            </w:tcBorders>
            <w:noWrap/>
            <w:vAlign w:val="center"/>
          </w:tcPr>
          <w:p w14:paraId="4E8E8ED1">
            <w:pPr>
              <w:widowControl/>
              <w:ind w:firstLine="0" w:firstLineChars="0"/>
              <w:jc w:val="center"/>
              <w:textAlignment w:val="center"/>
              <w:rPr>
                <w:rFonts w:hint="default" w:ascii="Times New Roman" w:hAnsi="Times New Roman" w:eastAsia="黑体" w:cs="Times New Roman"/>
                <w:kern w:val="0"/>
                <w:sz w:val="28"/>
                <w:szCs w:val="28"/>
                <w:lang w:bidi="ar"/>
              </w:rPr>
            </w:pPr>
            <w:r>
              <w:rPr>
                <w:rFonts w:hint="default" w:ascii="Times New Roman" w:hAnsi="Times New Roman" w:eastAsia="黑体" w:cs="Times New Roman"/>
                <w:kern w:val="0"/>
                <w:sz w:val="28"/>
                <w:szCs w:val="28"/>
                <w:lang w:bidi="ar"/>
              </w:rPr>
              <w:t>C11</w:t>
            </w:r>
          </w:p>
        </w:tc>
        <w:tc>
          <w:tcPr>
            <w:tcW w:w="1066" w:type="pct"/>
            <w:tcBorders>
              <w:top w:val="nil"/>
            </w:tcBorders>
            <w:noWrap/>
            <w:vAlign w:val="center"/>
          </w:tcPr>
          <w:p w14:paraId="4E09D0C0">
            <w:pPr>
              <w:widowControl/>
              <w:ind w:firstLine="0" w:firstLineChars="0"/>
              <w:jc w:val="center"/>
              <w:textAlignment w:val="center"/>
              <w:rPr>
                <w:rFonts w:hint="default" w:ascii="Times New Roman" w:hAnsi="Times New Roman" w:eastAsia="黑体" w:cs="Times New Roman"/>
                <w:sz w:val="28"/>
                <w:szCs w:val="28"/>
              </w:rPr>
            </w:pPr>
            <w:r>
              <w:rPr>
                <w:rFonts w:hint="default" w:ascii="Times New Roman" w:hAnsi="Times New Roman" w:cs="Times New Roman"/>
                <w:sz w:val="28"/>
                <w:szCs w:val="28"/>
              </w:rPr>
              <w:t>σ</w:t>
            </w:r>
            <w:r>
              <w:rPr>
                <w:rFonts w:hint="default" w:ascii="Times New Roman" w:hAnsi="Times New Roman" w:cs="Times New Roman"/>
                <w:sz w:val="28"/>
                <w:szCs w:val="28"/>
                <w:vertAlign w:val="subscript"/>
              </w:rPr>
              <w:t>om</w:t>
            </w:r>
            <w:r>
              <w:rPr>
                <w:rFonts w:hint="default" w:ascii="Times New Roman" w:hAnsi="Times New Roman" w:eastAsia="黑体" w:cs="Times New Roman"/>
                <w:kern w:val="0"/>
                <w:sz w:val="28"/>
                <w:szCs w:val="28"/>
                <w:lang w:bidi="ar"/>
              </w:rPr>
              <w:t xml:space="preserve"> (mN·m</w:t>
            </w:r>
            <w:r>
              <w:rPr>
                <w:rFonts w:hint="default" w:ascii="Times New Roman" w:hAnsi="Times New Roman" w:eastAsia="黑体" w:cs="Times New Roman"/>
                <w:kern w:val="0"/>
                <w:sz w:val="28"/>
                <w:szCs w:val="28"/>
                <w:vertAlign w:val="superscript"/>
                <w:lang w:bidi="ar"/>
              </w:rPr>
              <w:t>-1</w:t>
            </w:r>
            <w:r>
              <w:rPr>
                <w:rFonts w:hint="default" w:ascii="Times New Roman" w:hAnsi="Times New Roman" w:eastAsia="黑体" w:cs="Times New Roman"/>
                <w:kern w:val="0"/>
                <w:sz w:val="28"/>
                <w:szCs w:val="28"/>
                <w:lang w:bidi="ar"/>
              </w:rPr>
              <w:t>)</w:t>
            </w:r>
          </w:p>
        </w:tc>
        <w:tc>
          <w:tcPr>
            <w:tcW w:w="670" w:type="pct"/>
            <w:tcBorders>
              <w:top w:val="nil"/>
            </w:tcBorders>
            <w:noWrap/>
            <w:vAlign w:val="center"/>
          </w:tcPr>
          <w:p w14:paraId="699A3402">
            <w:pPr>
              <w:widowControl/>
              <w:ind w:firstLine="0" w:firstLineChars="0"/>
              <w:jc w:val="center"/>
              <w:textAlignment w:val="center"/>
              <w:rPr>
                <w:rFonts w:hint="default" w:ascii="Times New Roman" w:hAnsi="Times New Roman" w:eastAsia="黑体" w:cs="Times New Roman"/>
                <w:sz w:val="28"/>
                <w:szCs w:val="28"/>
              </w:rPr>
            </w:pPr>
            <w:r>
              <w:rPr>
                <w:rFonts w:hint="default" w:ascii="Times New Roman" w:hAnsi="Times New Roman" w:eastAsia="黑体" w:cs="Times New Roman"/>
                <w:kern w:val="0"/>
                <w:sz w:val="28"/>
                <w:szCs w:val="28"/>
                <w:lang w:bidi="ar"/>
              </w:rPr>
              <w:t>4.08×10</w:t>
            </w:r>
            <w:r>
              <w:rPr>
                <w:rFonts w:hint="default" w:ascii="Times New Roman" w:hAnsi="Times New Roman" w:eastAsia="黑体" w:cs="Times New Roman"/>
                <w:kern w:val="0"/>
                <w:sz w:val="28"/>
                <w:szCs w:val="28"/>
                <w:vertAlign w:val="superscript"/>
                <w:lang w:bidi="ar"/>
              </w:rPr>
              <w:t>-5</w:t>
            </w:r>
          </w:p>
        </w:tc>
        <w:tc>
          <w:tcPr>
            <w:tcW w:w="670" w:type="pct"/>
            <w:tcBorders>
              <w:top w:val="nil"/>
            </w:tcBorders>
            <w:noWrap/>
            <w:vAlign w:val="center"/>
          </w:tcPr>
          <w:p w14:paraId="5BCA1DE5">
            <w:pPr>
              <w:widowControl/>
              <w:ind w:firstLine="0" w:firstLineChars="0"/>
              <w:jc w:val="center"/>
              <w:textAlignment w:val="center"/>
              <w:rPr>
                <w:rFonts w:hint="default" w:ascii="Times New Roman" w:hAnsi="Times New Roman" w:eastAsia="黑体" w:cs="Times New Roman"/>
                <w:sz w:val="28"/>
                <w:szCs w:val="28"/>
              </w:rPr>
            </w:pPr>
            <w:r>
              <w:rPr>
                <w:rFonts w:hint="default" w:ascii="Times New Roman" w:hAnsi="Times New Roman" w:eastAsia="黑体" w:cs="Times New Roman"/>
                <w:kern w:val="0"/>
                <w:sz w:val="28"/>
                <w:szCs w:val="28"/>
                <w:lang w:bidi="ar"/>
              </w:rPr>
              <w:t>3.04×10</w:t>
            </w:r>
            <w:r>
              <w:rPr>
                <w:rFonts w:hint="default" w:ascii="Times New Roman" w:hAnsi="Times New Roman" w:eastAsia="黑体" w:cs="Times New Roman"/>
                <w:kern w:val="0"/>
                <w:sz w:val="28"/>
                <w:szCs w:val="28"/>
                <w:vertAlign w:val="superscript"/>
                <w:lang w:bidi="ar"/>
              </w:rPr>
              <w:t>-4</w:t>
            </w:r>
          </w:p>
        </w:tc>
        <w:tc>
          <w:tcPr>
            <w:tcW w:w="670" w:type="pct"/>
            <w:tcBorders>
              <w:top w:val="nil"/>
            </w:tcBorders>
            <w:noWrap/>
            <w:vAlign w:val="center"/>
          </w:tcPr>
          <w:p w14:paraId="73E9CCFB">
            <w:pPr>
              <w:widowControl/>
              <w:ind w:firstLine="0" w:firstLineChars="0"/>
              <w:jc w:val="center"/>
              <w:textAlignment w:val="center"/>
              <w:rPr>
                <w:rFonts w:hint="default" w:ascii="Times New Roman" w:hAnsi="Times New Roman" w:eastAsia="黑体" w:cs="Times New Roman"/>
                <w:sz w:val="28"/>
                <w:szCs w:val="28"/>
              </w:rPr>
            </w:pPr>
            <w:r>
              <w:rPr>
                <w:rFonts w:hint="default" w:ascii="Times New Roman" w:hAnsi="Times New Roman" w:eastAsia="黑体" w:cs="Times New Roman"/>
                <w:kern w:val="0"/>
                <w:sz w:val="28"/>
                <w:szCs w:val="28"/>
                <w:lang w:bidi="ar"/>
              </w:rPr>
              <w:t>3.68×10</w:t>
            </w:r>
            <w:r>
              <w:rPr>
                <w:rFonts w:hint="default" w:ascii="Times New Roman" w:hAnsi="Times New Roman" w:eastAsia="黑体" w:cs="Times New Roman"/>
                <w:kern w:val="0"/>
                <w:sz w:val="28"/>
                <w:szCs w:val="28"/>
                <w:vertAlign w:val="superscript"/>
                <w:lang w:bidi="ar"/>
              </w:rPr>
              <w:t>-4</w:t>
            </w:r>
          </w:p>
        </w:tc>
        <w:tc>
          <w:tcPr>
            <w:tcW w:w="670" w:type="pct"/>
            <w:tcBorders>
              <w:top w:val="nil"/>
            </w:tcBorders>
            <w:noWrap/>
            <w:vAlign w:val="center"/>
          </w:tcPr>
          <w:p w14:paraId="6B699D83">
            <w:pPr>
              <w:widowControl/>
              <w:ind w:firstLine="0" w:firstLineChars="0"/>
              <w:jc w:val="center"/>
              <w:textAlignment w:val="center"/>
              <w:rPr>
                <w:rFonts w:hint="default" w:ascii="Times New Roman" w:hAnsi="Times New Roman" w:eastAsia="黑体" w:cs="Times New Roman"/>
                <w:sz w:val="28"/>
                <w:szCs w:val="28"/>
              </w:rPr>
            </w:pPr>
            <w:r>
              <w:rPr>
                <w:rFonts w:hint="default" w:ascii="Times New Roman" w:hAnsi="Times New Roman" w:eastAsia="黑体" w:cs="Times New Roman"/>
                <w:kern w:val="0"/>
                <w:sz w:val="28"/>
                <w:szCs w:val="28"/>
                <w:lang w:bidi="ar"/>
              </w:rPr>
              <w:t>4.54×10</w:t>
            </w:r>
            <w:r>
              <w:rPr>
                <w:rFonts w:hint="default" w:ascii="Times New Roman" w:hAnsi="Times New Roman" w:eastAsia="黑体" w:cs="Times New Roman"/>
                <w:kern w:val="0"/>
                <w:sz w:val="28"/>
                <w:szCs w:val="28"/>
                <w:vertAlign w:val="superscript"/>
                <w:lang w:bidi="ar"/>
              </w:rPr>
              <w:t>-4</w:t>
            </w:r>
          </w:p>
        </w:tc>
        <w:tc>
          <w:tcPr>
            <w:tcW w:w="670" w:type="pct"/>
            <w:tcBorders>
              <w:top w:val="nil"/>
              <w:right w:val="nil"/>
            </w:tcBorders>
            <w:noWrap/>
            <w:vAlign w:val="center"/>
          </w:tcPr>
          <w:p w14:paraId="4DCC8CD2">
            <w:pPr>
              <w:widowControl/>
              <w:ind w:firstLine="0" w:firstLineChars="0"/>
              <w:jc w:val="center"/>
              <w:textAlignment w:val="center"/>
              <w:rPr>
                <w:rFonts w:hint="default" w:ascii="Times New Roman" w:hAnsi="Times New Roman" w:eastAsia="黑体" w:cs="Times New Roman"/>
                <w:sz w:val="28"/>
                <w:szCs w:val="28"/>
              </w:rPr>
            </w:pPr>
            <w:r>
              <w:rPr>
                <w:rFonts w:hint="default" w:ascii="Times New Roman" w:hAnsi="Times New Roman" w:eastAsia="黑体" w:cs="Times New Roman"/>
                <w:kern w:val="0"/>
                <w:sz w:val="28"/>
                <w:szCs w:val="28"/>
                <w:lang w:bidi="ar"/>
              </w:rPr>
              <w:t>1.47×10</w:t>
            </w:r>
            <w:r>
              <w:rPr>
                <w:rFonts w:hint="default" w:ascii="Times New Roman" w:hAnsi="Times New Roman" w:eastAsia="黑体" w:cs="Times New Roman"/>
                <w:kern w:val="0"/>
                <w:sz w:val="28"/>
                <w:szCs w:val="28"/>
                <w:vertAlign w:val="superscript"/>
                <w:lang w:bidi="ar"/>
              </w:rPr>
              <w:t>-3</w:t>
            </w:r>
          </w:p>
        </w:tc>
      </w:tr>
      <w:tr w14:paraId="66A8F9B5">
        <w:tblPrEx>
          <w:tblBorders>
            <w:top w:val="single" w:color="auto" w:sz="12"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80" w:type="pct"/>
            <w:vMerge w:val="continue"/>
            <w:tcBorders>
              <w:left w:val="nil"/>
              <w:bottom w:val="single" w:color="auto" w:sz="12" w:space="0"/>
            </w:tcBorders>
            <w:noWrap/>
            <w:vAlign w:val="center"/>
          </w:tcPr>
          <w:p w14:paraId="1C10F0DE">
            <w:pPr>
              <w:widowControl/>
              <w:ind w:firstLine="0" w:firstLineChars="0"/>
              <w:jc w:val="center"/>
              <w:textAlignment w:val="center"/>
              <w:rPr>
                <w:rFonts w:hint="default" w:ascii="Times New Roman" w:hAnsi="Times New Roman" w:eastAsia="黑体" w:cs="Times New Roman"/>
                <w:kern w:val="0"/>
                <w:sz w:val="28"/>
                <w:szCs w:val="28"/>
                <w:lang w:bidi="ar"/>
              </w:rPr>
            </w:pPr>
          </w:p>
        </w:tc>
        <w:tc>
          <w:tcPr>
            <w:tcW w:w="1066" w:type="pct"/>
            <w:tcBorders>
              <w:bottom w:val="single" w:color="auto" w:sz="12" w:space="0"/>
            </w:tcBorders>
            <w:noWrap/>
            <w:vAlign w:val="center"/>
          </w:tcPr>
          <w:p w14:paraId="50F54259">
            <w:pPr>
              <w:widowControl/>
              <w:ind w:firstLine="0" w:firstLineChars="0"/>
              <w:jc w:val="center"/>
              <w:textAlignment w:val="center"/>
              <w:rPr>
                <w:rFonts w:hint="default" w:ascii="Times New Roman" w:hAnsi="Times New Roman" w:eastAsia="黑体" w:cs="Times New Roman"/>
                <w:sz w:val="28"/>
                <w:szCs w:val="28"/>
              </w:rPr>
            </w:pPr>
            <w:r>
              <w:rPr>
                <w:rFonts w:hint="default" w:ascii="Times New Roman" w:hAnsi="Times New Roman" w:cs="Times New Roman"/>
                <w:sz w:val="28"/>
                <w:szCs w:val="28"/>
              </w:rPr>
              <w:t>σ</w:t>
            </w:r>
            <w:r>
              <w:rPr>
                <w:rFonts w:hint="default" w:ascii="Times New Roman" w:hAnsi="Times New Roman" w:cs="Times New Roman"/>
                <w:sz w:val="28"/>
                <w:szCs w:val="28"/>
                <w:vertAlign w:val="subscript"/>
              </w:rPr>
              <w:t>om</w:t>
            </w:r>
            <w:r>
              <w:rPr>
                <w:rFonts w:hint="default" w:ascii="Times New Roman" w:hAnsi="Times New Roman" w:eastAsia="黑体" w:cs="Times New Roman"/>
                <w:kern w:val="0"/>
                <w:sz w:val="28"/>
                <w:szCs w:val="28"/>
                <w:lang w:bidi="ar"/>
              </w:rPr>
              <w:t xml:space="preserve"> (mN·m</w:t>
            </w:r>
            <w:r>
              <w:rPr>
                <w:rFonts w:hint="default" w:ascii="Times New Roman" w:hAnsi="Times New Roman" w:eastAsia="黑体" w:cs="Times New Roman"/>
                <w:kern w:val="0"/>
                <w:sz w:val="28"/>
                <w:szCs w:val="28"/>
                <w:vertAlign w:val="superscript"/>
                <w:lang w:bidi="ar"/>
              </w:rPr>
              <w:t>-1</w:t>
            </w:r>
            <w:r>
              <w:rPr>
                <w:rFonts w:hint="default" w:ascii="Times New Roman" w:hAnsi="Times New Roman" w:eastAsia="黑体" w:cs="Times New Roman"/>
                <w:kern w:val="0"/>
                <w:sz w:val="28"/>
                <w:szCs w:val="28"/>
                <w:lang w:bidi="ar"/>
              </w:rPr>
              <w:t>)</w:t>
            </w:r>
          </w:p>
        </w:tc>
        <w:tc>
          <w:tcPr>
            <w:tcW w:w="670" w:type="pct"/>
            <w:tcBorders>
              <w:bottom w:val="single" w:color="auto" w:sz="12" w:space="0"/>
            </w:tcBorders>
            <w:noWrap/>
            <w:vAlign w:val="center"/>
          </w:tcPr>
          <w:p w14:paraId="6BFF3808">
            <w:pPr>
              <w:widowControl/>
              <w:ind w:firstLine="0" w:firstLineChars="0"/>
              <w:jc w:val="center"/>
              <w:textAlignment w:val="center"/>
              <w:rPr>
                <w:rFonts w:hint="default" w:ascii="Times New Roman" w:hAnsi="Times New Roman" w:eastAsia="黑体" w:cs="Times New Roman"/>
                <w:sz w:val="28"/>
                <w:szCs w:val="28"/>
              </w:rPr>
            </w:pPr>
            <w:r>
              <w:rPr>
                <w:rFonts w:hint="default" w:ascii="Times New Roman" w:hAnsi="Times New Roman" w:eastAsia="黑体" w:cs="Times New Roman"/>
                <w:kern w:val="0"/>
                <w:sz w:val="28"/>
                <w:szCs w:val="28"/>
                <w:lang w:bidi="ar"/>
              </w:rPr>
              <w:t>1.02×10</w:t>
            </w:r>
            <w:r>
              <w:rPr>
                <w:rFonts w:hint="default" w:ascii="Times New Roman" w:hAnsi="Times New Roman" w:eastAsia="黑体" w:cs="Times New Roman"/>
                <w:kern w:val="0"/>
                <w:sz w:val="28"/>
                <w:szCs w:val="28"/>
                <w:vertAlign w:val="superscript"/>
                <w:lang w:bidi="ar"/>
              </w:rPr>
              <w:t>-4</w:t>
            </w:r>
          </w:p>
        </w:tc>
        <w:tc>
          <w:tcPr>
            <w:tcW w:w="670" w:type="pct"/>
            <w:tcBorders>
              <w:bottom w:val="single" w:color="auto" w:sz="12" w:space="0"/>
            </w:tcBorders>
            <w:noWrap/>
            <w:vAlign w:val="center"/>
          </w:tcPr>
          <w:p w14:paraId="391573BB">
            <w:pPr>
              <w:widowControl/>
              <w:ind w:firstLine="0" w:firstLineChars="0"/>
              <w:jc w:val="center"/>
              <w:textAlignment w:val="center"/>
              <w:rPr>
                <w:rFonts w:hint="default" w:ascii="Times New Roman" w:hAnsi="Times New Roman" w:eastAsia="黑体" w:cs="Times New Roman"/>
                <w:sz w:val="28"/>
                <w:szCs w:val="28"/>
              </w:rPr>
            </w:pPr>
            <w:r>
              <w:rPr>
                <w:rFonts w:hint="default" w:ascii="Times New Roman" w:hAnsi="Times New Roman" w:eastAsia="黑体" w:cs="Times New Roman"/>
                <w:kern w:val="0"/>
                <w:sz w:val="28"/>
                <w:szCs w:val="28"/>
                <w:lang w:bidi="ar"/>
              </w:rPr>
              <w:t>5.74×10</w:t>
            </w:r>
            <w:r>
              <w:rPr>
                <w:rFonts w:hint="default" w:ascii="Times New Roman" w:hAnsi="Times New Roman" w:eastAsia="黑体" w:cs="Times New Roman"/>
                <w:kern w:val="0"/>
                <w:sz w:val="28"/>
                <w:szCs w:val="28"/>
                <w:vertAlign w:val="superscript"/>
                <w:lang w:bidi="ar"/>
              </w:rPr>
              <w:t>-4</w:t>
            </w:r>
          </w:p>
        </w:tc>
        <w:tc>
          <w:tcPr>
            <w:tcW w:w="670" w:type="pct"/>
            <w:tcBorders>
              <w:bottom w:val="single" w:color="auto" w:sz="12" w:space="0"/>
            </w:tcBorders>
            <w:noWrap/>
            <w:vAlign w:val="center"/>
          </w:tcPr>
          <w:p w14:paraId="0705AB46">
            <w:pPr>
              <w:widowControl/>
              <w:ind w:firstLine="0" w:firstLineChars="0"/>
              <w:jc w:val="center"/>
              <w:textAlignment w:val="center"/>
              <w:rPr>
                <w:rFonts w:hint="default" w:ascii="Times New Roman" w:hAnsi="Times New Roman" w:eastAsia="黑体" w:cs="Times New Roman"/>
                <w:sz w:val="28"/>
                <w:szCs w:val="28"/>
              </w:rPr>
            </w:pPr>
            <w:r>
              <w:rPr>
                <w:rFonts w:hint="default" w:ascii="Times New Roman" w:hAnsi="Times New Roman" w:eastAsia="黑体" w:cs="Times New Roman"/>
                <w:kern w:val="0"/>
                <w:sz w:val="28"/>
                <w:szCs w:val="28"/>
                <w:lang w:bidi="ar"/>
              </w:rPr>
              <w:t>5.74×10</w:t>
            </w:r>
            <w:r>
              <w:rPr>
                <w:rFonts w:hint="default" w:ascii="Times New Roman" w:hAnsi="Times New Roman" w:eastAsia="黑体" w:cs="Times New Roman"/>
                <w:kern w:val="0"/>
                <w:sz w:val="28"/>
                <w:szCs w:val="28"/>
                <w:vertAlign w:val="superscript"/>
                <w:lang w:bidi="ar"/>
              </w:rPr>
              <w:t>-4</w:t>
            </w:r>
          </w:p>
        </w:tc>
        <w:tc>
          <w:tcPr>
            <w:tcW w:w="670" w:type="pct"/>
            <w:tcBorders>
              <w:bottom w:val="single" w:color="auto" w:sz="12" w:space="0"/>
            </w:tcBorders>
            <w:noWrap/>
            <w:vAlign w:val="center"/>
          </w:tcPr>
          <w:p w14:paraId="7F8843D7">
            <w:pPr>
              <w:widowControl/>
              <w:ind w:firstLine="0" w:firstLineChars="0"/>
              <w:jc w:val="center"/>
              <w:textAlignment w:val="center"/>
              <w:rPr>
                <w:rFonts w:hint="default" w:ascii="Times New Roman" w:hAnsi="Times New Roman" w:eastAsia="黑体" w:cs="Times New Roman"/>
                <w:sz w:val="28"/>
                <w:szCs w:val="28"/>
              </w:rPr>
            </w:pPr>
            <w:r>
              <w:rPr>
                <w:rFonts w:hint="default" w:ascii="Times New Roman" w:hAnsi="Times New Roman" w:eastAsia="黑体" w:cs="Times New Roman"/>
                <w:kern w:val="0"/>
                <w:sz w:val="28"/>
                <w:szCs w:val="28"/>
                <w:lang w:bidi="ar"/>
              </w:rPr>
              <w:t>2.30×10</w:t>
            </w:r>
            <w:r>
              <w:rPr>
                <w:rFonts w:hint="default" w:ascii="Times New Roman" w:hAnsi="Times New Roman" w:eastAsia="黑体" w:cs="Times New Roman"/>
                <w:kern w:val="0"/>
                <w:sz w:val="28"/>
                <w:szCs w:val="28"/>
                <w:vertAlign w:val="superscript"/>
                <w:lang w:bidi="ar"/>
              </w:rPr>
              <w:t>-3</w:t>
            </w:r>
          </w:p>
        </w:tc>
        <w:tc>
          <w:tcPr>
            <w:tcW w:w="670" w:type="pct"/>
            <w:tcBorders>
              <w:bottom w:val="single" w:color="auto" w:sz="12" w:space="0"/>
              <w:right w:val="nil"/>
            </w:tcBorders>
            <w:noWrap/>
            <w:vAlign w:val="center"/>
          </w:tcPr>
          <w:p w14:paraId="299F7DC7">
            <w:pPr>
              <w:widowControl/>
              <w:ind w:firstLine="0" w:firstLineChars="0"/>
              <w:jc w:val="center"/>
              <w:textAlignment w:val="center"/>
              <w:rPr>
                <w:rFonts w:hint="default" w:ascii="Times New Roman" w:hAnsi="Times New Roman" w:eastAsia="黑体" w:cs="Times New Roman"/>
                <w:sz w:val="28"/>
                <w:szCs w:val="28"/>
              </w:rPr>
            </w:pPr>
            <w:r>
              <w:rPr>
                <w:rFonts w:hint="default" w:ascii="Times New Roman" w:hAnsi="Times New Roman" w:eastAsia="黑体" w:cs="Times New Roman"/>
                <w:kern w:val="0"/>
                <w:sz w:val="28"/>
                <w:szCs w:val="28"/>
                <w:lang w:bidi="ar"/>
              </w:rPr>
              <w:t>0.15</w:t>
            </w:r>
          </w:p>
        </w:tc>
      </w:tr>
    </w:tbl>
    <w:p w14:paraId="7B807A5A">
      <w:pPr>
        <w:widowControl/>
        <w:ind w:firstLine="709" w:firstLineChars="0"/>
        <w:rPr>
          <w:rFonts w:hint="default" w:ascii="Times New Roman" w:hAnsi="Times New Roman" w:cs="Times New Roman"/>
          <w:sz w:val="28"/>
          <w:szCs w:val="28"/>
        </w:rPr>
      </w:pPr>
    </w:p>
    <w:p w14:paraId="0AE2DA97">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826" w:name="_Toc31415"/>
      <w:bookmarkStart w:id="827" w:name="_Toc880"/>
      <w:bookmarkStart w:id="828" w:name="_Toc22059"/>
      <w:bookmarkStart w:id="829" w:name="_Toc11591"/>
      <w:bookmarkStart w:id="830" w:name="_Toc1243"/>
      <w:bookmarkStart w:id="831" w:name="_Toc4729"/>
      <w:bookmarkStart w:id="832" w:name="_Toc28682"/>
      <w:r>
        <w:rPr>
          <w:rFonts w:hint="default" w:ascii="Times New Roman" w:hAnsi="Times New Roman" w:cs="Times New Roman"/>
          <w:i w:val="0"/>
          <w:iCs w:val="0"/>
          <w:sz w:val="28"/>
          <w:szCs w:val="28"/>
        </w:rPr>
        <w:t>5.3.6 Wettability alteration</w:t>
      </w:r>
      <w:bookmarkEnd w:id="826"/>
      <w:bookmarkEnd w:id="827"/>
      <w:bookmarkEnd w:id="828"/>
      <w:bookmarkEnd w:id="829"/>
      <w:bookmarkEnd w:id="830"/>
      <w:bookmarkEnd w:id="831"/>
      <w:bookmarkEnd w:id="832"/>
    </w:p>
    <w:p w14:paraId="3BE88B21">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Wettability alteration, playing a crucial role in EOR, was confirmed by measuring the contact angle between core slice and droplet at 25 ℃ as displayed in Figure</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t>5-9.</w:t>
      </w:r>
    </w:p>
    <w:p w14:paraId="632E3446">
      <w:pPr>
        <w:widowControl/>
        <w:ind w:firstLine="709" w:firstLineChars="0"/>
        <w:rPr>
          <w:rFonts w:hint="default" w:ascii="Times New Roman" w:hAnsi="Times New Roman" w:cs="Times New Roman"/>
          <w:sz w:val="28"/>
          <w:szCs w:val="28"/>
        </w:rPr>
      </w:pPr>
    </w:p>
    <w:p w14:paraId="7E983F9C">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5457825" cy="1017905"/>
            <wp:effectExtent l="0" t="0" r="9525" b="1079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74"/>
                    <a:stretch>
                      <a:fillRect/>
                    </a:stretch>
                  </pic:blipFill>
                  <pic:spPr>
                    <a:xfrm>
                      <a:off x="0" y="0"/>
                      <a:ext cx="5457825" cy="1017905"/>
                    </a:xfrm>
                    <a:prstGeom prst="rect">
                      <a:avLst/>
                    </a:prstGeom>
                    <a:noFill/>
                    <a:ln>
                      <a:noFill/>
                    </a:ln>
                  </pic:spPr>
                </pic:pic>
              </a:graphicData>
            </a:graphic>
          </wp:inline>
        </w:drawing>
      </w:r>
    </w:p>
    <w:p w14:paraId="31CD503D">
      <w:pPr>
        <w:widowControl/>
        <w:ind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Figure 5.9 – Contact angle between slice and droplet: (a)-Primitive contact angle before treatment; (b)-Contact angle treated by compound C23; (c)-Contact angle treated by compound C11</w:t>
      </w:r>
      <w:r>
        <w:rPr>
          <w:rFonts w:hint="default" w:ascii="Times New Roman" w:hAnsi="Times New Roman" w:cs="Times New Roman"/>
          <w:sz w:val="28"/>
          <w:szCs w:val="28"/>
          <w:lang w:val="en-US" w:eastAsia="zh-CN"/>
        </w:rPr>
        <w:t>.</w:t>
      </w:r>
    </w:p>
    <w:p w14:paraId="2C8C04B6">
      <w:pPr>
        <w:widowControl/>
        <w:ind w:firstLine="709" w:firstLineChars="0"/>
        <w:rPr>
          <w:rFonts w:hint="default" w:ascii="Times New Roman" w:hAnsi="Times New Roman" w:cs="Times New Roman"/>
          <w:sz w:val="28"/>
          <w:szCs w:val="28"/>
        </w:rPr>
      </w:pPr>
    </w:p>
    <w:p w14:paraId="129D77B6">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As shown in Figure 5.9, the contact angles of core slices treated with the mixed surfactant solutions C23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=2:3) and C11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=1:1) were reduced from the initial hydrophobic value of 108.5° to 83.79° and 75.87°, respectively, indicating a significant alteration of surface wettability from hydrophobic to more hydrophilic. This wettability change can be attributed to the formation of a thin wetting film on the slice surface, which arises from the displacement of adsorbed oil and the subsequent coverage by surfactant molecules [165,179]. The establishment of this wetting film enhances the interaction between the surfactant and the solid surface, thereby modifying the surface energy and promoting water affinity. In the context of oil-wet reservoirs, such wettability alteration plays a critical role in mobilizing residual oil by stripping it from the pore surfaces and converting capillary forces from resistive to driving forces, thus facilitating the infiltration of injected fluids into the pore throats and improving displacement efficiency [160,165]. Conversely, in water-wet reservoirs, the intrusion of external aqueous phase fluids often results in the formation of concave oil-phase menisci, which generate capillary resistance that hinders fluid flow, as described by the classical Capillary Equation [165,187]. Compared to C11, the C23 compound system exhibits both lower interfacial tension (IFT) and a higher contact angle, indicating a stronger ability to alter wettability and a greater potential to reduce capillary resistance. These combined effects suggest that C23 is more effective in enhancing fluid penetration into pore networks, thereby contributing to improved oil recovery efficiency in both oil-wet and mixed-wettability reservoir conditions.</w:t>
      </w:r>
    </w:p>
    <w:p w14:paraId="3E06406F">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833" w:name="_Toc24693"/>
      <w:bookmarkStart w:id="834" w:name="_Toc32021"/>
      <w:bookmarkStart w:id="835" w:name="_Toc21578"/>
      <w:bookmarkStart w:id="836" w:name="_Toc3942"/>
      <w:bookmarkStart w:id="837" w:name="_Toc18234"/>
      <w:bookmarkStart w:id="838" w:name="_Toc875"/>
      <w:bookmarkStart w:id="839" w:name="_Toc18920"/>
      <w:r>
        <w:rPr>
          <w:rFonts w:hint="default" w:ascii="Times New Roman" w:hAnsi="Times New Roman" w:cs="Times New Roman"/>
          <w:i w:val="0"/>
          <w:iCs w:val="0"/>
          <w:sz w:val="28"/>
          <w:szCs w:val="28"/>
        </w:rPr>
        <w:t>5.3.7 Adsorption performance</w:t>
      </w:r>
      <w:bookmarkEnd w:id="833"/>
      <w:bookmarkEnd w:id="834"/>
      <w:bookmarkEnd w:id="835"/>
      <w:bookmarkEnd w:id="836"/>
      <w:bookmarkEnd w:id="837"/>
      <w:bookmarkEnd w:id="838"/>
      <w:bookmarkEnd w:id="839"/>
    </w:p>
    <w:p w14:paraId="10E2A876">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The adsorption of surfactant molecules on the rock surface is a</w:t>
      </w:r>
      <w:r>
        <w:rPr>
          <w:rFonts w:hint="eastAsia" w:cs="Times New Roman"/>
          <w:sz w:val="28"/>
          <w:szCs w:val="28"/>
          <w:lang w:val="en-US" w:eastAsia="zh-CN"/>
        </w:rPr>
        <w:t>n</w:t>
      </w:r>
      <w:r>
        <w:rPr>
          <w:rFonts w:hint="default" w:ascii="Times New Roman" w:hAnsi="Times New Roman" w:cs="Times New Roman"/>
          <w:sz w:val="28"/>
          <w:szCs w:val="28"/>
        </w:rPr>
        <w:t xml:space="preserve"> important factor which can affect the efficiency of the surfactant flooding process [158,165,188]. Thereupon, the adsorption of two mixture</w:t>
      </w:r>
      <w:r>
        <w:rPr>
          <w:rFonts w:hint="eastAsia" w:cs="Times New Roman"/>
          <w:sz w:val="28"/>
          <w:szCs w:val="28"/>
          <w:lang w:val="en-US" w:eastAsia="zh-CN"/>
        </w:rPr>
        <w:t>s</w:t>
      </w:r>
      <w:r>
        <w:rPr>
          <w:rFonts w:hint="default" w:ascii="Times New Roman" w:hAnsi="Times New Roman" w:cs="Times New Roman"/>
          <w:sz w:val="28"/>
          <w:szCs w:val="28"/>
        </w:rPr>
        <w:t xml:space="preserve"> on rock surface was investigated as Figure 5.10 illustrated.</w:t>
      </w:r>
    </w:p>
    <w:p w14:paraId="62656AF1">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As shown in Figure 5.10, the mass fraction of surfactant in the solution gradually decreases with time, indicating that adsorption of surfactant molecules onto the sandstone surface occurs progressively. The adsorption process is particularly rapid during the first 48 hours, suggesting that the majority of surfactant–surface interactions take place within this period. Furthermore, increasing the molar ratio of the Gemini surfactant 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in the mixture significantly enhances the adsorption on the sandstone surface, demonstrating that 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exhibits a stronger affinity for solid surfaces compared to the zwitterionic surfactant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This preferential adsorption can be attributed to the dual-head, dual-tail structure of the Gemini surfactant, which facilitates tighter packing and stronger interaction with the substrate [165]. Importantly, the adsorption behavior of the surfactants is closely related to the wettability alteration of the sandstone surface. As surfactant molecules accumulate at the solid–liquid interface, they displace adsorbed oil and modify the surface energy, promoting a shift in wettability from oil-wet toward water-wet conditions. This observation highlights the critical role of surfactant adsorption not only in controlling interfacial properties but also in enhancing the efficiency of residual oil mobilization during chemical flooding processes [165,189,190].</w:t>
      </w:r>
    </w:p>
    <w:p w14:paraId="67C4829B">
      <w:pPr>
        <w:widowControl/>
        <w:ind w:firstLine="709" w:firstLineChars="0"/>
        <w:rPr>
          <w:rFonts w:hint="default" w:ascii="Times New Roman" w:hAnsi="Times New Roman" w:cs="Times New Roman"/>
          <w:sz w:val="28"/>
          <w:szCs w:val="28"/>
        </w:rPr>
      </w:pPr>
    </w:p>
    <w:tbl>
      <w:tblPr>
        <w:tblStyle w:val="1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56"/>
        <w:gridCol w:w="4266"/>
      </w:tblGrid>
      <w:tr w14:paraId="2EF04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256" w:type="dxa"/>
          </w:tcPr>
          <w:p w14:paraId="78D35317">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2544445" cy="1908175"/>
                  <wp:effectExtent l="0" t="0" r="0" b="15875"/>
                  <wp:docPr id="6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2"/>
                          <pic:cNvPicPr>
                            <a:picLocks noChangeAspect="1"/>
                          </pic:cNvPicPr>
                        </pic:nvPicPr>
                        <pic:blipFill>
                          <a:blip r:embed="rId75"/>
                          <a:stretch>
                            <a:fillRect/>
                          </a:stretch>
                        </pic:blipFill>
                        <pic:spPr>
                          <a:xfrm>
                            <a:off x="0" y="0"/>
                            <a:ext cx="2544445" cy="1908175"/>
                          </a:xfrm>
                          <a:prstGeom prst="rect">
                            <a:avLst/>
                          </a:prstGeom>
                          <a:noFill/>
                          <a:ln>
                            <a:noFill/>
                          </a:ln>
                        </pic:spPr>
                      </pic:pic>
                    </a:graphicData>
                  </a:graphic>
                </wp:inline>
              </w:drawing>
            </w:r>
          </w:p>
        </w:tc>
        <w:tc>
          <w:tcPr>
            <w:tcW w:w="4266" w:type="dxa"/>
          </w:tcPr>
          <w:p w14:paraId="5E2790F1">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2559050" cy="1908175"/>
                  <wp:effectExtent l="0" t="0" r="12700" b="15875"/>
                  <wp:docPr id="6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3"/>
                          <pic:cNvPicPr>
                            <a:picLocks noChangeAspect="1"/>
                          </pic:cNvPicPr>
                        </pic:nvPicPr>
                        <pic:blipFill>
                          <a:blip r:embed="rId76"/>
                          <a:stretch>
                            <a:fillRect/>
                          </a:stretch>
                        </pic:blipFill>
                        <pic:spPr>
                          <a:xfrm>
                            <a:off x="0" y="0"/>
                            <a:ext cx="2559050" cy="1908175"/>
                          </a:xfrm>
                          <a:prstGeom prst="rect">
                            <a:avLst/>
                          </a:prstGeom>
                          <a:noFill/>
                          <a:ln>
                            <a:noFill/>
                          </a:ln>
                        </pic:spPr>
                      </pic:pic>
                    </a:graphicData>
                  </a:graphic>
                </wp:inline>
              </w:drawing>
            </w:r>
          </w:p>
        </w:tc>
      </w:tr>
      <w:tr w14:paraId="667FE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2" w:type="dxa"/>
            <w:gridSpan w:val="2"/>
          </w:tcPr>
          <w:p w14:paraId="525A1FB9">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Figure 5.10 – Standard curve of absorbance vs concentration and curve of calculated mass fraction vs time</w:t>
            </w:r>
          </w:p>
        </w:tc>
      </w:tr>
    </w:tbl>
    <w:p w14:paraId="54907602">
      <w:pPr>
        <w:widowControl/>
        <w:ind w:firstLine="709" w:firstLineChars="0"/>
        <w:rPr>
          <w:rFonts w:hint="default" w:ascii="Times New Roman" w:hAnsi="Times New Roman" w:cs="Times New Roman"/>
          <w:sz w:val="28"/>
          <w:szCs w:val="28"/>
        </w:rPr>
      </w:pPr>
    </w:p>
    <w:p w14:paraId="450C1427">
      <w:pPr>
        <w:pStyle w:val="4"/>
        <w:keepNext w:val="0"/>
        <w:keepLines w:val="0"/>
        <w:widowControl/>
        <w:spacing w:line="240" w:lineRule="auto"/>
        <w:ind w:firstLine="709"/>
        <w:jc w:val="both"/>
        <w:rPr>
          <w:rFonts w:hint="default" w:ascii="Times New Roman" w:hAnsi="Times New Roman" w:cs="Times New Roman"/>
          <w:sz w:val="28"/>
          <w:szCs w:val="28"/>
        </w:rPr>
      </w:pPr>
      <w:bookmarkStart w:id="840" w:name="_Toc1478"/>
      <w:bookmarkStart w:id="841" w:name="_Toc20582"/>
      <w:r>
        <w:rPr>
          <w:rFonts w:hint="default" w:ascii="Times New Roman" w:hAnsi="Times New Roman" w:cs="Times New Roman"/>
          <w:sz w:val="28"/>
          <w:szCs w:val="28"/>
        </w:rPr>
        <w:t>5.3.8 Comparative Study of Two Optimal Compound Systems</w:t>
      </w:r>
      <w:bookmarkEnd w:id="840"/>
      <w:bookmarkEnd w:id="841"/>
    </w:p>
    <w:p w14:paraId="7B6DE572">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 systematic comparison between the optimized extended amphoteric/nonionic system (C12A) and the extended amphoteric/gemini cationic system (C23) was carried out to reveal their structure–performance differences in high-salinity and low-permeability reservoirs.</w:t>
      </w:r>
    </w:p>
    <w:p w14:paraId="420838FB">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In terms of intermolecular interactions, the C23 system exhibits significantly stronger synergistic effects and more negative interaction parameters (Figure 5.11) owing to the intense electrostatic attraction between the oppositely charged headgroups of the amphoteric surfactant and the gemini cationic surfactant, leading to superior molecular assembly and arrangement at the air–water interface.</w:t>
      </w:r>
    </w:p>
    <w:p w14:paraId="012123D9">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For interfacial activity (Figure 5.12), both systems can achieve ultra-low oil–water interfacial tension at the level of 10</w:t>
      </w:r>
      <w:r>
        <w:rPr>
          <w:rFonts w:hint="default" w:ascii="Times New Roman" w:hAnsi="Times New Roman" w:cs="Times New Roman"/>
          <w:sz w:val="28"/>
          <w:szCs w:val="28"/>
          <w:vertAlign w:val="superscript"/>
        </w:rPr>
        <w:t>-3</w:t>
      </w:r>
      <w:r>
        <w:rPr>
          <w:rFonts w:hint="default" w:ascii="Times New Roman" w:hAnsi="Times New Roman" w:cs="Times New Roman"/>
          <w:sz w:val="28"/>
          <w:szCs w:val="28"/>
        </w:rPr>
        <w:t xml:space="preserve">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at 10 wt% salinity, and C23 shows higher sensitivity to salt concentration and more remarkable interfacial activity under high-salinity conditions. In the aspect of emulsification performance, C23 generates smaller and more uniformly distributed emulsion droplets with higher zeta potential (Figure 5.13) and stronger emulsion stability, thus presenting superior ability in dispersing and carrying crude oil. In wettability alteration (Figure 5.15), C23 also effectively reverses the core surface from oil-wet to water-wet and helps strip residual oil from pore walls. In summary, the C23 system displays excellent performance in key aspects including molecular interaction, interfacial tension reduction, emulsifying stability and wettability modification, which theoretically endows it with promising potential for high-efficiency oil displacement. Unexpectedly, core flooding results (Figure 5.14) show that the incremental oil recovery of C23 is only 12.20%, which is obviously lower than 15.25% of the C12A system. This inconsistency indicates that interfacial and emulsifying properties are not the sole determinants of final oil displacement efficiency, and other crucial factors in porous media flow may significantly restrict the practical performance of the C23 system. To clarify the intrinsic mechanism responsible for this gap, adsorption experiments were further conducted on the two optimized systems to characterize the retention behavior of surfactants on rock surfaces and its influence on oil recovery.</w:t>
      </w:r>
    </w:p>
    <w:p w14:paraId="65D12E64">
      <w:pPr>
        <w:widowControl/>
        <w:ind w:firstLine="709" w:firstLineChars="0"/>
        <w:rPr>
          <w:rFonts w:hint="default" w:ascii="Times New Roman" w:hAnsi="Times New Roman" w:cs="Times New Roman"/>
          <w:sz w:val="28"/>
          <w:szCs w:val="28"/>
        </w:rPr>
      </w:pPr>
    </w:p>
    <w:tbl>
      <w:tblPr>
        <w:tblStyle w:val="1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38"/>
        <w:gridCol w:w="4577"/>
      </w:tblGrid>
      <w:tr w14:paraId="49C17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336" w:type="dxa"/>
          </w:tcPr>
          <w:p w14:paraId="507EC4AF">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2554605" cy="1979930"/>
                  <wp:effectExtent l="0" t="0" r="17145" b="0"/>
                  <wp:docPr id="7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25"/>
                          <pic:cNvPicPr>
                            <a:picLocks noChangeAspect="1"/>
                          </pic:cNvPicPr>
                        </pic:nvPicPr>
                        <pic:blipFill>
                          <a:blip r:embed="rId77"/>
                          <a:stretch>
                            <a:fillRect/>
                          </a:stretch>
                        </pic:blipFill>
                        <pic:spPr>
                          <a:xfrm>
                            <a:off x="0" y="0"/>
                            <a:ext cx="2554605" cy="1979930"/>
                          </a:xfrm>
                          <a:prstGeom prst="rect">
                            <a:avLst/>
                          </a:prstGeom>
                          <a:noFill/>
                          <a:ln>
                            <a:noFill/>
                          </a:ln>
                        </pic:spPr>
                      </pic:pic>
                    </a:graphicData>
                  </a:graphic>
                </wp:inline>
              </w:drawing>
            </w:r>
          </w:p>
        </w:tc>
        <w:tc>
          <w:tcPr>
            <w:tcW w:w="4384" w:type="dxa"/>
          </w:tcPr>
          <w:p w14:paraId="2A4C3CB3">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2637790" cy="1979930"/>
                  <wp:effectExtent l="0" t="0" r="10160" b="0"/>
                  <wp:docPr id="7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5"/>
                          <pic:cNvPicPr>
                            <a:picLocks noChangeAspect="1"/>
                          </pic:cNvPicPr>
                        </pic:nvPicPr>
                        <pic:blipFill>
                          <a:blip r:embed="rId78"/>
                          <a:stretch>
                            <a:fillRect/>
                          </a:stretch>
                        </pic:blipFill>
                        <pic:spPr>
                          <a:xfrm>
                            <a:off x="0" y="0"/>
                            <a:ext cx="2637790" cy="1979930"/>
                          </a:xfrm>
                          <a:prstGeom prst="rect">
                            <a:avLst/>
                          </a:prstGeom>
                          <a:noFill/>
                          <a:ln>
                            <a:noFill/>
                          </a:ln>
                        </pic:spPr>
                      </pic:pic>
                    </a:graphicData>
                  </a:graphic>
                </wp:inline>
              </w:drawing>
            </w:r>
          </w:p>
        </w:tc>
      </w:tr>
      <w:tr w14:paraId="37BDF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336" w:type="dxa"/>
          </w:tcPr>
          <w:p w14:paraId="1D32BABD">
            <w:pPr>
              <w:widowControl/>
              <w:ind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Figure 5.11 – Interaction parameter curve of two optimal compound systems</w:t>
            </w:r>
            <w:r>
              <w:rPr>
                <w:rFonts w:hint="default" w:ascii="Times New Roman" w:hAnsi="Times New Roman" w:cs="Times New Roman"/>
                <w:sz w:val="28"/>
                <w:szCs w:val="28"/>
                <w:lang w:val="en-US" w:eastAsia="zh-CN"/>
              </w:rPr>
              <w:t>.</w:t>
            </w:r>
          </w:p>
        </w:tc>
        <w:tc>
          <w:tcPr>
            <w:tcW w:w="4384" w:type="dxa"/>
          </w:tcPr>
          <w:p w14:paraId="3E32A3AD">
            <w:pPr>
              <w:widowControl/>
              <w:ind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Figure 5.12 – Comparison of interfacial tension of two optimal systems</w:t>
            </w:r>
            <w:r>
              <w:rPr>
                <w:rFonts w:hint="default" w:ascii="Times New Roman" w:hAnsi="Times New Roman" w:cs="Times New Roman"/>
                <w:sz w:val="28"/>
                <w:szCs w:val="28"/>
                <w:lang w:val="en-US" w:eastAsia="zh-CN"/>
              </w:rPr>
              <w:t>.</w:t>
            </w:r>
          </w:p>
        </w:tc>
      </w:tr>
      <w:tr w14:paraId="1D7A2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336" w:type="dxa"/>
            <w:vAlign w:val="center"/>
          </w:tcPr>
          <w:p w14:paraId="0D588A85">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2617470" cy="1979930"/>
                  <wp:effectExtent l="0" t="0" r="0" b="0"/>
                  <wp:docPr id="80"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27"/>
                          <pic:cNvPicPr>
                            <a:picLocks noChangeAspect="1"/>
                          </pic:cNvPicPr>
                        </pic:nvPicPr>
                        <pic:blipFill>
                          <a:blip r:embed="rId79"/>
                          <a:stretch>
                            <a:fillRect/>
                          </a:stretch>
                        </pic:blipFill>
                        <pic:spPr>
                          <a:xfrm>
                            <a:off x="0" y="0"/>
                            <a:ext cx="2617470" cy="1979930"/>
                          </a:xfrm>
                          <a:prstGeom prst="rect">
                            <a:avLst/>
                          </a:prstGeom>
                          <a:noFill/>
                          <a:ln>
                            <a:noFill/>
                          </a:ln>
                        </pic:spPr>
                      </pic:pic>
                    </a:graphicData>
                  </a:graphic>
                </wp:inline>
              </w:drawing>
            </w:r>
          </w:p>
        </w:tc>
        <w:tc>
          <w:tcPr>
            <w:tcW w:w="4384" w:type="dxa"/>
            <w:vAlign w:val="center"/>
          </w:tcPr>
          <w:p w14:paraId="18C6CB83">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2769235" cy="1979930"/>
                  <wp:effectExtent l="0" t="0" r="0" b="1270"/>
                  <wp:docPr id="7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6"/>
                          <pic:cNvPicPr>
                            <a:picLocks noChangeAspect="1"/>
                          </pic:cNvPicPr>
                        </pic:nvPicPr>
                        <pic:blipFill>
                          <a:blip r:embed="rId80"/>
                          <a:stretch>
                            <a:fillRect/>
                          </a:stretch>
                        </pic:blipFill>
                        <pic:spPr>
                          <a:xfrm>
                            <a:off x="0" y="0"/>
                            <a:ext cx="2769235" cy="1979930"/>
                          </a:xfrm>
                          <a:prstGeom prst="rect">
                            <a:avLst/>
                          </a:prstGeom>
                          <a:noFill/>
                          <a:ln>
                            <a:noFill/>
                          </a:ln>
                        </pic:spPr>
                      </pic:pic>
                    </a:graphicData>
                  </a:graphic>
                </wp:inline>
              </w:drawing>
            </w:r>
          </w:p>
        </w:tc>
      </w:tr>
      <w:tr w14:paraId="64F77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336" w:type="dxa"/>
            <w:vAlign w:val="center"/>
          </w:tcPr>
          <w:p w14:paraId="723AC0FF">
            <w:pPr>
              <w:widowControl/>
              <w:ind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Figure 5.13 – The zeta potential of C23 and C12A compound systems</w:t>
            </w:r>
            <w:r>
              <w:rPr>
                <w:rFonts w:hint="default" w:ascii="Times New Roman" w:hAnsi="Times New Roman" w:cs="Times New Roman"/>
                <w:sz w:val="28"/>
                <w:szCs w:val="28"/>
                <w:lang w:val="en-US" w:eastAsia="zh-CN"/>
              </w:rPr>
              <w:t>.</w:t>
            </w:r>
          </w:p>
        </w:tc>
        <w:tc>
          <w:tcPr>
            <w:tcW w:w="4384" w:type="dxa"/>
            <w:vAlign w:val="center"/>
          </w:tcPr>
          <w:p w14:paraId="530AEB73">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Figure 5.14 – Oil displacement efficiency of two optimal systems</w:t>
            </w:r>
            <w:r>
              <w:rPr>
                <w:rFonts w:hint="default" w:ascii="Times New Roman" w:hAnsi="Times New Roman" w:cs="Times New Roman"/>
                <w:sz w:val="28"/>
                <w:szCs w:val="28"/>
                <w:lang w:val="en-US" w:eastAsia="zh-CN"/>
              </w:rPr>
              <w:t>.</w:t>
            </w:r>
          </w:p>
        </w:tc>
      </w:tr>
      <w:tr w14:paraId="0667D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720" w:type="dxa"/>
            <w:gridSpan w:val="2"/>
            <w:vAlign w:val="center"/>
          </w:tcPr>
          <w:p w14:paraId="054A172D">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5394960" cy="1029970"/>
                  <wp:effectExtent l="0" t="0" r="0" b="17780"/>
                  <wp:docPr id="81"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28"/>
                          <pic:cNvPicPr>
                            <a:picLocks noChangeAspect="1"/>
                          </pic:cNvPicPr>
                        </pic:nvPicPr>
                        <pic:blipFill>
                          <a:blip r:embed="rId81"/>
                          <a:stretch>
                            <a:fillRect/>
                          </a:stretch>
                        </pic:blipFill>
                        <pic:spPr>
                          <a:xfrm>
                            <a:off x="0" y="0"/>
                            <a:ext cx="5394960" cy="1029970"/>
                          </a:xfrm>
                          <a:prstGeom prst="rect">
                            <a:avLst/>
                          </a:prstGeom>
                          <a:noFill/>
                          <a:ln>
                            <a:noFill/>
                          </a:ln>
                        </pic:spPr>
                      </pic:pic>
                    </a:graphicData>
                  </a:graphic>
                </wp:inline>
              </w:drawing>
            </w:r>
          </w:p>
        </w:tc>
      </w:tr>
      <w:tr w14:paraId="32D37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720" w:type="dxa"/>
            <w:gridSpan w:val="2"/>
            <w:vAlign w:val="center"/>
          </w:tcPr>
          <w:p w14:paraId="57C4C557">
            <w:pPr>
              <w:widowControl/>
              <w:ind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Figure 5.15 – Contact angle between core and droplet: (a)-Contact angle before treatment; (b)-Contact angle after treated by C23; (c)-Contact angle after treated by C12A</w:t>
            </w:r>
            <w:r>
              <w:rPr>
                <w:rFonts w:hint="default" w:ascii="Times New Roman" w:hAnsi="Times New Roman" w:cs="Times New Roman"/>
                <w:sz w:val="28"/>
                <w:szCs w:val="28"/>
                <w:lang w:val="en-US" w:eastAsia="zh-CN"/>
              </w:rPr>
              <w:t>.</w:t>
            </w:r>
          </w:p>
        </w:tc>
      </w:tr>
    </w:tbl>
    <w:p w14:paraId="763AFEAB">
      <w:pPr>
        <w:widowControl/>
        <w:ind w:firstLine="709" w:firstLineChars="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eastAsia="zh-CN"/>
        </w:rPr>
        <w:t xml:space="preserve"> </w:t>
      </w:r>
    </w:p>
    <w:tbl>
      <w:tblPr>
        <w:tblStyle w:val="1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96"/>
        <w:gridCol w:w="3096"/>
        <w:gridCol w:w="3066"/>
      </w:tblGrid>
      <w:tr w14:paraId="6DB99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16" w:type="dxa"/>
          </w:tcPr>
          <w:p w14:paraId="2663E110">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1816100" cy="1367790"/>
                  <wp:effectExtent l="0" t="0" r="12700" b="0"/>
                  <wp:docPr id="8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4"/>
                          <pic:cNvPicPr>
                            <a:picLocks noChangeAspect="1"/>
                          </pic:cNvPicPr>
                        </pic:nvPicPr>
                        <pic:blipFill>
                          <a:blip r:embed="rId82"/>
                          <a:stretch>
                            <a:fillRect/>
                          </a:stretch>
                        </pic:blipFill>
                        <pic:spPr>
                          <a:xfrm>
                            <a:off x="0" y="0"/>
                            <a:ext cx="1816100" cy="1367790"/>
                          </a:xfrm>
                          <a:prstGeom prst="rect">
                            <a:avLst/>
                          </a:prstGeom>
                          <a:noFill/>
                          <a:ln>
                            <a:noFill/>
                          </a:ln>
                        </pic:spPr>
                      </pic:pic>
                    </a:graphicData>
                  </a:graphic>
                </wp:inline>
              </w:drawing>
            </w:r>
          </w:p>
        </w:tc>
        <w:tc>
          <w:tcPr>
            <w:tcW w:w="2916" w:type="dxa"/>
          </w:tcPr>
          <w:p w14:paraId="60BDFB73">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1818640" cy="1367790"/>
                  <wp:effectExtent l="0" t="0" r="10160" b="0"/>
                  <wp:docPr id="8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5"/>
                          <pic:cNvPicPr>
                            <a:picLocks noChangeAspect="1"/>
                          </pic:cNvPicPr>
                        </pic:nvPicPr>
                        <pic:blipFill>
                          <a:blip r:embed="rId83"/>
                          <a:stretch>
                            <a:fillRect/>
                          </a:stretch>
                        </pic:blipFill>
                        <pic:spPr>
                          <a:xfrm>
                            <a:off x="0" y="0"/>
                            <a:ext cx="1818640" cy="1367790"/>
                          </a:xfrm>
                          <a:prstGeom prst="rect">
                            <a:avLst/>
                          </a:prstGeom>
                          <a:noFill/>
                          <a:ln>
                            <a:noFill/>
                          </a:ln>
                        </pic:spPr>
                      </pic:pic>
                    </a:graphicData>
                  </a:graphic>
                </wp:inline>
              </w:drawing>
            </w:r>
          </w:p>
        </w:tc>
        <w:tc>
          <w:tcPr>
            <w:tcW w:w="2888" w:type="dxa"/>
          </w:tcPr>
          <w:p w14:paraId="73646668">
            <w:pPr>
              <w:widowControl/>
              <w:ind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1807210" cy="1367790"/>
                  <wp:effectExtent l="0" t="0" r="2540" b="3810"/>
                  <wp:docPr id="8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6"/>
                          <pic:cNvPicPr>
                            <a:picLocks noChangeAspect="1"/>
                          </pic:cNvPicPr>
                        </pic:nvPicPr>
                        <pic:blipFill>
                          <a:blip r:embed="rId84"/>
                          <a:stretch>
                            <a:fillRect/>
                          </a:stretch>
                        </pic:blipFill>
                        <pic:spPr>
                          <a:xfrm>
                            <a:off x="0" y="0"/>
                            <a:ext cx="1807210" cy="1367790"/>
                          </a:xfrm>
                          <a:prstGeom prst="rect">
                            <a:avLst/>
                          </a:prstGeom>
                          <a:noFill/>
                          <a:ln>
                            <a:noFill/>
                          </a:ln>
                        </pic:spPr>
                      </pic:pic>
                    </a:graphicData>
                  </a:graphic>
                </wp:inline>
              </w:drawing>
            </w:r>
          </w:p>
        </w:tc>
      </w:tr>
      <w:tr w14:paraId="326C2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720" w:type="dxa"/>
            <w:gridSpan w:val="3"/>
          </w:tcPr>
          <w:p w14:paraId="04259FB2">
            <w:pPr>
              <w:widowControl/>
              <w:ind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Figure 5.16 – Standard curve of absorbance vs concentration (a), curve of calculated mass fraction (b) and IFT (c) of two optimal systems after adsorption as a function of time</w:t>
            </w:r>
            <w:r>
              <w:rPr>
                <w:rFonts w:hint="default" w:ascii="Times New Roman" w:hAnsi="Times New Roman" w:cs="Times New Roman"/>
                <w:sz w:val="28"/>
                <w:szCs w:val="28"/>
                <w:lang w:val="en-US" w:eastAsia="zh-CN"/>
              </w:rPr>
              <w:t>.</w:t>
            </w:r>
          </w:p>
        </w:tc>
      </w:tr>
    </w:tbl>
    <w:p w14:paraId="7B309ADD">
      <w:pPr>
        <w:widowControl/>
        <w:ind w:firstLine="709" w:firstLineChars="0"/>
        <w:rPr>
          <w:rFonts w:hint="default" w:ascii="Times New Roman" w:hAnsi="Times New Roman" w:cs="Times New Roman"/>
          <w:sz w:val="28"/>
          <w:szCs w:val="28"/>
        </w:rPr>
      </w:pPr>
    </w:p>
    <w:p w14:paraId="12B21C2E">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It is obvious in Figure 5.16(a) that the mass fraction of surfactant in the aqueous phase decreases progressively with time, clearly indicating the occurrence of surfactant adsorption onto the sandstone surface. It is evident that the majority of adsorption takes place within the first 48 h, after which the adsorption rate slows down and approaches equilibrium. This behavior suggests a rapid initial occupation of active surface sites followed by a gradual saturation of adsorption capacity. And a clear difference in adsorption behavior is also observed between the two compound surfactant systems.</w:t>
      </w:r>
    </w:p>
    <w:p w14:paraId="55EFC8FB">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As shown in Figure 5.16(a), the adsorption of the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system (extended amphoteric–Gemini cationic surfactant) is significantly higher than that of the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NS–APG</w:t>
      </w:r>
      <w:r>
        <w:rPr>
          <w:rFonts w:hint="default" w:ascii="Times New Roman" w:hAnsi="Times New Roman" w:cs="Times New Roman"/>
          <w:sz w:val="28"/>
          <w:szCs w:val="28"/>
          <w:vertAlign w:val="subscript"/>
        </w:rPr>
        <w:t>0810</w:t>
      </w:r>
      <w:r>
        <w:rPr>
          <w:rFonts w:hint="default" w:ascii="Times New Roman" w:hAnsi="Times New Roman" w:cs="Times New Roman"/>
          <w:sz w:val="28"/>
          <w:szCs w:val="28"/>
        </w:rPr>
        <w:t xml:space="preserve"> system (extended amphoteric–nonionic surfactant). This result indicates that 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exhibits a stronger affinity for the sandstone surface than APG</w:t>
      </w:r>
      <w:r>
        <w:rPr>
          <w:rFonts w:hint="default" w:ascii="Times New Roman" w:hAnsi="Times New Roman" w:cs="Times New Roman"/>
          <w:sz w:val="28"/>
          <w:szCs w:val="28"/>
          <w:vertAlign w:val="subscript"/>
        </w:rPr>
        <w:t>0810</w:t>
      </w:r>
      <w:r>
        <w:rPr>
          <w:rFonts w:hint="default" w:ascii="Times New Roman" w:hAnsi="Times New Roman" w:cs="Times New Roman"/>
          <w:sz w:val="28"/>
          <w:szCs w:val="28"/>
        </w:rPr>
        <w:t>. The enhanced adsorption of the Gemini cationic surfactant can be attributed to its dual cationic headgroups and flexible spacer, which provide stronger electrostatic attraction to the negatively charged sandstone surface, as well as improved surface packing density [132,165]. In contrast, the nonionic APG</w:t>
      </w:r>
      <w:r>
        <w:rPr>
          <w:rFonts w:hint="default" w:ascii="Times New Roman" w:hAnsi="Times New Roman" w:cs="Times New Roman"/>
          <w:sz w:val="28"/>
          <w:szCs w:val="28"/>
          <w:vertAlign w:val="subscript"/>
        </w:rPr>
        <w:t>0810</w:t>
      </w:r>
      <w:r>
        <w:rPr>
          <w:rFonts w:hint="default" w:ascii="Times New Roman" w:hAnsi="Times New Roman" w:cs="Times New Roman"/>
          <w:sz w:val="28"/>
          <w:szCs w:val="28"/>
        </w:rPr>
        <w:t xml:space="preserve"> interacts with the mineral surface mainly through weaker hydrogen bonding and vanderWaals forces, resulting in lower adsorption. The preferential adsorption of 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therefore plays a crucial role in modifying the surface properties of sandstone and contributes more effectively to wettability alteration and residual oil mobilization. Correspondingly, Figure 5.16(b) presents the variation of interfacial tension (IFT) between oil and the surfactant solution over time, which exhibits a strong correlation with the adsorption behavior observed in Figure 5.16(b). The IFT values of both systems increase rapidly within the initial 24 h and then gradually stabilize, mirroring the kinetic trend of surfactant adsorption. Specifically, the C12A system (extended amphoteric–nonionic surfactant) reaches a higher equilibrium IFT (approximately 0.78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compared to the C23 system (approximately 0.65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which is consistent with the lower adsorption capacity of the former. The preferential adsorption of 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 xml:space="preserve"> leads to a more substantial reduction in the effective surfactant concentration available at the oil–water interface, thereby weakening the interfacial activity and resulting in a relatively higher equilibrium IFT. Conversely, the weaker adsorption of APG</w:t>
      </w:r>
      <w:r>
        <w:rPr>
          <w:rFonts w:hint="default" w:ascii="Times New Roman" w:hAnsi="Times New Roman" w:cs="Times New Roman"/>
          <w:sz w:val="28"/>
          <w:szCs w:val="28"/>
          <w:vertAlign w:val="subscript"/>
        </w:rPr>
        <w:t>0810</w:t>
      </w:r>
      <w:r>
        <w:rPr>
          <w:rFonts w:hint="default" w:ascii="Times New Roman" w:hAnsi="Times New Roman" w:cs="Times New Roman"/>
          <w:sz w:val="28"/>
          <w:szCs w:val="28"/>
        </w:rPr>
        <w:t xml:space="preserve"> preserves a higher concentration of surface-active species in the bulk solution, enabling more efficient reduction of interfacial tension. This inverse relationship between surfactant adsorption and IFT further confirms that the competitive adsorption behavior of surfactant components directly governs the interfacial properties of the system, which is of great significance for evaluating the efficiency of oil displacement and residual oil mobilization in practical applications.</w:t>
      </w:r>
    </w:p>
    <w:p w14:paraId="6AFE2ED5">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842" w:name="_Toc17574"/>
      <w:r>
        <w:rPr>
          <w:rFonts w:hint="default" w:ascii="Times New Roman" w:hAnsi="Times New Roman" w:cs="Times New Roman"/>
          <w:i w:val="0"/>
          <w:iCs w:val="0"/>
          <w:sz w:val="28"/>
          <w:szCs w:val="28"/>
        </w:rPr>
        <w:t>5.3.9 Mechanism summary for EOR</w:t>
      </w:r>
      <w:bookmarkEnd w:id="842"/>
    </w:p>
    <w:p w14:paraId="34577F91">
      <w:pPr>
        <w:widowControl/>
        <w:autoSpaceDE w:val="0"/>
        <w:autoSpaceDN w:val="0"/>
        <w:adjustRightInd w:val="0"/>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By comprehensively analyzing the above experimental results, the mechanism of depressurization and EOR can be clearly summarized as follows. Ultra-low interfacial tension (IFT) is beneficial for reducing the adhesive force and starting pressure of residual oil, thereby facilitating the displacement of residual oil from the reservoir. Meanwhile, surfactant molecules adsorb at the oil-water interface to generate ultra-low IFT, which promotes the dispersion of small oil droplets into the aqueous phase and the formation of emulsions through emulsification—this process further aids in the exploitation of crude oil. Furthermore, the surfactant can alter the wettability of the reservoir rock surface from oil-wet to water-wet, transforming capillary force from a resistance into a driving force. This transformation helps strip crude oil from the rock surface and form a dispersed system with the injected fluid, ultimately enhancing oil recovery. Therefore, the mechanism of depressurization and EOR is attributed to the synergistic effect of IFT reduction, wettability alteration, and emulsifying capacity.</w:t>
      </w:r>
    </w:p>
    <w:p w14:paraId="1BC59D98">
      <w:pPr>
        <w:pStyle w:val="4"/>
        <w:keepNext w:val="0"/>
        <w:keepLines w:val="0"/>
        <w:widowControl/>
        <w:spacing w:line="240" w:lineRule="auto"/>
        <w:ind w:firstLine="709"/>
        <w:jc w:val="both"/>
        <w:rPr>
          <w:rFonts w:hint="default" w:ascii="Times New Roman" w:hAnsi="Times New Roman" w:cs="Times New Roman"/>
          <w:i w:val="0"/>
          <w:iCs w:val="0"/>
          <w:sz w:val="28"/>
          <w:szCs w:val="28"/>
        </w:rPr>
      </w:pPr>
      <w:bookmarkStart w:id="843" w:name="_Toc20605"/>
      <w:r>
        <w:rPr>
          <w:rFonts w:hint="default" w:ascii="Times New Roman" w:hAnsi="Times New Roman" w:cs="Times New Roman"/>
          <w:i w:val="0"/>
          <w:iCs w:val="0"/>
          <w:sz w:val="28"/>
          <w:szCs w:val="28"/>
        </w:rPr>
        <w:t>5.3.10 Summary</w:t>
      </w:r>
      <w:bookmarkEnd w:id="843"/>
    </w:p>
    <w:p w14:paraId="073B8160">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In this chapter, the extended amphoteric surfactant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was combined with a gemini cationic surfactant to investigate the performance of single and mixed systems. The results show that the oil–water interfacial tension (IFT) of the mixed systems decreases with increasing salinity. The optimized mixtures with 40% (C23) and 50% (C11)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achieve ultralow IFT (~10</w:t>
      </w:r>
      <w:r>
        <w:rPr>
          <w:rFonts w:hint="default" w:ascii="Times New Roman" w:hAnsi="Times New Roman" w:cs="Times New Roman"/>
          <w:sz w:val="28"/>
          <w:szCs w:val="28"/>
          <w:vertAlign w:val="superscript"/>
        </w:rPr>
        <w:t>-3</w:t>
      </w:r>
      <w:r>
        <w:rPr>
          <w:rFonts w:hint="default" w:ascii="Times New Roman" w:hAnsi="Times New Roman" w:cs="Times New Roman"/>
          <w:sz w:val="28"/>
          <w:szCs w:val="28"/>
        </w:rPr>
        <w:t xml:space="preserve">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at 10 wt% salinity, indicating strong synergistic interactions. Among them, the C23 system exhibits superior emulsification performance compared to C11, which is attributed to its higher zeta potential and stronger interfacial film strength. Both mixed systems show enhanced wettability alteration ability, enabling the transformation of capillary resistance into driving force, with C23 being more effective due to its lower IFT and more favorable interfacial behavior. Core flooding results demonstrate that C23 achieves a pressure reduction of 10.30% and an enhanced oil recovery factor of 12.2%, reflecting its improved displacement efficiency. These results confirm that the synergistic effects of ultralow IFT, wettability alteration, and emulsification contribute to enhanced oil recovery.</w:t>
      </w:r>
    </w:p>
    <w:p w14:paraId="10DEF959">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br w:type="page"/>
      </w:r>
    </w:p>
    <w:p w14:paraId="55108B05">
      <w:pPr>
        <w:pStyle w:val="2"/>
        <w:keepNext w:val="0"/>
        <w:keepLines w:val="0"/>
        <w:widowControl/>
        <w:spacing w:before="0" w:beforeLines="0" w:after="0" w:afterLines="0" w:line="240" w:lineRule="auto"/>
        <w:ind w:firstLine="560" w:firstLineChars="200"/>
        <w:jc w:val="both"/>
        <w:rPr>
          <w:rFonts w:hint="default" w:ascii="Times New Roman" w:hAnsi="Times New Roman" w:eastAsia="宋体" w:cs="Times New Roman"/>
          <w:szCs w:val="28"/>
          <w:lang w:val="en-US" w:eastAsia="zh-CN"/>
        </w:rPr>
      </w:pPr>
      <w:bookmarkStart w:id="844" w:name="_Toc12268"/>
      <w:bookmarkStart w:id="845" w:name="_Toc23412"/>
      <w:bookmarkStart w:id="846" w:name="_Toc23106"/>
      <w:bookmarkStart w:id="847" w:name="_Toc5705"/>
      <w:bookmarkStart w:id="848" w:name="_Toc31958"/>
      <w:bookmarkStart w:id="849" w:name="_Toc28182"/>
      <w:bookmarkStart w:id="850" w:name="_Toc6565"/>
      <w:r>
        <w:rPr>
          <w:rFonts w:hint="default" w:ascii="Times New Roman" w:hAnsi="Times New Roman" w:cs="Times New Roman"/>
          <w:szCs w:val="28"/>
        </w:rPr>
        <w:t>C</w:t>
      </w:r>
      <w:r>
        <w:rPr>
          <w:rFonts w:hint="default" w:ascii="Times New Roman" w:hAnsi="Times New Roman" w:cs="Times New Roman"/>
          <w:szCs w:val="28"/>
          <w:lang w:val="en-US" w:eastAsia="zh-CN"/>
        </w:rPr>
        <w:t>HAPTER</w:t>
      </w:r>
      <w:r>
        <w:rPr>
          <w:rFonts w:hint="default" w:ascii="Times New Roman" w:hAnsi="Times New Roman" w:cs="Times New Roman"/>
          <w:szCs w:val="28"/>
        </w:rPr>
        <w:t xml:space="preserve"> 6 C</w:t>
      </w:r>
      <w:bookmarkEnd w:id="844"/>
      <w:bookmarkEnd w:id="845"/>
      <w:bookmarkEnd w:id="846"/>
      <w:bookmarkEnd w:id="847"/>
      <w:bookmarkEnd w:id="848"/>
      <w:bookmarkEnd w:id="849"/>
      <w:r>
        <w:rPr>
          <w:rFonts w:hint="default" w:ascii="Times New Roman" w:hAnsi="Times New Roman" w:cs="Times New Roman"/>
          <w:szCs w:val="28"/>
          <w:lang w:val="en-US" w:eastAsia="zh-CN"/>
        </w:rPr>
        <w:t>ONCLUSIONS</w:t>
      </w:r>
      <w:bookmarkEnd w:id="850"/>
    </w:p>
    <w:p w14:paraId="3D924D46">
      <w:pPr>
        <w:widowControl/>
        <w:ind w:firstLine="709" w:firstLineChars="0"/>
        <w:rPr>
          <w:rFonts w:hint="default" w:ascii="Times New Roman" w:hAnsi="Times New Roman" w:cs="Times New Roman"/>
          <w:sz w:val="28"/>
          <w:szCs w:val="28"/>
        </w:rPr>
      </w:pPr>
    </w:p>
    <w:p w14:paraId="76B227CA">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Enhanced oil recovery (EOR) in low-permeability, high-salinity reservoirs remains challenging due to strong heterogeneity, high capillary resistance, and surfactant loss from adsorption or precipitation. Extended amphoteric surfactants, featuring EO/PO spacers and zwitterionic headgroups, offer high salt tolerance, low adsorption, and strong interfacial activity. In this study, extended amphoteric surfactants were synthesized and their surface activity, interfacial behavior, emulsification performance, and synergistic interactions with gemini cationic and nonionic surfactants were systematically evaluated. The following conclusions can be obtained:</w:t>
      </w:r>
    </w:p>
    <w:p w14:paraId="2BAD5C95">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(1) Development of EO/PO-modified extended amphoteric surfactants. A novel class of extended amphoteric surfactants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NS,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and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 xml:space="preserve">NS) incorporating EO and PO spacer segments was successfully synthesized from lauryl alcohol via sequential addition, substitution, amination, and sulfonation reactions. Structural characterization by FTIR and </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H·NMR confirmed the target molecular architectures, while two-phase titration verified high active contents. The introduction of EO/PO groups significantly enhanced molecular flexibility and hydrophobic–hydrophilic balance, enabling improved performance under high-salinity conditions.</w:t>
      </w:r>
    </w:p>
    <w:p w14:paraId="34C57EB2">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(2) Excellent physicochemical and interfacial properties under harsh conditions. All synthesized surfactants exhibited Krafft points below 0 ℃ and low critical micelle concentrations (~10</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 xml:space="preserve"> mmol·L</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Thermodynamic analysis revealed that micellization is a spontaneous, entropy-driven process with pronounced enthalpy–entropy compensation behavior. The incorporation of EO/PO segments reduced cmc and enhanced both micellization and interfacial adsorption, leading to strong temperature- and salinity-responsive interfacial activity.</w:t>
      </w:r>
    </w:p>
    <w:p w14:paraId="179A3FD8">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(3) Achievement of ultra-low interfacial tension and salinity tolerance. The extended amphoteric surfactants demonstrated excellent oil–water interfacial activity, achieving interfacial tension as low as 10</w:t>
      </w:r>
      <w:r>
        <w:rPr>
          <w:rFonts w:hint="default" w:ascii="Times New Roman" w:hAnsi="Times New Roman" w:cs="Times New Roman"/>
          <w:sz w:val="28"/>
          <w:szCs w:val="28"/>
          <w:vertAlign w:val="superscript"/>
        </w:rPr>
        <w:t>-3</w:t>
      </w:r>
      <w:r>
        <w:rPr>
          <w:rFonts w:hint="default" w:ascii="Times New Roman" w:hAnsi="Times New Roman" w:cs="Times New Roman"/>
          <w:sz w:val="28"/>
          <w:szCs w:val="28"/>
        </w:rPr>
        <w:t xml:space="preserve">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ml:space="preserve"> against crude oil and kerosene under high salinity (~10 wt%). Among them,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showed the strongest intrinsic IFT reduction ability, while EO-modified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exhibited enhanced adaptability and stability across varying conditions.</w:t>
      </w:r>
    </w:p>
    <w:p w14:paraId="138FF865">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(4) Construction of high-efficiency synergistic composite systems. Two types of composite surfactant systems were developed: extended amphoteric/nonionic and extended amphoteric/gemini cationic. Both systems exhibited strong synergistic effects, reflected by reduced cmc values, more negative interaction parameters, and enhanced interfacial activity. Notably, the C12A system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NS/APG</w:t>
      </w:r>
      <w:r>
        <w:rPr>
          <w:rFonts w:hint="default" w:ascii="Times New Roman" w:hAnsi="Times New Roman" w:cs="Times New Roman"/>
          <w:sz w:val="28"/>
          <w:szCs w:val="28"/>
          <w:vertAlign w:val="subscript"/>
        </w:rPr>
        <w:t>0810</w:t>
      </w:r>
      <w:r>
        <w:rPr>
          <w:rFonts w:hint="default" w:ascii="Times New Roman" w:hAnsi="Times New Roman" w:cs="Times New Roman"/>
          <w:sz w:val="28"/>
          <w:szCs w:val="28"/>
        </w:rPr>
        <w:t>=2:3) and C23 (C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NS/C</w:t>
      </w:r>
      <w:r>
        <w:rPr>
          <w:rFonts w:hint="default" w:ascii="Times New Roman" w:hAnsi="Times New Roman" w:cs="Times New Roman"/>
          <w:sz w:val="28"/>
          <w:szCs w:val="28"/>
          <w:vertAlign w:val="subscript"/>
        </w:rPr>
        <w:t>14-3-14</w:t>
      </w:r>
      <w:r>
        <w:rPr>
          <w:rFonts w:hint="default" w:ascii="Times New Roman" w:hAnsi="Times New Roman" w:cs="Times New Roman"/>
          <w:sz w:val="28"/>
          <w:szCs w:val="28"/>
        </w:rPr>
        <w:t>=2:3) achieved ultra-low IFT (10</w:t>
      </w:r>
      <w:r>
        <w:rPr>
          <w:rFonts w:hint="default" w:ascii="Times New Roman" w:hAnsi="Times New Roman" w:cs="Times New Roman"/>
          <w:sz w:val="28"/>
          <w:szCs w:val="28"/>
          <w:vertAlign w:val="superscript"/>
        </w:rPr>
        <w:t>-3</w:t>
      </w:r>
      <w:r>
        <w:rPr>
          <w:rFonts w:hint="default" w:ascii="Times New Roman" w:hAnsi="Times New Roman" w:cs="Times New Roman"/>
          <w:sz w:val="28"/>
          <w:szCs w:val="28"/>
        </w:rPr>
        <w:t xml:space="preserve">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at 10 wt% salinity, demonstrating optimal synergistic performance.</w:t>
      </w:r>
    </w:p>
    <w:p w14:paraId="1538F3A4">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(5) Enhanced emulsification and wettability alteration capabilities. The composite systems significantly improved emulsification performance by producing smaller and more stable emulsion droplets. The C23 system exhibited higher interfacial film viscoelasticity and zeta potential, leading to superior emulsion stability, while the C12A system showed stronger wettability alteration, reducing the contact angle from 108.5° to 55.07°. This was attributed to the formation of a highly hydrated adsorption layer in the presence of nonionic surfactants.</w:t>
      </w:r>
    </w:p>
    <w:p w14:paraId="44E78FDA">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(6) Revealed multiscale interfacial regulation mechanism. A multiscale mechanism of “synergistic adsorption→interfacial film reconstruction→emulsification transport→wettability inversion” was proposed. The EO/PO spacer segments regulate molecular packing, interfacial hydration, and film viscoelasticity, thereby controlling interfacial structure and responsiveness to salinity and temperature. Electrostatic and hydrophobic interactions jointly govern synergistic behavior in mixed systems.</w:t>
      </w:r>
    </w:p>
    <w:p w14:paraId="02867DA8">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(7) Mechanistic understanding of enhanced oil recovery performance. The improved oil recovery performance was attributed to the combined effects of ultra-low interfacial tension, efficient emulsification, and wettability alteration. These factors convert capillary resistance into a driving force, enhance fluid mobility, and promote the transport of residual oil through pore throats. At the same time, reduced adsorption loss—especially in the nonionic-containing system—was critical for maintaining effective mobility control.</w:t>
      </w:r>
    </w:p>
    <w:p w14:paraId="7C8F593D">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(8) Superior displacement performance and application potential. Core flooding experiments demonstrated that the C12A system achieved a pressure reduction of 15.8% and an incremental oil recovery of 15.25%, outperforming the gemini-containing system (C23). This highlights that, beyond interfacial activity, minimizing adsorption loss and optimizing flow control are essential for EOR in low-p</w:t>
      </w:r>
      <w:bookmarkStart w:id="867" w:name="_GoBack"/>
      <w:bookmarkEnd w:id="867"/>
      <w:r>
        <w:rPr>
          <w:rFonts w:hint="default" w:ascii="Times New Roman" w:hAnsi="Times New Roman" w:cs="Times New Roman"/>
          <w:sz w:val="28"/>
          <w:szCs w:val="28"/>
        </w:rPr>
        <w:t>ermeability, high-salinity reservoirs. Overall, this study provides a solid theoretical and experimental basis for the rational design of next-generation surfactant systems with balanced interfacial activity, wettability control, and transport properties for challenging reservoir conditions.</w:t>
      </w:r>
    </w:p>
    <w:p w14:paraId="225F76BF">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br w:type="page"/>
      </w:r>
    </w:p>
    <w:p w14:paraId="435B3210">
      <w:pPr>
        <w:pStyle w:val="2"/>
        <w:keepNext w:val="0"/>
        <w:keepLines w:val="0"/>
        <w:widowControl/>
        <w:spacing w:before="0" w:beforeLines="0" w:after="0" w:afterLines="0" w:line="240" w:lineRule="auto"/>
        <w:rPr>
          <w:rFonts w:hint="default" w:ascii="Times New Roman" w:hAnsi="Times New Roman" w:cs="Times New Roman"/>
          <w:szCs w:val="28"/>
        </w:rPr>
      </w:pPr>
      <w:bookmarkStart w:id="851" w:name="_Toc7598"/>
      <w:bookmarkStart w:id="852" w:name="_Toc3309"/>
      <w:bookmarkStart w:id="853" w:name="_Toc17626"/>
      <w:r>
        <w:rPr>
          <w:rFonts w:hint="default" w:ascii="Times New Roman" w:hAnsi="Times New Roman" w:cs="Times New Roman"/>
          <w:szCs w:val="28"/>
        </w:rPr>
        <w:t>ABBREVIATIONS</w:t>
      </w:r>
      <w:bookmarkEnd w:id="851"/>
      <w:bookmarkEnd w:id="852"/>
      <w:bookmarkEnd w:id="853"/>
    </w:p>
    <w:p w14:paraId="1C9C5DE4">
      <w:pPr>
        <w:widowControl/>
        <w:tabs>
          <w:tab w:val="left" w:pos="7200"/>
        </w:tabs>
        <w:ind w:firstLine="709" w:firstLineChars="0"/>
        <w:rPr>
          <w:rFonts w:hint="default" w:ascii="Times New Roman" w:hAnsi="Times New Roman" w:cs="Times New Roman"/>
          <w:sz w:val="28"/>
          <w:szCs w:val="28"/>
        </w:rPr>
      </w:pPr>
      <m:oMath>
        <m:sSub>
          <m:sSubPr>
            <m:ctrlPr>
              <w:rPr>
                <w:rFonts w:hint="default" w:ascii="Cambria Math" w:hAnsi="Cambria Math" w:cs="Times New Roman"/>
                <w:i/>
                <w:iCs/>
                <w:sz w:val="28"/>
                <w:szCs w:val="28"/>
              </w:rPr>
            </m:ctrlPr>
          </m:sSubPr>
          <m:e>
            <m:r>
              <m:rPr>
                <m:nor/>
              </m:rPr>
              <w:rPr>
                <w:rFonts w:hint="default" w:ascii="Times New Roman" w:hAnsi="Times New Roman" w:cs="Times New Roman"/>
                <w:i/>
                <w:sz w:val="28"/>
                <w:szCs w:val="28"/>
              </w:rPr>
              <m:t>a</m:t>
            </m:r>
            <m:ctrlPr>
              <w:rPr>
                <w:rFonts w:hint="default" w:ascii="Cambria Math" w:hAnsi="Cambria Math" w:cs="Times New Roman"/>
                <w:i/>
                <w:iCs/>
                <w:sz w:val="28"/>
                <w:szCs w:val="28"/>
              </w:rPr>
            </m:ctrlPr>
          </m:e>
          <m:sub>
            <m:r>
              <m:rPr>
                <m:nor/>
                <m:sty m:val="p"/>
              </m:rPr>
              <w:rPr>
                <w:rFonts w:hint="default" w:ascii="Times New Roman" w:hAnsi="Times New Roman" w:cs="Times New Roman"/>
                <w:b w:val="0"/>
                <w:i w:val="0"/>
                <w:sz w:val="28"/>
                <w:szCs w:val="28"/>
              </w:rPr>
              <m:t>0</m:t>
            </m:r>
            <m:ctrlPr>
              <w:rPr>
                <w:rFonts w:hint="default" w:ascii="Cambria Math" w:hAnsi="Cambria Math" w:cs="Times New Roman"/>
                <w:i/>
                <w:iCs/>
                <w:sz w:val="28"/>
                <w:szCs w:val="28"/>
              </w:rPr>
            </m:ctrlPr>
          </m:sub>
        </m:sSub>
      </m:oMath>
      <w:r>
        <w:rPr>
          <w:rFonts w:hint="default" w:ascii="Times New Roman" w:hAnsi="Times New Roman" w:cs="Times New Roman"/>
          <w:iCs/>
          <w:sz w:val="28"/>
          <w:szCs w:val="28"/>
        </w:rPr>
        <w:t xml:space="preserve"> </w:t>
      </w:r>
      <w:r>
        <w:rPr>
          <w:rFonts w:hint="default" w:ascii="Times New Roman" w:hAnsi="Times New Roman" w:cs="Times New Roman"/>
          <w:sz w:val="28"/>
          <w:szCs w:val="28"/>
        </w:rPr>
        <w:t>- Minimum interfacial area per surfactant molecule (nm</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w:t>
      </w:r>
    </w:p>
    <w:p w14:paraId="35CAB1A5">
      <w:pPr>
        <w:widowControl/>
        <w:tabs>
          <w:tab w:val="left" w:pos="7200"/>
        </w:tabs>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 - Cross-sectional area of rock core (cm</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w:t>
      </w:r>
    </w:p>
    <w:p w14:paraId="3C0DDB29">
      <w:pPr>
        <w:widowControl/>
        <w:tabs>
          <w:tab w:val="left" w:pos="7200"/>
        </w:tabs>
        <w:ind w:firstLine="709" w:firstLineChars="0"/>
        <w:rPr>
          <w:rFonts w:hint="default" w:ascii="Times New Roman" w:hAnsi="Times New Roman" w:cs="Times New Roman"/>
          <w:sz w:val="28"/>
          <w:szCs w:val="28"/>
          <w:lang w:val="pt-BR"/>
        </w:rPr>
      </w:pPr>
      <m:oMath>
        <m:sSub>
          <m:sSubPr>
            <m:ctrlPr>
              <w:rPr>
                <w:rFonts w:hint="default" w:ascii="Cambria Math" w:hAnsi="Cambria Math" w:cs="Times New Roman"/>
                <w:i/>
                <w:iCs/>
                <w:sz w:val="28"/>
                <w:szCs w:val="28"/>
              </w:rPr>
            </m:ctrlPr>
          </m:sSubPr>
          <m:e>
            <m:r>
              <m:rPr>
                <m:nor/>
              </m:rPr>
              <w:rPr>
                <w:rFonts w:hint="default" w:ascii="Times New Roman" w:hAnsi="Times New Roman" w:cs="Times New Roman"/>
                <w:i/>
                <w:sz w:val="28"/>
                <w:szCs w:val="28"/>
                <w:lang w:val="pt-BR"/>
              </w:rPr>
              <m:t>A</m:t>
            </m:r>
            <m:ctrlPr>
              <w:rPr>
                <w:rFonts w:hint="default" w:ascii="Cambria Math" w:hAnsi="Cambria Math" w:cs="Times New Roman"/>
                <w:i/>
                <w:iCs/>
                <w:sz w:val="28"/>
                <w:szCs w:val="28"/>
              </w:rPr>
            </m:ctrlPr>
          </m:e>
          <m:sub>
            <m:r>
              <m:rPr>
                <m:nor/>
                <m:sty m:val="p"/>
              </m:rPr>
              <w:rPr>
                <w:rFonts w:hint="default" w:ascii="Times New Roman" w:hAnsi="Times New Roman" w:cs="Times New Roman"/>
                <w:b w:val="0"/>
                <w:i w:val="0"/>
                <w:sz w:val="28"/>
                <w:szCs w:val="28"/>
                <w:lang w:val="pt-BR"/>
              </w:rPr>
              <m:t>min</m:t>
            </m:r>
            <m:ctrlPr>
              <w:rPr>
                <w:rFonts w:hint="default" w:ascii="Cambria Math" w:hAnsi="Cambria Math" w:cs="Times New Roman"/>
                <w:i/>
                <w:iCs/>
                <w:sz w:val="28"/>
                <w:szCs w:val="28"/>
              </w:rPr>
            </m:ctrlPr>
          </m:sub>
        </m:sSub>
      </m:oMath>
      <w:r>
        <w:rPr>
          <w:rFonts w:hint="default" w:ascii="Times New Roman" w:hAnsi="Times New Roman" w:cs="Times New Roman"/>
          <w:sz w:val="28"/>
          <w:szCs w:val="28"/>
          <w:lang w:val="pt-BR"/>
        </w:rPr>
        <w:t xml:space="preserve"> - Minimum molecular area (nm</w:t>
      </w:r>
      <w:r>
        <w:rPr>
          <w:rFonts w:hint="default" w:ascii="Times New Roman" w:hAnsi="Times New Roman" w:cs="Times New Roman"/>
          <w:sz w:val="28"/>
          <w:szCs w:val="28"/>
          <w:vertAlign w:val="superscript"/>
          <w:lang w:val="pt-BR"/>
        </w:rPr>
        <w:t>2</w:t>
      </w:r>
      <w:r>
        <w:rPr>
          <w:rFonts w:hint="default" w:ascii="Times New Roman" w:hAnsi="Times New Roman" w:cs="Times New Roman"/>
          <w:sz w:val="28"/>
          <w:szCs w:val="28"/>
          <w:lang w:val="pt-BR"/>
        </w:rPr>
        <w:t>)</w:t>
      </w:r>
    </w:p>
    <w:p w14:paraId="7A9D9406">
      <w:pPr>
        <w:widowControl/>
        <w:ind w:firstLine="709" w:firstLineChars="0"/>
        <w:rPr>
          <w:rFonts w:hint="default" w:ascii="Times New Roman" w:hAnsi="Times New Roman" w:cs="Times New Roman"/>
          <w:sz w:val="28"/>
          <w:szCs w:val="28"/>
          <w:lang w:val="pt-BR"/>
        </w:rPr>
      </w:pPr>
      <w:r>
        <w:rPr>
          <w:rFonts w:hint="default" w:ascii="Times New Roman" w:hAnsi="Times New Roman" w:cs="Times New Roman"/>
          <w:sz w:val="28"/>
          <w:szCs w:val="28"/>
          <w:lang w:val="pt-BR"/>
        </w:rPr>
        <w:t>API - American Petroleum Institute</w:t>
      </w:r>
    </w:p>
    <w:p w14:paraId="0A44AC1C">
      <w:pPr>
        <w:widowControl/>
        <w:ind w:firstLine="709" w:firstLineChars="0"/>
        <w:rPr>
          <w:rFonts w:hint="default" w:ascii="Times New Roman" w:hAnsi="Times New Roman" w:cs="Times New Roman"/>
          <w:sz w:val="28"/>
          <w:szCs w:val="28"/>
          <w:lang w:val="pt-BR"/>
        </w:rPr>
      </w:pPr>
      <w:r>
        <w:rPr>
          <w:rFonts w:hint="default" w:ascii="Times New Roman" w:hAnsi="Times New Roman" w:cs="Times New Roman"/>
          <w:sz w:val="28"/>
          <w:szCs w:val="28"/>
          <w:lang w:val="pt-BR"/>
        </w:rPr>
        <w:t>AR - Analytical pure</w:t>
      </w:r>
    </w:p>
    <w:p w14:paraId="078B6074">
      <w:pPr>
        <w:widowControl/>
        <w:ind w:firstLine="709" w:firstLineChars="0"/>
        <w:rPr>
          <w:rFonts w:hint="default" w:ascii="Times New Roman" w:hAnsi="Times New Roman" w:cs="Times New Roman"/>
          <w:sz w:val="28"/>
          <w:szCs w:val="28"/>
          <w:lang w:val="pt-BR"/>
        </w:rPr>
      </w:pPr>
      <w:r>
        <w:rPr>
          <w:rFonts w:hint="default" w:ascii="Times New Roman" w:hAnsi="Times New Roman" w:cs="Times New Roman"/>
          <w:sz w:val="28"/>
          <w:szCs w:val="28"/>
          <w:lang w:val="pt-BR"/>
        </w:rPr>
        <w:t>Ca</w:t>
      </w:r>
      <w:r>
        <w:rPr>
          <w:rFonts w:hint="default" w:ascii="Times New Roman" w:hAnsi="Times New Roman" w:cs="Times New Roman"/>
          <w:sz w:val="28"/>
          <w:szCs w:val="28"/>
          <w:vertAlign w:val="superscript"/>
          <w:lang w:val="pt-BR"/>
        </w:rPr>
        <w:t>2+</w:t>
      </w:r>
      <w:r>
        <w:rPr>
          <w:rFonts w:hint="default" w:ascii="Times New Roman" w:hAnsi="Times New Roman" w:cs="Times New Roman"/>
          <w:sz w:val="28"/>
          <w:szCs w:val="28"/>
          <w:lang w:val="pt-BR"/>
        </w:rPr>
        <w:t xml:space="preserve"> - Calcium ion</w:t>
      </w:r>
    </w:p>
    <w:p w14:paraId="08FFF10D">
      <w:pPr>
        <w:widowControl/>
        <w:ind w:firstLine="709" w:firstLineChars="0"/>
        <w:rPr>
          <w:rFonts w:hint="default" w:ascii="Times New Roman" w:hAnsi="Times New Roman" w:cs="Times New Roman"/>
          <w:sz w:val="28"/>
          <w:szCs w:val="28"/>
          <w:lang w:val="pt-BR"/>
        </w:rPr>
      </w:pPr>
      <w:r>
        <w:rPr>
          <w:rFonts w:hint="default" w:ascii="Times New Roman" w:hAnsi="Times New Roman" w:cs="Times New Roman"/>
          <w:color w:val="000000"/>
          <w:kern w:val="0"/>
          <w:sz w:val="28"/>
          <w:szCs w:val="28"/>
          <w:lang w:val="pt-BR" w:bidi="ar"/>
        </w:rPr>
        <w:t>C11 - n(C</w:t>
      </w:r>
      <w:r>
        <w:rPr>
          <w:rFonts w:hint="default" w:ascii="Times New Roman" w:hAnsi="Times New Roman" w:cs="Times New Roman"/>
          <w:color w:val="000000"/>
          <w:kern w:val="0"/>
          <w:sz w:val="28"/>
          <w:szCs w:val="28"/>
          <w:vertAlign w:val="subscript"/>
          <w:lang w:val="pt-BR" w:bidi="ar"/>
        </w:rPr>
        <w:t>12</w:t>
      </w:r>
      <w:r>
        <w:rPr>
          <w:rFonts w:hint="default" w:ascii="Times New Roman" w:hAnsi="Times New Roman" w:cs="Times New Roman"/>
          <w:color w:val="000000"/>
          <w:kern w:val="0"/>
          <w:sz w:val="28"/>
          <w:szCs w:val="28"/>
          <w:lang w:val="pt-BR" w:bidi="ar"/>
        </w:rPr>
        <w:t>P</w:t>
      </w:r>
      <w:r>
        <w:rPr>
          <w:rFonts w:hint="default" w:ascii="Times New Roman" w:hAnsi="Times New Roman" w:cs="Times New Roman"/>
          <w:color w:val="000000"/>
          <w:kern w:val="0"/>
          <w:sz w:val="28"/>
          <w:szCs w:val="28"/>
          <w:vertAlign w:val="subscript"/>
          <w:lang w:val="pt-BR" w:bidi="ar"/>
        </w:rPr>
        <w:t>3</w:t>
      </w:r>
      <w:r>
        <w:rPr>
          <w:rFonts w:hint="default" w:ascii="Times New Roman" w:hAnsi="Times New Roman" w:cs="Times New Roman"/>
          <w:color w:val="000000"/>
          <w:kern w:val="0"/>
          <w:sz w:val="28"/>
          <w:szCs w:val="28"/>
          <w:lang w:val="pt-BR" w:bidi="ar"/>
        </w:rPr>
        <w:t>E</w:t>
      </w:r>
      <w:r>
        <w:rPr>
          <w:rFonts w:hint="default" w:ascii="Times New Roman" w:hAnsi="Times New Roman" w:cs="Times New Roman"/>
          <w:color w:val="000000"/>
          <w:kern w:val="0"/>
          <w:sz w:val="28"/>
          <w:szCs w:val="28"/>
          <w:vertAlign w:val="subscript"/>
          <w:lang w:val="pt-BR" w:bidi="ar"/>
        </w:rPr>
        <w:t>3</w:t>
      </w:r>
      <w:r>
        <w:rPr>
          <w:rFonts w:hint="default" w:ascii="Times New Roman" w:hAnsi="Times New Roman" w:cs="Times New Roman"/>
          <w:color w:val="000000"/>
          <w:kern w:val="0"/>
          <w:sz w:val="28"/>
          <w:szCs w:val="28"/>
          <w:lang w:val="pt-BR" w:bidi="ar"/>
        </w:rPr>
        <w:t>NS/C</w:t>
      </w:r>
      <w:r>
        <w:rPr>
          <w:rFonts w:hint="default" w:ascii="Times New Roman" w:hAnsi="Times New Roman" w:cs="Times New Roman"/>
          <w:color w:val="000000"/>
          <w:kern w:val="0"/>
          <w:sz w:val="28"/>
          <w:szCs w:val="28"/>
          <w:vertAlign w:val="subscript"/>
          <w:lang w:val="pt-BR" w:bidi="ar"/>
        </w:rPr>
        <w:t>14-3-14</w:t>
      </w:r>
      <w:r>
        <w:rPr>
          <w:rFonts w:hint="default" w:ascii="Times New Roman" w:hAnsi="Times New Roman" w:cs="Times New Roman"/>
          <w:color w:val="000000"/>
          <w:kern w:val="0"/>
          <w:sz w:val="28"/>
          <w:szCs w:val="28"/>
          <w:lang w:val="pt-BR" w:bidi="ar"/>
        </w:rPr>
        <w:t>)=1:1</w:t>
      </w:r>
    </w:p>
    <w:p w14:paraId="5DCF27F5">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C12A - </w:t>
      </w:r>
      <w:r>
        <w:rPr>
          <w:rFonts w:hint="default" w:ascii="Times New Roman" w:hAnsi="Times New Roman" w:cs="Times New Roman"/>
          <w:color w:val="000000"/>
          <w:kern w:val="0"/>
          <w:sz w:val="28"/>
          <w:szCs w:val="28"/>
          <w:lang w:bidi="ar"/>
        </w:rPr>
        <w:t>n(C</w:t>
      </w:r>
      <w:r>
        <w:rPr>
          <w:rFonts w:hint="default" w:ascii="Times New Roman" w:hAnsi="Times New Roman" w:cs="Times New Roman"/>
          <w:color w:val="000000"/>
          <w:kern w:val="0"/>
          <w:sz w:val="28"/>
          <w:szCs w:val="28"/>
          <w:vertAlign w:val="subscript"/>
          <w:lang w:bidi="ar"/>
        </w:rPr>
        <w:t>12</w:t>
      </w:r>
      <w:r>
        <w:rPr>
          <w:rFonts w:hint="default" w:ascii="Times New Roman" w:hAnsi="Times New Roman" w:cs="Times New Roman"/>
          <w:color w:val="000000"/>
          <w:kern w:val="0"/>
          <w:sz w:val="28"/>
          <w:szCs w:val="28"/>
          <w:lang w:bidi="ar"/>
        </w:rPr>
        <w:t>P</w:t>
      </w:r>
      <w:r>
        <w:rPr>
          <w:rFonts w:hint="default" w:ascii="Times New Roman" w:hAnsi="Times New Roman" w:cs="Times New Roman"/>
          <w:color w:val="000000"/>
          <w:kern w:val="0"/>
          <w:sz w:val="28"/>
          <w:szCs w:val="28"/>
          <w:vertAlign w:val="subscript"/>
          <w:lang w:bidi="ar"/>
        </w:rPr>
        <w:t>3</w:t>
      </w:r>
      <w:r>
        <w:rPr>
          <w:rFonts w:hint="default" w:ascii="Times New Roman" w:hAnsi="Times New Roman" w:cs="Times New Roman"/>
          <w:color w:val="000000"/>
          <w:kern w:val="0"/>
          <w:sz w:val="28"/>
          <w:szCs w:val="28"/>
          <w:lang w:bidi="ar"/>
        </w:rPr>
        <w:t>E</w:t>
      </w:r>
      <w:r>
        <w:rPr>
          <w:rFonts w:hint="default" w:ascii="Times New Roman" w:hAnsi="Times New Roman" w:cs="Times New Roman"/>
          <w:color w:val="000000"/>
          <w:kern w:val="0"/>
          <w:sz w:val="28"/>
          <w:szCs w:val="28"/>
          <w:vertAlign w:val="subscript"/>
          <w:lang w:bidi="ar"/>
        </w:rPr>
        <w:t>3</w:t>
      </w:r>
      <w:r>
        <w:rPr>
          <w:rFonts w:hint="default" w:ascii="Times New Roman" w:hAnsi="Times New Roman" w:cs="Times New Roman"/>
          <w:color w:val="000000"/>
          <w:kern w:val="0"/>
          <w:sz w:val="28"/>
          <w:szCs w:val="28"/>
          <w:lang w:bidi="ar"/>
        </w:rPr>
        <w:t>NS/APG</w:t>
      </w:r>
      <w:r>
        <w:rPr>
          <w:rFonts w:hint="default" w:ascii="Times New Roman" w:hAnsi="Times New Roman" w:cs="Times New Roman"/>
          <w:color w:val="000000"/>
          <w:kern w:val="0"/>
          <w:sz w:val="28"/>
          <w:szCs w:val="28"/>
          <w:vertAlign w:val="subscript"/>
          <w:lang w:bidi="ar"/>
        </w:rPr>
        <w:t>0810</w:t>
      </w:r>
      <w:r>
        <w:rPr>
          <w:rFonts w:hint="default" w:ascii="Times New Roman" w:hAnsi="Times New Roman" w:cs="Times New Roman"/>
          <w:color w:val="000000"/>
          <w:kern w:val="0"/>
          <w:sz w:val="28"/>
          <w:szCs w:val="28"/>
          <w:lang w:bidi="ar"/>
        </w:rPr>
        <w:t>)=2:3</w:t>
      </w:r>
    </w:p>
    <w:p w14:paraId="6F3CD098">
      <w:pPr>
        <w:widowControl/>
        <w:ind w:firstLine="709" w:firstLineChars="0"/>
        <w:rPr>
          <w:rFonts w:hint="default" w:ascii="Times New Roman" w:hAnsi="Times New Roman" w:cs="Times New Roman"/>
          <w:sz w:val="28"/>
          <w:szCs w:val="28"/>
        </w:rPr>
      </w:pPr>
      <m:oMath>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C</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12</m:t>
            </m:r>
            <m:ctrlPr>
              <w:rPr>
                <w:rFonts w:hint="default" w:ascii="Cambria Math" w:hAnsi="Cambria Math" w:cs="Times New Roman"/>
                <w:i/>
                <w:sz w:val="28"/>
                <w:szCs w:val="28"/>
              </w:rPr>
            </m:ctrlPr>
          </m:sub>
        </m:sSub>
      </m:oMath>
      <w:r>
        <w:rPr>
          <w:rFonts w:hint="default" w:ascii="Times New Roman" w:hAnsi="Times New Roman" w:cs="Times New Roman"/>
          <w:sz w:val="28"/>
          <w:szCs w:val="28"/>
        </w:rPr>
        <w:t xml:space="preserve"> - </w:t>
      </w:r>
      <w:r>
        <w:rPr>
          <w:rFonts w:hint="default" w:ascii="Times New Roman" w:hAnsi="Times New Roman" w:cs="Times New Roman"/>
          <w:color w:val="000000"/>
          <w:kern w:val="0"/>
          <w:sz w:val="28"/>
          <w:szCs w:val="28"/>
          <w:lang w:bidi="ar"/>
        </w:rPr>
        <w:t>CMC values of the mixture (</w:t>
      </w:r>
      <w:r>
        <w:rPr>
          <w:rFonts w:hint="default" w:ascii="Times New Roman" w:hAnsi="Times New Roman" w:cs="Times New Roman"/>
          <w:sz w:val="28"/>
          <w:szCs w:val="28"/>
        </w:rPr>
        <w:t>mN·L</w:t>
      </w:r>
      <w:r>
        <w:rPr>
          <w:rFonts w:hint="default" w:ascii="Times New Roman" w:hAnsi="Times New Roman" w:cs="Times New Roman"/>
          <w:sz w:val="28"/>
          <w:szCs w:val="28"/>
          <w:vertAlign w:val="superscript"/>
        </w:rPr>
        <w:t>-1</w:t>
      </w:r>
      <w:r>
        <w:rPr>
          <w:rFonts w:hint="default" w:ascii="Times New Roman" w:hAnsi="Times New Roman" w:cs="Times New Roman"/>
          <w:color w:val="000000"/>
          <w:kern w:val="0"/>
          <w:sz w:val="28"/>
          <w:szCs w:val="28"/>
          <w:lang w:bidi="ar"/>
        </w:rPr>
        <w:t>)</w:t>
      </w:r>
    </w:p>
    <w:p w14:paraId="0B1B5B52">
      <w:pPr>
        <w:widowControl/>
        <w:ind w:firstLine="709" w:firstLineChars="0"/>
        <w:rPr>
          <w:rFonts w:hint="default" w:ascii="Times New Roman" w:hAnsi="Times New Roman" w:cs="Times New Roman"/>
          <w:sz w:val="28"/>
          <w:szCs w:val="28"/>
        </w:rPr>
      </w:pPr>
      <m:oMath>
        <m:sSubSup>
          <m:sSubSupPr>
            <m:ctrlPr>
              <w:rPr>
                <w:rFonts w:hint="default" w:ascii="Cambria Math" w:hAnsi="Cambria Math" w:cs="Times New Roman"/>
                <w:i/>
                <w:sz w:val="28"/>
                <w:szCs w:val="28"/>
              </w:rPr>
            </m:ctrlPr>
          </m:sSubSupPr>
          <m:e>
            <m:r>
              <m:rPr>
                <m:nor/>
              </m:rPr>
              <w:rPr>
                <w:rFonts w:hint="default" w:ascii="Times New Roman" w:hAnsi="Times New Roman" w:cs="Times New Roman"/>
                <w:i/>
                <w:sz w:val="28"/>
                <w:szCs w:val="28"/>
              </w:rPr>
              <m:t>C</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12</m:t>
            </m:r>
            <m:ctrlPr>
              <w:rPr>
                <w:rFonts w:hint="default" w:ascii="Cambria Math" w:hAnsi="Cambria Math" w:cs="Times New Roman"/>
                <w:i/>
                <w:sz w:val="28"/>
                <w:szCs w:val="28"/>
              </w:rPr>
            </m:ctrlPr>
          </m:sub>
          <m:sup>
            <m:r>
              <m:rPr>
                <m:nor/>
              </m:rPr>
              <w:rPr>
                <w:rFonts w:hint="default" w:ascii="Times New Roman" w:hAnsi="Times New Roman" w:cs="Times New Roman"/>
                <w:i/>
                <w:sz w:val="28"/>
                <w:szCs w:val="28"/>
              </w:rPr>
              <m:t>id</m:t>
            </m:r>
            <m:ctrlPr>
              <w:rPr>
                <w:rFonts w:hint="default" w:ascii="Cambria Math" w:hAnsi="Cambria Math" w:cs="Times New Roman"/>
                <w:i/>
                <w:sz w:val="28"/>
                <w:szCs w:val="28"/>
              </w:rPr>
            </m:ctrlPr>
          </m:sup>
        </m:sSubSup>
      </m:oMath>
      <w:r>
        <w:rPr>
          <w:rFonts w:hint="default" w:ascii="Times New Roman" w:hAnsi="Times New Roman" w:cs="Times New Roman"/>
          <w:color w:val="000000"/>
          <w:kern w:val="0"/>
          <w:sz w:val="28"/>
          <w:szCs w:val="28"/>
          <w:lang w:bidi="ar"/>
        </w:rPr>
        <w:t xml:space="preserve"> - Ideal CMC values of the mixture (</w:t>
      </w:r>
      <w:r>
        <w:rPr>
          <w:rFonts w:hint="default" w:ascii="Times New Roman" w:hAnsi="Times New Roman" w:cs="Times New Roman"/>
          <w:sz w:val="28"/>
          <w:szCs w:val="28"/>
        </w:rPr>
        <w:t>mN·L</w:t>
      </w:r>
      <w:r>
        <w:rPr>
          <w:rFonts w:hint="default" w:ascii="Times New Roman" w:hAnsi="Times New Roman" w:cs="Times New Roman"/>
          <w:sz w:val="28"/>
          <w:szCs w:val="28"/>
          <w:vertAlign w:val="superscript"/>
        </w:rPr>
        <w:t>-1</w:t>
      </w:r>
      <w:r>
        <w:rPr>
          <w:rFonts w:hint="default" w:ascii="Times New Roman" w:hAnsi="Times New Roman" w:cs="Times New Roman"/>
          <w:color w:val="000000"/>
          <w:kern w:val="0"/>
          <w:sz w:val="28"/>
          <w:szCs w:val="28"/>
          <w:lang w:bidi="ar"/>
        </w:rPr>
        <w:t>)</w:t>
      </w:r>
    </w:p>
    <w:p w14:paraId="338B1542">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NS - Dodecyl alcohol ether sulfobetaine</w:t>
      </w:r>
    </w:p>
    <w:p w14:paraId="79BB4EDA">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 Dodecyl alcohol propoxylated sulfobetaine</w:t>
      </w:r>
    </w:p>
    <w:p w14:paraId="21CD0525">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P</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E</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NS - Dodecyl alcohol propoxylated ethoxylated sulfobetaine</w:t>
      </w:r>
    </w:p>
    <w:p w14:paraId="514B3156">
      <w:pPr>
        <w:widowControl/>
        <w:ind w:firstLine="709" w:firstLineChars="0"/>
        <w:rPr>
          <w:rFonts w:hint="default" w:ascii="Times New Roman" w:hAnsi="Times New Roman" w:cs="Times New Roman"/>
          <w:sz w:val="28"/>
          <w:szCs w:val="28"/>
          <w:lang w:val="pt-BR"/>
        </w:rPr>
      </w:pPr>
      <w:r>
        <w:rPr>
          <w:rFonts w:hint="default" w:ascii="Times New Roman" w:hAnsi="Times New Roman" w:cs="Times New Roman"/>
          <w:sz w:val="28"/>
          <w:szCs w:val="28"/>
          <w:lang w:val="pt-BR"/>
        </w:rPr>
        <w:t>C</w:t>
      </w:r>
      <w:r>
        <w:rPr>
          <w:rFonts w:hint="default" w:ascii="Times New Roman" w:hAnsi="Times New Roman" w:cs="Times New Roman"/>
          <w:sz w:val="28"/>
          <w:szCs w:val="28"/>
          <w:vertAlign w:val="subscript"/>
          <w:lang w:val="pt-BR"/>
        </w:rPr>
        <w:t>14-3-14</w:t>
      </w:r>
      <w:r>
        <w:rPr>
          <w:rFonts w:hint="default" w:ascii="Times New Roman" w:hAnsi="Times New Roman" w:cs="Times New Roman"/>
          <w:sz w:val="28"/>
          <w:szCs w:val="28"/>
          <w:lang w:val="pt-BR"/>
        </w:rPr>
        <w:t xml:space="preserve"> - Gemini cationic surfactant</w:t>
      </w:r>
    </w:p>
    <w:p w14:paraId="4CB0825D">
      <w:pPr>
        <w:widowControl/>
        <w:ind w:firstLine="709" w:firstLineChars="0"/>
        <w:rPr>
          <w:rFonts w:hint="default" w:ascii="Times New Roman" w:hAnsi="Times New Roman" w:cs="Times New Roman"/>
          <w:sz w:val="28"/>
          <w:szCs w:val="28"/>
          <w:lang w:val="pt-BR"/>
        </w:rPr>
      </w:pPr>
      <w:r>
        <w:rPr>
          <w:rFonts w:hint="default" w:ascii="Times New Roman" w:hAnsi="Times New Roman" w:cs="Times New Roman"/>
          <w:color w:val="000000"/>
          <w:kern w:val="0"/>
          <w:sz w:val="28"/>
          <w:szCs w:val="28"/>
          <w:lang w:val="pt-BR" w:bidi="ar"/>
        </w:rPr>
        <w:t>C23 - n(C</w:t>
      </w:r>
      <w:r>
        <w:rPr>
          <w:rFonts w:hint="default" w:ascii="Times New Roman" w:hAnsi="Times New Roman" w:cs="Times New Roman"/>
          <w:color w:val="000000"/>
          <w:kern w:val="0"/>
          <w:sz w:val="28"/>
          <w:szCs w:val="28"/>
          <w:vertAlign w:val="subscript"/>
          <w:lang w:val="pt-BR" w:bidi="ar"/>
        </w:rPr>
        <w:t>12</w:t>
      </w:r>
      <w:r>
        <w:rPr>
          <w:rFonts w:hint="default" w:ascii="Times New Roman" w:hAnsi="Times New Roman" w:cs="Times New Roman"/>
          <w:color w:val="000000"/>
          <w:kern w:val="0"/>
          <w:sz w:val="28"/>
          <w:szCs w:val="28"/>
          <w:lang w:val="pt-BR" w:bidi="ar"/>
        </w:rPr>
        <w:t>P</w:t>
      </w:r>
      <w:r>
        <w:rPr>
          <w:rFonts w:hint="default" w:ascii="Times New Roman" w:hAnsi="Times New Roman" w:cs="Times New Roman"/>
          <w:color w:val="000000"/>
          <w:kern w:val="0"/>
          <w:sz w:val="28"/>
          <w:szCs w:val="28"/>
          <w:vertAlign w:val="subscript"/>
          <w:lang w:val="pt-BR" w:bidi="ar"/>
        </w:rPr>
        <w:t>3</w:t>
      </w:r>
      <w:r>
        <w:rPr>
          <w:rFonts w:hint="default" w:ascii="Times New Roman" w:hAnsi="Times New Roman" w:cs="Times New Roman"/>
          <w:color w:val="000000"/>
          <w:kern w:val="0"/>
          <w:sz w:val="28"/>
          <w:szCs w:val="28"/>
          <w:lang w:val="pt-BR" w:bidi="ar"/>
        </w:rPr>
        <w:t>E</w:t>
      </w:r>
      <w:r>
        <w:rPr>
          <w:rFonts w:hint="default" w:ascii="Times New Roman" w:hAnsi="Times New Roman" w:cs="Times New Roman"/>
          <w:color w:val="000000"/>
          <w:kern w:val="0"/>
          <w:sz w:val="28"/>
          <w:szCs w:val="28"/>
          <w:vertAlign w:val="subscript"/>
          <w:lang w:val="pt-BR" w:bidi="ar"/>
        </w:rPr>
        <w:t>3</w:t>
      </w:r>
      <w:r>
        <w:rPr>
          <w:rFonts w:hint="default" w:ascii="Times New Roman" w:hAnsi="Times New Roman" w:cs="Times New Roman"/>
          <w:color w:val="000000"/>
          <w:kern w:val="0"/>
          <w:sz w:val="28"/>
          <w:szCs w:val="28"/>
          <w:lang w:val="pt-BR" w:bidi="ar"/>
        </w:rPr>
        <w:t>NS/C</w:t>
      </w:r>
      <w:r>
        <w:rPr>
          <w:rFonts w:hint="default" w:ascii="Times New Roman" w:hAnsi="Times New Roman" w:cs="Times New Roman"/>
          <w:color w:val="000000"/>
          <w:kern w:val="0"/>
          <w:sz w:val="28"/>
          <w:szCs w:val="28"/>
          <w:vertAlign w:val="subscript"/>
          <w:lang w:val="pt-BR" w:bidi="ar"/>
        </w:rPr>
        <w:t>14-3-14</w:t>
      </w:r>
      <w:r>
        <w:rPr>
          <w:rFonts w:hint="default" w:ascii="Times New Roman" w:hAnsi="Times New Roman" w:cs="Times New Roman"/>
          <w:color w:val="000000"/>
          <w:kern w:val="0"/>
          <w:sz w:val="28"/>
          <w:szCs w:val="28"/>
          <w:lang w:val="pt-BR" w:bidi="ar"/>
        </w:rPr>
        <w:t>)=2:3</w:t>
      </w:r>
    </w:p>
    <w:p w14:paraId="2A86069F">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cmc - Critical micelle concentration</w:t>
      </w:r>
      <w:r>
        <w:rPr>
          <w:rFonts w:hint="default" w:ascii="Times New Roman" w:hAnsi="Times New Roman" w:cs="Times New Roman"/>
          <w:color w:val="000000"/>
          <w:kern w:val="0"/>
          <w:sz w:val="28"/>
          <w:szCs w:val="28"/>
          <w:lang w:bidi="ar"/>
        </w:rPr>
        <w:t xml:space="preserve"> (</w:t>
      </w:r>
      <w:r>
        <w:rPr>
          <w:rFonts w:hint="default" w:ascii="Times New Roman" w:hAnsi="Times New Roman" w:cs="Times New Roman"/>
          <w:sz w:val="28"/>
          <w:szCs w:val="28"/>
        </w:rPr>
        <w:t>mN·L</w:t>
      </w:r>
      <w:r>
        <w:rPr>
          <w:rFonts w:hint="default" w:ascii="Times New Roman" w:hAnsi="Times New Roman" w:cs="Times New Roman"/>
          <w:sz w:val="28"/>
          <w:szCs w:val="28"/>
          <w:vertAlign w:val="superscript"/>
        </w:rPr>
        <w:t>-1</w:t>
      </w:r>
      <w:r>
        <w:rPr>
          <w:rFonts w:hint="default" w:ascii="Times New Roman" w:hAnsi="Times New Roman" w:cs="Times New Roman"/>
          <w:color w:val="000000"/>
          <w:kern w:val="0"/>
          <w:sz w:val="28"/>
          <w:szCs w:val="28"/>
          <w:lang w:bidi="ar"/>
        </w:rPr>
        <w:t>)</w:t>
      </w:r>
    </w:p>
    <w:p w14:paraId="72B8DD9F">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Cl</w:t>
      </w:r>
      <w:r>
        <w:rPr>
          <w:rFonts w:hint="default" w:ascii="Times New Roman" w:hAnsi="Times New Roman" w:cs="Times New Roman"/>
          <w:sz w:val="28"/>
          <w:szCs w:val="28"/>
          <w:vertAlign w:val="superscript"/>
        </w:rPr>
        <w:t>-</w:t>
      </w:r>
      <w:r>
        <w:rPr>
          <w:rFonts w:hint="default" w:ascii="Times New Roman" w:hAnsi="Times New Roman" w:cs="Times New Roman"/>
          <w:sz w:val="28"/>
          <w:szCs w:val="28"/>
        </w:rPr>
        <w:t xml:space="preserve"> - Chloride ion</w:t>
      </w:r>
    </w:p>
    <w:p w14:paraId="391B1120">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DLS - Dynamic light scattering</w:t>
      </w:r>
    </w:p>
    <w:p w14:paraId="5E6CD5E9">
      <w:pPr>
        <w:widowControl/>
        <w:ind w:firstLine="709" w:firstLineChars="0"/>
        <w:rPr>
          <w:rFonts w:hint="default" w:ascii="Times New Roman" w:hAnsi="Times New Roman" w:cs="Times New Roman"/>
          <w:sz w:val="28"/>
          <w:szCs w:val="28"/>
        </w:rPr>
      </w:pPr>
      <m:oMath>
        <m:r>
          <m:rPr>
            <m:nor/>
            <m:sty m:val="p"/>
          </m:rPr>
          <w:rPr>
            <w:rFonts w:hint="default" w:ascii="Times New Roman" w:hAnsi="Times New Roman" w:cs="Times New Roman"/>
            <w:b w:val="0"/>
            <w:i w:val="0"/>
            <w:sz w:val="28"/>
            <w:szCs w:val="28"/>
          </w:rPr>
          <m:t>Δ</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ads</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 Standard Gibbs free energy of adsorption</w:t>
      </w:r>
      <w:r>
        <w:rPr>
          <w:rFonts w:hint="default" w:ascii="Times New Roman" w:hAnsi="Times New Roman" w:cs="Times New Roman"/>
          <w:color w:val="000000"/>
          <w:kern w:val="0"/>
          <w:sz w:val="28"/>
          <w:szCs w:val="28"/>
          <w:lang w:bidi="ar"/>
        </w:rPr>
        <w:t xml:space="preserve"> (</w:t>
      </w:r>
      <w:r>
        <w:rPr>
          <w:rFonts w:hint="default" w:ascii="Times New Roman" w:hAnsi="Times New Roman" w:cs="Times New Roman"/>
          <w:sz w:val="28"/>
          <w:szCs w:val="28"/>
        </w:rPr>
        <w:t>kJ·mol</w:t>
      </w:r>
      <w:r>
        <w:rPr>
          <w:rFonts w:hint="default" w:ascii="Times New Roman" w:hAnsi="Times New Roman" w:cs="Times New Roman"/>
          <w:sz w:val="28"/>
          <w:szCs w:val="28"/>
          <w:vertAlign w:val="superscript"/>
        </w:rPr>
        <w:t>-1</w:t>
      </w:r>
      <w:r>
        <w:rPr>
          <w:rFonts w:hint="default" w:ascii="Times New Roman" w:hAnsi="Times New Roman" w:cs="Times New Roman"/>
          <w:color w:val="000000"/>
          <w:kern w:val="0"/>
          <w:sz w:val="28"/>
          <w:szCs w:val="28"/>
          <w:lang w:bidi="ar"/>
        </w:rPr>
        <w:t>)</w:t>
      </w:r>
    </w:p>
    <w:p w14:paraId="10572AF5">
      <w:pPr>
        <w:widowControl/>
        <w:ind w:firstLine="709" w:firstLineChars="0"/>
        <w:rPr>
          <w:rFonts w:hint="default" w:ascii="Times New Roman" w:hAnsi="Times New Roman" w:cs="Times New Roman"/>
          <w:sz w:val="28"/>
          <w:szCs w:val="28"/>
        </w:rPr>
      </w:pPr>
      <m:oMath>
        <m:r>
          <m:rPr>
            <m:nor/>
            <m:sty m:val="p"/>
          </m:rPr>
          <w:rPr>
            <w:rFonts w:hint="default" w:ascii="Times New Roman" w:hAnsi="Times New Roman" w:cs="Times New Roman"/>
            <w:b w:val="0"/>
            <w:i w:val="0"/>
            <w:sz w:val="28"/>
            <w:szCs w:val="28"/>
          </w:rPr>
          <m:t>Δ</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 Standard Gibbs free energy of micellization</w:t>
      </w:r>
      <w:r>
        <w:rPr>
          <w:rFonts w:hint="default" w:ascii="Times New Roman" w:hAnsi="Times New Roman" w:cs="Times New Roman"/>
          <w:color w:val="000000"/>
          <w:kern w:val="0"/>
          <w:sz w:val="28"/>
          <w:szCs w:val="28"/>
          <w:lang w:bidi="ar"/>
        </w:rPr>
        <w:t xml:space="preserve"> (</w:t>
      </w:r>
      <w:r>
        <w:rPr>
          <w:rFonts w:hint="default" w:ascii="Times New Roman" w:hAnsi="Times New Roman" w:cs="Times New Roman"/>
          <w:sz w:val="28"/>
          <w:szCs w:val="28"/>
        </w:rPr>
        <w:t>kJ·mol</w:t>
      </w:r>
      <w:r>
        <w:rPr>
          <w:rFonts w:hint="default" w:ascii="Times New Roman" w:hAnsi="Times New Roman" w:cs="Times New Roman"/>
          <w:sz w:val="28"/>
          <w:szCs w:val="28"/>
          <w:vertAlign w:val="superscript"/>
        </w:rPr>
        <w:t>-1</w:t>
      </w:r>
      <w:r>
        <w:rPr>
          <w:rFonts w:hint="default" w:ascii="Times New Roman" w:hAnsi="Times New Roman" w:cs="Times New Roman"/>
          <w:color w:val="000000"/>
          <w:kern w:val="0"/>
          <w:sz w:val="28"/>
          <w:szCs w:val="28"/>
          <w:lang w:bidi="ar"/>
        </w:rPr>
        <w:t>)</w:t>
      </w:r>
    </w:p>
    <w:p w14:paraId="7B17AE46">
      <w:pPr>
        <w:widowControl/>
        <w:ind w:firstLine="709" w:firstLineChars="0"/>
        <w:rPr>
          <w:rFonts w:hint="default" w:ascii="Times New Roman" w:hAnsi="Times New Roman" w:cs="Times New Roman"/>
          <w:sz w:val="28"/>
          <w:szCs w:val="28"/>
        </w:rPr>
      </w:pPr>
      <m:oMath>
        <m:sSub>
          <m:sSubPr>
            <m:ctrlPr>
              <w:rPr>
                <w:rFonts w:hint="default" w:ascii="Cambria Math" w:hAnsi="Cambria Math" w:cs="Times New Roman"/>
                <w:sz w:val="28"/>
                <w:szCs w:val="28"/>
              </w:rPr>
            </m:ctrlPr>
          </m:sSubPr>
          <m:e>
            <m:r>
              <m:rPr>
                <m:nor/>
                <m:sty m:val="p"/>
              </m:rPr>
              <w:rPr>
                <w:rFonts w:hint="default" w:ascii="Times New Roman" w:hAnsi="Times New Roman" w:cs="Times New Roman"/>
                <w:b w:val="0"/>
                <w:i w:val="0"/>
                <w:sz w:val="28"/>
                <w:szCs w:val="28"/>
              </w:rPr>
              <m:t>∆</m:t>
            </m:r>
            <m:r>
              <m:rPr>
                <m:nor/>
              </m:rPr>
              <w:rPr>
                <w:rFonts w:hint="default" w:ascii="Times New Roman" w:hAnsi="Times New Roman" w:cs="Times New Roman"/>
                <w:i/>
                <w:sz w:val="28"/>
                <w:szCs w:val="28"/>
              </w:rPr>
              <m:t>G</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 ideal</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 Ideal Gibbs free energy of micellization</w:t>
      </w:r>
      <w:r>
        <w:rPr>
          <w:rFonts w:hint="default" w:ascii="Times New Roman" w:hAnsi="Times New Roman" w:cs="Times New Roman"/>
          <w:color w:val="000000"/>
          <w:kern w:val="0"/>
          <w:sz w:val="28"/>
          <w:szCs w:val="28"/>
          <w:lang w:bidi="ar"/>
        </w:rPr>
        <w:t xml:space="preserve"> (</w:t>
      </w:r>
      <w:r>
        <w:rPr>
          <w:rFonts w:hint="default" w:ascii="Times New Roman" w:hAnsi="Times New Roman" w:cs="Times New Roman"/>
          <w:sz w:val="28"/>
          <w:szCs w:val="28"/>
        </w:rPr>
        <w:t>kJ·mol</w:t>
      </w:r>
      <w:r>
        <w:rPr>
          <w:rFonts w:hint="default" w:ascii="Times New Roman" w:hAnsi="Times New Roman" w:cs="Times New Roman"/>
          <w:sz w:val="28"/>
          <w:szCs w:val="28"/>
          <w:vertAlign w:val="superscript"/>
        </w:rPr>
        <w:t>-1</w:t>
      </w:r>
      <w:r>
        <w:rPr>
          <w:rFonts w:hint="default" w:ascii="Times New Roman" w:hAnsi="Times New Roman" w:cs="Times New Roman"/>
          <w:color w:val="000000"/>
          <w:kern w:val="0"/>
          <w:sz w:val="28"/>
          <w:szCs w:val="28"/>
          <w:lang w:bidi="ar"/>
        </w:rPr>
        <w:t>)</w:t>
      </w:r>
    </w:p>
    <w:p w14:paraId="5685B940">
      <w:pPr>
        <w:widowControl/>
        <w:ind w:firstLine="709" w:firstLineChars="0"/>
        <w:rPr>
          <w:rFonts w:hint="default" w:ascii="Times New Roman" w:hAnsi="Times New Roman" w:cs="Times New Roman"/>
          <w:sz w:val="28"/>
          <w:szCs w:val="28"/>
        </w:rPr>
      </w:pPr>
      <m:oMath>
        <m:r>
          <m:rPr>
            <m:nor/>
            <m:sty m:val="p"/>
          </m:rPr>
          <w:rPr>
            <w:rFonts w:hint="default" w:ascii="Times New Roman" w:hAnsi="Times New Roman" w:cs="Times New Roman"/>
            <w:b w:val="0"/>
            <w:i w:val="0"/>
            <w:sz w:val="28"/>
            <w:szCs w:val="28"/>
          </w:rPr>
          <m:t>Δ</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H</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 Standard enthalpy of micellization</w:t>
      </w:r>
      <w:r>
        <w:rPr>
          <w:rFonts w:hint="default" w:ascii="Times New Roman" w:hAnsi="Times New Roman" w:cs="Times New Roman"/>
          <w:color w:val="000000"/>
          <w:kern w:val="0"/>
          <w:sz w:val="28"/>
          <w:szCs w:val="28"/>
          <w:lang w:bidi="ar"/>
        </w:rPr>
        <w:t xml:space="preserve"> (</w:t>
      </w:r>
      <w:r>
        <w:rPr>
          <w:rFonts w:hint="default" w:ascii="Times New Roman" w:hAnsi="Times New Roman" w:cs="Times New Roman"/>
          <w:sz w:val="28"/>
          <w:szCs w:val="28"/>
        </w:rPr>
        <w:t>kJ·mol</w:t>
      </w:r>
      <w:r>
        <w:rPr>
          <w:rFonts w:hint="default" w:ascii="Times New Roman" w:hAnsi="Times New Roman" w:cs="Times New Roman"/>
          <w:sz w:val="28"/>
          <w:szCs w:val="28"/>
          <w:vertAlign w:val="superscript"/>
        </w:rPr>
        <w:t>-1</w:t>
      </w:r>
      <w:r>
        <w:rPr>
          <w:rFonts w:hint="default" w:ascii="Times New Roman" w:hAnsi="Times New Roman" w:cs="Times New Roman"/>
          <w:color w:val="000000"/>
          <w:kern w:val="0"/>
          <w:sz w:val="28"/>
          <w:szCs w:val="28"/>
          <w:lang w:bidi="ar"/>
        </w:rPr>
        <w:t>)</w:t>
      </w:r>
    </w:p>
    <w:p w14:paraId="6320B5F9">
      <w:pPr>
        <w:widowControl/>
        <w:ind w:firstLine="709" w:firstLineChars="0"/>
        <w:rPr>
          <w:rFonts w:hint="default" w:ascii="Times New Roman" w:hAnsi="Times New Roman" w:cs="Times New Roman"/>
          <w:sz w:val="28"/>
          <w:szCs w:val="28"/>
        </w:rPr>
      </w:pP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H</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 Compensation enthalpy</w:t>
      </w:r>
      <w:r>
        <w:rPr>
          <w:rFonts w:hint="default" w:ascii="Times New Roman" w:hAnsi="Times New Roman" w:cs="Times New Roman"/>
          <w:color w:val="000000"/>
          <w:kern w:val="0"/>
          <w:sz w:val="28"/>
          <w:szCs w:val="28"/>
          <w:lang w:bidi="ar"/>
        </w:rPr>
        <w:t xml:space="preserve"> (</w:t>
      </w:r>
      <w:r>
        <w:rPr>
          <w:rFonts w:hint="default" w:ascii="Times New Roman" w:hAnsi="Times New Roman" w:cs="Times New Roman"/>
          <w:sz w:val="28"/>
          <w:szCs w:val="28"/>
        </w:rPr>
        <w:t>kJ·mol</w:t>
      </w:r>
      <w:r>
        <w:rPr>
          <w:rFonts w:hint="default" w:ascii="Times New Roman" w:hAnsi="Times New Roman" w:cs="Times New Roman"/>
          <w:sz w:val="28"/>
          <w:szCs w:val="28"/>
          <w:vertAlign w:val="superscript"/>
        </w:rPr>
        <w:t>-1</w:t>
      </w:r>
      <w:r>
        <w:rPr>
          <w:rFonts w:hint="default" w:ascii="Times New Roman" w:hAnsi="Times New Roman" w:cs="Times New Roman"/>
          <w:color w:val="000000"/>
          <w:kern w:val="0"/>
          <w:sz w:val="28"/>
          <w:szCs w:val="28"/>
          <w:lang w:bidi="ar"/>
        </w:rPr>
        <w:t>)</w:t>
      </w:r>
    </w:p>
    <w:p w14:paraId="78F1F69B">
      <w:pPr>
        <w:widowControl/>
        <w:ind w:firstLine="709" w:firstLineChars="0"/>
        <w:rPr>
          <w:rFonts w:hint="default" w:ascii="Times New Roman" w:hAnsi="Times New Roman" w:cs="Times New Roman"/>
          <w:sz w:val="28"/>
          <w:szCs w:val="28"/>
        </w:rPr>
      </w:pPr>
      <m:oMath>
        <m:r>
          <m:rPr>
            <m:nor/>
            <m:sty m:val="p"/>
          </m:rPr>
          <w:rPr>
            <w:rFonts w:hint="default" w:ascii="Times New Roman" w:hAnsi="Times New Roman" w:cs="Times New Roman"/>
            <w:b w:val="0"/>
            <w:i w:val="0"/>
            <w:sz w:val="28"/>
            <w:szCs w:val="28"/>
          </w:rPr>
          <m:t>Δ</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S</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θ</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 Standard entropy of micellization</w:t>
      </w:r>
      <w:r>
        <w:rPr>
          <w:rFonts w:hint="default" w:ascii="Times New Roman" w:hAnsi="Times New Roman" w:cs="Times New Roman"/>
          <w:color w:val="000000"/>
          <w:kern w:val="0"/>
          <w:sz w:val="28"/>
          <w:szCs w:val="28"/>
          <w:lang w:bidi="ar"/>
        </w:rPr>
        <w:t xml:space="preserve"> (</w:t>
      </w:r>
      <w:r>
        <w:rPr>
          <w:rFonts w:hint="default" w:ascii="Times New Roman" w:hAnsi="Times New Roman" w:cs="Times New Roman"/>
          <w:sz w:val="28"/>
          <w:szCs w:val="28"/>
        </w:rPr>
        <w:t>J·mol</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·K</w:t>
      </w:r>
      <w:r>
        <w:rPr>
          <w:rFonts w:hint="default" w:ascii="Times New Roman" w:hAnsi="Times New Roman" w:cs="Times New Roman"/>
          <w:sz w:val="28"/>
          <w:szCs w:val="28"/>
          <w:vertAlign w:val="superscript"/>
        </w:rPr>
        <w:t>-1</w:t>
      </w:r>
      <w:r>
        <w:rPr>
          <w:rFonts w:hint="default" w:ascii="Times New Roman" w:hAnsi="Times New Roman" w:cs="Times New Roman"/>
          <w:color w:val="000000"/>
          <w:kern w:val="0"/>
          <w:sz w:val="28"/>
          <w:szCs w:val="28"/>
          <w:lang w:bidi="ar"/>
        </w:rPr>
        <w:t>)</w:t>
      </w:r>
    </w:p>
    <w:p w14:paraId="758EA0C0">
      <w:pPr>
        <w:widowControl/>
        <w:ind w:firstLine="709" w:firstLineChars="0"/>
        <w:rPr>
          <w:rFonts w:hint="default" w:ascii="Times New Roman" w:hAnsi="Times New Roman" w:cs="Times New Roman"/>
          <w:sz w:val="28"/>
          <w:szCs w:val="28"/>
        </w:rPr>
      </w:pPr>
      <m:oMath>
        <m:r>
          <m:rPr>
            <m:nor/>
            <m:sty m:val="p"/>
          </m:rPr>
          <w:rPr>
            <w:rFonts w:hint="default" w:ascii="Times New Roman" w:hAnsi="Times New Roman" w:cs="Times New Roman"/>
            <w:b w:val="0"/>
            <w:i w:val="0"/>
            <w:sz w:val="28"/>
            <w:szCs w:val="28"/>
          </w:rPr>
          <m:t>∆</m:t>
        </m:r>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S</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mic</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 Compensation entropy</w:t>
      </w:r>
      <w:r>
        <w:rPr>
          <w:rFonts w:hint="default" w:ascii="Times New Roman" w:hAnsi="Times New Roman" w:cs="Times New Roman"/>
          <w:color w:val="000000"/>
          <w:kern w:val="0"/>
          <w:sz w:val="28"/>
          <w:szCs w:val="28"/>
          <w:lang w:bidi="ar"/>
        </w:rPr>
        <w:t xml:space="preserve"> (</w:t>
      </w:r>
      <w:r>
        <w:rPr>
          <w:rFonts w:hint="default" w:ascii="Times New Roman" w:hAnsi="Times New Roman" w:cs="Times New Roman"/>
          <w:sz w:val="28"/>
          <w:szCs w:val="28"/>
        </w:rPr>
        <w:t>J·mol</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·K</w:t>
      </w:r>
      <w:r>
        <w:rPr>
          <w:rFonts w:hint="default" w:ascii="Times New Roman" w:hAnsi="Times New Roman" w:cs="Times New Roman"/>
          <w:sz w:val="28"/>
          <w:szCs w:val="28"/>
          <w:vertAlign w:val="superscript"/>
        </w:rPr>
        <w:t>-1</w:t>
      </w:r>
      <w:r>
        <w:rPr>
          <w:rFonts w:hint="default" w:ascii="Times New Roman" w:hAnsi="Times New Roman" w:cs="Times New Roman"/>
          <w:color w:val="000000"/>
          <w:kern w:val="0"/>
          <w:sz w:val="28"/>
          <w:szCs w:val="28"/>
          <w:lang w:bidi="ar"/>
        </w:rPr>
        <w:t>)</w:t>
      </w:r>
    </w:p>
    <w:p w14:paraId="7BB9DD1C">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EAS - Extended amphoteric surfactants</w:t>
      </w:r>
    </w:p>
    <w:p w14:paraId="246462A6">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EO - Ethylene oxide</w:t>
      </w:r>
    </w:p>
    <w:p w14:paraId="3A294E4D">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EOR - Enhanced oil recovery</w:t>
      </w:r>
    </w:p>
    <w:p w14:paraId="5DADAB33">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f - Frequency (Hz)</w:t>
      </w:r>
    </w:p>
    <w:p w14:paraId="6A8DAB73">
      <w:pPr>
        <w:widowControl/>
        <w:ind w:firstLine="709" w:firstLineChars="0"/>
        <w:rPr>
          <w:rFonts w:hint="default" w:ascii="Times New Roman" w:hAnsi="Times New Roman" w:cs="Times New Roman"/>
          <w:sz w:val="28"/>
          <w:szCs w:val="28"/>
        </w:rPr>
      </w:pPr>
      <m:oMath>
        <m:r>
          <m:rPr>
            <m:nor/>
            <m:sty m:val="p"/>
          </m:rPr>
          <w:rPr>
            <w:rFonts w:hint="default" w:ascii="Times New Roman" w:hAnsi="Times New Roman" w:cs="Times New Roman"/>
            <w:b w:val="0"/>
            <w:i w:val="0"/>
            <w:sz w:val="28"/>
            <w:szCs w:val="28"/>
          </w:rPr>
          <m:t xml:space="preserve"> </m:t>
        </m:r>
        <m:sSubSup>
          <m:sSubSupPr>
            <m:ctrlPr>
              <w:rPr>
                <w:rFonts w:hint="default" w:ascii="Cambria Math" w:hAnsi="Cambria Math" w:cs="Times New Roman"/>
                <w:i/>
                <w:sz w:val="28"/>
                <w:szCs w:val="28"/>
              </w:rPr>
            </m:ctrlPr>
          </m:sSubSupPr>
          <m:e>
            <m:r>
              <m:rPr>
                <m:nor/>
              </m:rPr>
              <w:rPr>
                <w:rFonts w:hint="default" w:ascii="Times New Roman" w:hAnsi="Times New Roman" w:cs="Times New Roman"/>
                <w:i/>
                <w:sz w:val="28"/>
                <w:szCs w:val="28"/>
              </w:rPr>
              <m:t>f</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up>
            <m:r>
              <m:rPr>
                <m:nor/>
              </m:rPr>
              <w:rPr>
                <w:rFonts w:hint="default" w:ascii="Times New Roman" w:hAnsi="Times New Roman" w:cs="Times New Roman"/>
                <w:i/>
                <w:sz w:val="28"/>
                <w:szCs w:val="28"/>
              </w:rPr>
              <m:t>m</m:t>
            </m:r>
            <m:ctrlPr>
              <w:rPr>
                <w:rFonts w:hint="default" w:ascii="Cambria Math" w:hAnsi="Cambria Math" w:cs="Times New Roman"/>
                <w:i/>
                <w:sz w:val="28"/>
                <w:szCs w:val="28"/>
              </w:rPr>
            </m:ctrlPr>
          </m:sup>
        </m:sSubSup>
      </m:oMath>
      <w:r>
        <w:rPr>
          <w:rFonts w:hint="default" w:ascii="Times New Roman" w:hAnsi="Times New Roman" w:cs="Times New Roman"/>
          <w:sz w:val="28"/>
          <w:szCs w:val="28"/>
        </w:rPr>
        <w:t xml:space="preserve"> - </w:t>
      </w:r>
      <w:r>
        <w:rPr>
          <w:rFonts w:hint="default" w:ascii="Times New Roman" w:hAnsi="Times New Roman" w:cs="Times New Roman"/>
          <w:iCs/>
          <w:sz w:val="28"/>
          <w:szCs w:val="28"/>
        </w:rPr>
        <w:t>Activity coefficients</w:t>
      </w:r>
    </w:p>
    <w:p w14:paraId="57F75882">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FTIR - Fourier transform infrared spectroscopy</w:t>
      </w:r>
    </w:p>
    <w:p w14:paraId="470B4520">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HCO₃⁻ - Bicarbonate ion</w:t>
      </w:r>
    </w:p>
    <w:p w14:paraId="1667A48F">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HLB - Hydrophilic–lipophilic balance</w:t>
      </w:r>
    </w:p>
    <w:p w14:paraId="2120C3D0">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HPAM - Partially hydrolyzed polyacrylamide</w:t>
      </w:r>
    </w:p>
    <w:p w14:paraId="0104CF71">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IFT - Interfacial tension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w:t>
      </w:r>
    </w:p>
    <w:p w14:paraId="3096E377">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K</w:t>
      </w:r>
      <w:r>
        <w:rPr>
          <w:rFonts w:hint="default" w:ascii="Times New Roman" w:hAnsi="Times New Roman" w:cs="Times New Roman"/>
          <w:sz w:val="28"/>
          <w:szCs w:val="28"/>
          <w:vertAlign w:val="superscript"/>
        </w:rPr>
        <w:t>+</w:t>
      </w:r>
      <w:r>
        <w:rPr>
          <w:rFonts w:hint="default" w:ascii="Times New Roman" w:hAnsi="Times New Roman" w:cs="Times New Roman"/>
          <w:sz w:val="28"/>
          <w:szCs w:val="28"/>
        </w:rPr>
        <w:t xml:space="preserve"> - Potassium ion</w:t>
      </w:r>
    </w:p>
    <w:p w14:paraId="27A115AA">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L</w:t>
      </w:r>
      <w:r>
        <w:rPr>
          <w:rFonts w:hint="default" w:ascii="Times New Roman" w:hAnsi="Times New Roman" w:cs="Times New Roman"/>
          <w:sz w:val="28"/>
          <w:szCs w:val="28"/>
          <w:lang w:val="en-GB"/>
        </w:rPr>
        <w:t>-</w:t>
      </w:r>
      <w:r>
        <w:rPr>
          <w:rFonts w:hint="default" w:ascii="Times New Roman" w:hAnsi="Times New Roman" w:cs="Times New Roman"/>
          <w:sz w:val="28"/>
          <w:szCs w:val="28"/>
        </w:rPr>
        <w:t>Length of rock core (cm)</w:t>
      </w:r>
    </w:p>
    <w:p w14:paraId="69C8DA08">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l₀ - Tail length (nm)</w:t>
      </w:r>
    </w:p>
    <w:p w14:paraId="59616119">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K - permeability (mD)</w:t>
      </w:r>
    </w:p>
    <w:p w14:paraId="07D6EBBB">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Mg</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 xml:space="preserve"> - Magnesium ion</w:t>
      </w:r>
    </w:p>
    <w:p w14:paraId="5B1E0AC5">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N - Capillary number</w:t>
      </w:r>
    </w:p>
    <w:p w14:paraId="2A901D5B">
      <w:pPr>
        <w:widowControl/>
        <w:ind w:firstLine="709" w:firstLineChars="0"/>
        <w:rPr>
          <w:rFonts w:hint="default" w:ascii="Times New Roman" w:hAnsi="Times New Roman" w:cs="Times New Roman"/>
          <w:sz w:val="28"/>
          <w:szCs w:val="28"/>
          <w:lang w:val="pt-BR"/>
        </w:rPr>
      </w:pPr>
      <w:r>
        <w:rPr>
          <w:rFonts w:hint="default" w:ascii="Times New Roman" w:hAnsi="Times New Roman" w:cs="Times New Roman"/>
          <w:sz w:val="28"/>
          <w:szCs w:val="28"/>
          <w:lang w:val="pt-BR"/>
        </w:rPr>
        <w:t>Na</w:t>
      </w:r>
      <w:r>
        <w:rPr>
          <w:rFonts w:hint="default" w:ascii="Times New Roman" w:hAnsi="Times New Roman" w:cs="Times New Roman"/>
          <w:sz w:val="28"/>
          <w:szCs w:val="28"/>
          <w:vertAlign w:val="superscript"/>
          <w:lang w:val="pt-BR"/>
        </w:rPr>
        <w:t>+</w:t>
      </w:r>
      <w:r>
        <w:rPr>
          <w:rFonts w:hint="default" w:ascii="Times New Roman" w:hAnsi="Times New Roman" w:cs="Times New Roman"/>
          <w:sz w:val="28"/>
          <w:szCs w:val="28"/>
          <w:lang w:val="pt-BR"/>
        </w:rPr>
        <w:t xml:space="preserve"> - Sodium ion</w:t>
      </w:r>
    </w:p>
    <w:p w14:paraId="75C2F436">
      <w:pPr>
        <w:widowControl/>
        <w:ind w:firstLine="709" w:firstLineChars="0"/>
        <w:rPr>
          <w:rFonts w:hint="default" w:ascii="Times New Roman" w:hAnsi="Times New Roman" w:cs="Times New Roman"/>
          <w:sz w:val="28"/>
          <w:szCs w:val="28"/>
          <w:lang w:val="pt-BR"/>
        </w:rPr>
      </w:pPr>
      <w:r>
        <w:rPr>
          <w:rFonts w:hint="default" w:ascii="Times New Roman" w:hAnsi="Times New Roman" w:cs="Times New Roman"/>
          <w:sz w:val="28"/>
          <w:szCs w:val="28"/>
          <w:lang w:val="pt-BR"/>
        </w:rPr>
        <w:t>NaCl - Sodium chloride</w:t>
      </w:r>
    </w:p>
    <w:p w14:paraId="531FB8BF">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H</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rPr>
        <w:t>NMR - Proton nuclear magnetic resonance</w:t>
      </w:r>
    </w:p>
    <w:p w14:paraId="02FF5E6B">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P - Packing parameter</w:t>
      </w:r>
    </w:p>
    <w:p w14:paraId="19D5D8FC">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PO - Propylene oxide</w:t>
      </w:r>
    </w:p>
    <w:p w14:paraId="3BF1F22C">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PV - Pore volumer</w:t>
      </w:r>
    </w:p>
    <w:p w14:paraId="4BE45C6C">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r - Correlation coefficient</w:t>
      </w:r>
    </w:p>
    <w:p w14:paraId="12BA7E4B">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SDS - Sodium dodecyl sulfate</w:t>
      </w:r>
    </w:p>
    <w:p w14:paraId="178BBBAB">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SO₄²⁻ - Sulfate ion</w:t>
      </w:r>
    </w:p>
    <w:p w14:paraId="66AB6057">
      <w:pPr>
        <w:widowControl/>
        <w:ind w:firstLine="709" w:firstLineChars="0"/>
        <w:rPr>
          <w:rFonts w:hint="default" w:ascii="Times New Roman" w:hAnsi="Times New Roman" w:cs="Times New Roman"/>
          <w:sz w:val="28"/>
          <w:szCs w:val="28"/>
        </w:rPr>
      </w:pPr>
      <m:oMath>
        <m:sSub>
          <m:sSubPr>
            <m:ctrlPr>
              <w:rPr>
                <w:rFonts w:hint="default" w:ascii="Cambria Math" w:hAnsi="Cambria Math" w:cs="Times New Roman"/>
                <w:sz w:val="28"/>
                <w:szCs w:val="28"/>
              </w:rPr>
            </m:ctrlPr>
          </m:sSubPr>
          <m:e>
            <m:r>
              <m:rPr>
                <m:nor/>
              </m:rPr>
              <w:rPr>
                <w:rFonts w:hint="default" w:ascii="Times New Roman" w:hAnsi="Times New Roman" w:cs="Times New Roman"/>
                <w:i/>
                <w:sz w:val="28"/>
                <w:szCs w:val="28"/>
              </w:rPr>
              <m:t>T</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c</m:t>
            </m:r>
            <m:ctrlPr>
              <w:rPr>
                <w:rFonts w:hint="default" w:ascii="Cambria Math" w:hAnsi="Cambria Math" w:cs="Times New Roman"/>
                <w:sz w:val="28"/>
                <w:szCs w:val="28"/>
              </w:rPr>
            </m:ctrlPr>
          </m:sub>
        </m:sSub>
      </m:oMath>
      <w:r>
        <w:rPr>
          <w:rFonts w:hint="default" w:ascii="Times New Roman" w:hAnsi="Times New Roman" w:cs="Times New Roman"/>
          <w:sz w:val="28"/>
          <w:szCs w:val="28"/>
        </w:rPr>
        <w:t xml:space="preserve"> - Compensation temperature (K)</w:t>
      </w:r>
    </w:p>
    <w:p w14:paraId="579BE5E9">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TEM - Transmission electron microscopy</w:t>
      </w:r>
    </w:p>
    <w:p w14:paraId="12D00299">
      <w:pPr>
        <w:widowControl/>
        <w:ind w:firstLine="709" w:firstLineChars="0"/>
        <w:rPr>
          <w:rFonts w:hint="default" w:ascii="Times New Roman" w:hAnsi="Times New Roman" w:cs="Times New Roman"/>
          <w:sz w:val="28"/>
          <w:szCs w:val="28"/>
        </w:rPr>
      </w:pPr>
      <w:r>
        <w:rPr>
          <w:rFonts w:hint="default" w:ascii="Times New Roman" w:hAnsi="Times New Roman" w:cs="Times New Roman"/>
          <w:i/>
          <w:iCs/>
          <w:sz w:val="28"/>
          <w:szCs w:val="28"/>
        </w:rPr>
        <w:t>V</w:t>
      </w:r>
      <w:r>
        <w:rPr>
          <w:rFonts w:hint="default" w:ascii="Times New Roman" w:hAnsi="Times New Roman" w:cs="Times New Roman"/>
          <w:sz w:val="28"/>
          <w:szCs w:val="28"/>
        </w:rPr>
        <w:t xml:space="preserve"> - Hydrophobic volume of an alkyl chain (nm</w:t>
      </w:r>
      <w:r>
        <w:rPr>
          <w:rFonts w:hint="default" w:ascii="Times New Roman" w:hAnsi="Times New Roman" w:cs="Times New Roman"/>
          <w:sz w:val="28"/>
          <w:szCs w:val="28"/>
          <w:vertAlign w:val="superscript"/>
        </w:rPr>
        <w:t>3</w:t>
      </w:r>
      <w:r>
        <w:rPr>
          <w:rFonts w:hint="default" w:ascii="Times New Roman" w:hAnsi="Times New Roman" w:cs="Times New Roman"/>
          <w:sz w:val="28"/>
          <w:szCs w:val="28"/>
        </w:rPr>
        <w:t>)</w:t>
      </w:r>
    </w:p>
    <w:p w14:paraId="51007116">
      <w:pPr>
        <w:widowControl/>
        <w:ind w:firstLine="709" w:firstLineChars="0"/>
        <w:rPr>
          <w:rFonts w:hint="default" w:ascii="Times New Roman" w:hAnsi="Times New Roman" w:cs="Times New Roman"/>
          <w:bCs/>
          <w:iCs/>
          <w:sz w:val="28"/>
          <w:szCs w:val="28"/>
        </w:rPr>
      </w:pPr>
      <m:oMath>
        <m:sSub>
          <m:sSubPr>
            <m:ctrlPr>
              <w:rPr>
                <w:rFonts w:hint="default" w:ascii="Cambria Math" w:hAnsi="Cambria Math" w:cs="Times New Roman"/>
                <w:bCs/>
                <w:sz w:val="28"/>
                <w:szCs w:val="28"/>
              </w:rPr>
            </m:ctrlPr>
          </m:sSubPr>
          <m:e>
            <m:r>
              <m:rPr>
                <m:nor/>
              </m:rPr>
              <w:rPr>
                <w:rFonts w:hint="default" w:ascii="Times New Roman" w:hAnsi="Times New Roman" w:cs="Times New Roman"/>
                <w:i/>
                <w:sz w:val="28"/>
                <w:szCs w:val="28"/>
              </w:rPr>
              <m:t>V</m:t>
            </m:r>
            <m:ctrlPr>
              <w:rPr>
                <w:rFonts w:hint="default" w:ascii="Cambria Math" w:hAnsi="Cambria Math" w:cs="Times New Roman"/>
                <w:bCs/>
                <w:sz w:val="28"/>
                <w:szCs w:val="28"/>
              </w:rPr>
            </m:ctrlPr>
          </m:e>
          <m:sub>
            <m:r>
              <m:rPr>
                <m:nor/>
              </m:rPr>
              <w:rPr>
                <w:rFonts w:hint="default" w:ascii="Times New Roman" w:hAnsi="Times New Roman" w:cs="Times New Roman"/>
                <w:i/>
                <w:sz w:val="28"/>
                <w:szCs w:val="28"/>
              </w:rPr>
              <m:t>f</m:t>
            </m:r>
            <m:ctrlPr>
              <w:rPr>
                <w:rFonts w:hint="default" w:ascii="Cambria Math" w:hAnsi="Cambria Math" w:cs="Times New Roman"/>
                <w:bCs/>
                <w:sz w:val="28"/>
                <w:szCs w:val="28"/>
              </w:rPr>
            </m:ctrlPr>
          </m:sub>
        </m:sSub>
      </m:oMath>
      <w:r>
        <w:rPr>
          <w:rFonts w:hint="default" w:ascii="Times New Roman" w:hAnsi="Times New Roman" w:cs="Times New Roman"/>
          <w:bCs/>
          <w:iCs/>
          <w:sz w:val="28"/>
          <w:szCs w:val="28"/>
        </w:rPr>
        <w:t xml:space="preserve"> - Volume of the core itself (cm</w:t>
      </w:r>
      <w:r>
        <w:rPr>
          <w:rFonts w:hint="default" w:ascii="Times New Roman" w:hAnsi="Times New Roman" w:cs="Times New Roman"/>
          <w:bCs/>
          <w:iCs/>
          <w:sz w:val="28"/>
          <w:szCs w:val="28"/>
          <w:vertAlign w:val="superscript"/>
        </w:rPr>
        <w:t>3</w:t>
      </w:r>
      <w:r>
        <w:rPr>
          <w:rFonts w:hint="default" w:ascii="Times New Roman" w:hAnsi="Times New Roman" w:cs="Times New Roman"/>
          <w:bCs/>
          <w:iCs/>
          <w:sz w:val="28"/>
          <w:szCs w:val="28"/>
        </w:rPr>
        <w:t>)</w:t>
      </w:r>
    </w:p>
    <w:p w14:paraId="18FF3A1A">
      <w:pPr>
        <w:widowControl/>
        <w:ind w:firstLine="709" w:firstLineChars="0"/>
        <w:rPr>
          <w:rFonts w:hint="default" w:ascii="Times New Roman" w:hAnsi="Times New Roman" w:cs="Times New Roman"/>
          <w:sz w:val="28"/>
          <w:szCs w:val="28"/>
        </w:rPr>
      </w:pPr>
      <w:r>
        <w:rPr>
          <w:rFonts w:hint="default" w:ascii="Times New Roman" w:hAnsi="Times New Roman" w:cs="Times New Roman"/>
          <w:i/>
          <w:iCs/>
          <w:sz w:val="28"/>
          <w:szCs w:val="28"/>
        </w:rPr>
        <w:t>Q</w:t>
      </w:r>
      <w:r>
        <w:rPr>
          <w:rFonts w:hint="default" w:ascii="Times New Roman" w:hAnsi="Times New Roman" w:cs="Times New Roman"/>
          <w:sz w:val="28"/>
          <w:szCs w:val="28"/>
        </w:rPr>
        <w:t xml:space="preserve"> - Displacing velocity (cm</w:t>
      </w:r>
      <w:r>
        <w:rPr>
          <w:rFonts w:hint="default" w:ascii="Times New Roman" w:hAnsi="Times New Roman" w:cs="Times New Roman"/>
          <w:sz w:val="28"/>
          <w:szCs w:val="28"/>
          <w:vertAlign w:val="superscript"/>
        </w:rPr>
        <w:t>3</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rPr>
        <w:t>s</w:t>
      </w:r>
      <w:r>
        <w:rPr>
          <w:rFonts w:hint="default" w:ascii="Times New Roman" w:hAnsi="Times New Roman" w:cs="Times New Roman"/>
          <w:sz w:val="28"/>
          <w:szCs w:val="28"/>
          <w:vertAlign w:val="superscript"/>
          <w:lang w:val="en-US" w:eastAsia="zh-CN"/>
        </w:rPr>
        <w:t>-1</w:t>
      </w:r>
      <w:r>
        <w:rPr>
          <w:rFonts w:hint="default" w:ascii="Times New Roman" w:hAnsi="Times New Roman" w:cs="Times New Roman"/>
          <w:sz w:val="28"/>
          <w:szCs w:val="28"/>
        </w:rPr>
        <w:t>)</w:t>
      </w:r>
    </w:p>
    <w:p w14:paraId="1264BA82">
      <w:pPr>
        <w:widowControl/>
        <w:ind w:firstLine="709" w:firstLineChars="0"/>
        <w:rPr>
          <w:rFonts w:hint="default" w:ascii="Times New Roman" w:hAnsi="Times New Roman" w:cs="Times New Roman"/>
          <w:sz w:val="28"/>
          <w:szCs w:val="28"/>
        </w:rPr>
      </w:pPr>
      <m:oMath>
        <m:sSubSup>
          <m:sSubSupPr>
            <m:ctrlPr>
              <w:rPr>
                <w:rFonts w:hint="default" w:ascii="Cambria Math" w:hAnsi="Cambria Math" w:cs="Times New Roman"/>
                <w:i/>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up>
            <m:r>
              <m:rPr>
                <m:nor/>
              </m:rPr>
              <w:rPr>
                <w:rFonts w:hint="default" w:ascii="Times New Roman" w:hAnsi="Times New Roman" w:cs="Times New Roman"/>
                <w:i/>
                <w:sz w:val="28"/>
                <w:szCs w:val="28"/>
              </w:rPr>
              <m:t>m</m:t>
            </m:r>
            <m:ctrlPr>
              <w:rPr>
                <w:rFonts w:hint="default" w:ascii="Cambria Math" w:hAnsi="Cambria Math" w:cs="Times New Roman"/>
                <w:i/>
                <w:sz w:val="28"/>
                <w:szCs w:val="28"/>
              </w:rPr>
            </m:ctrlPr>
          </m:sup>
        </m:sSubSup>
      </m:oMath>
      <w:r>
        <w:rPr>
          <w:rFonts w:hint="default" w:ascii="Times New Roman" w:hAnsi="Times New Roman" w:cs="Times New Roman"/>
          <w:sz w:val="28"/>
          <w:szCs w:val="28"/>
        </w:rPr>
        <w:t xml:space="preserve"> - Mole fraction of component (1) in the mixed micelles</w:t>
      </w:r>
    </w:p>
    <w:p w14:paraId="3D53D682">
      <w:pPr>
        <w:widowControl/>
        <w:ind w:firstLine="709" w:firstLineChars="0"/>
        <w:rPr>
          <w:rFonts w:hint="default" w:ascii="Times New Roman" w:hAnsi="Times New Roman" w:cs="Times New Roman"/>
          <w:sz w:val="28"/>
          <w:szCs w:val="28"/>
        </w:rPr>
      </w:pPr>
      <m:oMath>
        <m:sSubSup>
          <m:sSubSupPr>
            <m:ctrlPr>
              <w:rPr>
                <w:rFonts w:hint="default" w:ascii="Cambria Math" w:hAnsi="Cambria Math" w:cs="Times New Roman"/>
                <w:sz w:val="28"/>
                <w:szCs w:val="28"/>
              </w:rPr>
            </m:ctrlPr>
          </m:sSubSupPr>
          <m:e>
            <m:r>
              <m:rPr>
                <m:nor/>
              </m:rPr>
              <w:rPr>
                <w:rFonts w:hint="default" w:ascii="Times New Roman" w:hAnsi="Times New Roman" w:cs="Times New Roman"/>
                <w:i/>
                <w:sz w:val="28"/>
                <w:szCs w:val="28"/>
              </w:rPr>
              <m:t>X</m:t>
            </m:r>
            <m:ctrlPr>
              <w:rPr>
                <w:rFonts w:hint="default" w:ascii="Cambria Math" w:hAnsi="Cambria Math" w:cs="Times New Roman"/>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sz w:val="28"/>
                <w:szCs w:val="28"/>
              </w:rPr>
            </m:ctrlPr>
          </m:sub>
          <m:sup>
            <m:r>
              <m:rPr>
                <m:nor/>
                <m:sty m:val="p"/>
              </m:rPr>
              <w:rPr>
                <w:rFonts w:hint="default" w:ascii="Times New Roman" w:hAnsi="Times New Roman" w:cs="Times New Roman"/>
                <w:b w:val="0"/>
                <w:i w:val="0"/>
                <w:sz w:val="28"/>
                <w:szCs w:val="28"/>
              </w:rPr>
              <m:t>σ</m:t>
            </m:r>
            <m:ctrlPr>
              <w:rPr>
                <w:rFonts w:hint="default" w:ascii="Cambria Math" w:hAnsi="Cambria Math" w:cs="Times New Roman"/>
                <w:sz w:val="28"/>
                <w:szCs w:val="28"/>
              </w:rPr>
            </m:ctrlPr>
          </m:sup>
        </m:sSubSup>
      </m:oMath>
      <w:r>
        <w:rPr>
          <w:rFonts w:hint="default" w:ascii="Times New Roman" w:hAnsi="Times New Roman" w:cs="Times New Roman"/>
          <w:sz w:val="28"/>
          <w:szCs w:val="28"/>
        </w:rPr>
        <w:t xml:space="preserve"> - Surface molar fraction of component (1)</w:t>
      </w:r>
    </w:p>
    <w:p w14:paraId="5459056D">
      <w:pPr>
        <w:widowControl/>
        <w:ind w:firstLine="709" w:firstLineChars="0"/>
        <w:rPr>
          <w:rFonts w:hint="default" w:ascii="Times New Roman" w:hAnsi="Times New Roman" w:cs="Times New Roman"/>
          <w:sz w:val="28"/>
          <w:szCs w:val="28"/>
        </w:rPr>
      </w:pPr>
    </w:p>
    <w:p w14:paraId="76321C62">
      <w:pPr>
        <w:widowControl/>
        <w:ind w:firstLineChars="0"/>
        <w:jc w:val="center"/>
        <w:rPr>
          <w:rFonts w:hint="default" w:ascii="Times New Roman" w:hAnsi="Times New Roman" w:cs="Times New Roman"/>
          <w:b/>
          <w:bCs/>
          <w:sz w:val="28"/>
          <w:szCs w:val="28"/>
        </w:rPr>
      </w:pPr>
      <w:r>
        <w:rPr>
          <w:rFonts w:hint="default" w:ascii="Times New Roman" w:hAnsi="Times New Roman" w:cs="Times New Roman"/>
          <w:b/>
          <w:bCs/>
          <w:sz w:val="28"/>
          <w:szCs w:val="28"/>
        </w:rPr>
        <w:t>GREEK LETTERS</w:t>
      </w:r>
    </w:p>
    <w:p w14:paraId="7B77CA1E">
      <w:pPr>
        <w:widowControl/>
        <w:ind w:firstLine="709" w:firstLineChars="0"/>
        <w:rPr>
          <w:rFonts w:hint="default" w:ascii="Times New Roman" w:hAnsi="Times New Roman" w:cs="Times New Roman"/>
          <w:sz w:val="28"/>
          <w:szCs w:val="28"/>
        </w:rPr>
      </w:pPr>
      <m:oMath>
        <m:sSub>
          <m:sSubPr>
            <m:ctrlPr>
              <w:rPr>
                <w:rFonts w:hint="default" w:ascii="Cambria Math" w:hAnsi="Cambria Math" w:cs="Times New Roman"/>
                <w:i/>
                <w:sz w:val="28"/>
                <w:szCs w:val="28"/>
              </w:rPr>
            </m:ctrlPr>
          </m:sSubPr>
          <m:e>
            <m:r>
              <m:rPr>
                <m:nor/>
              </m:rPr>
              <w:rPr>
                <w:rFonts w:hint="default" w:ascii="Times New Roman" w:hAnsi="Times New Roman" w:cs="Times New Roman"/>
                <w:i/>
                <w:sz w:val="28"/>
                <w:szCs w:val="28"/>
              </w:rPr>
              <m:t>α</m:t>
            </m:r>
            <m:ctrlPr>
              <w:rPr>
                <w:rFonts w:hint="default" w:ascii="Cambria Math" w:hAnsi="Cambria Math" w:cs="Times New Roman"/>
                <w:i/>
                <w:sz w:val="28"/>
                <w:szCs w:val="28"/>
              </w:rPr>
            </m:ctrlPr>
          </m:e>
          <m:sub>
            <m:r>
              <m:rPr>
                <m:nor/>
                <m:sty m:val="p"/>
              </m:rPr>
              <w:rPr>
                <w:rFonts w:hint="default" w:ascii="Times New Roman" w:hAnsi="Times New Roman" w:cs="Times New Roman"/>
                <w:b w:val="0"/>
                <w:i w:val="0"/>
                <w:sz w:val="28"/>
                <w:szCs w:val="28"/>
              </w:rPr>
              <m:t>1</m:t>
            </m:r>
            <m:ctrlPr>
              <w:rPr>
                <w:rFonts w:hint="default" w:ascii="Cambria Math" w:hAnsi="Cambria Math" w:cs="Times New Roman"/>
                <w:i/>
                <w:sz w:val="28"/>
                <w:szCs w:val="28"/>
              </w:rPr>
            </m:ctrlPr>
          </m:sub>
        </m:sSub>
      </m:oMath>
      <w:r>
        <w:rPr>
          <w:rFonts w:hint="default" w:ascii="Times New Roman" w:hAnsi="Times New Roman" w:cs="Times New Roman"/>
          <w:sz w:val="28"/>
          <w:szCs w:val="28"/>
        </w:rPr>
        <w:t xml:space="preserve"> - Molar fraction of component (1) in the mixed solution</w:t>
      </w:r>
    </w:p>
    <w:p w14:paraId="3D91DE1B">
      <w:pPr>
        <w:widowControl/>
        <w:ind w:firstLine="709" w:firstLineChars="0"/>
        <w:rPr>
          <w:rFonts w:hint="default" w:ascii="Times New Roman" w:hAnsi="Times New Roman" w:cs="Times New Roman"/>
          <w:sz w:val="28"/>
          <w:szCs w:val="28"/>
        </w:rPr>
      </w:pPr>
      <m:oMath>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m</m:t>
            </m:r>
            <m:ctrlPr>
              <w:rPr>
                <w:rFonts w:hint="default" w:ascii="Cambria Math" w:hAnsi="Cambria Math" w:cs="Times New Roman"/>
                <w:sz w:val="28"/>
                <w:szCs w:val="28"/>
              </w:rPr>
            </m:ctrlPr>
          </m:sup>
        </m:sSup>
      </m:oMath>
      <w:r>
        <w:rPr>
          <w:rFonts w:hint="default" w:ascii="Times New Roman" w:hAnsi="Times New Roman" w:cs="Times New Roman"/>
          <w:sz w:val="28"/>
          <w:szCs w:val="28"/>
        </w:rPr>
        <w:t xml:space="preserve"> - Micellar interaction parameter</w:t>
      </w:r>
    </w:p>
    <w:p w14:paraId="2002795E">
      <w:pPr>
        <w:widowControl/>
        <w:ind w:firstLine="709" w:firstLineChars="0"/>
        <w:rPr>
          <w:rFonts w:hint="default" w:ascii="Times New Roman" w:hAnsi="Times New Roman" w:cs="Times New Roman"/>
          <w:sz w:val="28"/>
          <w:szCs w:val="28"/>
        </w:rPr>
      </w:pPr>
      <m:oMath>
        <m:sSup>
          <m:sSupPr>
            <m:ctrlPr>
              <w:rPr>
                <w:rFonts w:hint="default" w:ascii="Cambria Math" w:hAnsi="Cambria Math" w:cs="Times New Roman"/>
                <w:sz w:val="28"/>
                <w:szCs w:val="28"/>
              </w:rPr>
            </m:ctrlPr>
          </m:sSupPr>
          <m:e>
            <m:r>
              <m:rPr>
                <m:nor/>
              </m:rPr>
              <w:rPr>
                <w:rFonts w:hint="default" w:ascii="Times New Roman" w:hAnsi="Times New Roman" w:cs="Times New Roman"/>
                <w:i/>
                <w:sz w:val="28"/>
                <w:szCs w:val="28"/>
              </w:rPr>
              <m:t>β</m:t>
            </m:r>
            <m:ctrlPr>
              <w:rPr>
                <w:rFonts w:hint="default" w:ascii="Cambria Math" w:hAnsi="Cambria Math" w:cs="Times New Roman"/>
                <w:sz w:val="28"/>
                <w:szCs w:val="28"/>
              </w:rPr>
            </m:ctrlPr>
          </m:e>
          <m:sup>
            <m:r>
              <m:rPr>
                <m:nor/>
                <m:sty m:val="p"/>
              </m:rPr>
              <w:rPr>
                <w:rFonts w:hint="default" w:ascii="Times New Roman" w:hAnsi="Times New Roman" w:cs="Times New Roman"/>
                <w:b w:val="0"/>
                <w:i w:val="0"/>
                <w:sz w:val="28"/>
                <w:szCs w:val="28"/>
              </w:rPr>
              <m:t>σ</m:t>
            </m:r>
            <m:ctrlPr>
              <w:rPr>
                <w:rFonts w:hint="default" w:ascii="Cambria Math" w:hAnsi="Cambria Math" w:cs="Times New Roman"/>
                <w:sz w:val="28"/>
                <w:szCs w:val="28"/>
              </w:rPr>
            </m:ctrlPr>
          </m:sup>
        </m:sSup>
      </m:oMath>
      <w:r>
        <w:rPr>
          <w:rFonts w:hint="default" w:ascii="Times New Roman" w:hAnsi="Times New Roman" w:cs="Times New Roman"/>
          <w:sz w:val="28"/>
          <w:szCs w:val="28"/>
        </w:rPr>
        <w:t xml:space="preserve"> - Surface interaction parameter</w:t>
      </w:r>
    </w:p>
    <w:p w14:paraId="19F6D089">
      <w:pPr>
        <w:widowControl/>
        <w:ind w:firstLine="709" w:firstLineChars="0"/>
        <w:rPr>
          <w:rFonts w:hint="default" w:ascii="Times New Roman" w:hAnsi="Times New Roman" w:cs="Times New Roman"/>
          <w:sz w:val="28"/>
          <w:szCs w:val="28"/>
        </w:rPr>
      </w:pPr>
      <w:r>
        <w:rPr>
          <w:rFonts w:hint="default" w:ascii="Times New Roman" w:hAnsi="Times New Roman" w:cs="Times New Roman"/>
          <w:i/>
          <w:iCs/>
          <w:sz w:val="28"/>
          <w:szCs w:val="28"/>
        </w:rPr>
        <w:t>γ</w:t>
      </w:r>
      <w:r>
        <w:rPr>
          <w:rFonts w:hint="default" w:ascii="Times New Roman" w:hAnsi="Times New Roman" w:cs="Times New Roman"/>
          <w:sz w:val="28"/>
          <w:szCs w:val="28"/>
        </w:rPr>
        <w:t xml:space="preserve"> - Surface tension (mN·m</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w:t>
      </w:r>
    </w:p>
    <w:p w14:paraId="2CAAD2E4">
      <w:pPr>
        <w:widowControl/>
        <w:ind w:firstLine="709" w:firstLineChars="0"/>
        <w:rPr>
          <w:rFonts w:hint="default" w:ascii="Times New Roman" w:hAnsi="Times New Roman" w:cs="Times New Roman"/>
          <w:sz w:val="28"/>
          <w:szCs w:val="28"/>
        </w:rPr>
      </w:pPr>
      <w:r>
        <w:rPr>
          <w:rFonts w:hint="default" w:ascii="Times New Roman" w:hAnsi="Times New Roman" w:cs="Times New Roman"/>
          <w:i/>
          <w:iCs/>
          <w:sz w:val="28"/>
          <w:szCs w:val="28"/>
        </w:rPr>
        <w:t>ε</w:t>
      </w:r>
      <w:r>
        <w:rPr>
          <w:rFonts w:hint="default" w:ascii="Times New Roman" w:hAnsi="Times New Roman" w:cs="Times New Roman"/>
          <w:sz w:val="28"/>
          <w:szCs w:val="28"/>
        </w:rPr>
        <w:t xml:space="preserve"> - Dilational modulus</w:t>
      </w:r>
    </w:p>
    <w:p w14:paraId="3069345E">
      <w:pPr>
        <w:widowControl/>
        <w:ind w:firstLine="709" w:firstLineChars="0"/>
        <w:rPr>
          <w:rFonts w:hint="default" w:ascii="Times New Roman" w:hAnsi="Times New Roman" w:cs="Times New Roman"/>
          <w:sz w:val="28"/>
          <w:szCs w:val="28"/>
        </w:rPr>
      </w:pPr>
      <w:r>
        <w:rPr>
          <w:rFonts w:hint="default" w:ascii="Times New Roman" w:hAnsi="Times New Roman" w:cs="Times New Roman"/>
          <w:i/>
          <w:iCs/>
          <w:sz w:val="28"/>
          <w:szCs w:val="28"/>
        </w:rPr>
        <w:t>ε</w:t>
      </w:r>
      <w:r>
        <w:rPr>
          <w:rFonts w:hint="default" w:ascii="Times New Roman" w:hAnsi="Times New Roman" w:cs="Times New Roman"/>
          <w:sz w:val="28"/>
          <w:szCs w:val="28"/>
          <w:vertAlign w:val="subscript"/>
        </w:rPr>
        <w:t>d</w:t>
      </w:r>
      <w:r>
        <w:rPr>
          <w:rFonts w:hint="default" w:ascii="Times New Roman" w:hAnsi="Times New Roman" w:cs="Times New Roman"/>
          <w:sz w:val="28"/>
          <w:szCs w:val="28"/>
        </w:rPr>
        <w:t xml:space="preserve"> - Dilational elasticity</w:t>
      </w:r>
    </w:p>
    <w:p w14:paraId="4F0AD530">
      <w:pPr>
        <w:widowControl/>
        <w:ind w:firstLine="709" w:firstLineChars="0"/>
        <w:rPr>
          <w:rFonts w:hint="default" w:ascii="Times New Roman" w:hAnsi="Times New Roman" w:cs="Times New Roman"/>
          <w:sz w:val="28"/>
          <w:szCs w:val="28"/>
        </w:rPr>
      </w:pPr>
      <w:r>
        <w:rPr>
          <w:rFonts w:hint="default" w:ascii="Times New Roman" w:hAnsi="Times New Roman" w:cs="Times New Roman"/>
          <w:i/>
          <w:iCs/>
          <w:sz w:val="28"/>
          <w:szCs w:val="28"/>
        </w:rPr>
        <w:t>ε</w:t>
      </w:r>
      <w:r>
        <w:rPr>
          <w:rFonts w:hint="default" w:ascii="Times New Roman" w:hAnsi="Times New Roman" w:cs="Times New Roman"/>
          <w:sz w:val="28"/>
          <w:szCs w:val="28"/>
          <w:vertAlign w:val="subscript"/>
        </w:rPr>
        <w:t>η</w:t>
      </w:r>
      <w:r>
        <w:rPr>
          <w:rFonts w:hint="default" w:ascii="Times New Roman" w:hAnsi="Times New Roman" w:cs="Times New Roman"/>
          <w:sz w:val="28"/>
          <w:szCs w:val="28"/>
        </w:rPr>
        <w:t xml:space="preserve"> - Dilational viscosity</w:t>
      </w:r>
    </w:p>
    <w:p w14:paraId="6DA16083">
      <w:pPr>
        <w:widowControl/>
        <w:ind w:firstLine="709" w:firstLineChars="0"/>
        <w:rPr>
          <w:rFonts w:hint="default" w:ascii="Times New Roman" w:hAnsi="Times New Roman" w:cs="Times New Roman"/>
          <w:sz w:val="28"/>
          <w:szCs w:val="28"/>
        </w:rPr>
      </w:pPr>
      <w:r>
        <w:rPr>
          <w:rFonts w:hint="default" w:ascii="Times New Roman" w:hAnsi="Times New Roman" w:cs="Times New Roman"/>
          <w:i/>
          <w:iCs/>
          <w:sz w:val="28"/>
          <w:szCs w:val="28"/>
        </w:rPr>
        <w:t>θ</w:t>
      </w:r>
      <w:r>
        <w:rPr>
          <w:rFonts w:hint="default" w:ascii="Times New Roman" w:hAnsi="Times New Roman" w:cs="Times New Roman"/>
          <w:sz w:val="28"/>
          <w:szCs w:val="28"/>
        </w:rPr>
        <w:t xml:space="preserve"> - Contact angle (°)</w:t>
      </w:r>
    </w:p>
    <w:p w14:paraId="630065C4">
      <w:pPr>
        <w:widowControl/>
        <w:ind w:firstLine="709" w:firstLineChars="0"/>
        <w:rPr>
          <w:rFonts w:hint="default" w:ascii="Times New Roman" w:hAnsi="Times New Roman" w:cs="Times New Roman"/>
          <w:sz w:val="28"/>
          <w:szCs w:val="28"/>
        </w:rPr>
      </w:pPr>
      <w:r>
        <w:rPr>
          <w:rFonts w:hint="default" w:ascii="Times New Roman" w:hAnsi="Times New Roman" w:cs="Times New Roman"/>
          <w:i/>
          <w:iCs/>
          <w:sz w:val="28"/>
          <w:szCs w:val="28"/>
        </w:rPr>
        <w:t>μ</w:t>
      </w:r>
      <w:r>
        <w:rPr>
          <w:rFonts w:hint="default" w:ascii="Times New Roman" w:hAnsi="Times New Roman" w:cs="Times New Roman"/>
          <w:sz w:val="28"/>
          <w:szCs w:val="28"/>
        </w:rPr>
        <w:t xml:space="preserve"> - Viscosity of fluid (mPa·s)</w:t>
      </w:r>
    </w:p>
    <w:p w14:paraId="214D0ADD">
      <w:pPr>
        <w:widowControl/>
        <w:ind w:firstLine="709" w:firstLineChars="0"/>
        <w:rPr>
          <w:rFonts w:hint="default" w:ascii="Times New Roman" w:hAnsi="Times New Roman" w:cs="Times New Roman"/>
          <w:sz w:val="28"/>
          <w:szCs w:val="28"/>
        </w:rPr>
      </w:pPr>
      <m:oMath>
        <m:sSub>
          <m:sSubPr>
            <m:ctrlPr>
              <w:rPr>
                <w:rFonts w:hint="default" w:ascii="Cambria Math" w:hAnsi="Cambria Math" w:cs="Times New Roman"/>
                <w:sz w:val="28"/>
                <w:szCs w:val="28"/>
              </w:rPr>
            </m:ctrlPr>
          </m:sSubPr>
          <m:e>
            <m:r>
              <m:rPr>
                <m:nor/>
              </m:rPr>
              <w:rPr>
                <w:rFonts w:hint="default" w:ascii="Times New Roman" w:hAnsi="Times New Roman" w:cs="Times New Roman"/>
                <w:i/>
                <w:sz w:val="28"/>
                <w:szCs w:val="28"/>
              </w:rPr>
              <m:t>ρ</m:t>
            </m:r>
            <m:ctrlPr>
              <w:rPr>
                <w:rFonts w:hint="default" w:ascii="Cambria Math" w:hAnsi="Cambria Math" w:cs="Times New Roman"/>
                <w:sz w:val="28"/>
                <w:szCs w:val="28"/>
              </w:rPr>
            </m:ctrlPr>
          </m:e>
          <m:sub>
            <m:r>
              <m:rPr>
                <m:nor/>
              </m:rPr>
              <w:rPr>
                <w:rFonts w:hint="default" w:ascii="Times New Roman" w:hAnsi="Times New Roman" w:cs="Times New Roman"/>
                <w:i/>
                <w:sz w:val="28"/>
                <w:szCs w:val="28"/>
              </w:rPr>
              <m:t>w</m:t>
            </m:r>
            <m:ctrlPr>
              <w:rPr>
                <w:rFonts w:hint="default" w:ascii="Cambria Math" w:hAnsi="Cambria Math" w:cs="Times New Roman"/>
                <w:sz w:val="28"/>
                <w:szCs w:val="28"/>
              </w:rPr>
            </m:ctrlPr>
          </m:sub>
        </m:sSub>
      </m:oMath>
      <w:r>
        <w:rPr>
          <w:rFonts w:hint="default" w:ascii="Times New Roman" w:hAnsi="Times New Roman" w:cs="Times New Roman"/>
          <w:bCs/>
          <w:iCs/>
          <w:sz w:val="28"/>
          <w:szCs w:val="28"/>
        </w:rPr>
        <w:t xml:space="preserve"> - Density of liquid (g/cm</w:t>
      </w:r>
      <w:r>
        <w:rPr>
          <w:rFonts w:hint="default" w:ascii="Times New Roman" w:hAnsi="Times New Roman" w:cs="Times New Roman"/>
          <w:bCs/>
          <w:iCs/>
          <w:sz w:val="28"/>
          <w:szCs w:val="28"/>
          <w:vertAlign w:val="superscript"/>
        </w:rPr>
        <w:t>3</w:t>
      </w:r>
      <w:r>
        <w:rPr>
          <w:rFonts w:hint="default" w:ascii="Times New Roman" w:hAnsi="Times New Roman" w:cs="Times New Roman"/>
          <w:bCs/>
          <w:iCs/>
          <w:sz w:val="28"/>
          <w:szCs w:val="28"/>
        </w:rPr>
        <w:t>)</w:t>
      </w:r>
    </w:p>
    <w:p w14:paraId="23A68106">
      <w:pPr>
        <w:widowControl/>
        <w:ind w:firstLine="709" w:firstLineChars="0"/>
        <w:rPr>
          <w:rFonts w:hint="default" w:ascii="Times New Roman" w:hAnsi="Times New Roman" w:cs="Times New Roman"/>
          <w:sz w:val="28"/>
          <w:szCs w:val="28"/>
        </w:rPr>
      </w:pPr>
      <w:r>
        <w:rPr>
          <w:rFonts w:hint="default" w:ascii="Times New Roman" w:hAnsi="Times New Roman" w:cs="Times New Roman"/>
          <w:i/>
          <w:iCs/>
          <w:sz w:val="28"/>
          <w:szCs w:val="28"/>
        </w:rPr>
        <w:t>σ</w:t>
      </w:r>
      <w:r>
        <w:rPr>
          <w:rFonts w:hint="default" w:ascii="Times New Roman" w:hAnsi="Times New Roman" w:cs="Times New Roman"/>
          <w:sz w:val="28"/>
          <w:szCs w:val="28"/>
          <w:vertAlign w:val="subscript"/>
        </w:rPr>
        <w:t>om</w:t>
      </w:r>
      <w:r>
        <w:rPr>
          <w:rFonts w:hint="default" w:ascii="Times New Roman" w:hAnsi="Times New Roman" w:cs="Times New Roman"/>
          <w:sz w:val="28"/>
          <w:szCs w:val="28"/>
        </w:rPr>
        <w:t xml:space="preserve"> - Equilibrium IFT between the oil-emulsion interface</w:t>
      </w:r>
    </w:p>
    <w:p w14:paraId="45B09A9F">
      <w:pPr>
        <w:widowControl/>
        <w:ind w:firstLine="709" w:firstLineChars="0"/>
        <w:rPr>
          <w:rFonts w:hint="default" w:ascii="Times New Roman" w:hAnsi="Times New Roman" w:cs="Times New Roman"/>
          <w:sz w:val="28"/>
          <w:szCs w:val="28"/>
        </w:rPr>
      </w:pPr>
      <w:r>
        <w:rPr>
          <w:rFonts w:hint="default" w:ascii="Times New Roman" w:hAnsi="Times New Roman" w:cs="Times New Roman"/>
          <w:i/>
          <w:iCs/>
          <w:sz w:val="28"/>
          <w:szCs w:val="28"/>
        </w:rPr>
        <w:t>σ</w:t>
      </w:r>
      <w:r>
        <w:rPr>
          <w:rFonts w:hint="default" w:ascii="Times New Roman" w:hAnsi="Times New Roman" w:cs="Times New Roman"/>
          <w:sz w:val="28"/>
          <w:szCs w:val="28"/>
          <w:vertAlign w:val="subscript"/>
        </w:rPr>
        <w:t>wm</w:t>
      </w:r>
      <w:r>
        <w:rPr>
          <w:rFonts w:hint="default" w:ascii="Times New Roman" w:hAnsi="Times New Roman" w:cs="Times New Roman"/>
          <w:sz w:val="28"/>
          <w:szCs w:val="28"/>
        </w:rPr>
        <w:t xml:space="preserve"> - Equilibrium IFT between the water-emulsion interface</w:t>
      </w:r>
    </w:p>
    <w:p w14:paraId="23289EA1">
      <w:pPr>
        <w:widowControl/>
        <w:ind w:firstLine="709" w:firstLineChars="0"/>
        <w:rPr>
          <w:rFonts w:hint="default" w:ascii="Times New Roman" w:hAnsi="Times New Roman" w:cs="Times New Roman"/>
          <w:sz w:val="28"/>
          <w:szCs w:val="28"/>
        </w:rPr>
      </w:pPr>
      <w:r>
        <w:rPr>
          <w:rFonts w:hint="default" w:ascii="Times New Roman" w:hAnsi="Times New Roman" w:cs="Times New Roman"/>
          <w:i/>
          <w:iCs/>
          <w:sz w:val="28"/>
          <w:szCs w:val="28"/>
        </w:rPr>
        <w:t>ω</w:t>
      </w:r>
      <w:r>
        <w:rPr>
          <w:rFonts w:hint="default" w:ascii="Times New Roman" w:hAnsi="Times New Roman" w:cs="Times New Roman"/>
          <w:sz w:val="28"/>
          <w:szCs w:val="28"/>
        </w:rPr>
        <w:t xml:space="preserve"> - Angular frequency</w:t>
      </w:r>
    </w:p>
    <w:p w14:paraId="685A4A4C">
      <w:pPr>
        <w:widowControl/>
        <w:ind w:firstLine="709" w:firstLineChars="0"/>
        <w:rPr>
          <w:rFonts w:hint="default" w:ascii="Times New Roman" w:hAnsi="Times New Roman" w:cs="Times New Roman"/>
          <w:sz w:val="28"/>
          <w:szCs w:val="28"/>
        </w:rPr>
      </w:pPr>
      <w:r>
        <w:rPr>
          <w:rFonts w:hint="default" w:ascii="Times New Roman" w:hAnsi="Times New Roman" w:cs="Times New Roman"/>
          <w:i/>
          <w:iCs/>
          <w:sz w:val="28"/>
          <w:szCs w:val="28"/>
        </w:rPr>
        <w:t>∆P</w:t>
      </w:r>
      <w:r>
        <w:rPr>
          <w:rFonts w:hint="default" w:ascii="Times New Roman" w:hAnsi="Times New Roman" w:cs="Times New Roman"/>
          <w:sz w:val="28"/>
          <w:szCs w:val="28"/>
        </w:rPr>
        <w:t xml:space="preserve"> - Pressure difference at both ends (MPa)</w:t>
      </w:r>
    </w:p>
    <w:p w14:paraId="6AE12E35">
      <w:pPr>
        <w:widowControl/>
        <w:ind w:firstLine="709" w:firstLineChars="0"/>
        <w:rPr>
          <w:rFonts w:hint="default" w:ascii="Times New Roman" w:hAnsi="Times New Roman" w:cs="Times New Roman"/>
          <w:sz w:val="28"/>
          <w:szCs w:val="28"/>
        </w:rPr>
      </w:pPr>
      <w:r>
        <w:rPr>
          <w:rFonts w:hint="default" w:ascii="Times New Roman" w:hAnsi="Times New Roman" w:cs="Times New Roman"/>
          <w:i/>
          <w:iCs/>
          <w:sz w:val="28"/>
          <w:szCs w:val="28"/>
        </w:rPr>
        <w:t>Γ</w:t>
      </w:r>
      <w:r>
        <w:rPr>
          <w:rFonts w:hint="default" w:ascii="Times New Roman" w:hAnsi="Times New Roman" w:cs="Times New Roman"/>
          <w:sz w:val="28"/>
          <w:szCs w:val="28"/>
          <w:vertAlign w:val="subscript"/>
        </w:rPr>
        <w:t>max</w:t>
      </w:r>
      <w:r>
        <w:rPr>
          <w:rFonts w:hint="default" w:ascii="Times New Roman" w:hAnsi="Times New Roman" w:cs="Times New Roman"/>
          <w:sz w:val="28"/>
          <w:szCs w:val="28"/>
        </w:rPr>
        <w:t xml:space="preserve"> - Maximum surface excess concentration</w:t>
      </w:r>
    </w:p>
    <w:p w14:paraId="5BB696F8">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br w:type="page"/>
      </w:r>
    </w:p>
    <w:p w14:paraId="06CAA1B5">
      <w:pPr>
        <w:pStyle w:val="2"/>
        <w:keepNext w:val="0"/>
        <w:keepLines w:val="0"/>
        <w:widowControl/>
        <w:spacing w:before="0" w:beforeLines="0" w:after="0" w:afterLines="0" w:line="240" w:lineRule="auto"/>
        <w:rPr>
          <w:rFonts w:hint="default" w:ascii="Times New Roman" w:hAnsi="Times New Roman" w:cs="Times New Roman"/>
          <w:szCs w:val="28"/>
        </w:rPr>
      </w:pPr>
      <w:bookmarkStart w:id="854" w:name="_Toc19151"/>
      <w:bookmarkStart w:id="855" w:name="_Toc29131"/>
      <w:bookmarkStart w:id="856" w:name="_Toc7019"/>
      <w:bookmarkStart w:id="857" w:name="_Toc5312"/>
      <w:bookmarkStart w:id="858" w:name="_Toc6534"/>
      <w:bookmarkStart w:id="859" w:name="_Toc2336"/>
      <w:r>
        <w:rPr>
          <w:rFonts w:hint="default" w:ascii="Times New Roman" w:hAnsi="Times New Roman" w:cs="Times New Roman"/>
          <w:szCs w:val="28"/>
        </w:rPr>
        <w:t>ACKNOWLEDGMENT</w:t>
      </w:r>
      <w:bookmarkEnd w:id="854"/>
      <w:bookmarkEnd w:id="855"/>
      <w:bookmarkEnd w:id="856"/>
      <w:bookmarkEnd w:id="857"/>
      <w:bookmarkEnd w:id="858"/>
      <w:bookmarkEnd w:id="859"/>
    </w:p>
    <w:p w14:paraId="66181ACF">
      <w:pPr>
        <w:widowControl/>
        <w:ind w:firstLine="709" w:firstLineChars="0"/>
        <w:rPr>
          <w:rFonts w:hint="default" w:ascii="Times New Roman" w:hAnsi="Times New Roman" w:cs="Times New Roman"/>
          <w:sz w:val="28"/>
          <w:szCs w:val="28"/>
        </w:rPr>
      </w:pPr>
    </w:p>
    <w:p w14:paraId="26AA48AA">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As my three-year postgraduate journey draws to a close, I look back on these years of diligent academic pursuit with immense gratitude. This significant milestone would never have been accomplished without the meticulous guidance of my supervisors, the sincere companionship of my peers, and the unfailing support from my beloved family.</w:t>
      </w:r>
    </w:p>
    <w:p w14:paraId="6DB2662A">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First and foremost, I would like to extend my deepest and most sincere gratitude to my supervisors—Prof. Kang Wanli and Prof. Zheng Yancheng. Their patient and rigorous guidance has accompanied me throughout every stage of this thesis, ranging from topic selection, literature review and experimental design to data analysis and manuscript revision. Whenever I encountered dilemmas and obstacles in my research, they always offered invaluable insights and thoughtful suggestions, guiding me to overcome difficulties and clarify my research direction. Their profound academic expertise, rigorous scholarship, diligent work ethic and sincere personality have left a profound impression on me, and will continue to inspire me in my future academic exploration and career development.</w:t>
      </w:r>
    </w:p>
    <w:p w14:paraId="7006533D">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I also wish to express my heartfelt appreciation to Prof. Yang Hongbin and Prof. Bauyrzhan Sarsenbekuly for their valuable advice and patient guidance throughout my research process. Their constructive comments have greatly helped me refine my work and gain a deeper insight into relevant academic issues. My sincere gratitude also goes to other faculty members in Kazakh-British Technical University (KBTU) who have offered selfless help and support to my research work.</w:t>
      </w:r>
    </w:p>
    <w:p w14:paraId="3DB44046">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I am truly thankful to my labmates and fellow graduate students for their constant companionship, warm encouragement and selfless assistance. The supportive, friendly and collaborative academic atmosphere in the lab has turned this challenging yet fulfilling journey into a warm and unforgettable experience.</w:t>
      </w:r>
    </w:p>
    <w:p w14:paraId="471293AC">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I would also like to thank Kazakh-British Technical University (KBTU) for providing an exceptional academic platform and a sound research environment, which has laid a solid foundation for my academic growth and progress.</w:t>
      </w:r>
    </w:p>
    <w:p w14:paraId="2EB809F3">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Last but far from least, I am forever indebted to my parents. Their unconditional love, selfless dedication and unwavering trust have always been the strongest backing for all my endeavors and achievements.</w:t>
      </w:r>
    </w:p>
    <w:p w14:paraId="6562684C">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t>I acknowledge that there may still be some limitations in this thesis, and I will keep striving to learn and improve in the future. Learning is a lifelong journey, and I will continue to forge ahead with diligence, humility and perseverance.</w:t>
      </w:r>
    </w:p>
    <w:p w14:paraId="0B480E38">
      <w:pPr>
        <w:widowControl/>
        <w:ind w:firstLine="709" w:firstLineChars="0"/>
        <w:rPr>
          <w:rFonts w:hint="default" w:ascii="Times New Roman" w:hAnsi="Times New Roman" w:cs="Times New Roman"/>
          <w:sz w:val="28"/>
          <w:szCs w:val="28"/>
        </w:rPr>
      </w:pPr>
      <w:r>
        <w:rPr>
          <w:rFonts w:hint="default" w:ascii="Times New Roman" w:hAnsi="Times New Roman" w:cs="Times New Roman"/>
          <w:sz w:val="28"/>
          <w:szCs w:val="28"/>
        </w:rPr>
        <w:br w:type="page"/>
      </w:r>
    </w:p>
    <w:p w14:paraId="66562F51">
      <w:pPr>
        <w:pStyle w:val="2"/>
        <w:keepNext w:val="0"/>
        <w:keepLines w:val="0"/>
        <w:widowControl/>
        <w:spacing w:before="0" w:beforeLines="0" w:after="0" w:afterLines="0" w:line="240" w:lineRule="auto"/>
        <w:rPr>
          <w:rFonts w:hint="default" w:ascii="Times New Roman" w:hAnsi="Times New Roman" w:cs="Times New Roman"/>
          <w:szCs w:val="28"/>
        </w:rPr>
      </w:pPr>
      <w:bookmarkStart w:id="860" w:name="_Toc8077"/>
      <w:bookmarkStart w:id="861" w:name="_Toc7371"/>
      <w:bookmarkStart w:id="862" w:name="_Toc14562"/>
      <w:bookmarkStart w:id="863" w:name="_Toc8107"/>
      <w:bookmarkStart w:id="864" w:name="_Toc14776"/>
      <w:bookmarkStart w:id="865" w:name="_Toc16457"/>
      <w:bookmarkStart w:id="866" w:name="_Toc17702"/>
      <w:r>
        <w:rPr>
          <w:rFonts w:hint="default" w:ascii="Times New Roman" w:hAnsi="Times New Roman" w:cs="Times New Roman"/>
          <w:szCs w:val="28"/>
        </w:rPr>
        <w:t>REFERENCES</w:t>
      </w:r>
      <w:bookmarkEnd w:id="860"/>
      <w:bookmarkEnd w:id="861"/>
      <w:bookmarkEnd w:id="862"/>
      <w:bookmarkEnd w:id="863"/>
      <w:bookmarkEnd w:id="864"/>
      <w:bookmarkEnd w:id="865"/>
      <w:bookmarkEnd w:id="866"/>
    </w:p>
    <w:p w14:paraId="44FF9D71">
      <w:pPr>
        <w:widowControl/>
        <w:ind w:firstLine="709" w:firstLineChars="0"/>
        <w:rPr>
          <w:rFonts w:hint="default" w:ascii="Times New Roman" w:hAnsi="Times New Roman" w:cs="Times New Roman"/>
          <w:kern w:val="0"/>
          <w:sz w:val="28"/>
          <w:szCs w:val="28"/>
        </w:rPr>
      </w:pPr>
    </w:p>
    <w:p w14:paraId="13622061">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1</w:t>
      </w:r>
      <w:r>
        <w:rPr>
          <w:rFonts w:hint="default" w:ascii="Times New Roman" w:hAnsi="Times New Roman" w:cs="Times New Roman"/>
          <w:kern w:val="0"/>
          <w:sz w:val="28"/>
          <w:szCs w:val="28"/>
          <w:lang w:val="en-GB"/>
        </w:rPr>
        <w:t>.</w:t>
      </w:r>
      <w:r>
        <w:rPr>
          <w:rFonts w:hint="default" w:ascii="Times New Roman" w:hAnsi="Times New Roman" w:cs="Times New Roman"/>
          <w:kern w:val="0"/>
          <w:sz w:val="28"/>
          <w:szCs w:val="28"/>
        </w:rPr>
        <w:t xml:space="preserve"> Chen B., Cao X., Zhou L., Zhang H., Wang Y., Long X. Surfactant flooding system suitable for high-temperature, high salt, low-permeability sandstone reservoirs[J]. Drilling and Production Technology, 2021 44(03): 87-91.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"https://doi.org/10.3969/J.ISSN.1006-768X.2021.03.21"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https://doi.org/10.3969/J.ISSN.1006-768X.2021.03.21</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3680D692">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2. Liu B., Yang L., Liu Y., Lei Z., Chen X., Wang K., Li J., Guo X., Yu Q. Main Factors for the Development of Ultra-Low Permeability Reservoirs[J]. Journal of Coastal Research, 2020 104(sp1).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"https://doi.org/10.2112/JCR-SI104-078.1"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https://doi.org/10.2112/JCR-SI104-078.1</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07B474C3">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3. Chen J., Yao J., Mao Z., Li Q., Luo A., Deng X., Shao X. Sedimentary and diagenetic controls on reservoir quality of low-porosity and low-permeability sandstone reservoirs in Chang10 1, upper triassic Yanchang Formation in the Shanbei area, Ordos Basin, China[J]. Marine and Petroleum Geology, 2019 105.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"https://doi.org/10.1016/j.marpetgeo.2019.04.027"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https://doi.org/10.1016/j.marpetgeo.2019.04.027</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30F00886">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4. Li Z., Liu X., Yang Y., Bu L. Influences of lithology on in-situ stress field in low permeability reservoirs in Bonan Oilfield, Bohai Bay Basin, China[J]. Petroleum Exploration and Development Online, 2019 46(4).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"https://doi.org/10.1016/S18763804(19)60230-2"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https://doi.org/10.1016/S18763804(19)60230-2</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0383D28D">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5. Lyu W., Zeng L., Chen M., Qiao D,. Fan J,. Xia D. An approach for determining the water injection pressure of low‑permeability reservoirs. Energy Exploration &amp; Exploitation, 2018.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"https://doi.org/10.1177/0144598718754374"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https://doi.org/10.1177/0144598718754374</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733124D7">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6. Ji B., Fang J. An overview of efficient development practices at low permeability sandstone reservoirs in China. Energy Geoscience, 2023 4: 100179.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"https://doi.org/10.1016/J.ENGEOS.2023.100179"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https://doi.org/10.1016/J.ENGEOS.2023.100179</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3F5F4018">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7. Wang C., Hong L., Gao R., Wang W., Zhang Z., Duan J., Miao X. Current status and challenges of enhanced oil recovery technology in low-permeability reservoirs [J]. Unconventional Oil and Gas, 2018 5(03): 102-108.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"https://doi.org/CNKI:SUN:FCYQ.0.2018-03-019"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https://doi.org/CNKI:SUN:FCYQ.0.2018-03-019</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442AB974">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8. Shaban S., Kang J., Kim D. Surfactants: Recent advances and their applications[J]. Composites Communications, 2020 22.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"https://doi.org/10.1016/j.coco.2020.100537"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https://doi.org/10.1016/j.coco.2020.100537</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36195DB9">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9. Mona K., Javad S.,Simin A. Review on Amphiphilic Ionic Liquids as New Surfactants: From Fundamentals to Applications[J]. Topics in Current Chemistry, 2021 380(1).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"https://doi.org/10.1007/S41061-021-00362-6"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https://doi.org/10.1007/S41061-021-00362-6</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062D6019">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10. Jia J.,Yang S.,Li J, Liang Y., Li R., Tsuji T., Niu B., Peng B. Review of the Interfacial Structure and Properties of Surfactants in Petroleum Production and Geological Storage Systems from a Molecular Scale Perspective[J]. Molecules, 2024 29(13).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"https://doi.org/10.3390/MOLECULES29133230"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https://doi.org/10.3390/MOLECULES29133230</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15CC430D">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11. Song B., Hu X., Shui X., Cui Z., Wang Z. A new type of renewable surfactants for enhanced oil recovery: Dialkylpolyoxyethylene ether methyl carboxyl betaines[J]. Colloids and Surfaces A: Physicochemical and Engineering Aspects, 2016 489: 433-440.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"https://doi.org/10.1016/j.colsurfa.2015.11.018"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https://doi.org/10.1016/j.colsurfa.2015.11.018</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58350464">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12. Osama M., Abushaikha A. The use of surfactants in enhanced oil recovery: A review of recent advances[J]. Energy Reports, 2020 6.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"https://doi.org/10.1016/j.egyr.2020.11.009"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https://doi.org/10.1016/j.egyr.2020.11.009</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04F652CA">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13. Hu H., Zhang Q., Tian M., Li Y., Han X., Guo R. Review: Microemulsions for the Sustainable Development of EOR[J]. Sustainability, 2024 16(2): 629.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"https://doi.org/10.3390/SU16020629"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https://doi.org/10.3390/SU16020629</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78D2B66B">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14. Chowdhury S., Shrivastav S., Kakati A., Sangwai J. Comprehensive Review on the Role of Surfactants in the Chemical Enhanced Oil Recovery Process[J]. Industrial &amp; Engineering Chemistry Research, 2022 61(1): 21-64.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"https://doi.org/10.1021/acs.iecr.1c03301"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https://doi.org/10.1021/acs.iecr.1c03301</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46AD1910">
      <w:pPr>
        <w:widowControl/>
        <w:tabs>
          <w:tab w:val="left" w:pos="8160"/>
        </w:tabs>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15. Fu C., Huang K., Chen H., Huang B., Zhang W. From fundamental mechanisms to applications and challenges of nanofluid flooding in enhanced oil recovery: A review[J]. Fuel, 2025 396: 135317.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"https://doi.org/10.1016/j.fuel.2025.135317"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https://doi.org/10.1016/j.fuel.2025.135317</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79A74DC1">
      <w:pPr>
        <w:widowControl/>
        <w:tabs>
          <w:tab w:val="left" w:pos="8160"/>
        </w:tabs>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16. Zhuang X. Performance evaluation and application of new zwitterionic surfactants for tertiary oil recovery[J]. Chemical Design Communication, 2021 47(05): 50-51.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"https://doi.org/10.3969/j.issn.1003-6490.2021.05.026"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https://doi.org/10.3969/j.issn.1003-6490.2021.05.026</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225EE83D">
      <w:pPr>
        <w:widowControl/>
        <w:tabs>
          <w:tab w:val="left" w:pos="8160"/>
        </w:tabs>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17. Medina J., Obasi E., Elshehabi T., Saraji S. Wettability alternation and interface tension modification for enhanced oil recovery in oil-wet carbonates: A comparative study of different surfactants[J]. Geoenergy Science and Engineering, 2023 225: 211637.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"https://doi.org/10.1016/j.geoen.2023.211637"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https://doi.org/10.1016/j.geoen.2023.211637</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2E004135">
      <w:pPr>
        <w:widowControl/>
        <w:tabs>
          <w:tab w:val="left" w:pos="8160"/>
        </w:tabs>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18. Bazyari A., Hashemi A., Soulgani S. Experimental and theoretical investigation of zwitterionic surfactant adsorption on calcite for enhanced oil recovery[J]. Scientific Reports, 2025 15(1): 1-16.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"https://doi.org/10.1038/S41598-025-05707-5"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https://doi.org/10.1038/S41598-025-05707-5</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5AD247F3">
      <w:pPr>
        <w:widowControl/>
        <w:tabs>
          <w:tab w:val="left" w:pos="8160"/>
        </w:tabs>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19. Kumar A., Mandal A. Critical investigation of zwitterionic surfactant for enhanced oil recovery from both sandstone and carbonate reservoirs: Adsorption, wettability alteration and imbibition studies[J]. Chemical Engineering Science, 2019 209: 115222.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"https://doi.org/10.1016/j.ces.2019.115222"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https://doi.org/10.1016/j.ces.2019.115222</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501F09DF">
      <w:pPr>
        <w:widowControl/>
        <w:tabs>
          <w:tab w:val="left" w:pos="8160"/>
        </w:tabs>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20. Guo S. Synthesis and indoor performance evaluation of temperature and salt resistant modified betaine surfactant MBS16[J]. Oilfield Chemistry, 2016 33(03): 477-480+486.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"https://doi.org/10.19346/j.cnki.1000-4092.2016.03.020"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https://doi.org/10.19346/j.cnki.1000-4092.2016.03.020</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51CA8C9F">
      <w:pPr>
        <w:widowControl/>
        <w:tabs>
          <w:tab w:val="left" w:pos="8160"/>
        </w:tabs>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21. Gao S., Song Z., Zhu D., Lana F., Jiang Q. Synthesis, surface activities, and aggregation behavior of phenyl‑containing carboxybetaine surfactants[J]. RSC Advances, 2018 8(58): 32876-32883.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"https://doi.org/10.1039/C8RA06217J"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https://doi.org/10.1039/C8RA06217J</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62819D15">
      <w:pPr>
        <w:widowControl/>
        <w:tabs>
          <w:tab w:val="left" w:pos="8160"/>
        </w:tabs>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22. Chen S., Li X., Lei Q., Han Y. H., Zhou X., Zhang J. Synthesis, characterization and performance of lignin carboxyl betaine zwitterionic surfactants for application in enhanced oil recovery[J]. RSC Advances, 2023 13(24): 16456-16464.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"https://doi.org/10.1039/D3RA02028B"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https://doi.org/10.1039/D3RA02028B</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217408FF">
      <w:pPr>
        <w:widowControl/>
        <w:tabs>
          <w:tab w:val="left" w:pos="8160"/>
        </w:tabs>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23. Ju H., Geng T., Jiang Y. Synthesis and Properties of Low Salt Laurylaminopropyl Betaine[J]. Printing and Dyeing Auxiliaries, 2017 34(04): 12-15.</w:t>
      </w:r>
    </w:p>
    <w:p w14:paraId="7B89D45B">
      <w:pPr>
        <w:widowControl/>
        <w:tabs>
          <w:tab w:val="left" w:pos="8160"/>
        </w:tabs>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24. Wu Q., Liu T., Xu X., Yang J. A Lignin-Based Zwitterionic Surfactant Facilitates Heavy Oil Viscosity Reduction via Interfacial Modification and Molecular Aggregation Disruption in High-Salinity Reservoirs[J]. Molecules, 2025 30(11): 2419.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"https://doi.org/10.3390/molecules30112419"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https://doi.org/10.3390/molecules30112419</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71A4B053">
      <w:pPr>
        <w:widowControl/>
        <w:tabs>
          <w:tab w:val="left" w:pos="8160"/>
        </w:tabs>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25. Kelleppan V., King J., Butler C., Williams A., Tuck K., Tabor R. Heads or tails? The synthesis, self-assembly, properties and uses of betaine and betaine-like surfactants[J]. Advances in Colloid and Interface Science, 2021 297: 102528.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"https://doi.org/10.1016/j.cis.2021.102528"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https://doi.org/10.1016/j.cis.2021.102528</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560D575D">
      <w:pPr>
        <w:widowControl/>
        <w:tabs>
          <w:tab w:val="left" w:pos="8160"/>
        </w:tabs>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26. Yue K., Zhou C., Shi Z. Synthesis and Performance Determination of a New Imidazoline Amphoteric Surfactant[J]. Journal of Northwest University (Natural Science Edition), 2002(03): 258-260.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"https://doi.org/10.3321/j.issn.1000-274X.2002.03.012"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https://doi.org/10.3321/j.issn.1000-274X.2002.03.012</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58DD6453">
      <w:pPr>
        <w:widowControl/>
        <w:tabs>
          <w:tab w:val="left" w:pos="8160"/>
        </w:tabs>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27. Geng X., Hu X., Xia J., Jia X. Synthesis and surface activities of a novel di‑hydroxyl‑sulfate‑betaine‑type zwitterionic gemini surfactants[J]. Applied Surface Science, 2013 271: 284-290.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"https://doi.org/10.1016/j.apsusc.2013.01.185"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https://doi.org/10.1016/j.apsusc.2013.01.185</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405EA050">
      <w:pPr>
        <w:widowControl/>
        <w:tabs>
          <w:tab w:val="left" w:pos="8160"/>
        </w:tabs>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28. Zhao W., Cheng Y., Lu S., Su L., Wang N., Pu J. Progress on Synthesis and Application of Betaine Surfactants[J]. Journal of Molecular Liquids, 2023 390: 123154.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"https://doi.org/10.1016/j.molliq.2023.123154"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https://doi.org/10.1016/j.molliq.2023.123154</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093906F1">
      <w:pPr>
        <w:widowControl/>
        <w:tabs>
          <w:tab w:val="left" w:pos="8160"/>
        </w:tabs>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29. Nong L., Zhong Z. Synthesis and Properties of Phosphate Betaine Amphoteric Surfactants[J]. Chemical Research and Application, 2003(03): 435-436.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"https://doi.org/10.3969/j.issn.1004-1656.2003.03.051"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https://doi.org/10.3969/j.issn.1004-1656.2003.03.051</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6BCBF1E9">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30. Dong L., Xu Z., Jin Z., Gong Q., Zhao S., Yu J. Synthesis and surface activity of alkyl benzyl polyoxyethylene ether carboxylic acid betaine[J]. Fine Chemicals, 2012 29 (12): 1163-1166.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"https://doi.org/CNKI:SUN:JXHG.0.2012-12-006"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https://doi.org/CNKI:SUN:JXHG.0.2012-12-006</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0A0C77DA">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31. Song X., Dong L., Cao X., Xu Z., Wang C., Zhang L., Zhang L., Zhao S. Dynamic interfacial tensions of p -( n -lauryl)-benzyl polyoxyethylene ether carboxybetaine solutions[J]. Journal of Petroleum Science and Engineering, 2014, 124: 27-34.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"https://doi.org/10.1016/j.petrol.2014.10.021"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https://doi.org/10.1016/j.petrol.2014.10.021</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1B5E9195">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32. Shakil H., Lionel T., Muhammad S. Synthesis and performance evaluation of betaine type zwitterionic surfactants containing different degrees of ethoxylation[J]. Journal of Molecular Structure, 2018 1173: 983-989.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"https://doi.org/10.1016/j.molstruc.2018.07.069"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https://doi.org/10.1016/j.molstruc.2018.07.069</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1603BB20">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33. Dong L., Xu Z., Zhao R., Jin Z., Gong Q., Zhao S. Synthesis and Surface Activity of β - (Cinnamyl) Benzyl Polyoxyethylene Ether Carboxylate Betaine [J]. Daily Chemical Industry, 2013 43 (01): 30-33.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"https://doi.org/10.13218/j.cnki.csdc.2013.01.008"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https://doi.org/10.13218/j.cnki.csdc.2013.01.008</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282E84BB">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34. Li Y., Chen Z., Cui Z. Synthesis and Performance Study of a New Temperature and Salt Resistant Alkali Free Surfactant for Oil Displacement C.//Chinese Chemical Society Proceedings of the 17th National Conference on Colloidal and Interface Chemistry of the Chinese Chemical Society (Volume 3), 2019: 407-408.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"https://doi.org/10.26914/c.cnkihy.2019.089801"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https://doi.org/10.26914/c.cnkihy.2019.089801</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1BA6C610">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35. Lv M., Luo C., Yang J., Zhou Y., Liu C., Xu B. Effect of number of oxypropylene on dynamic interfacial tensions of extended surfactantsJ. Colloids and Surfaces A: Physicochemical and Engineering Aspects, 2019 570: 429-437.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"https://doi.org/10.1016/j.colsurfa.2019.03.054"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https://doi.org/10.1016/j.colsurfa.2019.03.054</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68091C44">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36. Chen Z., Li Y., Liu X., Cui Z. Dialkyl Sulfobetaine Surfactants Derived from Guerbet Alcohol Polyoxypropylene–Polyoxyethylene Ethers for SP Flooding of High Temperature and High Salinity Reservoirs[J]. Journal of Surfactants and Detergents, 2021 24(3): 421-432.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"https://doi.org/10.1002/JSDE.12490"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https://doi.org/10.1002/JSDE.12490</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408E4F58">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37. Qiao W., Cui Y., Zhu Y., Cai H. Synthesis and Surface Activity of Guerbet Betaine Surfactants with Ethylene Oxide Groups[J]. Tenside Surfactants Detergents, 2012 49(3): 252-255.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"https://doi.org/10.3139/113.110190"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https://doi.org/10.3139/113.110190</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2E86B95D">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38. Cui Y. Synthesis and Properties of Amphoteric Surfactants Containing Polyoxyethylene Chains D.. Dalian University of Technology, 2012.</w:t>
      </w:r>
    </w:p>
    <w:p w14:paraId="0181E8D3">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39. Zhou Z., Ma D., Zhang Q., Wang H., Zhang L., Luan H., Zhu Y., Zhang L. Surface dilational rheology of betaine surfactants: Effect of molecular Structures[J]. Colloids and Surfaces A: Physicochemical and Engineering Aspects, 2018 538: 739-747.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"https://doi.org/10.1016/j.colsurfa.2017.11.064"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https://doi.org/10.1016/j.colsurfa.2017.11.064</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6FCD976E">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40. Hou L., Zhang H., Chen H., Xia Q., Huang D., Meng L., Liu X. Synthesis and Surface Properties of N,N-Dimethyl-N-dodecyl Polyoxyethylene Amine-Based Surfactants: Amine Oxide, Betaine and Sulfobetaine[J]. Journal of Surfactants and Detergents, 2014 17(3): 403-408.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"https://doi.org/10.1007/s11743-013-1540-7"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https://doi.org/10.1007/s11743-013-1540-7</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3D373A51">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41. Hu X., Song B., Cui Z., Pei X., Jiang Ji. Synthesis and Properties of Double Dodecanol Polyoxyethylene Ether Methyl Carboxybetaine [J]. Advances in Chemical Engineering, 2015 34(09): 3428-3434.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"https://doi.org/10.16085/j.issn.10006613.2015.09.035"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https://doi.org/10.16085/j.issn.10006613.2015.09.035</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0AC51543">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42. Li Z., Zhang L., Xu Z., Liu D., Song X., Cao X., Zhang L., Zhao S. Effect of zwitterionic surfactants on wetting of quartz surfaces[J]. Colloids and Surfaces A: Physicochemical and Engineering Aspects, 2013 430: 110-116.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"https://doi.org/10.1016/j.colsurfa.2013.04.024"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https://doi.org/10.1016/j.colsurfa.2013.04.024</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45CD6B07">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43. Dong L., Li Z., Cao X., Song X., Zhang L., Xu Z., Zhang L., Zhao S. Dilational Rheological Properties of P -( n -alkyl)-benzyl Polyoxyethylene Ether Carboxybetaine at Water–Decane Interface[J]. Journal of Dispersion Science and Technology,2015 36(3): 430-440.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"https://doi.org/10.1080/01932691.2014.913490"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https://doi.org/10.1080/01932691.2014.913490</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748FD484">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44. Meng C., Mao J., Sun H., Wei G., Tang F., Zhang W., Tian J., Yang X., Lin C., Huang Z. Development of a novel temperature-resistant and salt-resistant double-cationic surfactant with super thick hydration layer for clean fracturing fluid[J]. Colloids and Surfaces A: Physicochemical and Engineering Aspects, 2021 617.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"https://doi.org/10.1016/J.COLSURFA.2021.126306"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https://doi.org/10.1016/J.COLSURFA.2021.126306</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4CD8B826">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45. Zhu W., Zheng X. Study of an anti-high-temperature and salt-resistance alkyl glycine foaming agent and its foam stabilizing mechanism[J]. Journal of Dispersion Science and Technology, 2023 44: 1.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"https://doi.org/10.1080/01932691.2021.1931282"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https://doi.org/10.1080/01932691.2021.1931282</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311D6EBC">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46. Sun H., Li X., Liu D., Li X. Synergetic adsorption of asphaltenes and oil displacement surfactants on the oil-water interface: Insights on stabilization mechanism of the interfacial film[J]. Chemical Engineering Science, 2021 245.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"https://doi.org/10.1016/J.CES.2021.116850"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https://doi.org/10.1016/J.CES.2021.116850</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512DEF79">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47. Zhou X., Wang G. Study on the correlation between physicochemical properties and wetting ability of several surfactants[J]. Printing and Dyeing Auxiliaries, 2019 36: 37-40.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"https://doi.org/CNKI:SUN:YRZJ.0.2019-08-008"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https://doi.org/CNKI:SUN:YRZJ.0.2019-08-008</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6A48D23E">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48. Long G., Liu Y., Hu S., Xu Z., Gong Q., Zhang L., Zhang L. Dynamic interfacial tensions of alkyl alcohol polyoxypropylene–oxyethylene ether sulfonate solutions[J]. Journal of Petroleum Science and Engineering, 2016 141.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"https://doi.org/10.1016/j.petrol.2016.01.025"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https://doi.org/10.1016/j.petrol.2016.01.025</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06B673D6">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49. Ratanpara A., Kim M. Wettability Alteration Mechanisms in Enhanced Oil Recovery with Surfactants and Nanofluids: A Review with Microfluidic Applications[J]. Energies, 2023 16: 24.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"https://doi.org/10.3390/EN16248003"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https://doi.org/10.3390/EN16248003</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20868E05">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50. Ya Y., Mingzhen W., Wanli K. A review of wettability alteration using surfactants in carbonate reservoirs[J]. Advances in Colloid and Interface Science, 2021 294.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"https://doi.org/10.1016/J.CIS.2021.102477"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https://doi.org/10.1016/J.CIS.2021.102477</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65030EE9">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51. Zhou Y., Yin D., Chen W., Liu B., Zhang X. A comprehensive review of emulsion and its field application for enhanced oil recovery[J]. Energy Science &amp; Engineering, 2019 7: 4.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"https://doi.org/10.1002/ese3.354"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https://doi.org/10.1002/ese3.354</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415FEA38">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52. Zhao L., Wang Z., Wu X., Sun Y., Dang J., Yang J., Feng L. Research and Performance Evaluation of Temperature resistant, Salt resistant, Pressure reducing and Injection increasing Active System[J]. Fine Petrochemical, 2017 34: 1-5.</w:t>
      </w:r>
    </w:p>
    <w:p w14:paraId="17A93D90">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53. Yang Y., Kang C., Liu T., Li H., Yu H., Liu Z., Fan H. Synergistic stabilization of emulsions by microspheres and surfactants for enhanced oil recovery[J]. Petroleum Science, 2025 22: 6.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"https://doi.org/10.1016/J.PETSCI.2025.03.041"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https://doi.org/10.1016/J.PETSCI.2025.03.041</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52AB8146">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54. Liu Y., Ge J., Wu H., Li X., Li J., Zhang G. Study on the Enhanced Oil Recovery Properties of the Pickering Emulsions for Harsh Reservoirs[J]. ACS Omega, 2024 9: 49.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"https://doi.org/10.1021/ACSOMEGA.4C06834"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https://doi.org/10.1021/ACSOMEGA.4C06834</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188B2A9B">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55. Saxena N., Goswami A., Dhodapkar P. Bio-based surfactant for enhanced oil recovery: Interfacial properties, emulsification and rock-fluid interactions[J]. Journal of Petroleum Science and Engineering, 2019 176.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"https://doi.org/10.1016/j.petrol.2019.01.052"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https://doi.org/10.1016/j.petrol.2019.01.052</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2DEE3D6C">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56. Salehi M., Johnson S., Liang J. Mechanistic study of wettability alteration using surfactants with applications in naturally fractured reservoirs[J]. Langmuir, 2008 24: 24.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"https://doi.org/10.1021/la802464u"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https://doi.org/10.1021/la802464u</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27B72C28">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57. Kandiel E., Attia M., Metwalli I. Nanoparticles in enhanced oil recovery: state-of-the-art review[J]. Journal of Petroleum Exploration and Production Technology, 2025 15: 4.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"https://doi.org/10.1007/S13202-025-01965-1"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https://doi.org/10.1007/S13202-025-01965-1</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3925BECB">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58. Hou B., Wang Y., Cao X., Zhang J., Song X., Ding M., Chen W. Surfactant-Induced Wettability Alteration of Oil-Wet Sandstone Surface: Mechanisms and Its Effect on Oil Recovery[J]. Journal of Surfactants and Detergents, 2016 19: 315-324.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"https://doi.org/10.1007/s11743-015-1770-y"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https://doi.org/10.1007/s11743-015-1770-y</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7815376D">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59. Muhammad S., Syed M., Lionel T. Role of Ionic Headgroups on the Thermal, Rheological, and Foaming Properties of Novel Betaine-Based Polyoxyethylene Zwitterionic Surfactants for Enhanced Oil Recovery[J]. Processes, 2019 (7): 908.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"https://doi.org/10.3390/pr7120908"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https://doi.org/10.3390/pr7120908</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60FC4DF3">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60. Zhu W., Zheng X. Study of an anti-high-temperature and salt-resistance alkyl glycine foaming agent and its foam stabilizing mechanism[J]. Journal of Dispersion Science and Technology, 2023 44: 1.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"https://doi.org/10.1080/01932691.2021.1931282"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https://doi.org/10.1080/01932691.2021.1931282</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4A475F22">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61. Liu R., Du D., Pu W., Zhang J., Fan X. Enhanced oil recovery potential of alkyl alcohol polyoxyethylene ether sulfonate surfactants in high-temperature and high salinity reservoirs[J]. Energy &amp; Fuels, 2018 32(12): 12128–12140.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"https://doi.org/10.1021/acs.energyfuels.8b02653"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https://doi.org/10.1021/acs.energyfuels.8b02653</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2F197EDC">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62. Zhang J., Zheng L., Zhao L., Wei H., Wu N., Gao J. Performance evaluation and application of new zwitterionic surfactants for tertiary oil recovery[J]. Drilling and Production Technology, 2020 3: 90-93.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"https://doi.org/10.3969/J.ISSN.1006-768X.2020.03.27"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https://doi.org/10.3969/J.ISSN.1006-768X.2020.03.27</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002479CB">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63. Mao X., Hu F., Zhu X., Dang Y., Du C., Wu Y. Study on the synergistic effect of zwitterionic anionic surfactant compound flooding in low-permeability and high salt oil reservoirs[J]. Journal of Xi'an Petroleum University (Natural Science Edition), 2022 (003):037.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"https://doi.org/10.3969/j.issn.1673-064X.2022.03.015"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https://doi.org/10.3969/j.issn.1673-064X.2022.03.015</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1261193F">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64. Yu H., Wang H., Fan K., Pang Z., Zhang X., Yan F. Mechanisms of surfactant improving water injection huff and puff efficiency in tight reservoir[J]. Journal of Molecular Liquids, 2024 413: 125992.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"https://doi.org/10.1016/j.molliq.2024.125992"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https://doi.org/10.1016/j.molliq.2024.125992</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321237B7">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65. Liu Z., Zhao G., Brewer M., Lv Q., Sudhölter E. Comprehensive review on surfactant adsorption on mineral surfaces in chemical enhanced oil recovery[J]. Advances in Colloid and Interface Science, 2021 294.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"https://doi.org/10.1016/J.CIS.2021.102467"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https://doi.org/10.1016/J.CIS.2021.102467</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7FF047AB">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66. Saman H., Vanessa G., Wolfgang P. Effect of surfactants on the molecular structure of the buried oil/water interface[J]. Angewandte Chemie International Edition, 2021 60: 47.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"https://doi.org/10.1002/ANIE.202110091"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https://doi.org/10.1002/ANIE.202110091</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3FFA5585">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67. Zhang G., Zheng Y., Mu J., Chang S., Sarsenbekuly B., Yang H., Kang W. Interactions and oil recovery performance of a prepared extended amphoteric surfactant combining with a nonionic surfactant under high salinity condition[J]. Journal of Molecular Liquids, 2024 414: 126077.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"https://doi.org/10.1016/j.molliq.2024.126077"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https://doi.org/10.1016/j.molliq.2024.126077</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01AFA676">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68. Zhao B., Xia L. Formulation optimization and performance evaluation of olefin sulfonate micro lotion system in low permeability reservoirs[J]. oilfield chemistry, 2020 37(1): 7.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"https://doi.org/CNKI:SUN:YJHX.0.2020-01-018"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https://doi.org/CNKI:SUN:YJHX.0.2020-01-018</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4A91B9DC">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69. Li Y., Bao X., Zhang W., Jin J., Meng Y., Sha O. Research progress on surfactants for enhanced oil recovery at home and abroad [J]. Fine Chemicals, 2020 37(4): 9.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"https://doi.org/10.13550/j.jxhg.20190923"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https://doi.org/10.13550/j.jxhg.20190923</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53940138">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70. Liu X., Chen Z., Cui Z. Fatty alcohol polyoxyethylene ether sulfonate for foam flooding in high-salinity and high-temperature reservoir conditions[J]. Colloids and Surfaces A: Physicochemical and Engineering Aspects, 2021 629.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"https://doi.org/10.1016/J.COLSURFA.2021.127366."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https://doi.org/10.1016/J.COLSURFA.2021.127366.</w:t>
      </w:r>
      <w:r>
        <w:rPr>
          <w:rStyle w:val="20"/>
          <w:rFonts w:hint="default" w:ascii="Times New Roman" w:hAnsi="Times New Roman" w:cs="Times New Roman"/>
          <w:kern w:val="0"/>
          <w:sz w:val="28"/>
          <w:szCs w:val="28"/>
        </w:rPr>
        <w:fldChar w:fldCharType="end"/>
      </w:r>
    </w:p>
    <w:p w14:paraId="6FFF9915">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71. Wang W., Wu Y., Wang J., Zheng W., Xu D., Cai L., Li M. Study on Determination of Active Matter Content in Betaine Amphoteric Surfactant by Two-phase Titration Method[J]. Contemporary Chemical Industry, 2016.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"https://doi.org/10.13840/j.cnki.cn21-1457/tq.2016.10.010."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https://doi.org/10.13840/j.cnki.cn21-1457/tq.2016.10.010.</w:t>
      </w:r>
      <w:r>
        <w:rPr>
          <w:rStyle w:val="20"/>
          <w:rFonts w:hint="default" w:ascii="Times New Roman" w:hAnsi="Times New Roman" w:cs="Times New Roman"/>
          <w:kern w:val="0"/>
          <w:sz w:val="28"/>
          <w:szCs w:val="28"/>
        </w:rPr>
        <w:fldChar w:fldCharType="end"/>
      </w:r>
    </w:p>
    <w:p w14:paraId="3BA0AF5E">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72. Wu Y., Ding W., Jiang Y. Research progress on the determination method of effective substance content of amphoteric surfactants[J]. Chemical Industry and Engineering Technology, 2014 35: 61-63.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"https://doi.org/10.3969/j.issn.1006-7906.2014.01.015."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https://doi.org/10.3969/j.issn.1006-7906.2014.01.015.</w:t>
      </w:r>
      <w:r>
        <w:rPr>
          <w:rStyle w:val="20"/>
          <w:rFonts w:hint="default" w:ascii="Times New Roman" w:hAnsi="Times New Roman" w:cs="Times New Roman"/>
          <w:kern w:val="0"/>
          <w:sz w:val="28"/>
          <w:szCs w:val="28"/>
        </w:rPr>
        <w:fldChar w:fldCharType="end"/>
      </w:r>
    </w:p>
    <w:p w14:paraId="1E7482FD">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73. Gong W., Gao F., An C., Fan W., Xue Y. The effect of temperature on the Krafft point of octadecyltrimethylammonium bromide[J]. Guangzhou Chemical Industry, 2025 53: 122-124.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"https://doi.org/10.20220/j.cnki.1001-9677.2025.14.032."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https://doi.org/10.20220/j.cnki.1001-9677.2025.14.032.</w:t>
      </w:r>
      <w:r>
        <w:rPr>
          <w:rStyle w:val="20"/>
          <w:rFonts w:hint="default" w:ascii="Times New Roman" w:hAnsi="Times New Roman" w:cs="Times New Roman"/>
          <w:kern w:val="0"/>
          <w:sz w:val="28"/>
          <w:szCs w:val="28"/>
        </w:rPr>
        <w:fldChar w:fldCharType="end"/>
      </w:r>
    </w:p>
    <w:p w14:paraId="76D1F594">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74. Xie Q., Zheng Y., Lian X., Yin Z., Li B. Study on the Injection Enhancement Performance of the Compound System of Alkanolamide Phosphate Salt and Fluorocarbon Surfactant[J]. Fine Petrochemical, 2017 34: 49-54.</w:t>
      </w:r>
    </w:p>
    <w:p w14:paraId="6FC72E84">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75. Cai H., Zheng Y., Wang H., Zhang Y., Lai L., Xie Q., Fang L. Synthesis and physiochemical properties of poly (ethylene glycol)-octanol sulfosuccinates[J]. Journal of Molecular Liquids, 2018 265.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"https://doi.org/10.1016/j.molliq.2018.05.139."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https://doi.org/10.1016/j.molliq.2018.05.139.</w:t>
      </w:r>
      <w:r>
        <w:rPr>
          <w:rStyle w:val="20"/>
          <w:rFonts w:hint="default" w:ascii="Times New Roman" w:hAnsi="Times New Roman" w:cs="Times New Roman"/>
          <w:kern w:val="0"/>
          <w:sz w:val="28"/>
          <w:szCs w:val="28"/>
        </w:rPr>
        <w:fldChar w:fldCharType="end"/>
      </w:r>
    </w:p>
    <w:p w14:paraId="4750729E">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76. Zheng Y., Lu X., Lai L., Yu L., Zheng H., Dai C. The micelle thermodynamics and mixed properties of sulfobetaine-type zwitterionic Gemini surfactant with nonionic and anionic surfactants[J]. Journal of Molecular Liquids, 2019 299: 112108.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"https://doi.org/10.1016/j.molliq.2019.112108"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https://doi.org/10.1016/j.molliq.2019.112108</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7449EA31">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77. Sarsenbekuly B., Aidarova S., Ibrashev K. Imbibition enhancing oil recovery mechanism of the two surfactants[J]. Physics of Fluids, 2020 32: 047103.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"https://doi.org/10.1063/5.0005106."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https://doi.org/10.1063/5.0005106.</w:t>
      </w:r>
      <w:r>
        <w:rPr>
          <w:rStyle w:val="20"/>
          <w:rFonts w:hint="default" w:ascii="Times New Roman" w:hAnsi="Times New Roman" w:cs="Times New Roman"/>
          <w:kern w:val="0"/>
          <w:sz w:val="28"/>
          <w:szCs w:val="28"/>
        </w:rPr>
        <w:fldChar w:fldCharType="end"/>
      </w:r>
    </w:p>
    <w:p w14:paraId="52AA4EFD">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78. Gandomkar A., Kharrat R. The Tertiary FAWAG Process on Gas and Water Invaded Zones: An Experimental Study[J]. Energy Sources, 2012 34: 1913-1922.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"https://doi.org/10.1080/15567036.2010.493921."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https://doi.org/10.1080/15567036.2010.493921.</w:t>
      </w:r>
      <w:r>
        <w:rPr>
          <w:rStyle w:val="20"/>
          <w:rFonts w:hint="default" w:ascii="Times New Roman" w:hAnsi="Times New Roman" w:cs="Times New Roman"/>
          <w:kern w:val="0"/>
          <w:sz w:val="28"/>
          <w:szCs w:val="28"/>
        </w:rPr>
        <w:fldChar w:fldCharType="end"/>
      </w:r>
    </w:p>
    <w:p w14:paraId="6AA51D0B">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79. Kumar N., Mandal A. Thermodynamic and physicochemical properties evaluation for formation and characterization of oil-in-water nanoemulsion[J]. Journal of Molecular Liquids, 2018 266.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"https://doi.org/10.1016/j.molliq.2018.06.069."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https://doi.org/10.1016/j.molliq.2018.06.069.</w:t>
      </w:r>
      <w:r>
        <w:rPr>
          <w:rStyle w:val="20"/>
          <w:rFonts w:hint="default" w:ascii="Times New Roman" w:hAnsi="Times New Roman" w:cs="Times New Roman"/>
          <w:kern w:val="0"/>
          <w:sz w:val="28"/>
          <w:szCs w:val="28"/>
        </w:rPr>
        <w:fldChar w:fldCharType="end"/>
      </w:r>
    </w:p>
    <w:p w14:paraId="5B5826BB">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80. Chang Z., Chen X., Peng Y. The adsorption behavior of surfactants on mineral surfaces in the presence of electrolytes – A critical review[J]. Minerals Engineering, 2018 121.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"https://doi.org/10.1016/j.mineng.2018.03.002."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https://doi.org/10.1016/j.mineng.2018.03.002.</w:t>
      </w:r>
      <w:r>
        <w:rPr>
          <w:rStyle w:val="20"/>
          <w:rFonts w:hint="default" w:ascii="Times New Roman" w:hAnsi="Times New Roman" w:cs="Times New Roman"/>
          <w:kern w:val="0"/>
          <w:sz w:val="28"/>
          <w:szCs w:val="28"/>
        </w:rPr>
        <w:fldChar w:fldCharType="end"/>
      </w:r>
    </w:p>
    <w:p w14:paraId="5FD2B7D0">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81. Wang B., Wang X., Hu F., Wang X., Yang Z., Zhu X., Li G., Wang K. Study on the Properties of Compound Surfactants with PO Groups[J]. Energies, 2024 17: 2.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"https://doi.org/10.3390/EN17020513."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https://doi.org/10.3390/EN17020513.</w:t>
      </w:r>
      <w:r>
        <w:rPr>
          <w:rStyle w:val="20"/>
          <w:rFonts w:hint="default" w:ascii="Times New Roman" w:hAnsi="Times New Roman" w:cs="Times New Roman"/>
          <w:kern w:val="0"/>
          <w:sz w:val="28"/>
          <w:szCs w:val="28"/>
        </w:rPr>
        <w:fldChar w:fldCharType="end"/>
      </w:r>
    </w:p>
    <w:p w14:paraId="31E28546">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82. Goodarzi F., Zendehboudi S. Effects of Salt and Surfactant on Interfacial Characteristics of Water/Oil Systems: Molecular Dynamic Simulations and Dissipative Particle Dynamics[J]. Industrial &amp; Engineering Chemistry Research, 2019.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"https://doi.org/10.1021/acs.iecr.9b00504."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https://doi.org/10.1021/acs.iecr.9b00504.</w:t>
      </w:r>
      <w:r>
        <w:rPr>
          <w:rStyle w:val="20"/>
          <w:rFonts w:hint="default" w:ascii="Times New Roman" w:hAnsi="Times New Roman" w:cs="Times New Roman"/>
          <w:kern w:val="0"/>
          <w:sz w:val="28"/>
          <w:szCs w:val="28"/>
        </w:rPr>
        <w:fldChar w:fldCharType="end"/>
      </w:r>
    </w:p>
    <w:p w14:paraId="5A1F98AF">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83. Zhang G., Zheng Y., Kang W., Yang H., Sarsenbekuly B. Micelle Thermodynamic Properties and Interaction Behavior of the Prepared Extended Amphoteric Surfactant with Gemini Cationic Surfactants. [J]. Langmuir : the ACS journal of surfaces and colloids, 2026,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"https://doi.org/10.1021/ACS.LANGMUIR.5C05173"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https://doi.org/10.1021/ACS.LANGMUIR.5C05173</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09314BA4">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84. He Z., Zhang M., Fang Y., Jin G., Chen J. Extended surfactants: A well-designed spacer to improve interfacial performance through a gradual polarity transition[J]. Colloids and Surfaces A: Physicochemical and Engineering Aspects, 2014 450.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"https://doi.org/10.1016/j.colsurfa.2014.03.012."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https://doi.org/10.1016/j.colsurfa.2014.03.012.</w:t>
      </w:r>
      <w:r>
        <w:rPr>
          <w:rStyle w:val="20"/>
          <w:rFonts w:hint="default" w:ascii="Times New Roman" w:hAnsi="Times New Roman" w:cs="Times New Roman"/>
          <w:kern w:val="0"/>
          <w:sz w:val="28"/>
          <w:szCs w:val="28"/>
        </w:rPr>
        <w:fldChar w:fldCharType="end"/>
      </w:r>
    </w:p>
    <w:p w14:paraId="432F92CB">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85. Pu W., Du D., Tang Y., Wang S. Synthesis of an alkyl polyoxyethylene ether sulfonate surfactant and its application in surfactant flooding[J]. Journal of Surfactants and Detergents, 2018 21: 687-697.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"https://doi.org/10.1002/jsde.12169."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https://doi.org/10.1002/jsde.12169.</w:t>
      </w:r>
      <w:r>
        <w:rPr>
          <w:rStyle w:val="20"/>
          <w:rFonts w:hint="default" w:ascii="Times New Roman" w:hAnsi="Times New Roman" w:cs="Times New Roman"/>
          <w:kern w:val="0"/>
          <w:sz w:val="28"/>
          <w:szCs w:val="28"/>
        </w:rPr>
        <w:fldChar w:fldCharType="end"/>
      </w:r>
    </w:p>
    <w:p w14:paraId="131F42C7">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86. Zhang G., Zheng Y., Tian F., Liu H., Lu X., Yi X., Wang Z. Performance of extended surfactant and its mixture with betaine surfactant for enhanced oil recovery in sandstone reservoirs with low permeability[J]. Journal of Molecular Liquids, 2023 391: 123228.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"https://doi.org/10.1016/j.molliq.2023.123228."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https://doi.org/10.1016/j.molliq.2023.123228.</w:t>
      </w:r>
      <w:r>
        <w:rPr>
          <w:rStyle w:val="20"/>
          <w:rFonts w:hint="default" w:ascii="Times New Roman" w:hAnsi="Times New Roman" w:cs="Times New Roman"/>
          <w:kern w:val="0"/>
          <w:sz w:val="28"/>
          <w:szCs w:val="28"/>
        </w:rPr>
        <w:fldChar w:fldCharType="end"/>
      </w:r>
    </w:p>
    <w:p w14:paraId="31517548">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87. Pillai P., Mandal A. A comprehensive micro scale study of poly-ionic liquid for application in enhanced oil recovery: Synthesis, characterization and evaluation of physicochemical properties[J]. Journal of Molecular Liquids, 2020 302.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"https://doi.org/10.1016/j.molliq.2020.112553."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https://doi.org/10.1016/j.molliq.2020.112553.</w:t>
      </w:r>
      <w:r>
        <w:rPr>
          <w:rStyle w:val="20"/>
          <w:rFonts w:hint="default" w:ascii="Times New Roman" w:hAnsi="Times New Roman" w:cs="Times New Roman"/>
          <w:kern w:val="0"/>
          <w:sz w:val="28"/>
          <w:szCs w:val="28"/>
        </w:rPr>
        <w:fldChar w:fldCharType="end"/>
      </w:r>
    </w:p>
    <w:p w14:paraId="1D0D0C59">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88. Liu X., Zhao Y., Li Q., Jiao T., Niu J. Adsorption Behavior of Fatty Alcohol Ether Sulfonate at Different Interfaces[J]. Journal of Surfactants and Detergents, 2017 20: 1-9.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"https://doi.org/10.1007/s11743-016-1918-4."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https://doi.org/10.1007/s11743-016-1918-4.</w:t>
      </w:r>
      <w:r>
        <w:rPr>
          <w:rStyle w:val="20"/>
          <w:rFonts w:hint="default" w:ascii="Times New Roman" w:hAnsi="Times New Roman" w:cs="Times New Roman"/>
          <w:kern w:val="0"/>
          <w:sz w:val="28"/>
          <w:szCs w:val="28"/>
        </w:rPr>
        <w:fldChar w:fldCharType="end"/>
      </w:r>
    </w:p>
    <w:p w14:paraId="189F66DC">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89. Lv M., Zhou Y., Wang S., Han F., Xu B. Effects of the Polypropylene Oxide Number on the Surface Properties of a Type of Extended Surfactant[J]. Journal of Surfactants and Detergents, 2018.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"https://doi.org/10.1002/jsde.12039"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https://doi.org/10.1002/jsde.12039</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 xml:space="preserve">. </w:t>
      </w:r>
    </w:p>
    <w:p w14:paraId="3639C610">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90. Ji X., Tian M., Wang Y. Temperature-Induced Aggregate Transitions in Mixtures of Cationic Ammonium Gemini Surfactant with Anionic Glutamic Acid Surfactant in Aqueous Solution[J]. Langmuir, 2016 32: 972-981.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"https://doi.org/10.1021/acs.langmuir.5b04211."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https://doi.org/10.1021/acs.langmuir.5b04211.</w:t>
      </w:r>
      <w:r>
        <w:rPr>
          <w:rStyle w:val="20"/>
          <w:rFonts w:hint="default" w:ascii="Times New Roman" w:hAnsi="Times New Roman" w:cs="Times New Roman"/>
          <w:kern w:val="0"/>
          <w:sz w:val="28"/>
          <w:szCs w:val="28"/>
        </w:rPr>
        <w:fldChar w:fldCharType="end"/>
      </w:r>
    </w:p>
    <w:p w14:paraId="617019DE">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91. Cai H., Luo W., Zheng Y., Zhang Y., Lai L., Tang S. Thermodynamic Parameters and Interfacial Properties of Poly(ethylene glycol)‐octyl Sulfosuccinates[J]. Journal of Surfactants and Detergents, 2021.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"https://doi.org/10.1002/jsde.12497."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https://doi.org/10.1002/jsde.12497.</w:t>
      </w:r>
      <w:r>
        <w:rPr>
          <w:rStyle w:val="20"/>
          <w:rFonts w:hint="default" w:ascii="Times New Roman" w:hAnsi="Times New Roman" w:cs="Times New Roman"/>
          <w:kern w:val="0"/>
          <w:sz w:val="28"/>
          <w:szCs w:val="28"/>
        </w:rPr>
        <w:fldChar w:fldCharType="end"/>
      </w:r>
    </w:p>
    <w:p w14:paraId="249D537C">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92. Liu G., Gu D., Liu H., Wei D., Luan H., Lou Y. Thermodynamic properties of micellization of Sulfobetaine-type Zwitterionic Gemini Surfactants in aqueous solutions – A free energy perturbation study[J]. Journal of Colloid and Interface Science, 2012 375: 148-153.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"https://doi.org/10.1016/j.jcis.2012.02.027."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https://doi.org/10.1016/j.jcis.2012.02.027.</w:t>
      </w:r>
      <w:r>
        <w:rPr>
          <w:rStyle w:val="20"/>
          <w:rFonts w:hint="default" w:ascii="Times New Roman" w:hAnsi="Times New Roman" w:cs="Times New Roman"/>
          <w:kern w:val="0"/>
          <w:sz w:val="28"/>
          <w:szCs w:val="28"/>
        </w:rPr>
        <w:fldChar w:fldCharType="end"/>
      </w:r>
    </w:p>
    <w:p w14:paraId="42987CDC">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93. Liu X., Zhao Y., Li Q., Niu J. Surface tension, interfacial tension and emulsification of sodium dodecyl sulfate extended surfactant[J]. Colloids and Surfaces A: Physicochemical and Engineering Aspects, 2016: 201-208.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"https://doi.org/10.1016/j.colsurfa.2016.01.037."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https://doi.org/10.1016/j.colsurfa.2016.01.037.</w:t>
      </w:r>
      <w:r>
        <w:rPr>
          <w:rStyle w:val="20"/>
          <w:rFonts w:hint="default" w:ascii="Times New Roman" w:hAnsi="Times New Roman" w:cs="Times New Roman"/>
          <w:kern w:val="0"/>
          <w:sz w:val="28"/>
          <w:szCs w:val="28"/>
        </w:rPr>
        <w:fldChar w:fldCharType="end"/>
      </w:r>
    </w:p>
    <w:p w14:paraId="6EFAE254">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94. Qiu J., Weng Y., Hu G. Study on the Effect of Ethylene Oxide (EO) Chain Length on the Properties of Triethylphenol Polyoxyethylene Ether Sulfate[J]. Shanghai Chemical Industry, 2019 44: 16-21.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"https://doi.org/10.3969/j.issn.1004-017X.2019.09.010."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https://doi.org/10.3969/j.issn.1004-017X.2019.09.010.</w:t>
      </w:r>
      <w:r>
        <w:rPr>
          <w:rStyle w:val="20"/>
          <w:rFonts w:hint="default" w:ascii="Times New Roman" w:hAnsi="Times New Roman" w:cs="Times New Roman"/>
          <w:kern w:val="0"/>
          <w:sz w:val="28"/>
          <w:szCs w:val="28"/>
        </w:rPr>
        <w:fldChar w:fldCharType="end"/>
      </w:r>
    </w:p>
    <w:p w14:paraId="29C9ABA0">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95. Lu J., Marrocco A., Su T., Thomas R., Penfold J. Adsorption of dodecyl sulfate surfactants with monovalent metal counter‑ions at the air‑water interface[J]. Journal of Colloid and Interface Science, 1993 158: 303-316.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"https://doi.org/10.1006/jcis.1993.1261."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https://doi.org/10.1006/jcis.1993.1261.</w:t>
      </w:r>
      <w:r>
        <w:rPr>
          <w:rStyle w:val="20"/>
          <w:rFonts w:hint="default" w:ascii="Times New Roman" w:hAnsi="Times New Roman" w:cs="Times New Roman"/>
          <w:kern w:val="0"/>
          <w:sz w:val="28"/>
          <w:szCs w:val="28"/>
        </w:rPr>
        <w:fldChar w:fldCharType="end"/>
      </w:r>
    </w:p>
    <w:p w14:paraId="38C9DD63">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96. Li F., Xu H., Kang P. Properties of Binary Surfactant Mixtures of Anionic Gemini Surfactant and Amphoteric Surfactant[J]. Tenside Surfactants Detergents, 2016 53: 1.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"https://doi.org/10.3139/113.110411."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https://doi.org/10.3139/113.110411.</w:t>
      </w:r>
      <w:r>
        <w:rPr>
          <w:rStyle w:val="20"/>
          <w:rFonts w:hint="default" w:ascii="Times New Roman" w:hAnsi="Times New Roman" w:cs="Times New Roman"/>
          <w:kern w:val="0"/>
          <w:sz w:val="28"/>
          <w:szCs w:val="28"/>
        </w:rPr>
        <w:fldChar w:fldCharType="end"/>
      </w:r>
    </w:p>
    <w:p w14:paraId="333EE4A6">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97. Harwell J., Roberts B., Scamehorn J. Thermodynamics of adsorption of surfactant mixtures on minerals[J]. Colloids and Surfaces, 1988 32: 1-17.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"https://doi.org/10.1016/0166-6622(88)80001-5."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https://doi.org/10.1016/0166-6622(88)80001-5.</w:t>
      </w:r>
      <w:r>
        <w:rPr>
          <w:rStyle w:val="20"/>
          <w:rFonts w:hint="default" w:ascii="Times New Roman" w:hAnsi="Times New Roman" w:cs="Times New Roman"/>
          <w:kern w:val="0"/>
          <w:sz w:val="28"/>
          <w:szCs w:val="28"/>
        </w:rPr>
        <w:fldChar w:fldCharType="end"/>
      </w:r>
    </w:p>
    <w:p w14:paraId="0ED68B4D">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98. Ding W., Song C., Li B. The synthesis and temperature and salt resistance properties of nonylphenol betaine amphoteric surfactants[J]. Applied Chemistry, 2015 32: 9.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"https://doi.org/10.11944/j.issn.1000-0518.2015.08.140439."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https://doi.org/10.11944/j.issn.1000-0518.2015.08.140439.</w:t>
      </w:r>
      <w:r>
        <w:rPr>
          <w:rStyle w:val="20"/>
          <w:rFonts w:hint="default" w:ascii="Times New Roman" w:hAnsi="Times New Roman" w:cs="Times New Roman"/>
          <w:kern w:val="0"/>
          <w:sz w:val="28"/>
          <w:szCs w:val="28"/>
        </w:rPr>
        <w:fldChar w:fldCharType="end"/>
      </w:r>
    </w:p>
    <w:p w14:paraId="57AAB807">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99. Mohaiminul I., Mezbah H., Shamim M., Anamul H. M., Dileep K., Saikh M. W., Mohamed A. H., Mana A., Mahbub K. Influences of alcohol and diol on the aggregation behaviour, modes of interaction and the thermodynamic properties of the mixture of bromocresol green dye and sodium dodecyl sulphate at numerous temperatures[J]. Molecular Physics, 2021 119: 12.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"https://doi.org/10.1080/00268976.2021.1925364."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https://doi.org/10.1080/00268976.2021.1925364.</w:t>
      </w:r>
      <w:r>
        <w:rPr>
          <w:rStyle w:val="20"/>
          <w:rFonts w:hint="default" w:ascii="Times New Roman" w:hAnsi="Times New Roman" w:cs="Times New Roman"/>
          <w:kern w:val="0"/>
          <w:sz w:val="28"/>
          <w:szCs w:val="28"/>
        </w:rPr>
        <w:fldChar w:fldCharType="end"/>
      </w:r>
    </w:p>
    <w:p w14:paraId="4B62C114">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100. Wang Q., Song Z., Han F., Xu B. Synthesis and properties of pH-dependent N-acylglutamate/aspartate surfactants[J]. Colloids and Surfaces A: Physicochemical and Engineering Aspects, 2022 640: 128474.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"https://doi.org/10.1016/j.colsurfa.2022.128474."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https://doi.org/10.1016/j.colsurfa.2022.128474.</w:t>
      </w:r>
      <w:r>
        <w:rPr>
          <w:rStyle w:val="20"/>
          <w:rFonts w:hint="default" w:ascii="Times New Roman" w:hAnsi="Times New Roman" w:cs="Times New Roman"/>
          <w:kern w:val="0"/>
          <w:sz w:val="28"/>
          <w:szCs w:val="28"/>
        </w:rPr>
        <w:fldChar w:fldCharType="end"/>
      </w:r>
    </w:p>
    <w:p w14:paraId="2696029F">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101. Zhang W., Mao J., Jia Z., Yang X., Zhang P., Su X., Zhou C., Bao D., Zeng W. Design of a salt-tolerant gemini viscoelastic surfactant and the study of construction of wormlike micelle structure in high-salinity aqueous environment[J]. Colloids and Surfaces A: Physicochemical and Engineering Aspects, 2021: 127653.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"https://doi.org/10.1016/j.colsurfa.2021.127653."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https://doi.org/10.1016/j.colsurfa.2021.127653.</w:t>
      </w:r>
      <w:r>
        <w:rPr>
          <w:rStyle w:val="20"/>
          <w:rFonts w:hint="default" w:ascii="Times New Roman" w:hAnsi="Times New Roman" w:cs="Times New Roman"/>
          <w:kern w:val="0"/>
          <w:sz w:val="28"/>
          <w:szCs w:val="28"/>
        </w:rPr>
        <w:fldChar w:fldCharType="end"/>
      </w:r>
    </w:p>
    <w:p w14:paraId="63EF45E2">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102. Li B., Zhang Q., Xia Y., Gao Z. Surface properties and aggregation behavior of cationic gemini surfactants with dipropylammonium head-groups[J]. Colloids and Surfaces A: Physicochemical and Engineering Aspects, 2015 470: 211-217.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"https://doi.org/10.1016/j.colsurfa.2015.02.005."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https://doi.org/10.1016/j.colsurfa.2015.02.005.</w:t>
      </w:r>
      <w:r>
        <w:rPr>
          <w:rStyle w:val="20"/>
          <w:rFonts w:hint="default" w:ascii="Times New Roman" w:hAnsi="Times New Roman" w:cs="Times New Roman"/>
          <w:kern w:val="0"/>
          <w:sz w:val="28"/>
          <w:szCs w:val="28"/>
        </w:rPr>
        <w:fldChar w:fldCharType="end"/>
      </w:r>
    </w:p>
    <w:p w14:paraId="6D58CAD0">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103. Al Muslim A., Ayyash D., Gujral S., Mekhail G., Rao P., Wettig S. synthesis and characterization of asymmetrical gemini surfactants[J]. Physical Chemistry Chemical Physics, 2017 19: 1953-1962.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"https://doi.org/10.1039/C6CP07688b."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https://doi.org/10.1039/C6CP07688b.</w:t>
      </w:r>
      <w:r>
        <w:rPr>
          <w:rStyle w:val="20"/>
          <w:rFonts w:hint="default" w:ascii="Times New Roman" w:hAnsi="Times New Roman" w:cs="Times New Roman"/>
          <w:kern w:val="0"/>
          <w:sz w:val="28"/>
          <w:szCs w:val="28"/>
        </w:rPr>
        <w:fldChar w:fldCharType="end"/>
      </w:r>
    </w:p>
    <w:p w14:paraId="026973FE">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104. Nagarajan R. Molecular packing parameter and surfactant self-assembly: The neglected role of the surfactant tail[J]. Langmuir, 2002 18: 31-38.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"https://doi.org/10.1021/la010831y."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https://doi.org/10.1021/la010831y.</w:t>
      </w:r>
      <w:r>
        <w:rPr>
          <w:rStyle w:val="20"/>
          <w:rFonts w:hint="default" w:ascii="Times New Roman" w:hAnsi="Times New Roman" w:cs="Times New Roman"/>
          <w:kern w:val="0"/>
          <w:sz w:val="28"/>
          <w:szCs w:val="28"/>
        </w:rPr>
        <w:fldChar w:fldCharType="end"/>
      </w:r>
    </w:p>
    <w:p w14:paraId="22939671">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105. Kucharski S., Chlebicki J. The effect of polyoxypropylene chain length on the critical micelle concentration of propylene oxide—ethylene oxide block copolymers[J]. Journal of Colloid and Interface Science, 1974 46: 518-521.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"https://doi.org/10.1016/0021-9797(74)90062-9."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https://doi.org/10.1016/0021-9797(74)90062-9.</w:t>
      </w:r>
      <w:r>
        <w:rPr>
          <w:rStyle w:val="20"/>
          <w:rFonts w:hint="default" w:ascii="Times New Roman" w:hAnsi="Times New Roman" w:cs="Times New Roman"/>
          <w:kern w:val="0"/>
          <w:sz w:val="28"/>
          <w:szCs w:val="28"/>
        </w:rPr>
        <w:fldChar w:fldCharType="end"/>
      </w:r>
    </w:p>
    <w:p w14:paraId="12FF2541">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106. Kelly C., Agatha D., Mateus P., Regina S., Daniel G. Advancements in Surfactant Carriers for Enhanced Oil Recovery: Mechanisms, Challenges, and Opportunities[J]. ACS Omega, 2024 9: 35.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"https://doi.org/10.1021/ACSOMEGA.4C04058."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https://doi.org/10.1021/ACSOMEGA.4C04058.</w:t>
      </w:r>
      <w:r>
        <w:rPr>
          <w:rStyle w:val="20"/>
          <w:rFonts w:hint="default" w:ascii="Times New Roman" w:hAnsi="Times New Roman" w:cs="Times New Roman"/>
          <w:kern w:val="0"/>
          <w:sz w:val="28"/>
          <w:szCs w:val="28"/>
        </w:rPr>
        <w:fldChar w:fldCharType="end"/>
      </w:r>
    </w:p>
    <w:p w14:paraId="6144DB92">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107. Alexandridis P., Hatton T. Poly(ethylene oxide)-poly(propylene oxide)-poly(ethylene oxide) block copolymer surfactants in aqueous solutions and at interfaces: thermodynamics, structure, dynamics, and modeling[J]. Colloids and Surfaces A: Physicochemical and Engineering Aspects, 1995 96: 1-46.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"https://doi.org/10.1016/0927-7757(94)03028-X."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https://doi.org/10.1016/0927-7757(94)03028-X.</w:t>
      </w:r>
      <w:r>
        <w:rPr>
          <w:rStyle w:val="20"/>
          <w:rFonts w:hint="default" w:ascii="Times New Roman" w:hAnsi="Times New Roman" w:cs="Times New Roman"/>
          <w:kern w:val="0"/>
          <w:sz w:val="28"/>
          <w:szCs w:val="28"/>
        </w:rPr>
        <w:fldChar w:fldCharType="end"/>
      </w:r>
    </w:p>
    <w:p w14:paraId="29A84948">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108. Pillai P., Mandal A. Synthesis and characterization of surface-active ionic liquids for their potential application in enhanced oil recovery[J]. Journal of Molecular Liquids, 2022 245.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"https://doi.org/10.1016/j.molliq.2021.117900." </w:instrText>
      </w:r>
      <w:r>
        <w:rPr>
          <w:rFonts w:hint="default" w:ascii="Times New Roman" w:hAnsi="Times New Roman" w:cs="Times New Roman"/>
        </w:rPr>
        <w:fldChar w:fldCharType="separate"/>
      </w:r>
      <w:r>
        <w:rPr>
          <w:rFonts w:hint="default" w:ascii="Times New Roman" w:hAnsi="Times New Roman" w:cs="Times New Roman"/>
          <w:kern w:val="0"/>
          <w:sz w:val="28"/>
          <w:szCs w:val="28"/>
        </w:rPr>
        <w:t>https://doi.org/10.1016/j.molliq.2021.117900.</w:t>
      </w:r>
      <w:r>
        <w:rPr>
          <w:rFonts w:hint="default" w:ascii="Times New Roman" w:hAnsi="Times New Roman" w:cs="Times New Roman"/>
          <w:kern w:val="0"/>
          <w:sz w:val="28"/>
          <w:szCs w:val="28"/>
        </w:rPr>
        <w:fldChar w:fldCharType="end"/>
      </w:r>
    </w:p>
    <w:p w14:paraId="38100F72">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109. Li C., Wang F., Guo S., Jin H., Wang J. Interface Activity and Thermodynamic Properties of Cardanol Polyoxyethylene Ether Carboxylates[J]. Tenside Surfactants Detergents, 2016 53: 304-312.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"https://doi.org/10.3139/113.110444."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https://doi.org/10.3139/113.110444.</w:t>
      </w:r>
      <w:r>
        <w:rPr>
          <w:rStyle w:val="20"/>
          <w:rFonts w:hint="default" w:ascii="Times New Roman" w:hAnsi="Times New Roman" w:cs="Times New Roman"/>
          <w:kern w:val="0"/>
          <w:sz w:val="28"/>
          <w:szCs w:val="28"/>
        </w:rPr>
        <w:fldChar w:fldCharType="end"/>
      </w:r>
    </w:p>
    <w:p w14:paraId="5B2D5C68">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110. Juhász Á., Tabajdi R., Dékány I., Csapó E. Thermodynamic Characterization of Temperature- and Composition-Dependent Mixed Micelle Formation in Aqueous Medium[J]. Journal of Surfactants and Detergents, 2017 20: 1291-1299.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"https://doi.org/10.1007/s11743-017-2025-x."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https://doi.org/10.1007/s11743-017-2025-x.</w:t>
      </w:r>
      <w:r>
        <w:rPr>
          <w:rStyle w:val="20"/>
          <w:rFonts w:hint="default" w:ascii="Times New Roman" w:hAnsi="Times New Roman" w:cs="Times New Roman"/>
          <w:kern w:val="0"/>
          <w:sz w:val="28"/>
          <w:szCs w:val="28"/>
        </w:rPr>
        <w:fldChar w:fldCharType="end"/>
      </w:r>
    </w:p>
    <w:p w14:paraId="763EF35F">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111. Kharazi M., Saien J., Miller R. The Surface Activity of Surfactants at Liquid Interfaces: The Role of cmc, Decrease in Surface Tension, HLB, Thermodynamic Adsorption Models[J]. Journal of Surfactants and Detergents, 2025.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"https://doi.org/10.1002/jsde.12902."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https://doi.org/10.1002/jsde.12902.</w:t>
      </w:r>
      <w:r>
        <w:rPr>
          <w:rStyle w:val="20"/>
          <w:rFonts w:hint="default" w:ascii="Times New Roman" w:hAnsi="Times New Roman" w:cs="Times New Roman"/>
          <w:kern w:val="0"/>
          <w:sz w:val="28"/>
          <w:szCs w:val="28"/>
        </w:rPr>
        <w:fldChar w:fldCharType="end"/>
      </w:r>
    </w:p>
    <w:p w14:paraId="680B6B6F">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112. Tian H., Chen T., Wang X., Li Y., Pan B. Impacts of Temperature and Surfactant on Wettability in Mineral-Oil-Water Systems[J]. ACS Omega, 2025 10: 3418-3426.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"https://doi.org/10.1021/acsomega.4c06896."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https://doi.org/10.1021/acsomega.4c06896.</w:t>
      </w:r>
      <w:r>
        <w:rPr>
          <w:rStyle w:val="20"/>
          <w:rFonts w:hint="default" w:ascii="Times New Roman" w:hAnsi="Times New Roman" w:cs="Times New Roman"/>
          <w:kern w:val="0"/>
          <w:sz w:val="28"/>
          <w:szCs w:val="28"/>
        </w:rPr>
        <w:fldChar w:fldCharType="end"/>
      </w:r>
    </w:p>
    <w:p w14:paraId="19257F22">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113. Zhang G., Zheng Y., Zeng L., Wu W., Tao Z., Wei J., Sarsenbekuly B., Yang H., Kang W. Optimization &amp; effectiveness of the Extended amphoteric-Gemini surfactant combination flooding for low-permeability reservoirs[J]. Physics of Fluids, 2025 37: 107128.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"https://doi.org/10.1063/5.0296932."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https://doi.org/10.1063/5.0296932.</w:t>
      </w:r>
      <w:r>
        <w:rPr>
          <w:rStyle w:val="20"/>
          <w:rFonts w:hint="default" w:ascii="Times New Roman" w:hAnsi="Times New Roman" w:cs="Times New Roman"/>
          <w:kern w:val="0"/>
          <w:sz w:val="28"/>
          <w:szCs w:val="28"/>
        </w:rPr>
        <w:fldChar w:fldCharType="end"/>
      </w:r>
    </w:p>
    <w:p w14:paraId="4E8AEDDA">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114. Dey S., Khan M., Prakash S., Jangid L., Joshi D., Mandal A. Synthesis and Physicochemical Evaluation of an Olive Oil-Derived Anionic Surfactant: Effects on Interfacial Tension, Wettability Alteration, and Oil Recovery Efficiency[J]. Industrial &amp; Engineering Chemistry Research, 2025 64: 16375-16392.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"https://doi.org/10.1021/acs.iecr.5c00323."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https://doi.org/10.1021/acs.iecr.5c00323.</w:t>
      </w:r>
      <w:r>
        <w:rPr>
          <w:rStyle w:val="20"/>
          <w:rFonts w:hint="default" w:ascii="Times New Roman" w:hAnsi="Times New Roman" w:cs="Times New Roman"/>
          <w:kern w:val="0"/>
          <w:sz w:val="28"/>
          <w:szCs w:val="28"/>
        </w:rPr>
        <w:fldChar w:fldCharType="end"/>
      </w:r>
    </w:p>
    <w:p w14:paraId="42D3AE5E">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115. Jangid L., Dey S., Joshi D., Saxena N., Ojha K., Mandal A. Exploring interfacial properties and thermodynamic parameters of synthesized biodegradable surfactants from Brassica Juncea and their emulsification characteristics[J]. Journal of Molecular Liquids, 2024 408.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"https://doi.org/10.1016/j.molliq.2024.125326."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https://doi.org/10.1016/j.molliq.2024.125326.</w:t>
      </w:r>
      <w:r>
        <w:rPr>
          <w:rStyle w:val="20"/>
          <w:rFonts w:hint="default" w:ascii="Times New Roman" w:hAnsi="Times New Roman" w:cs="Times New Roman"/>
          <w:kern w:val="0"/>
          <w:sz w:val="28"/>
          <w:szCs w:val="28"/>
        </w:rPr>
        <w:fldChar w:fldCharType="end"/>
      </w:r>
    </w:p>
    <w:p w14:paraId="4DD534BF">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116. Ray D., Jangid L., Joshi D., Prakash S., Ojha K., Manor O., Mandal A. Formulation of Polymer-Augmented Surfactant-Based Oil−Water Microemulsions for Application in Enhanced Oil Recovery[J]. ACS Omega, 2024 9: 50024-50040.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"https://doi.org/10.1021/acsomega.4c09829."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https://doi.org/10.1021/acsomega.4c09829.</w:t>
      </w:r>
      <w:r>
        <w:rPr>
          <w:rStyle w:val="20"/>
          <w:rFonts w:hint="default" w:ascii="Times New Roman" w:hAnsi="Times New Roman" w:cs="Times New Roman"/>
          <w:kern w:val="0"/>
          <w:sz w:val="28"/>
          <w:szCs w:val="28"/>
        </w:rPr>
        <w:fldChar w:fldCharType="end"/>
      </w:r>
    </w:p>
    <w:p w14:paraId="0755731C">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117. Akbas M. A novel cationic Gemini surfactant with amide group: synthesis and micellization behavior in aqueous solutions[J]. Colloid and Polymer Science, 2016 294: 1439-1451.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"https://doi.org/10.1007/s00396-016-3905-8."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https://doi.org/10.1007/s00396-016-3905-8.</w:t>
      </w:r>
      <w:r>
        <w:rPr>
          <w:rStyle w:val="20"/>
          <w:rFonts w:hint="default" w:ascii="Times New Roman" w:hAnsi="Times New Roman" w:cs="Times New Roman"/>
          <w:kern w:val="0"/>
          <w:sz w:val="28"/>
          <w:szCs w:val="28"/>
        </w:rPr>
        <w:fldChar w:fldCharType="end"/>
      </w:r>
    </w:p>
    <w:p w14:paraId="742DA5FA">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118. Cheng C., Qu G., Wei J., Tao Y., Wei D. Thermodynamics of Micellization of Sulfobetaine Surfactants in Aqueous Solution[J]. Journal of Surfactants and Detergents, 2012 15: 757-763.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"https://doi.org/10.1007/s11743-012-1374-8."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https://doi.org/10.1007/s11743-012-1374-8.</w:t>
      </w:r>
      <w:r>
        <w:rPr>
          <w:rStyle w:val="20"/>
          <w:rFonts w:hint="default" w:ascii="Times New Roman" w:hAnsi="Times New Roman" w:cs="Times New Roman"/>
          <w:kern w:val="0"/>
          <w:sz w:val="28"/>
          <w:szCs w:val="28"/>
        </w:rPr>
        <w:fldChar w:fldCharType="end"/>
      </w:r>
    </w:p>
    <w:p w14:paraId="1645597D">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119. Liu W., Luo L., Liao G., Zuo L., Wei Y., Jiang W. Experimental Study on the Mechanism of Polymer Surfactant Binary Flooding for Enhanced Oil Recovery [J]. Petroleum Exploration and Development, 2017 44: 600-607.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"https://doi.org/10.11698/PED.2017.04.13."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https://doi.org/10.11698/PED.2017.04.13.</w:t>
      </w:r>
      <w:r>
        <w:rPr>
          <w:rStyle w:val="20"/>
          <w:rFonts w:hint="default" w:ascii="Times New Roman" w:hAnsi="Times New Roman" w:cs="Times New Roman"/>
          <w:kern w:val="0"/>
          <w:sz w:val="28"/>
          <w:szCs w:val="28"/>
        </w:rPr>
        <w:fldChar w:fldCharType="end"/>
      </w:r>
    </w:p>
    <w:p w14:paraId="7D86D903">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120. Pu W., Yuan C., Hu W., Tan T., Hui J., Zhao S., Wang S., Tang Y. Effects of interfacial tension and emulsification on displacement efficiency in dilute surfactant flooding[J]. RSC Advances, 2016 6: 50640-50649.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"https://doi.org/10.1039/C6RA06027G."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https://doi.org/10.1039/C6RA06027G.</w:t>
      </w:r>
      <w:r>
        <w:rPr>
          <w:rStyle w:val="20"/>
          <w:rFonts w:hint="default" w:ascii="Times New Roman" w:hAnsi="Times New Roman" w:cs="Times New Roman"/>
          <w:kern w:val="0"/>
          <w:sz w:val="28"/>
          <w:szCs w:val="28"/>
        </w:rPr>
        <w:fldChar w:fldCharType="end"/>
      </w:r>
    </w:p>
    <w:p w14:paraId="394048AB">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121. Zhao L., Wang J., Zhang X., Guo X., Chen L., Zhang A., Cao K., Li J. Experimental study on the evaluation of surfactant/polymer flooding for enhancing oil recovery in Kumkol Oil Field[J]. Journal of Petroleum Exploration and Production Technology, 2022 13: 3.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"https://doi.org/10.1007/S13202-022-01564-4."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https://doi.org/10.1007/S13202-022-01564-4.</w:t>
      </w:r>
      <w:r>
        <w:rPr>
          <w:rStyle w:val="20"/>
          <w:rFonts w:hint="default" w:ascii="Times New Roman" w:hAnsi="Times New Roman" w:cs="Times New Roman"/>
          <w:kern w:val="0"/>
          <w:sz w:val="28"/>
          <w:szCs w:val="28"/>
        </w:rPr>
        <w:fldChar w:fldCharType="end"/>
      </w:r>
    </w:p>
    <w:p w14:paraId="72309645">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122. Anupong S., Tanakon N., Alhaji H. M., Azim K., Suparit T. Influence of sequential changes in the crude oil-water interfacial tension on spontaneous imbibition in oil-wet sandstone[J]. Journal of Petroleum Science and Engineering, 2022 210.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"https://doi.org/10.1016/J.PETROL.2021.110032."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https://doi.org/10.1016/J.PETROL.2021.110032.</w:t>
      </w:r>
      <w:r>
        <w:rPr>
          <w:rStyle w:val="20"/>
          <w:rFonts w:hint="default" w:ascii="Times New Roman" w:hAnsi="Times New Roman" w:cs="Times New Roman"/>
          <w:kern w:val="0"/>
          <w:sz w:val="28"/>
          <w:szCs w:val="28"/>
        </w:rPr>
        <w:fldChar w:fldCharType="end"/>
      </w:r>
    </w:p>
    <w:p w14:paraId="4D01C037">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123. Jing B., Tian Y., Hu Q., Zhu Y., Tang Y., Zhang X., Fu C., Wang H., Zhu Y. The influence of the interaction between extensible surfactants and active components of crude oil on interfacial tension[J]. Journal of Wuhan University of Technology, 2020 42: 55-59+108.</w:t>
      </w:r>
    </w:p>
    <w:p w14:paraId="5737CE3A">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124. Chen W., Schechter D. Surfactant selection for enhanced oil recovery based on surfactant molecular structure in unconventional liquid reservoirs[J]. Journal of Petroleum Science and Engineering, 2021 196.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"https://doi.org/10.1016/j.petrol.2020.107702."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https://doi.org/10.1016/j.petrol.2020.107702.</w:t>
      </w:r>
      <w:r>
        <w:rPr>
          <w:rStyle w:val="20"/>
          <w:rFonts w:hint="default" w:ascii="Times New Roman" w:hAnsi="Times New Roman" w:cs="Times New Roman"/>
          <w:kern w:val="0"/>
          <w:sz w:val="28"/>
          <w:szCs w:val="28"/>
        </w:rPr>
        <w:fldChar w:fldCharType="end"/>
      </w:r>
    </w:p>
    <w:p w14:paraId="0B4AA656">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125. Bergfreund J., Siegenthaler S., LutzBueno V., Bertsch P., Fischer P. Surfactant Adsorption to Different Fluid Interfaces[J]. Langmuir, 2021 37: 22. </w:t>
      </w:r>
      <w:r>
        <w:rPr>
          <w:rFonts w:hint="default" w:ascii="Times New Roman" w:hAnsi="Times New Roman" w:cs="Times New Roman"/>
          <w:kern w:val="0"/>
          <w:sz w:val="28"/>
          <w:szCs w:val="28"/>
        </w:rPr>
        <w:fldChar w:fldCharType="begin"/>
      </w:r>
      <w:r>
        <w:rPr>
          <w:rFonts w:hint="default" w:ascii="Times New Roman" w:hAnsi="Times New Roman" w:cs="Times New Roman"/>
          <w:kern w:val="0"/>
          <w:sz w:val="28"/>
          <w:szCs w:val="28"/>
        </w:rPr>
        <w:instrText xml:space="preserve">HYPERLINK "https://doi.org/10.1021/ACS.LANGMUIR.1C00668.</w:instrText>
      </w:r>
    </w:p>
    <w:p w14:paraId="49DBDE20">
      <w:pPr>
        <w:widowControl/>
        <w:ind w:firstLine="709" w:firstLineChars="0"/>
        <w:rPr>
          <w:rStyle w:val="20"/>
          <w:rFonts w:hint="default" w:ascii="Times New Roman" w:hAnsi="Times New Roman" w:cs="Times New Roman"/>
          <w:kern w:val="0"/>
          <w:sz w:val="28"/>
          <w:szCs w:val="28"/>
        </w:rPr>
      </w:pPr>
      <w:r>
        <w:rPr>
          <w:rFonts w:hint="default" w:ascii="Times New Roman" w:hAnsi="Times New Roman" w:cs="Times New Roman"/>
          <w:kern w:val="0"/>
          <w:sz w:val="28"/>
          <w:szCs w:val="28"/>
        </w:rPr>
        <w:instrText xml:space="preserve">"</w:instrText>
      </w:r>
      <w:r>
        <w:rPr>
          <w:rFonts w:hint="default" w:ascii="Times New Roman" w:hAnsi="Times New Roman" w:cs="Times New Roman"/>
          <w:kern w:val="0"/>
          <w:sz w:val="28"/>
          <w:szCs w:val="28"/>
        </w:rPr>
        <w:fldChar w:fldCharType="separate"/>
      </w:r>
      <w:r>
        <w:rPr>
          <w:rStyle w:val="20"/>
          <w:rFonts w:hint="default" w:ascii="Times New Roman" w:hAnsi="Times New Roman" w:cs="Times New Roman"/>
          <w:kern w:val="0"/>
          <w:sz w:val="28"/>
          <w:szCs w:val="28"/>
        </w:rPr>
        <w:t>https://doi.org/10.1021/ACS.LANGMUIR.1C00668.</w:t>
      </w:r>
    </w:p>
    <w:p w14:paraId="077C18C1">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 xml:space="preserve">126. Zhang X., Zhou Z., Han L., Zhang Y., Zhang Q., Ma D., Ma W., Zhang L., Zhang L. Mechanism responsible for the reduction of interfacial tension by extended surfactants[J]. Colloids and Surfaces A: Physicochemical and Engineering Aspects, 2022 634.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"https://doi.org/10.1016/J.COLSURFA.2021.128013."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https://doi.org/10.1016/J.COLSURFA.2021.128013.</w:t>
      </w:r>
      <w:r>
        <w:rPr>
          <w:rStyle w:val="20"/>
          <w:rFonts w:hint="default" w:ascii="Times New Roman" w:hAnsi="Times New Roman" w:cs="Times New Roman"/>
          <w:kern w:val="0"/>
          <w:sz w:val="28"/>
          <w:szCs w:val="28"/>
        </w:rPr>
        <w:fldChar w:fldCharType="end"/>
      </w:r>
    </w:p>
    <w:p w14:paraId="3ECE68BF">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127. He W., Ge J., Zhang G., Jiang P., Jin L. Effects of Extended Surfactant Structure on the Interfacial Tension and Optimal Salinity of Dilute Solutions[J]. ACS Omega, 2019 4: 7.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"https://doi.org/10.1021/acsomega.9b00495."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https://doi.org/10.1021/acsomega.9b00495.</w:t>
      </w:r>
      <w:r>
        <w:rPr>
          <w:rStyle w:val="20"/>
          <w:rFonts w:hint="default" w:ascii="Times New Roman" w:hAnsi="Times New Roman" w:cs="Times New Roman"/>
          <w:kern w:val="0"/>
          <w:sz w:val="28"/>
          <w:szCs w:val="28"/>
        </w:rPr>
        <w:fldChar w:fldCharType="end"/>
      </w:r>
    </w:p>
    <w:p w14:paraId="0F954FEA">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128. Forgiarini A., Marquez R., Salager J. Formulation Improvements in the Applications of Surfactant–Oil–Water Systems Using the HLDN Approach with Extended Surfactant Structure[J]. Molecules, 2021 26: 3771.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"https://doi.org/10.3390/molecules26123771."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https://doi.org/10.3390/molecules26123771.</w:t>
      </w:r>
      <w:r>
        <w:rPr>
          <w:rStyle w:val="20"/>
          <w:rFonts w:hint="default" w:ascii="Times New Roman" w:hAnsi="Times New Roman" w:cs="Times New Roman"/>
          <w:kern w:val="0"/>
          <w:sz w:val="28"/>
          <w:szCs w:val="28"/>
        </w:rPr>
        <w:fldChar w:fldCharType="end"/>
      </w:r>
    </w:p>
    <w:p w14:paraId="6E278664">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129. Devakumar N., Seetharaman G, Sangwai J. Tuning Nanofluid Performance via Structure-Driven Interfacial Modulation: Surfactant–Nanoparticle–Alkali–Salt Synergy for Low Salinity Enhanced Oil Recovery[J]. Industrial &amp; Engineering Chemistry Research, 2010 64: 9.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"https://doi.org/10.1021/acs.iecr.5c01731."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https://doi.org/10.1021/acs.iecr.5c01731.</w:t>
      </w:r>
      <w:r>
        <w:rPr>
          <w:rStyle w:val="20"/>
          <w:rFonts w:hint="default" w:ascii="Times New Roman" w:hAnsi="Times New Roman" w:cs="Times New Roman"/>
          <w:kern w:val="0"/>
          <w:sz w:val="28"/>
          <w:szCs w:val="28"/>
        </w:rPr>
        <w:fldChar w:fldCharType="end"/>
      </w:r>
    </w:p>
    <w:p w14:paraId="7D5BA7FB">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130. Dey S., Khan M. A., Prakash S., Jangid L., Joshi D., Mandal A. Synthesis and Physicochemical Evaluation of an Olive Oil-Derived Anionic Surfactant: Effects on Interfacial Tension, Wettability Alteration, and Oil Recovery Efficiency[J]. Industrial &amp; Engineering Chemistry Research, 2010 64: 18.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"https://doi.org/10.1021/acs.iecr.5c00323."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https://doi.org/10.1021/acs.iecr.5c00323.</w:t>
      </w:r>
      <w:r>
        <w:rPr>
          <w:rStyle w:val="20"/>
          <w:rFonts w:hint="default" w:ascii="Times New Roman" w:hAnsi="Times New Roman" w:cs="Times New Roman"/>
          <w:kern w:val="0"/>
          <w:sz w:val="28"/>
          <w:szCs w:val="28"/>
        </w:rPr>
        <w:fldChar w:fldCharType="end"/>
      </w:r>
    </w:p>
    <w:p w14:paraId="4048398D">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131. He H., Xiao H., Zhou Z., Zhang Q., Gao M., Chen X., Zhang L., Zhang L. Effect of oxyethylene and oxypropylene groups on the interfacial structure and property of extended surfactants: Molecular simulation and experimental study[J]. Journal of Molecular Liquids, 2023 382.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"https://doi.org/10.1016/J.MOLLIQ.2023.121944."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https://doi.org/10.1016/J.MOLLIQ.2023.121944.</w:t>
      </w:r>
      <w:r>
        <w:rPr>
          <w:rStyle w:val="20"/>
          <w:rFonts w:hint="default" w:ascii="Times New Roman" w:hAnsi="Times New Roman" w:cs="Times New Roman"/>
          <w:kern w:val="0"/>
          <w:sz w:val="28"/>
          <w:szCs w:val="28"/>
        </w:rPr>
        <w:fldChar w:fldCharType="end"/>
      </w:r>
    </w:p>
    <w:p w14:paraId="2DD4A952">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132. Zhang G., Zheng Y., Mu J., Chang S., Sarsenbekuly B., Yang H., Kang W. Interactions and oil recovery performance of a prepared extended amphoteric surfactant combining with a nonionic surfactant under high salinity condition[J].Journal of Molecular Liquids, 2024(Pt.A):414.</w:t>
      </w:r>
    </w:p>
    <w:p w14:paraId="5270731F">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133. Kang W., He Y., Li Z., Yang H., Ye Z., Li W., Jiang H., Liu D., Ding H., Turtabayev S. Stability mechanisms of viscoelastic zwitterionic-anionic surfactants enhanced foam system for low-permeability reservoirs[J]. Journal of Molecular Liquids, 2023 369.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"https://doi.org/10.1016/j.molliq.2022.120883."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https://doi.org/10.1016/j.molliq.2022.120883.</w:t>
      </w:r>
      <w:r>
        <w:rPr>
          <w:rStyle w:val="20"/>
          <w:rFonts w:hint="default" w:ascii="Times New Roman" w:hAnsi="Times New Roman" w:cs="Times New Roman"/>
          <w:kern w:val="0"/>
          <w:sz w:val="28"/>
          <w:szCs w:val="28"/>
        </w:rPr>
        <w:fldChar w:fldCharType="end"/>
      </w:r>
    </w:p>
    <w:p w14:paraId="3EFD5F47">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134. Yi X., Zheng Y., Lai L., Mu J., Zeng X., Lu X. Synthesis and micellization behavior of succinic acid isoester sulfonates in aqueous solutions[J]. Colloids and Surfaces A: Physicochemical and Engineering Aspects, 2024 683.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"https://doi.org/10.1016/j.colsurfa.2023.133046."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https://doi.org/10.1016/j.colsurfa.2023.133046.</w:t>
      </w:r>
      <w:r>
        <w:rPr>
          <w:rStyle w:val="20"/>
          <w:rFonts w:hint="default" w:ascii="Times New Roman" w:hAnsi="Times New Roman" w:cs="Times New Roman"/>
          <w:kern w:val="0"/>
          <w:sz w:val="28"/>
          <w:szCs w:val="28"/>
        </w:rPr>
        <w:fldChar w:fldCharType="end"/>
      </w:r>
    </w:p>
    <w:p w14:paraId="193CF9AB">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135. Zhou B., Kang W., Wang Q., Li X., He Y., Jia R., Wang K., Zhao Z., Yang H., Li Z. Enhanced oil recovery performance and mechanism of a wormlike micelles flooding system with zwitterionic-anionic surfactants[J]. Journal of Molecular Liquids, 2022 362.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"https://doi.org/10.1016/j.molliq.2022.119726."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https://doi.org/10.1016/j.molliq.2022.119726.</w:t>
      </w:r>
      <w:r>
        <w:rPr>
          <w:rStyle w:val="20"/>
          <w:rFonts w:hint="default" w:ascii="Times New Roman" w:hAnsi="Times New Roman" w:cs="Times New Roman"/>
          <w:kern w:val="0"/>
          <w:sz w:val="28"/>
          <w:szCs w:val="28"/>
        </w:rPr>
        <w:fldChar w:fldCharType="end"/>
      </w:r>
    </w:p>
    <w:p w14:paraId="5342C48D">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136. Bera B., Hauner I., Qazi M., Bonn D., Shahidzadeh N. Oil-water displacements in rough microchannels[J]. Physics of Fluids, 2018 30: 11.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"https://doi.org/10.1063/1.5053625."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https://doi.org/10.1063/1.5053625.</w:t>
      </w:r>
      <w:r>
        <w:rPr>
          <w:rStyle w:val="20"/>
          <w:rFonts w:hint="default" w:ascii="Times New Roman" w:hAnsi="Times New Roman" w:cs="Times New Roman"/>
          <w:kern w:val="0"/>
          <w:sz w:val="28"/>
          <w:szCs w:val="28"/>
        </w:rPr>
        <w:fldChar w:fldCharType="end"/>
      </w:r>
    </w:p>
    <w:p w14:paraId="437B2E3D">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137. Li X., Sarsenbekuly B., Yang H., Huang Z., Luo P. Rheological behavior of a wormlike micelle and an amphiphilic polymer combination for enhanced oil recovery[J]. Physics of Fluids, 2020 32: 073105.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"https://doi.org/10.1063/5.0018211."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https://doi.org/10.1063/5.0018211.</w:t>
      </w:r>
      <w:r>
        <w:rPr>
          <w:rStyle w:val="20"/>
          <w:rFonts w:hint="default" w:ascii="Times New Roman" w:hAnsi="Times New Roman" w:cs="Times New Roman"/>
          <w:kern w:val="0"/>
          <w:sz w:val="28"/>
          <w:szCs w:val="28"/>
        </w:rPr>
        <w:fldChar w:fldCharType="end"/>
      </w:r>
    </w:p>
    <w:p w14:paraId="67A9ABE8">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138. Chen Z., Mi H., Liu X., Xia K., Ge F., Li X., Zhang X. Preparation and characterization of an anionic Gemini surfactant for enhanced oil recovery in a hypersaline reservoir[J]. Journal of Surfactants and Detergents, 2019 22: 1309-1317.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"https://doi.org/10.1002/jsde.12351."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https://doi.org/10.1002/jsde.12351.</w:t>
      </w:r>
      <w:r>
        <w:rPr>
          <w:rStyle w:val="20"/>
          <w:rFonts w:hint="default" w:ascii="Times New Roman" w:hAnsi="Times New Roman" w:cs="Times New Roman"/>
          <w:kern w:val="0"/>
          <w:sz w:val="28"/>
          <w:szCs w:val="28"/>
        </w:rPr>
        <w:fldChar w:fldCharType="end"/>
      </w:r>
    </w:p>
    <w:p w14:paraId="7334C3A3">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139. Yang H., Lv Z., Zhang M., Jiang J., Xu B., Shen J., Jiang H., Kang W. A novel active amphiphilic polymer for enhancing heavy oil recovery: Synthesis, characterization and mechanism[J]. Journal of Molecular Liquids, 2023 391: 123210.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"https://doi.org/10.1016/j.molliq.2023.123210."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https://doi.org/10.1016/j.molliq.2023.123210.</w:t>
      </w:r>
      <w:r>
        <w:rPr>
          <w:rStyle w:val="20"/>
          <w:rFonts w:hint="default" w:ascii="Times New Roman" w:hAnsi="Times New Roman" w:cs="Times New Roman"/>
          <w:kern w:val="0"/>
          <w:sz w:val="28"/>
          <w:szCs w:val="28"/>
        </w:rPr>
        <w:fldChar w:fldCharType="end"/>
      </w:r>
    </w:p>
    <w:p w14:paraId="4A4234AF">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140. Liu Z., Liu P., Hei Y., Shi D., Guo F., Li X., Leng W., Lv Q., Sun W. Synergistic mechanism in anionic/zwitterionic and anionic/nonionic surfactant mixtures on improving the thermal stability of emulsions: An experimental and simulation study[J]. Chem. Eng. Sci. 2024 289: 119824.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"https://doi.org/10.1016/j.ces.2024.119824"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https://doi.org/10.1016/j.ces.2024.119824</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68EBE9C6">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141. Acharya D., Kunieda H. Wormlike micelles in mixed surfactant solutions[J]. Advances in Colloid and Interface Science, 2006 123.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"https://doi.org/10.1016/j.cis.2006.05.024"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https://doi.org/10.1016/j.cis.2006.05.024</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3D7446B8">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142. Geng T., Zhang C., Jiang Y., Ju H., Wang, Y. Synergistic effect of binary mixtures contained newly cationic surfactant: Interaction, aggregation behaviors and application properties[J]. J. Mol. Liq. 2017 232: 36-44.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"https://doi.org/10.1016/j.molliq.2017.02.055"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https://doi.org/10.1016/j.molliq.2017.02.055</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30C9C900">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143. Liu Y., Li W., Gao H., Xu H. Study on the synergistic effect of the binary compound system of cardanol sulfonate[J]. Tenside Surfact. Det. 2023 60(5): 486-497.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"https://doi.org/10.1515/tsd-2023-2529"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https://doi.org/10.1515/tsd-2023-2529</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4830DBC4">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144. Lin Z., Li J., Jiang Y., Wang Z., Wang Y., Tao G., Zhang L. Interaction, Surface Activity, and Application of Mixed Systems of Alcohol Ether Sulfate Anionic Surfactants with Multiple Ethylene Oxide Groups and Gemini Quaternary Ammonium Surfactant[J]. Langmuir 2024 40(19) 15.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"https://doi.org/10.1021/acs.langmuir.4c00188"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https://doi.org/10.1021/acs.langmuir.4c00188</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156BD515">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145. Li C., Tai X., Guo L., Chen Q., Bai Y. Mixtures of Anionic Surfactants with Single/Triple Polyoxyethylene Chains and Gemini Quaternary Ammonium Surfactant: Interaction and Surface Activity Studies[J]. J. Mol. Liq. 2021 1: 117117.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"https://doi.org/10.1016/j.molliq.2021.117117"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https://doi.org/10.1016/j.molliq.2021.117117</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64DA492A">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146. Li J., Bai L., Yang X., Qi Y., Zhou Y., Wu Z., Qin Z. Study on the properties of branched-chain alkyl glycoside nonionic surfactant and anionic surfactant in a mixed system[J]. Tenside Surfact. Det. 2024 61: 115-124.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"https://doi.org/10.1515/tsd-2023-2556"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https://doi.org/10.1515/tsd-2023-2556</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2535B57D">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147. Geng F., Liu J., Zheng L., Yu L., Li Z., Li G., Tung C. Micelle formation of long-chain imidazolium ionic liquids in aqueous solution measured by isothermal titration microcalorimetry[J]. J. Chem. Eng. Data. 2009 1: 147–151.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"https://doi.org/10.1021/je900290w"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https://doi.org/10.1021/je900290w</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18803F19">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148. Wei Y., Wang F., Zhang Z., Ren C., Lin Y. Micellization and thermodynamic study of 1-Alkyl-3-methylimidazolium tetrafluoroborate ionic liquids in aqueous solution[J]. J. Chem. Eng. Data. 2014 59(4): 1120–1129.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"https://doi.org/10.1021/je400861g"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https://doi.org/10.1021/je400861g</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0B016EE3">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149. Sharma J., Singh M., Banipal T., Kang T., Banipal P. Evaluating the binding ability of promethazine hydrochloride drug with sodium dodecylsulphate/sodium lauroylsarcosinate/sodium cholate in the company of uridine biomolecules: experimental and theoretical approach[J]. J. Dispersion Sci. Technol. 2024 45: 2626-2643.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"https://doi.org/10.1080/01932691.2023.2278489"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https://doi.org/10.1080/01932691.2023.2278489</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5107B4E8">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150. Seredyuk V., Alami E., Nydén M., Holmberg K., Peresypkin A., Menger F. Adsorption of zwitterionic gemini surfactants at the air–water and solid–water interfaces, COLLOID SURFACE A. 2002 203: 1-3.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"https://doi.org/10.1016/S0927-7757(01)01106-2"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https://doi.org/10.1016/S0927-7757(01)01106-2</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2FB41C32">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151. Himanshu K., Amit S., Ajay M., Shivanjali S. Anionic/nonionic surfactant mixture for enhanced oil recovery through the investigation of adsorption, interfacial, rheological, and rock wetting characteristics[J]. Energy Fuel 2021 35.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"https://doi.org/10.1021/acs.energyfuels.0c03767"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https://doi.org/10.1021/acs.energyfuels.0c03767</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47940C2A">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152. Li X., Wang P., Hou X., Wang F., Zhao H., Zhou B., Zhang H., Yang H., Kang W. Effects of sodium chloride on rheological behaviour of the Gemini-like surfactants[J]. Soft Matter 2020 16.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"https://doi.org/10.1039/D0SM00243G"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https://doi.org/10.1039/D0SM00243G</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15A384C5">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153. Sagis L. Dynamic properties of interfaces in soft matter: Experiments and theory[J]. Reviews of Modern Physics. 2011 83: 1367-1403.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"https://doi.org/10.1103/RevModPhys.83.1367"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https://doi.org/10.1103/RevModPhys.83.1367</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3D29476B">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154. Denkov N., Tcholakova S., Golemanov K.,Ananthpadmanabhan K., Lips A. The role of surfactant type and bubble surface mobility in foam rheology[J]. Soft Matter. 2009 5: 3389-3408.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"https://doi.org/10.1039/b903586a"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https://doi.org/10.1039/b903586a</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73A5A324">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155. Ma L., Xu P., Wang L., Xia K., Du H., Gao R., Chen Z. Study on anionic–nonionic mixed surfactant for enhanced oil recovery in a hypersaline reservoir[J]. RSC Advances, 2024 14(1): 552-559.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"https://doi.org/10.1039/d3ra07116b"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https://doi.org/10.1039/d3ra07116b</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3470A306">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156. Li Q., Wang X., Tang Y., Ge H., Zhou X., Li D., Wang H., Zhang N., Zhang Y., Wang W. Effect of Mixed-Charge Surfactants on Enhanced Oil Recovery in High-Temperature Shale Reservoirs[J]. Processes, 2025 13(4).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"https://doi.org/10.3390/PR13041187"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https://doi.org/10.3390/PR13041187</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602AFC43">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157. Ayirala S., Boqmi A., Alghamdi A., AlSofi A. Dilute Surfactants for Wettability Alteration and Enhanced Oil Recovery in Carbonates[J]. J. Mol. Liq. 2019 285.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"https://doi.org/10.3997/2214-4609.201900094"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https://doi.org/10.3997/2214-4609.201900094</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6C1C836F">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158. Kumar N., Mandal A. Wettability alteration of sandstone rock by surfactant stabilized nanoemulsion for enhanced oil recovery-a mechanistic study[J]. Colloids Surf. a-Physicochem. Eng. Asp. 2020 601.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"https://doi.org/10.1016/j.colsurfa.2020.125043"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https://doi.org/10.1016/j.colsurfa.2020.125043</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1CEB2526">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159. Liu D., Xu J., Zhao H., Zhang X., Zhou H., Wu D., Liu Y., Yu P., Xu Z., Kang W., Fan M. Nanoemulsions stabilized by anionic and non-ionic surfactants for enhanced oil recovery in ultra-low permeability reservoirs: Performance evaluation and mechanism study[J]. Colloids Surf. a-Physicochem. Eng. Asp. 2022 637.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"https://doi.org/10.1016/j.colsurfa.2021.128235"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https://doi.org/10.1016/j.colsurfa.2021.128235</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03FCE4F8">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160. Wei G., Hu R., Liao Z., Chen Y. EFFECTS OF WETTABILITY ON DISPLACEMENT EFFICIENCY OF TWO-PHASE FLOW IN POROUS MEDIA [J]. Chinese Journal of Theoretical and Applied Mechanics. 2021 53(4): 1008-1017.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"https://doi.org/10.6052/0459-1879-20-403"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https://doi.org/10.6052/0459-1879-20-403</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17E8C07C">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161. Austad T., Standnes C. Spontaneous imbibition of water into oil-wet carbonates[J]. Journal of Petroleum Science and Engineering, 2003 39(3-4).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"https://doi.org/10.1016/S0920-4105(03)00075-5"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https://doi.org/10.1016/S0920-4105(03)00075-5</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572D05F9">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162. Chen W., Schechter S. Surfactant selection for enhanced oil recovery based on surfactant molecular structure in unconventional liquid reservoirs[J]. Journal of Petroleum Science and Engineering, 2021 196.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"https://doi.org/10.1016/j.petrol.2020.107702"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https://doi.org/10.1016/j.petrol.2020.107702</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754B12BF">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163. Huang S., Jiang G., Guo C., Feng Q., Yang J., Dong T., He Y., Yang L. Experimental study of adsorption/desorption and enhanced recovery of shale oil and gas by zwitterionic surfactants[J]. Chemical Engineering Journal, 2024 487.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"https://doi.org/10.1016/J.CEJ.2024.150628"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https://doi.org/10.1016/J.CEJ.2024.150628</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5C1B1BCD">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164. Zhang G., Zheng Y., Zeng L., Wu W., Tao Z., Wei J., Sarsenbekuly B., Yang H., Kang W. Optimization and effectiveness of the extended amphoteric-Gemini surfactant combination flooding for low-permeability reservoirs[J]. Physics of Fluids 1 October 2025; 37 (10): 107128.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"https://doi.org/10.1063/5.0296932"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https://doi.org/10.1063/5.0296932</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17066F67">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165. Ren Z., Luo Y., Shi D. Mechanism on the interaction between amimo sulfonate amphoteric surfactant and sodium dodecyl benzene sulfonate in aqueous solution[J]. Colloids Surf A: Physicochem Eng Aspects. 2013 428: 18–24.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"https://doi.org/10.1016/j.colsurfa.2013.03.036"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https://doi.org/10.1016/j.colsurfa.2013.03.036</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6CEC736B">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166. Feng J., Liu X., Zhang L., Zhao S., Yu J. Dilational Viscoelasticity of the Zwitterionic Gemini Surfactants with Polyoxyethylene Spacers at the Interfaces[J]. J. Dispersion Sci. Technol. 2011 32(11).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"https://doi.org/10.1080/01932691.2010.516139"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https://doi.org/10.1080/01932691.2010.516139</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4614C822">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167. Yan N., Yuan K., Mei P., Lai L. Dynamic interfacial activity and dilational viscoelasticity of polyether demulsifiers at the oil/water interface[J]. J. Mol. Liq. 2022 363.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"https://doi.org/10.1016/J.MOLLiq2022.119875"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https://doi.org/10.1016/J.MOLLiq2022.119875</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264E885C">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168. Amiri S., Gandomkar A. Influence of electrical surface charges on thermodynamics of wettability during low salinity water flooding on limestone reservoirs[J]. J. Mol. Liq. 2019.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"https://doi.org/10.1016/j.molliq.2018.12.069"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https://doi.org/10.1016/j.molliq.2018.12.069</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2DD1FA41">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169. Ghaedi A., Nabipour M., Azdarpour A., Gandomkar A. Mechanistic investigation of using low salinity alkaline surfactant solutions in carbonate reservoirs based on polarity of crude oil[J]. J. Mol. Liq. 2023 390(16).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"https://doi.org/10.1016/j.molliq.2023.123098"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https://doi.org/10.1016/j.molliq.2023.123098</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6B7A585E">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170. Saxena N., Kumar A., Mandal A. Adsorption analysis of natural anionic surfactant for enhanced oil recovery: The role of mineralogy, salinity, alkalinity and nanoparticles[J]. J. Pet. Sci. Eng. 2019 173.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"https://doi.org/10.1016/j.petrol.2018.11.002"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https://doi.org/10.1016/j.petrol.2018.11.002</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4F9CF64C">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171. Zhang J., Ge J., Wang X., Wang W, Zhang W. Influence of Surfactant and Weak-Alkali Concentrations on the Stability of O/W Emulsion in an Alkali-Surfactant–Polymer Compound System[J]. ACS Omega 2021.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"https://doi.org/10.1021/acsomega.0c06142"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https://doi.org/10.1021/acsomega.0c06142</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53A1AE08">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172. Gandomkar A., Torabi F., Nasriani H., Enick R. Decreasing Asphaltene Precipitation and Deposition during Immiscible Gas Injection Via the Introduction of a CO2-Soluble Asphaltene Inhibitor[J]. SPE J. 2023 28(5) 13.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"https://doi.org/10.2118/214698-PA"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https://doi.org/10.2118/214698-PA</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7C9E3C5F">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173. Chakraborty R., Jangid L., Pandey R., Pasivedala R., Shaw T., Dutta R., Mandal A. Synergistic Effects of Nonionic Surfactant and Organic Alkali for Enhanced Oil Recovery: Optimizing Interfacial Tension Reduction, Emulsion Stability, and Corrosion Control under Optimal Salinity Conditions[J]. Energy Fuels, 2025 39 (7): 3462-3476.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"https://doi.org/10.1021/acs.energyfuels.4c06294"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https://doi.org/10.1021/acs.energyfuels.4c06294</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5D7F160D">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174. Gandomkar A., Nasriani H., Enick R., Torabi F. The Effect of CO2-Philic Thickeners on Gravity Drainage Mechanism in Gas Invaded Zone[J]. fuel, 2022.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"https://doi.org/10.1016/J.FUEL.2022.125760"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https://doi.org/10.1016/J.FUEL.2022.125760</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6F7DCF34">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175. Panthi K., Weerasooriya U., Mohanty K. Enhanced recovery of a viscous oil with a novel surfactant[J]. Fuel 2020 282.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"https://doi.org/10.1016/j.fuel.2020.118882"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https://doi.org/10.1016/j.fuel.2020.118882</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4882FFF7">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176. Motealleh M., Kharrat R., Gandomkar A., Khanamiri H., Nematzadeh M., Ghazanfari M. An Experimental Study on the Applicability of Water-alternating-CO2 Injection in the Secondary and Tertiary Recovery in One Iranian Reservoir[J]. Pet. Sci. Technol. 2012 30: 2571-2581.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"https://doi.org/10.1080/10916466.2010.514584"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https://doi.org/10.1080/10916466.2010.514584</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64A28D28">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177. Nematzadeh M., Khanamiri H., Aghajani M., Kharrat R., Gandomkar A., Motealleh M., Ghazanfari M. An Experimental Study of Secondary WAG Injection in a Low-Temperature Carbonate Reservoir in Different Miscibility Conditions[J]. Pet. Sci. Technol. 2012 30(13): 1359-1368.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"https://doi.org/10.1080/10916466.2010.504935"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https://doi.org/10.1080/10916466.2010.504935</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4B0E1CFC">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178. Fan C., Liu W., Xiao H., Xiong S. Research and Application of Twin type Surfactant SL-1 for Enhanced Oil Recovery[J]. Petroleum Drilling and Production Technology, 2008 30(4).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"https://doi.org/10.3969/j.issn.1000-7393.2008.04.023"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https://doi.org/10.3969/j.issn.1000-7393.2008.04.023</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777AC723">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179. Jia H., Lian P., Leng X., Han Y., Wang Q., Jia K., Niu X., Guo M., Yan H., Lv K. Mechanism studies on the application of the mixed cationic/anionic surfactant systems to enhance oil recovery[J]. Fuel 2019 258.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"https://doi.org/10.1016/j.fuel.2019.116156"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https://doi.org/10.1016/j.fuel.2019.116156</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3C367084">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180. Liu Q., Dong M., Yue X., Hou J. Synergy of alkali and surfactant in emulsification of heavy oil in brine[J]. Colloids Surf A: Physicochem Eng Aspects 2005 273(1).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"https://doi.org/10.1016/j.colsurfa.2005.10.016"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https://doi.org/10.1016/j.colsurfa.2005.10.016</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0F8759E3">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181. Jia R., Kang W., Li Z., Yang H., Gao Z., Zheng Z., Yang H., Zhou B., Jiang H., Turtabayev S. Ultra-low interfacial tension (IFT) zwitterionic surfactant for imbibition enhanced oil recovery (IEOR) in tight reservoirs[J]. J. Mol. Liq. 2022 368.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"https://doi.org/10.1016/J.MOLLiq2022.120734"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https://doi.org/10.1016/J.MOLLiq2022.120734</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56901C73">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182. Zhou Y., Yin D., Cao R., Zhang C. The mechanism for pore-throat scale emulsion displacing residual oil after water flooding[J]. J. Pet. Sci. Eng. 2018 163.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"https://doi.org/10.1016/j.petrol.2018.01.027"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https://doi.org/10.1016/j.petrol.2018.01.027</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71A05073">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183. Graciani M., Rodríguez A., Martín V., Moyá M. Micellization and micellar growth of alkanediyl-α,ω-bis(dimethyldodecylammonium bromide) surfactants in the presence of medium-chain alcohols[J]. Journal of Colloid and Interface Science, 2009 342(2): 382-391.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"https://doi.org/10.1016/j.jcis.2009.10.025"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https://doi.org/10.1016/j.jcis.2009.10.025</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2E3B4277">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184. Xiong W., Ren C., Tian M., Yang X., Li J., Li B. Emulsion stability and dilatational viscoelasticity of ovalbumin/chitosan complexes at the oil-in-water interface, Food Chem. 2018 252.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"https://doi.org/10.1016/j.foodchem.2018.01.067"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https://doi.org/10.1016/j.foodchem.2018.01.067</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32719E48">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185. Kurnia I., Zhang G., Han X., Yu J. Zwitterionic-anionic surfactant mixture for chemical enhanced oil recovery without alkali[J]. Fuel 2020 259.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"https://doi.org/10.1016/j.fuel.2019.116236"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https://doi.org/10.1016/j.fuel.2019.116236</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4BD1FBD5">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186. Habib H., Yunus R., Zakaria R., Biak D., Jan B., Amir Z. Chemical enhanced oil recovery: Synergetic mechanism of alkali, surfactant and polymer with overview of methyl ester sulfonate as a green alternative for EOR surfactant[J]. Fuel 2024 363.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"https://doi.org/10.1016/J.FUEL.2024.130957"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https://doi.org/10.1016/J.FUEL.2024.130957</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51B705C0">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187. Gandomkar A., Kharrat R.. Anionic Surfactant Adsorption through Porous Media in Carbonate Cores: An Experimental Study[J]. ENERG SOURCE PART A 2013 35: 58-65.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"https://doi.org/10.1080/15567036.2010.501368"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https://doi.org/10.1080/15567036.2010.501368</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75647BC0">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188. Ahmadi Y., Hemmati M., Vaferi B., Gandomkar A. Applications of nanoparticles during chemical enhanced oil recovery: A review of mechanisms and technical challenges[J]. J. Mol. Liq. 2024 415(15).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"https://doi.org/10.1016/j.molliq.2024.126287"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https://doi.org/10.1016/j.molliq.2024.126287</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2AEC6F42">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189. Aref N., Abbas M., Seyed S. Evaluation of a new green synthesized surfactant from linseeds-chemical EOR implications from sandstone petroleum reservoirs[J]. J. Mol. Liq. 2021 342.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"https://doi.org/10.1016/J.MOLLiq2021.117263"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https://doi.org/10.1016/J.MOLLiq2021.117263</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4B751037">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190. Kotsi K., Dong T., Kobayashi T., Robbie I., Striolo A., Angeli P. Synergistic effects between a non-ionic and an anionic surfactant on the micellization process and the adsorption at liquid/air surfaces[J]. Soft Matter 2024 20: 523–534.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"https://doi.org/10.1039/D3SM01454A"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https://doi.org/10.1039/D3SM01454A</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64FBF4A1">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191. Zhang B., Guan B., Tao Y., Liu W., Peng B., Lv K. Surfactant Synergistic Effect and Interfacial Properties of Microemulsions Compounded with Anionic and Nonionic Surfactants Using Dissipative Particle Dynamics[J]. acs omega, 2024 9(22): 23903-23916.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"https://doi.org/10.1021/acsomega.4c01933"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https://doi.org/10.1021/acsomega.4c01933</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30E4BED9">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192. Suzuki N. Interaction Parameters for the Formation of Mixed Micelles and Partitioning of Solutes in Them: A Review[J]. Applied Chem. 2024 4(1): 1-14.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"https://doi.org/10.3390/appliedchem4010001"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https://doi.org/10.3390/appliedchem4010001</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p w14:paraId="527A560F">
      <w:pPr>
        <w:widowControl/>
        <w:ind w:firstLine="709" w:firstLineChars="0"/>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193. Lin Z., Li J., Jiang Y., Wang Z., Wang Y., Tao G., Zhang L. Interaction, Surface Activity, and Application of Mixed Systems of Alcohol Ether Sulfate Anionic Surfactants with Multiple Ethylene Oxide Groups and Gemini Quaternary Ammonium Surfactant[J]. Langmuir: the ACS journal of surfaces and colloids, 2024.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"https://doi.org/10.1021/acs.langmuir.4c00188" </w:instrText>
      </w:r>
      <w:r>
        <w:rPr>
          <w:rFonts w:hint="default" w:ascii="Times New Roman" w:hAnsi="Times New Roman" w:cs="Times New Roman"/>
        </w:rPr>
        <w:fldChar w:fldCharType="separate"/>
      </w:r>
      <w:r>
        <w:rPr>
          <w:rStyle w:val="20"/>
          <w:rFonts w:hint="default" w:ascii="Times New Roman" w:hAnsi="Times New Roman" w:cs="Times New Roman"/>
          <w:kern w:val="0"/>
          <w:sz w:val="28"/>
          <w:szCs w:val="28"/>
        </w:rPr>
        <w:t>https://doi.org/10.1021/acs.langmuir.4c00188</w:t>
      </w:r>
      <w:r>
        <w:rPr>
          <w:rStyle w:val="20"/>
          <w:rFonts w:hint="default" w:ascii="Times New Roman" w:hAnsi="Times New Roman" w:cs="Times New Roman"/>
          <w:kern w:val="0"/>
          <w:sz w:val="28"/>
          <w:szCs w:val="28"/>
        </w:rPr>
        <w:fldChar w:fldCharType="end"/>
      </w:r>
      <w:r>
        <w:rPr>
          <w:rFonts w:hint="default" w:ascii="Times New Roman" w:hAnsi="Times New Roman" w:cs="Times New Roman"/>
          <w:kern w:val="0"/>
          <w:sz w:val="28"/>
          <w:szCs w:val="28"/>
        </w:rPr>
        <w:t>.</w:t>
      </w:r>
    </w:p>
    <w:sectPr>
      <w:footerReference r:id="rId11" w:type="default"/>
      <w:pgSz w:w="11906" w:h="16838"/>
      <w:pgMar w:top="1134" w:right="567" w:bottom="1134" w:left="1701" w:header="567" w:footer="567" w:gutter="0"/>
      <w:pgNumType w:start="8"/>
      <w:cols w:space="425" w:num="1"/>
      <w:docGrid w:type="linesAndChar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CC"/>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68837761"/>
      <w:docPartObj>
        <w:docPartGallery w:val="autotext"/>
      </w:docPartObj>
    </w:sdtPr>
    <w:sdtEndPr>
      <w:rPr>
        <w:sz w:val="28"/>
        <w:szCs w:val="28"/>
      </w:rPr>
    </w:sdtEndPr>
    <w:sdtContent>
      <w:p w14:paraId="6B4773EA">
        <w:pPr>
          <w:pStyle w:val="8"/>
          <w:ind w:firstLine="360"/>
          <w:jc w:val="center"/>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ru-RU"/>
          </w:rPr>
          <w:t>2</w:t>
        </w:r>
        <w:r>
          <w:rPr>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A93BF">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43335">
    <w:pPr>
      <w:pStyle w:val="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8659862"/>
      <w:docPartObj>
        <w:docPartGallery w:val="autotext"/>
      </w:docPartObj>
    </w:sdtPr>
    <w:sdtEndPr>
      <w:rPr>
        <w:sz w:val="28"/>
        <w:szCs w:val="28"/>
      </w:rPr>
    </w:sdtEndPr>
    <w:sdtContent>
      <w:p w14:paraId="64A451B6">
        <w:pPr>
          <w:pStyle w:val="8"/>
          <w:ind w:firstLine="360"/>
          <w:jc w:val="center"/>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ru-RU"/>
          </w:rPr>
          <w:t>2</w:t>
        </w:r>
        <w:r>
          <w:rPr>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D02BF">
    <w:pPr>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5E82E">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9C8D3">
    <w:pPr>
      <w:pStyle w:val="9"/>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0"/>
  <w:drawingGridHorizontalSpacing w:val="120"/>
  <w:drawingGridVerticalSpacing w:val="163"/>
  <w:displayHorizontalDrawingGridEvery w:val="2"/>
  <w:displayVerticalDrawingGridEvery w:val="2"/>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B77"/>
    <w:rsid w:val="00000B59"/>
    <w:rsid w:val="00000E78"/>
    <w:rsid w:val="00001520"/>
    <w:rsid w:val="0000347F"/>
    <w:rsid w:val="0000431D"/>
    <w:rsid w:val="00005153"/>
    <w:rsid w:val="00005B77"/>
    <w:rsid w:val="000061EA"/>
    <w:rsid w:val="0000647A"/>
    <w:rsid w:val="00006984"/>
    <w:rsid w:val="0000799A"/>
    <w:rsid w:val="00007BE0"/>
    <w:rsid w:val="00011DF7"/>
    <w:rsid w:val="00011EEB"/>
    <w:rsid w:val="0001224F"/>
    <w:rsid w:val="00012521"/>
    <w:rsid w:val="00012ED2"/>
    <w:rsid w:val="00012F94"/>
    <w:rsid w:val="000138CE"/>
    <w:rsid w:val="000150B6"/>
    <w:rsid w:val="000156C0"/>
    <w:rsid w:val="00015944"/>
    <w:rsid w:val="00015E7B"/>
    <w:rsid w:val="00016E63"/>
    <w:rsid w:val="00017182"/>
    <w:rsid w:val="000177B5"/>
    <w:rsid w:val="00017DE6"/>
    <w:rsid w:val="00017F61"/>
    <w:rsid w:val="00017FBF"/>
    <w:rsid w:val="00020AB9"/>
    <w:rsid w:val="00020BC4"/>
    <w:rsid w:val="00021121"/>
    <w:rsid w:val="0002219A"/>
    <w:rsid w:val="00022546"/>
    <w:rsid w:val="00022882"/>
    <w:rsid w:val="00022E3C"/>
    <w:rsid w:val="00023F14"/>
    <w:rsid w:val="00024A47"/>
    <w:rsid w:val="00024FC7"/>
    <w:rsid w:val="000259A5"/>
    <w:rsid w:val="00025D8D"/>
    <w:rsid w:val="00026315"/>
    <w:rsid w:val="000275D3"/>
    <w:rsid w:val="000308FA"/>
    <w:rsid w:val="00030C02"/>
    <w:rsid w:val="00031041"/>
    <w:rsid w:val="000323D6"/>
    <w:rsid w:val="0003264E"/>
    <w:rsid w:val="00032757"/>
    <w:rsid w:val="00032E5E"/>
    <w:rsid w:val="00035512"/>
    <w:rsid w:val="000358BA"/>
    <w:rsid w:val="00036258"/>
    <w:rsid w:val="000370E9"/>
    <w:rsid w:val="00037178"/>
    <w:rsid w:val="000414D1"/>
    <w:rsid w:val="00041810"/>
    <w:rsid w:val="00041C9B"/>
    <w:rsid w:val="0004298B"/>
    <w:rsid w:val="0004366F"/>
    <w:rsid w:val="00043883"/>
    <w:rsid w:val="00043B3C"/>
    <w:rsid w:val="00044239"/>
    <w:rsid w:val="000446C0"/>
    <w:rsid w:val="00044894"/>
    <w:rsid w:val="00045044"/>
    <w:rsid w:val="000458B4"/>
    <w:rsid w:val="000459AD"/>
    <w:rsid w:val="00046DD2"/>
    <w:rsid w:val="000472CB"/>
    <w:rsid w:val="00047663"/>
    <w:rsid w:val="00047ED3"/>
    <w:rsid w:val="000511F6"/>
    <w:rsid w:val="00052607"/>
    <w:rsid w:val="00053814"/>
    <w:rsid w:val="0005481E"/>
    <w:rsid w:val="00055A16"/>
    <w:rsid w:val="00055E60"/>
    <w:rsid w:val="00056B35"/>
    <w:rsid w:val="000575BB"/>
    <w:rsid w:val="000602E7"/>
    <w:rsid w:val="00061CBA"/>
    <w:rsid w:val="00061CE0"/>
    <w:rsid w:val="0006228C"/>
    <w:rsid w:val="00062310"/>
    <w:rsid w:val="00062810"/>
    <w:rsid w:val="00063055"/>
    <w:rsid w:val="00063481"/>
    <w:rsid w:val="000646BA"/>
    <w:rsid w:val="000649B1"/>
    <w:rsid w:val="0006543E"/>
    <w:rsid w:val="00065DCE"/>
    <w:rsid w:val="00065EFE"/>
    <w:rsid w:val="000669DD"/>
    <w:rsid w:val="00066AE4"/>
    <w:rsid w:val="00067B56"/>
    <w:rsid w:val="00067D4D"/>
    <w:rsid w:val="0007024C"/>
    <w:rsid w:val="000705C7"/>
    <w:rsid w:val="00070842"/>
    <w:rsid w:val="0007291A"/>
    <w:rsid w:val="00073C07"/>
    <w:rsid w:val="000745A4"/>
    <w:rsid w:val="00074AED"/>
    <w:rsid w:val="00075685"/>
    <w:rsid w:val="00075AB3"/>
    <w:rsid w:val="00076516"/>
    <w:rsid w:val="00076649"/>
    <w:rsid w:val="00077A3F"/>
    <w:rsid w:val="00077E8A"/>
    <w:rsid w:val="000805AA"/>
    <w:rsid w:val="00080B56"/>
    <w:rsid w:val="000818DA"/>
    <w:rsid w:val="00081CAF"/>
    <w:rsid w:val="00081E79"/>
    <w:rsid w:val="0008218F"/>
    <w:rsid w:val="00083949"/>
    <w:rsid w:val="00084547"/>
    <w:rsid w:val="0008494C"/>
    <w:rsid w:val="00084A44"/>
    <w:rsid w:val="00085315"/>
    <w:rsid w:val="00085682"/>
    <w:rsid w:val="00087403"/>
    <w:rsid w:val="000874B4"/>
    <w:rsid w:val="00092843"/>
    <w:rsid w:val="00092EFE"/>
    <w:rsid w:val="00093860"/>
    <w:rsid w:val="00094107"/>
    <w:rsid w:val="0009510B"/>
    <w:rsid w:val="0009561D"/>
    <w:rsid w:val="000968B7"/>
    <w:rsid w:val="000976EC"/>
    <w:rsid w:val="000A00F0"/>
    <w:rsid w:val="000A18CD"/>
    <w:rsid w:val="000A1E62"/>
    <w:rsid w:val="000A2A27"/>
    <w:rsid w:val="000A37B4"/>
    <w:rsid w:val="000A4325"/>
    <w:rsid w:val="000A4D49"/>
    <w:rsid w:val="000A6B23"/>
    <w:rsid w:val="000B15C6"/>
    <w:rsid w:val="000B1AC8"/>
    <w:rsid w:val="000B1F71"/>
    <w:rsid w:val="000B231B"/>
    <w:rsid w:val="000B2C39"/>
    <w:rsid w:val="000B302D"/>
    <w:rsid w:val="000B32A4"/>
    <w:rsid w:val="000B47C6"/>
    <w:rsid w:val="000B4B3F"/>
    <w:rsid w:val="000B5498"/>
    <w:rsid w:val="000B54E2"/>
    <w:rsid w:val="000B5E6F"/>
    <w:rsid w:val="000B63B3"/>
    <w:rsid w:val="000B77F3"/>
    <w:rsid w:val="000C10E4"/>
    <w:rsid w:val="000C171C"/>
    <w:rsid w:val="000C1D4C"/>
    <w:rsid w:val="000C2F44"/>
    <w:rsid w:val="000C69BD"/>
    <w:rsid w:val="000C74DC"/>
    <w:rsid w:val="000D01E1"/>
    <w:rsid w:val="000D09CB"/>
    <w:rsid w:val="000D248E"/>
    <w:rsid w:val="000D337E"/>
    <w:rsid w:val="000D496C"/>
    <w:rsid w:val="000D4D5F"/>
    <w:rsid w:val="000D53FA"/>
    <w:rsid w:val="000D65D9"/>
    <w:rsid w:val="000D74CE"/>
    <w:rsid w:val="000D7905"/>
    <w:rsid w:val="000E038A"/>
    <w:rsid w:val="000E0635"/>
    <w:rsid w:val="000E0A27"/>
    <w:rsid w:val="000E0E9E"/>
    <w:rsid w:val="000E14F3"/>
    <w:rsid w:val="000E1959"/>
    <w:rsid w:val="000E3A39"/>
    <w:rsid w:val="000E5085"/>
    <w:rsid w:val="000E522D"/>
    <w:rsid w:val="000E5F80"/>
    <w:rsid w:val="000E64EC"/>
    <w:rsid w:val="000E6B29"/>
    <w:rsid w:val="000E6C0D"/>
    <w:rsid w:val="000E72D8"/>
    <w:rsid w:val="000E7E64"/>
    <w:rsid w:val="000F0A2C"/>
    <w:rsid w:val="000F1BF4"/>
    <w:rsid w:val="000F1FBD"/>
    <w:rsid w:val="000F2F49"/>
    <w:rsid w:val="000F3A23"/>
    <w:rsid w:val="000F3D92"/>
    <w:rsid w:val="000F4364"/>
    <w:rsid w:val="000F43DC"/>
    <w:rsid w:val="000F6441"/>
    <w:rsid w:val="001008BB"/>
    <w:rsid w:val="00100E80"/>
    <w:rsid w:val="00101ECE"/>
    <w:rsid w:val="00103C44"/>
    <w:rsid w:val="001049FB"/>
    <w:rsid w:val="00104BFE"/>
    <w:rsid w:val="00104DBF"/>
    <w:rsid w:val="00105912"/>
    <w:rsid w:val="00105B86"/>
    <w:rsid w:val="00105C51"/>
    <w:rsid w:val="00105EFC"/>
    <w:rsid w:val="00106728"/>
    <w:rsid w:val="00106D94"/>
    <w:rsid w:val="00107028"/>
    <w:rsid w:val="001075CB"/>
    <w:rsid w:val="001078B2"/>
    <w:rsid w:val="00107910"/>
    <w:rsid w:val="001100A0"/>
    <w:rsid w:val="00112E33"/>
    <w:rsid w:val="00113770"/>
    <w:rsid w:val="00114060"/>
    <w:rsid w:val="0011483D"/>
    <w:rsid w:val="00114EA6"/>
    <w:rsid w:val="001151D4"/>
    <w:rsid w:val="00115EA2"/>
    <w:rsid w:val="0011608D"/>
    <w:rsid w:val="00116B96"/>
    <w:rsid w:val="00117887"/>
    <w:rsid w:val="00117C88"/>
    <w:rsid w:val="00122214"/>
    <w:rsid w:val="00122ED3"/>
    <w:rsid w:val="001234C3"/>
    <w:rsid w:val="00123ABD"/>
    <w:rsid w:val="00124654"/>
    <w:rsid w:val="001259AC"/>
    <w:rsid w:val="00127271"/>
    <w:rsid w:val="00127549"/>
    <w:rsid w:val="00127E79"/>
    <w:rsid w:val="00127E88"/>
    <w:rsid w:val="001305BA"/>
    <w:rsid w:val="001307B6"/>
    <w:rsid w:val="00131D85"/>
    <w:rsid w:val="00132776"/>
    <w:rsid w:val="00133C25"/>
    <w:rsid w:val="00134102"/>
    <w:rsid w:val="00134452"/>
    <w:rsid w:val="00134A01"/>
    <w:rsid w:val="00134D21"/>
    <w:rsid w:val="00134D47"/>
    <w:rsid w:val="00135892"/>
    <w:rsid w:val="00135A7C"/>
    <w:rsid w:val="001367BF"/>
    <w:rsid w:val="0013720A"/>
    <w:rsid w:val="00137793"/>
    <w:rsid w:val="00137B6C"/>
    <w:rsid w:val="00137DDB"/>
    <w:rsid w:val="001402FC"/>
    <w:rsid w:val="00140726"/>
    <w:rsid w:val="00142B7B"/>
    <w:rsid w:val="00143406"/>
    <w:rsid w:val="00143425"/>
    <w:rsid w:val="00143FF9"/>
    <w:rsid w:val="00144777"/>
    <w:rsid w:val="00144BE9"/>
    <w:rsid w:val="00144CD0"/>
    <w:rsid w:val="00144FC7"/>
    <w:rsid w:val="0014558C"/>
    <w:rsid w:val="001465C4"/>
    <w:rsid w:val="00146D7D"/>
    <w:rsid w:val="001477A3"/>
    <w:rsid w:val="001479F6"/>
    <w:rsid w:val="00150FA0"/>
    <w:rsid w:val="00151EA1"/>
    <w:rsid w:val="001522D3"/>
    <w:rsid w:val="00152CC1"/>
    <w:rsid w:val="00153A40"/>
    <w:rsid w:val="001542F3"/>
    <w:rsid w:val="00154594"/>
    <w:rsid w:val="00155233"/>
    <w:rsid w:val="0015734E"/>
    <w:rsid w:val="00157951"/>
    <w:rsid w:val="00157B97"/>
    <w:rsid w:val="001602E0"/>
    <w:rsid w:val="001604AD"/>
    <w:rsid w:val="001604E3"/>
    <w:rsid w:val="00160780"/>
    <w:rsid w:val="00160DD1"/>
    <w:rsid w:val="00160F15"/>
    <w:rsid w:val="001616B8"/>
    <w:rsid w:val="00162122"/>
    <w:rsid w:val="00162938"/>
    <w:rsid w:val="001629DF"/>
    <w:rsid w:val="00162CE1"/>
    <w:rsid w:val="00162E8A"/>
    <w:rsid w:val="00162FA2"/>
    <w:rsid w:val="00163B23"/>
    <w:rsid w:val="001644A4"/>
    <w:rsid w:val="00164806"/>
    <w:rsid w:val="0016491E"/>
    <w:rsid w:val="00164C4E"/>
    <w:rsid w:val="00164D9A"/>
    <w:rsid w:val="00164DD0"/>
    <w:rsid w:val="001652D4"/>
    <w:rsid w:val="001669CE"/>
    <w:rsid w:val="00167488"/>
    <w:rsid w:val="0016791B"/>
    <w:rsid w:val="001703D8"/>
    <w:rsid w:val="001715A0"/>
    <w:rsid w:val="0017180E"/>
    <w:rsid w:val="00173B54"/>
    <w:rsid w:val="00173CAC"/>
    <w:rsid w:val="00174580"/>
    <w:rsid w:val="00174D5D"/>
    <w:rsid w:val="001750C4"/>
    <w:rsid w:val="001755D8"/>
    <w:rsid w:val="00176176"/>
    <w:rsid w:val="00176218"/>
    <w:rsid w:val="00176AFB"/>
    <w:rsid w:val="00176C86"/>
    <w:rsid w:val="00177043"/>
    <w:rsid w:val="00180147"/>
    <w:rsid w:val="00180ADA"/>
    <w:rsid w:val="0018274B"/>
    <w:rsid w:val="00182AE0"/>
    <w:rsid w:val="00183024"/>
    <w:rsid w:val="0018380F"/>
    <w:rsid w:val="0018413E"/>
    <w:rsid w:val="00184AFA"/>
    <w:rsid w:val="00185653"/>
    <w:rsid w:val="0018566B"/>
    <w:rsid w:val="0018584B"/>
    <w:rsid w:val="00186191"/>
    <w:rsid w:val="001867C7"/>
    <w:rsid w:val="001873A7"/>
    <w:rsid w:val="00187D74"/>
    <w:rsid w:val="001901A5"/>
    <w:rsid w:val="0019061E"/>
    <w:rsid w:val="0019129D"/>
    <w:rsid w:val="001912D9"/>
    <w:rsid w:val="001918B7"/>
    <w:rsid w:val="00192B01"/>
    <w:rsid w:val="0019347B"/>
    <w:rsid w:val="00194A0E"/>
    <w:rsid w:val="00194C1F"/>
    <w:rsid w:val="0019575D"/>
    <w:rsid w:val="00195CBA"/>
    <w:rsid w:val="0019607A"/>
    <w:rsid w:val="0019755E"/>
    <w:rsid w:val="00197B00"/>
    <w:rsid w:val="001A116C"/>
    <w:rsid w:val="001A11A0"/>
    <w:rsid w:val="001A1B0B"/>
    <w:rsid w:val="001A206D"/>
    <w:rsid w:val="001A2420"/>
    <w:rsid w:val="001A32BA"/>
    <w:rsid w:val="001A4175"/>
    <w:rsid w:val="001A4EEA"/>
    <w:rsid w:val="001A528E"/>
    <w:rsid w:val="001A52CB"/>
    <w:rsid w:val="001A551E"/>
    <w:rsid w:val="001A5DA9"/>
    <w:rsid w:val="001A6885"/>
    <w:rsid w:val="001A6A0B"/>
    <w:rsid w:val="001B0AC3"/>
    <w:rsid w:val="001B0CA7"/>
    <w:rsid w:val="001B0E9A"/>
    <w:rsid w:val="001B13A1"/>
    <w:rsid w:val="001B16FB"/>
    <w:rsid w:val="001B1959"/>
    <w:rsid w:val="001B2327"/>
    <w:rsid w:val="001B240F"/>
    <w:rsid w:val="001B27D9"/>
    <w:rsid w:val="001B38EB"/>
    <w:rsid w:val="001B422D"/>
    <w:rsid w:val="001B53AA"/>
    <w:rsid w:val="001B5F73"/>
    <w:rsid w:val="001B6BA1"/>
    <w:rsid w:val="001B6F3D"/>
    <w:rsid w:val="001C07CB"/>
    <w:rsid w:val="001C1116"/>
    <w:rsid w:val="001C1195"/>
    <w:rsid w:val="001C1274"/>
    <w:rsid w:val="001C1497"/>
    <w:rsid w:val="001C1EBC"/>
    <w:rsid w:val="001C276F"/>
    <w:rsid w:val="001C2DA8"/>
    <w:rsid w:val="001C3406"/>
    <w:rsid w:val="001C3CFB"/>
    <w:rsid w:val="001C4CBF"/>
    <w:rsid w:val="001C69D8"/>
    <w:rsid w:val="001C6A4A"/>
    <w:rsid w:val="001C6F3F"/>
    <w:rsid w:val="001C70D7"/>
    <w:rsid w:val="001D09B1"/>
    <w:rsid w:val="001D0CA0"/>
    <w:rsid w:val="001D13DC"/>
    <w:rsid w:val="001D16A3"/>
    <w:rsid w:val="001D247A"/>
    <w:rsid w:val="001D280C"/>
    <w:rsid w:val="001D324E"/>
    <w:rsid w:val="001D356D"/>
    <w:rsid w:val="001D461E"/>
    <w:rsid w:val="001D4B25"/>
    <w:rsid w:val="001D5163"/>
    <w:rsid w:val="001D69F9"/>
    <w:rsid w:val="001D7042"/>
    <w:rsid w:val="001D70E3"/>
    <w:rsid w:val="001D7169"/>
    <w:rsid w:val="001D74C6"/>
    <w:rsid w:val="001D7A55"/>
    <w:rsid w:val="001D7F98"/>
    <w:rsid w:val="001E1777"/>
    <w:rsid w:val="001E363D"/>
    <w:rsid w:val="001E3C3C"/>
    <w:rsid w:val="001E45D9"/>
    <w:rsid w:val="001E4F0F"/>
    <w:rsid w:val="001E6E3E"/>
    <w:rsid w:val="001F08CA"/>
    <w:rsid w:val="001F0AA8"/>
    <w:rsid w:val="001F0B1A"/>
    <w:rsid w:val="001F0D94"/>
    <w:rsid w:val="001F2240"/>
    <w:rsid w:val="001F255D"/>
    <w:rsid w:val="001F2C4F"/>
    <w:rsid w:val="001F381C"/>
    <w:rsid w:val="001F3D4F"/>
    <w:rsid w:val="001F4112"/>
    <w:rsid w:val="001F4183"/>
    <w:rsid w:val="001F45EA"/>
    <w:rsid w:val="001F4CE8"/>
    <w:rsid w:val="001F539D"/>
    <w:rsid w:val="001F6605"/>
    <w:rsid w:val="001F6680"/>
    <w:rsid w:val="001F6D76"/>
    <w:rsid w:val="001F744C"/>
    <w:rsid w:val="002009C2"/>
    <w:rsid w:val="00200F3B"/>
    <w:rsid w:val="00200F99"/>
    <w:rsid w:val="00201CE3"/>
    <w:rsid w:val="002021DA"/>
    <w:rsid w:val="00203034"/>
    <w:rsid w:val="0020339C"/>
    <w:rsid w:val="002041CD"/>
    <w:rsid w:val="00204A6F"/>
    <w:rsid w:val="00206136"/>
    <w:rsid w:val="0020660F"/>
    <w:rsid w:val="00206E50"/>
    <w:rsid w:val="0021000D"/>
    <w:rsid w:val="00212032"/>
    <w:rsid w:val="002126CA"/>
    <w:rsid w:val="00213A4C"/>
    <w:rsid w:val="00214026"/>
    <w:rsid w:val="00214091"/>
    <w:rsid w:val="00214B7E"/>
    <w:rsid w:val="00214E27"/>
    <w:rsid w:val="0021602E"/>
    <w:rsid w:val="00216062"/>
    <w:rsid w:val="00216C4B"/>
    <w:rsid w:val="00216CD7"/>
    <w:rsid w:val="00216F2D"/>
    <w:rsid w:val="00217A77"/>
    <w:rsid w:val="00220275"/>
    <w:rsid w:val="00220E33"/>
    <w:rsid w:val="00221441"/>
    <w:rsid w:val="002214DA"/>
    <w:rsid w:val="0022177D"/>
    <w:rsid w:val="00222563"/>
    <w:rsid w:val="00223100"/>
    <w:rsid w:val="00223EC0"/>
    <w:rsid w:val="002249D4"/>
    <w:rsid w:val="00224B19"/>
    <w:rsid w:val="00224FF7"/>
    <w:rsid w:val="00225524"/>
    <w:rsid w:val="00225B71"/>
    <w:rsid w:val="00225FB3"/>
    <w:rsid w:val="00226B60"/>
    <w:rsid w:val="00227C1F"/>
    <w:rsid w:val="00227D13"/>
    <w:rsid w:val="00230978"/>
    <w:rsid w:val="002323D6"/>
    <w:rsid w:val="00232D7E"/>
    <w:rsid w:val="002337B1"/>
    <w:rsid w:val="002343A4"/>
    <w:rsid w:val="00234526"/>
    <w:rsid w:val="00234734"/>
    <w:rsid w:val="0023491A"/>
    <w:rsid w:val="002368DE"/>
    <w:rsid w:val="00237C2C"/>
    <w:rsid w:val="00240CDC"/>
    <w:rsid w:val="00240E3D"/>
    <w:rsid w:val="00240E7A"/>
    <w:rsid w:val="00241A7A"/>
    <w:rsid w:val="00241F0D"/>
    <w:rsid w:val="002445D5"/>
    <w:rsid w:val="00244871"/>
    <w:rsid w:val="002470CC"/>
    <w:rsid w:val="00247CBD"/>
    <w:rsid w:val="0025059D"/>
    <w:rsid w:val="00250602"/>
    <w:rsid w:val="002521F4"/>
    <w:rsid w:val="002526D5"/>
    <w:rsid w:val="002529B6"/>
    <w:rsid w:val="00252CBE"/>
    <w:rsid w:val="00253B1F"/>
    <w:rsid w:val="002543CA"/>
    <w:rsid w:val="002543D4"/>
    <w:rsid w:val="002550E3"/>
    <w:rsid w:val="00255624"/>
    <w:rsid w:val="00255EB5"/>
    <w:rsid w:val="00257CE2"/>
    <w:rsid w:val="00257D39"/>
    <w:rsid w:val="00257D3C"/>
    <w:rsid w:val="00260F80"/>
    <w:rsid w:val="0026205B"/>
    <w:rsid w:val="0026291E"/>
    <w:rsid w:val="00262B2C"/>
    <w:rsid w:val="00262D33"/>
    <w:rsid w:val="00262DD0"/>
    <w:rsid w:val="00263DFF"/>
    <w:rsid w:val="0026589C"/>
    <w:rsid w:val="002659D1"/>
    <w:rsid w:val="00266B35"/>
    <w:rsid w:val="0027051E"/>
    <w:rsid w:val="002706E3"/>
    <w:rsid w:val="00272D1B"/>
    <w:rsid w:val="00273BBC"/>
    <w:rsid w:val="00274350"/>
    <w:rsid w:val="0027477E"/>
    <w:rsid w:val="00275611"/>
    <w:rsid w:val="00275FFA"/>
    <w:rsid w:val="00277074"/>
    <w:rsid w:val="00277821"/>
    <w:rsid w:val="00280128"/>
    <w:rsid w:val="002802D3"/>
    <w:rsid w:val="00280E47"/>
    <w:rsid w:val="00280F4B"/>
    <w:rsid w:val="00280F7D"/>
    <w:rsid w:val="00281592"/>
    <w:rsid w:val="002820BB"/>
    <w:rsid w:val="00282D3B"/>
    <w:rsid w:val="002832DA"/>
    <w:rsid w:val="00283595"/>
    <w:rsid w:val="0028398D"/>
    <w:rsid w:val="002840E4"/>
    <w:rsid w:val="0028420C"/>
    <w:rsid w:val="0028483E"/>
    <w:rsid w:val="00286071"/>
    <w:rsid w:val="00286825"/>
    <w:rsid w:val="0028759E"/>
    <w:rsid w:val="00291D3E"/>
    <w:rsid w:val="00292FAD"/>
    <w:rsid w:val="0029333F"/>
    <w:rsid w:val="0029336A"/>
    <w:rsid w:val="00293D98"/>
    <w:rsid w:val="00295440"/>
    <w:rsid w:val="00295AB8"/>
    <w:rsid w:val="00296832"/>
    <w:rsid w:val="0029690F"/>
    <w:rsid w:val="00296938"/>
    <w:rsid w:val="002970AD"/>
    <w:rsid w:val="002A02F5"/>
    <w:rsid w:val="002A082C"/>
    <w:rsid w:val="002A18E6"/>
    <w:rsid w:val="002A1D5D"/>
    <w:rsid w:val="002A1EDA"/>
    <w:rsid w:val="002A2392"/>
    <w:rsid w:val="002A2B64"/>
    <w:rsid w:val="002A2B91"/>
    <w:rsid w:val="002A2BAF"/>
    <w:rsid w:val="002A35CF"/>
    <w:rsid w:val="002A3D87"/>
    <w:rsid w:val="002A4241"/>
    <w:rsid w:val="002A4368"/>
    <w:rsid w:val="002A47F2"/>
    <w:rsid w:val="002A51B1"/>
    <w:rsid w:val="002A5238"/>
    <w:rsid w:val="002A5A7A"/>
    <w:rsid w:val="002A5DF9"/>
    <w:rsid w:val="002A67E7"/>
    <w:rsid w:val="002B02C4"/>
    <w:rsid w:val="002B0463"/>
    <w:rsid w:val="002B0AA2"/>
    <w:rsid w:val="002B0DB4"/>
    <w:rsid w:val="002B12A2"/>
    <w:rsid w:val="002B14A4"/>
    <w:rsid w:val="002B1DAC"/>
    <w:rsid w:val="002B2235"/>
    <w:rsid w:val="002B27E0"/>
    <w:rsid w:val="002B2C46"/>
    <w:rsid w:val="002B3D98"/>
    <w:rsid w:val="002B40B2"/>
    <w:rsid w:val="002B40FB"/>
    <w:rsid w:val="002B5D9D"/>
    <w:rsid w:val="002B6156"/>
    <w:rsid w:val="002B6A52"/>
    <w:rsid w:val="002B7A96"/>
    <w:rsid w:val="002B7E6E"/>
    <w:rsid w:val="002C054F"/>
    <w:rsid w:val="002C1C3A"/>
    <w:rsid w:val="002C1E59"/>
    <w:rsid w:val="002C24E4"/>
    <w:rsid w:val="002C2A1C"/>
    <w:rsid w:val="002C2BF4"/>
    <w:rsid w:val="002C35D0"/>
    <w:rsid w:val="002C3C08"/>
    <w:rsid w:val="002C445B"/>
    <w:rsid w:val="002C4984"/>
    <w:rsid w:val="002C57BD"/>
    <w:rsid w:val="002C650F"/>
    <w:rsid w:val="002C672A"/>
    <w:rsid w:val="002C6EF6"/>
    <w:rsid w:val="002C6F99"/>
    <w:rsid w:val="002C6FB9"/>
    <w:rsid w:val="002C7366"/>
    <w:rsid w:val="002C7F47"/>
    <w:rsid w:val="002D0499"/>
    <w:rsid w:val="002D0619"/>
    <w:rsid w:val="002D073C"/>
    <w:rsid w:val="002D0C4D"/>
    <w:rsid w:val="002D142E"/>
    <w:rsid w:val="002D62FF"/>
    <w:rsid w:val="002D658A"/>
    <w:rsid w:val="002D6B80"/>
    <w:rsid w:val="002D6EDE"/>
    <w:rsid w:val="002E0668"/>
    <w:rsid w:val="002E0BB1"/>
    <w:rsid w:val="002E190B"/>
    <w:rsid w:val="002E1DEA"/>
    <w:rsid w:val="002E202D"/>
    <w:rsid w:val="002E2B97"/>
    <w:rsid w:val="002E2C63"/>
    <w:rsid w:val="002E319F"/>
    <w:rsid w:val="002E41FA"/>
    <w:rsid w:val="002E4A0F"/>
    <w:rsid w:val="002E53D4"/>
    <w:rsid w:val="002E5494"/>
    <w:rsid w:val="002E55B8"/>
    <w:rsid w:val="002E5633"/>
    <w:rsid w:val="002E5DE8"/>
    <w:rsid w:val="002E7026"/>
    <w:rsid w:val="002E7404"/>
    <w:rsid w:val="002E789E"/>
    <w:rsid w:val="002F0462"/>
    <w:rsid w:val="002F0C9B"/>
    <w:rsid w:val="002F208F"/>
    <w:rsid w:val="002F3DC5"/>
    <w:rsid w:val="002F4822"/>
    <w:rsid w:val="002F54D4"/>
    <w:rsid w:val="002F57E3"/>
    <w:rsid w:val="002F5A50"/>
    <w:rsid w:val="002F5CE7"/>
    <w:rsid w:val="002F6601"/>
    <w:rsid w:val="002F66D6"/>
    <w:rsid w:val="002F7108"/>
    <w:rsid w:val="002F72BF"/>
    <w:rsid w:val="003009CE"/>
    <w:rsid w:val="00300B2B"/>
    <w:rsid w:val="003022B6"/>
    <w:rsid w:val="0030315B"/>
    <w:rsid w:val="0030346E"/>
    <w:rsid w:val="003037FC"/>
    <w:rsid w:val="00303D36"/>
    <w:rsid w:val="00304231"/>
    <w:rsid w:val="0030568F"/>
    <w:rsid w:val="0030619E"/>
    <w:rsid w:val="00306574"/>
    <w:rsid w:val="00306995"/>
    <w:rsid w:val="00307563"/>
    <w:rsid w:val="003077C5"/>
    <w:rsid w:val="003105CF"/>
    <w:rsid w:val="0031065F"/>
    <w:rsid w:val="003107BA"/>
    <w:rsid w:val="00311D37"/>
    <w:rsid w:val="003126B9"/>
    <w:rsid w:val="00312BB3"/>
    <w:rsid w:val="00312BF8"/>
    <w:rsid w:val="00312E82"/>
    <w:rsid w:val="00313241"/>
    <w:rsid w:val="0031331D"/>
    <w:rsid w:val="00313AD1"/>
    <w:rsid w:val="003143CC"/>
    <w:rsid w:val="00315291"/>
    <w:rsid w:val="00316A7E"/>
    <w:rsid w:val="0031764C"/>
    <w:rsid w:val="003216CB"/>
    <w:rsid w:val="00322313"/>
    <w:rsid w:val="00323A64"/>
    <w:rsid w:val="00324131"/>
    <w:rsid w:val="00324FAF"/>
    <w:rsid w:val="00324FC4"/>
    <w:rsid w:val="003250CC"/>
    <w:rsid w:val="003251B2"/>
    <w:rsid w:val="00325780"/>
    <w:rsid w:val="00325B17"/>
    <w:rsid w:val="003266BA"/>
    <w:rsid w:val="00326D4E"/>
    <w:rsid w:val="00327111"/>
    <w:rsid w:val="00327CAD"/>
    <w:rsid w:val="0033017F"/>
    <w:rsid w:val="0033039F"/>
    <w:rsid w:val="0033080C"/>
    <w:rsid w:val="00332058"/>
    <w:rsid w:val="00333A6E"/>
    <w:rsid w:val="00333AE3"/>
    <w:rsid w:val="00333ED5"/>
    <w:rsid w:val="003341E0"/>
    <w:rsid w:val="00334314"/>
    <w:rsid w:val="0033457D"/>
    <w:rsid w:val="003347D5"/>
    <w:rsid w:val="00335081"/>
    <w:rsid w:val="003350F6"/>
    <w:rsid w:val="003353AB"/>
    <w:rsid w:val="00335559"/>
    <w:rsid w:val="00336518"/>
    <w:rsid w:val="003406FB"/>
    <w:rsid w:val="00341C81"/>
    <w:rsid w:val="00342263"/>
    <w:rsid w:val="003423BB"/>
    <w:rsid w:val="003432D0"/>
    <w:rsid w:val="003434BF"/>
    <w:rsid w:val="003444B2"/>
    <w:rsid w:val="003444ED"/>
    <w:rsid w:val="003457B0"/>
    <w:rsid w:val="00345D38"/>
    <w:rsid w:val="003474F1"/>
    <w:rsid w:val="00347AF9"/>
    <w:rsid w:val="00347D5E"/>
    <w:rsid w:val="00350F3D"/>
    <w:rsid w:val="00352676"/>
    <w:rsid w:val="00353009"/>
    <w:rsid w:val="00353441"/>
    <w:rsid w:val="0035420F"/>
    <w:rsid w:val="0035474F"/>
    <w:rsid w:val="00354E26"/>
    <w:rsid w:val="00354F5F"/>
    <w:rsid w:val="00355BFC"/>
    <w:rsid w:val="003562CE"/>
    <w:rsid w:val="00356AB4"/>
    <w:rsid w:val="00360543"/>
    <w:rsid w:val="003613A5"/>
    <w:rsid w:val="003613BF"/>
    <w:rsid w:val="003619E2"/>
    <w:rsid w:val="00361EB5"/>
    <w:rsid w:val="0036219D"/>
    <w:rsid w:val="00362261"/>
    <w:rsid w:val="0036395A"/>
    <w:rsid w:val="003639EC"/>
    <w:rsid w:val="00364FE0"/>
    <w:rsid w:val="003656B0"/>
    <w:rsid w:val="00365831"/>
    <w:rsid w:val="00365F82"/>
    <w:rsid w:val="0036686C"/>
    <w:rsid w:val="00366BF2"/>
    <w:rsid w:val="0036746B"/>
    <w:rsid w:val="003677E9"/>
    <w:rsid w:val="00367A73"/>
    <w:rsid w:val="00370191"/>
    <w:rsid w:val="00370E2F"/>
    <w:rsid w:val="00371888"/>
    <w:rsid w:val="00371A1B"/>
    <w:rsid w:val="00371FDA"/>
    <w:rsid w:val="003727D3"/>
    <w:rsid w:val="00373218"/>
    <w:rsid w:val="00373571"/>
    <w:rsid w:val="00373B12"/>
    <w:rsid w:val="00375A46"/>
    <w:rsid w:val="00376271"/>
    <w:rsid w:val="003766C6"/>
    <w:rsid w:val="00377132"/>
    <w:rsid w:val="00380ADB"/>
    <w:rsid w:val="00380CA1"/>
    <w:rsid w:val="0038313B"/>
    <w:rsid w:val="003835FB"/>
    <w:rsid w:val="0038699B"/>
    <w:rsid w:val="00386A84"/>
    <w:rsid w:val="003872BB"/>
    <w:rsid w:val="00387EE0"/>
    <w:rsid w:val="00390423"/>
    <w:rsid w:val="00390AD0"/>
    <w:rsid w:val="00391085"/>
    <w:rsid w:val="00391B89"/>
    <w:rsid w:val="00391C48"/>
    <w:rsid w:val="00391E75"/>
    <w:rsid w:val="00392DBE"/>
    <w:rsid w:val="003930CA"/>
    <w:rsid w:val="00393601"/>
    <w:rsid w:val="00393BBC"/>
    <w:rsid w:val="00394670"/>
    <w:rsid w:val="00394F2A"/>
    <w:rsid w:val="0039582C"/>
    <w:rsid w:val="00395C5C"/>
    <w:rsid w:val="00395FBF"/>
    <w:rsid w:val="00396006"/>
    <w:rsid w:val="003964B6"/>
    <w:rsid w:val="00396D23"/>
    <w:rsid w:val="00397052"/>
    <w:rsid w:val="003A175D"/>
    <w:rsid w:val="003A26E2"/>
    <w:rsid w:val="003A2E4E"/>
    <w:rsid w:val="003A4027"/>
    <w:rsid w:val="003A4AA9"/>
    <w:rsid w:val="003A4B11"/>
    <w:rsid w:val="003A4DA3"/>
    <w:rsid w:val="003A66E9"/>
    <w:rsid w:val="003A6780"/>
    <w:rsid w:val="003A7220"/>
    <w:rsid w:val="003B01E8"/>
    <w:rsid w:val="003B0EF6"/>
    <w:rsid w:val="003B1C12"/>
    <w:rsid w:val="003B202D"/>
    <w:rsid w:val="003B2587"/>
    <w:rsid w:val="003B3F6B"/>
    <w:rsid w:val="003B3FA5"/>
    <w:rsid w:val="003B452B"/>
    <w:rsid w:val="003B471C"/>
    <w:rsid w:val="003B500D"/>
    <w:rsid w:val="003B5FB3"/>
    <w:rsid w:val="003B6827"/>
    <w:rsid w:val="003B7F2E"/>
    <w:rsid w:val="003C031F"/>
    <w:rsid w:val="003C0925"/>
    <w:rsid w:val="003C1773"/>
    <w:rsid w:val="003C18B2"/>
    <w:rsid w:val="003C1DD3"/>
    <w:rsid w:val="003C274B"/>
    <w:rsid w:val="003C2975"/>
    <w:rsid w:val="003C29F6"/>
    <w:rsid w:val="003C3B5D"/>
    <w:rsid w:val="003C40B0"/>
    <w:rsid w:val="003C5D5D"/>
    <w:rsid w:val="003C5F76"/>
    <w:rsid w:val="003C608E"/>
    <w:rsid w:val="003C69B7"/>
    <w:rsid w:val="003C7AD0"/>
    <w:rsid w:val="003D0A2D"/>
    <w:rsid w:val="003D0D0D"/>
    <w:rsid w:val="003D0F2A"/>
    <w:rsid w:val="003D1B97"/>
    <w:rsid w:val="003D2578"/>
    <w:rsid w:val="003D2CAC"/>
    <w:rsid w:val="003D325B"/>
    <w:rsid w:val="003D3B39"/>
    <w:rsid w:val="003D4158"/>
    <w:rsid w:val="003D429D"/>
    <w:rsid w:val="003D430D"/>
    <w:rsid w:val="003D44D0"/>
    <w:rsid w:val="003D457F"/>
    <w:rsid w:val="003D56DE"/>
    <w:rsid w:val="003D59D7"/>
    <w:rsid w:val="003D5C46"/>
    <w:rsid w:val="003D6245"/>
    <w:rsid w:val="003D67FF"/>
    <w:rsid w:val="003D6838"/>
    <w:rsid w:val="003D7132"/>
    <w:rsid w:val="003E02B2"/>
    <w:rsid w:val="003E0681"/>
    <w:rsid w:val="003E17F9"/>
    <w:rsid w:val="003E25E4"/>
    <w:rsid w:val="003E347E"/>
    <w:rsid w:val="003E3993"/>
    <w:rsid w:val="003E3B70"/>
    <w:rsid w:val="003E5076"/>
    <w:rsid w:val="003E5319"/>
    <w:rsid w:val="003E590B"/>
    <w:rsid w:val="003E5BA5"/>
    <w:rsid w:val="003E6FF9"/>
    <w:rsid w:val="003E7A28"/>
    <w:rsid w:val="003E7B4C"/>
    <w:rsid w:val="003F041C"/>
    <w:rsid w:val="003F0AF9"/>
    <w:rsid w:val="003F0C3D"/>
    <w:rsid w:val="003F1B37"/>
    <w:rsid w:val="003F2980"/>
    <w:rsid w:val="003F3768"/>
    <w:rsid w:val="003F3BE6"/>
    <w:rsid w:val="003F3E21"/>
    <w:rsid w:val="003F40F4"/>
    <w:rsid w:val="003F4414"/>
    <w:rsid w:val="003F4CAF"/>
    <w:rsid w:val="003F6839"/>
    <w:rsid w:val="003F74B5"/>
    <w:rsid w:val="004000FA"/>
    <w:rsid w:val="004004F4"/>
    <w:rsid w:val="00400F33"/>
    <w:rsid w:val="00401F14"/>
    <w:rsid w:val="004020E1"/>
    <w:rsid w:val="004023EE"/>
    <w:rsid w:val="0040261B"/>
    <w:rsid w:val="00402E8D"/>
    <w:rsid w:val="0040378A"/>
    <w:rsid w:val="00404201"/>
    <w:rsid w:val="00404F4B"/>
    <w:rsid w:val="00405D54"/>
    <w:rsid w:val="00406E7E"/>
    <w:rsid w:val="00407168"/>
    <w:rsid w:val="004075DC"/>
    <w:rsid w:val="00410673"/>
    <w:rsid w:val="00411309"/>
    <w:rsid w:val="00413500"/>
    <w:rsid w:val="00413A8A"/>
    <w:rsid w:val="00414A5C"/>
    <w:rsid w:val="00415A20"/>
    <w:rsid w:val="00415F33"/>
    <w:rsid w:val="0041652C"/>
    <w:rsid w:val="00416684"/>
    <w:rsid w:val="004175EA"/>
    <w:rsid w:val="00417602"/>
    <w:rsid w:val="00417B2E"/>
    <w:rsid w:val="004200F6"/>
    <w:rsid w:val="00420209"/>
    <w:rsid w:val="004203C3"/>
    <w:rsid w:val="00420B8A"/>
    <w:rsid w:val="00421175"/>
    <w:rsid w:val="004220B3"/>
    <w:rsid w:val="0042217B"/>
    <w:rsid w:val="004222C3"/>
    <w:rsid w:val="00422370"/>
    <w:rsid w:val="004225A2"/>
    <w:rsid w:val="0042265C"/>
    <w:rsid w:val="0042277B"/>
    <w:rsid w:val="00422950"/>
    <w:rsid w:val="00422B33"/>
    <w:rsid w:val="00423C0B"/>
    <w:rsid w:val="00424893"/>
    <w:rsid w:val="00426A89"/>
    <w:rsid w:val="00426D35"/>
    <w:rsid w:val="004276F1"/>
    <w:rsid w:val="004307F1"/>
    <w:rsid w:val="004324B8"/>
    <w:rsid w:val="004334ED"/>
    <w:rsid w:val="004337BB"/>
    <w:rsid w:val="00433FB9"/>
    <w:rsid w:val="004344E3"/>
    <w:rsid w:val="00435277"/>
    <w:rsid w:val="00436C39"/>
    <w:rsid w:val="00436D0D"/>
    <w:rsid w:val="00436DD9"/>
    <w:rsid w:val="00436F8C"/>
    <w:rsid w:val="0043746B"/>
    <w:rsid w:val="004409C3"/>
    <w:rsid w:val="004415C4"/>
    <w:rsid w:val="004418A4"/>
    <w:rsid w:val="00441916"/>
    <w:rsid w:val="00441989"/>
    <w:rsid w:val="0044251E"/>
    <w:rsid w:val="004425B0"/>
    <w:rsid w:val="00442FE4"/>
    <w:rsid w:val="00442FEE"/>
    <w:rsid w:val="00443BCC"/>
    <w:rsid w:val="0044421B"/>
    <w:rsid w:val="00444AE7"/>
    <w:rsid w:val="004450F1"/>
    <w:rsid w:val="0044614D"/>
    <w:rsid w:val="004461C8"/>
    <w:rsid w:val="004468DA"/>
    <w:rsid w:val="00447798"/>
    <w:rsid w:val="00450DD5"/>
    <w:rsid w:val="00451697"/>
    <w:rsid w:val="00452BF4"/>
    <w:rsid w:val="00453F93"/>
    <w:rsid w:val="00454F09"/>
    <w:rsid w:val="00456D61"/>
    <w:rsid w:val="00457091"/>
    <w:rsid w:val="00460F95"/>
    <w:rsid w:val="0046132D"/>
    <w:rsid w:val="00461EE2"/>
    <w:rsid w:val="00462225"/>
    <w:rsid w:val="00462FEE"/>
    <w:rsid w:val="00463E3F"/>
    <w:rsid w:val="00464656"/>
    <w:rsid w:val="00465157"/>
    <w:rsid w:val="00465726"/>
    <w:rsid w:val="00465B23"/>
    <w:rsid w:val="0046628A"/>
    <w:rsid w:val="00470A3C"/>
    <w:rsid w:val="00471C0E"/>
    <w:rsid w:val="00473174"/>
    <w:rsid w:val="004743BF"/>
    <w:rsid w:val="00474594"/>
    <w:rsid w:val="00474C39"/>
    <w:rsid w:val="00476664"/>
    <w:rsid w:val="004766B3"/>
    <w:rsid w:val="00476AD0"/>
    <w:rsid w:val="00476BFE"/>
    <w:rsid w:val="00477082"/>
    <w:rsid w:val="00477DB3"/>
    <w:rsid w:val="00477F26"/>
    <w:rsid w:val="00480D80"/>
    <w:rsid w:val="00480ED1"/>
    <w:rsid w:val="004816BF"/>
    <w:rsid w:val="00481AD6"/>
    <w:rsid w:val="00482AAF"/>
    <w:rsid w:val="00484329"/>
    <w:rsid w:val="004844B8"/>
    <w:rsid w:val="00485A05"/>
    <w:rsid w:val="00485D63"/>
    <w:rsid w:val="00487C14"/>
    <w:rsid w:val="00490432"/>
    <w:rsid w:val="00490DCA"/>
    <w:rsid w:val="004921BB"/>
    <w:rsid w:val="004933F3"/>
    <w:rsid w:val="00494602"/>
    <w:rsid w:val="004951F8"/>
    <w:rsid w:val="004957B0"/>
    <w:rsid w:val="004966DA"/>
    <w:rsid w:val="00497172"/>
    <w:rsid w:val="004A0AE2"/>
    <w:rsid w:val="004A12AC"/>
    <w:rsid w:val="004A1C72"/>
    <w:rsid w:val="004A1F36"/>
    <w:rsid w:val="004A370E"/>
    <w:rsid w:val="004A3B9F"/>
    <w:rsid w:val="004A42BA"/>
    <w:rsid w:val="004A5023"/>
    <w:rsid w:val="004A624F"/>
    <w:rsid w:val="004A6BB0"/>
    <w:rsid w:val="004A6FCB"/>
    <w:rsid w:val="004A7210"/>
    <w:rsid w:val="004A7617"/>
    <w:rsid w:val="004A7F6E"/>
    <w:rsid w:val="004B28AB"/>
    <w:rsid w:val="004B3593"/>
    <w:rsid w:val="004B4D26"/>
    <w:rsid w:val="004B6E2E"/>
    <w:rsid w:val="004B7773"/>
    <w:rsid w:val="004B7F14"/>
    <w:rsid w:val="004C0B63"/>
    <w:rsid w:val="004C1CB9"/>
    <w:rsid w:val="004C3B83"/>
    <w:rsid w:val="004C4263"/>
    <w:rsid w:val="004C4B80"/>
    <w:rsid w:val="004C4E98"/>
    <w:rsid w:val="004C5DE5"/>
    <w:rsid w:val="004C649D"/>
    <w:rsid w:val="004C695E"/>
    <w:rsid w:val="004C6CF9"/>
    <w:rsid w:val="004D2F6E"/>
    <w:rsid w:val="004D301F"/>
    <w:rsid w:val="004D3869"/>
    <w:rsid w:val="004D3871"/>
    <w:rsid w:val="004D5073"/>
    <w:rsid w:val="004D53B8"/>
    <w:rsid w:val="004D60B1"/>
    <w:rsid w:val="004D7328"/>
    <w:rsid w:val="004D7B7D"/>
    <w:rsid w:val="004D7BB5"/>
    <w:rsid w:val="004E02DA"/>
    <w:rsid w:val="004E04A2"/>
    <w:rsid w:val="004E09ED"/>
    <w:rsid w:val="004E127D"/>
    <w:rsid w:val="004E1E9C"/>
    <w:rsid w:val="004E2589"/>
    <w:rsid w:val="004E2AB8"/>
    <w:rsid w:val="004E2CB2"/>
    <w:rsid w:val="004E2D83"/>
    <w:rsid w:val="004E45E0"/>
    <w:rsid w:val="004E4BBC"/>
    <w:rsid w:val="004E58C6"/>
    <w:rsid w:val="004E64F7"/>
    <w:rsid w:val="004E6D98"/>
    <w:rsid w:val="004E794F"/>
    <w:rsid w:val="004F0BD0"/>
    <w:rsid w:val="004F0CC7"/>
    <w:rsid w:val="004F0DC4"/>
    <w:rsid w:val="004F1578"/>
    <w:rsid w:val="004F30F1"/>
    <w:rsid w:val="004F496D"/>
    <w:rsid w:val="004F4B77"/>
    <w:rsid w:val="004F4FF0"/>
    <w:rsid w:val="004F5A62"/>
    <w:rsid w:val="004F7986"/>
    <w:rsid w:val="00500464"/>
    <w:rsid w:val="005007A5"/>
    <w:rsid w:val="00500A2C"/>
    <w:rsid w:val="00500CDD"/>
    <w:rsid w:val="00500F6C"/>
    <w:rsid w:val="00501B27"/>
    <w:rsid w:val="00503852"/>
    <w:rsid w:val="005047CD"/>
    <w:rsid w:val="00506DC5"/>
    <w:rsid w:val="0050775E"/>
    <w:rsid w:val="00507954"/>
    <w:rsid w:val="00507FE0"/>
    <w:rsid w:val="0051136C"/>
    <w:rsid w:val="005119AD"/>
    <w:rsid w:val="00511BE2"/>
    <w:rsid w:val="005123B5"/>
    <w:rsid w:val="00512606"/>
    <w:rsid w:val="0051286E"/>
    <w:rsid w:val="00515838"/>
    <w:rsid w:val="00515DF5"/>
    <w:rsid w:val="00517AA6"/>
    <w:rsid w:val="00520340"/>
    <w:rsid w:val="0052180B"/>
    <w:rsid w:val="005218D0"/>
    <w:rsid w:val="00521EA0"/>
    <w:rsid w:val="005221BD"/>
    <w:rsid w:val="0052240D"/>
    <w:rsid w:val="00522C7A"/>
    <w:rsid w:val="00523AE4"/>
    <w:rsid w:val="00523CA5"/>
    <w:rsid w:val="00523CC1"/>
    <w:rsid w:val="00523E48"/>
    <w:rsid w:val="00523F8D"/>
    <w:rsid w:val="00524350"/>
    <w:rsid w:val="00524FB2"/>
    <w:rsid w:val="005253DC"/>
    <w:rsid w:val="0052662D"/>
    <w:rsid w:val="00530BF3"/>
    <w:rsid w:val="00530E62"/>
    <w:rsid w:val="005330C3"/>
    <w:rsid w:val="005333CC"/>
    <w:rsid w:val="005335CF"/>
    <w:rsid w:val="00533885"/>
    <w:rsid w:val="005344A6"/>
    <w:rsid w:val="0053471B"/>
    <w:rsid w:val="00537F16"/>
    <w:rsid w:val="0054065A"/>
    <w:rsid w:val="005408E5"/>
    <w:rsid w:val="005415DB"/>
    <w:rsid w:val="0054207A"/>
    <w:rsid w:val="00542398"/>
    <w:rsid w:val="00542B37"/>
    <w:rsid w:val="00542F27"/>
    <w:rsid w:val="00543124"/>
    <w:rsid w:val="005434EC"/>
    <w:rsid w:val="00543865"/>
    <w:rsid w:val="00544ACB"/>
    <w:rsid w:val="00546543"/>
    <w:rsid w:val="005469F7"/>
    <w:rsid w:val="00547277"/>
    <w:rsid w:val="00547810"/>
    <w:rsid w:val="0055023F"/>
    <w:rsid w:val="00551145"/>
    <w:rsid w:val="005511B5"/>
    <w:rsid w:val="0055320D"/>
    <w:rsid w:val="005533E7"/>
    <w:rsid w:val="005539F1"/>
    <w:rsid w:val="00553A0C"/>
    <w:rsid w:val="00553FBA"/>
    <w:rsid w:val="005541CC"/>
    <w:rsid w:val="00554FBF"/>
    <w:rsid w:val="0055556A"/>
    <w:rsid w:val="005573B6"/>
    <w:rsid w:val="005574E3"/>
    <w:rsid w:val="00557E31"/>
    <w:rsid w:val="00560519"/>
    <w:rsid w:val="005608E7"/>
    <w:rsid w:val="005609DB"/>
    <w:rsid w:val="005617B7"/>
    <w:rsid w:val="005623FC"/>
    <w:rsid w:val="005624B0"/>
    <w:rsid w:val="00562E82"/>
    <w:rsid w:val="00563051"/>
    <w:rsid w:val="00563163"/>
    <w:rsid w:val="00563E45"/>
    <w:rsid w:val="0056417A"/>
    <w:rsid w:val="0056463F"/>
    <w:rsid w:val="00564765"/>
    <w:rsid w:val="0056525A"/>
    <w:rsid w:val="00566010"/>
    <w:rsid w:val="0056660E"/>
    <w:rsid w:val="00566CAA"/>
    <w:rsid w:val="005673A0"/>
    <w:rsid w:val="00570958"/>
    <w:rsid w:val="00570DA3"/>
    <w:rsid w:val="00571D2F"/>
    <w:rsid w:val="00573226"/>
    <w:rsid w:val="00573F5C"/>
    <w:rsid w:val="00573F75"/>
    <w:rsid w:val="00574173"/>
    <w:rsid w:val="0057488A"/>
    <w:rsid w:val="0057556C"/>
    <w:rsid w:val="00575CFF"/>
    <w:rsid w:val="00575E52"/>
    <w:rsid w:val="00576055"/>
    <w:rsid w:val="00577189"/>
    <w:rsid w:val="00577689"/>
    <w:rsid w:val="00580136"/>
    <w:rsid w:val="005814D2"/>
    <w:rsid w:val="005817E1"/>
    <w:rsid w:val="00581B1D"/>
    <w:rsid w:val="00581F91"/>
    <w:rsid w:val="005823F6"/>
    <w:rsid w:val="00582D54"/>
    <w:rsid w:val="00583074"/>
    <w:rsid w:val="00583322"/>
    <w:rsid w:val="005845F5"/>
    <w:rsid w:val="00585CD3"/>
    <w:rsid w:val="005863F8"/>
    <w:rsid w:val="005869B1"/>
    <w:rsid w:val="00586F4A"/>
    <w:rsid w:val="00586FD0"/>
    <w:rsid w:val="00590E64"/>
    <w:rsid w:val="00591304"/>
    <w:rsid w:val="005913AA"/>
    <w:rsid w:val="0059147E"/>
    <w:rsid w:val="005917B7"/>
    <w:rsid w:val="00591AD5"/>
    <w:rsid w:val="00591D91"/>
    <w:rsid w:val="00591E0A"/>
    <w:rsid w:val="00591F50"/>
    <w:rsid w:val="0059256E"/>
    <w:rsid w:val="00592ED8"/>
    <w:rsid w:val="00593081"/>
    <w:rsid w:val="0059343D"/>
    <w:rsid w:val="00593769"/>
    <w:rsid w:val="00593774"/>
    <w:rsid w:val="00593F20"/>
    <w:rsid w:val="0059438E"/>
    <w:rsid w:val="0059636F"/>
    <w:rsid w:val="00596B59"/>
    <w:rsid w:val="00596DB7"/>
    <w:rsid w:val="005A047B"/>
    <w:rsid w:val="005A0492"/>
    <w:rsid w:val="005A1EEE"/>
    <w:rsid w:val="005A496D"/>
    <w:rsid w:val="005A4FD8"/>
    <w:rsid w:val="005A502A"/>
    <w:rsid w:val="005A51FA"/>
    <w:rsid w:val="005A52B0"/>
    <w:rsid w:val="005A568E"/>
    <w:rsid w:val="005A644D"/>
    <w:rsid w:val="005A7228"/>
    <w:rsid w:val="005A7BA7"/>
    <w:rsid w:val="005A7E30"/>
    <w:rsid w:val="005B0EE5"/>
    <w:rsid w:val="005B12B8"/>
    <w:rsid w:val="005B1D09"/>
    <w:rsid w:val="005B25AE"/>
    <w:rsid w:val="005B331C"/>
    <w:rsid w:val="005B3D17"/>
    <w:rsid w:val="005B4862"/>
    <w:rsid w:val="005B51BC"/>
    <w:rsid w:val="005B588F"/>
    <w:rsid w:val="005B5FB0"/>
    <w:rsid w:val="005B6036"/>
    <w:rsid w:val="005B649F"/>
    <w:rsid w:val="005B6BE8"/>
    <w:rsid w:val="005B740A"/>
    <w:rsid w:val="005B7B36"/>
    <w:rsid w:val="005C00A7"/>
    <w:rsid w:val="005C02CD"/>
    <w:rsid w:val="005C050A"/>
    <w:rsid w:val="005C053A"/>
    <w:rsid w:val="005C1324"/>
    <w:rsid w:val="005C16AB"/>
    <w:rsid w:val="005C35EC"/>
    <w:rsid w:val="005C3E06"/>
    <w:rsid w:val="005C4485"/>
    <w:rsid w:val="005C4650"/>
    <w:rsid w:val="005C4944"/>
    <w:rsid w:val="005C4B52"/>
    <w:rsid w:val="005C749C"/>
    <w:rsid w:val="005C785F"/>
    <w:rsid w:val="005D0C24"/>
    <w:rsid w:val="005D25C5"/>
    <w:rsid w:val="005D30C2"/>
    <w:rsid w:val="005D32CF"/>
    <w:rsid w:val="005D39D3"/>
    <w:rsid w:val="005D4E67"/>
    <w:rsid w:val="005D5636"/>
    <w:rsid w:val="005D6EF3"/>
    <w:rsid w:val="005D7C7B"/>
    <w:rsid w:val="005E07F6"/>
    <w:rsid w:val="005E119C"/>
    <w:rsid w:val="005E187E"/>
    <w:rsid w:val="005E24BE"/>
    <w:rsid w:val="005E26E9"/>
    <w:rsid w:val="005E274A"/>
    <w:rsid w:val="005E2B0D"/>
    <w:rsid w:val="005E368C"/>
    <w:rsid w:val="005E3951"/>
    <w:rsid w:val="005E47C9"/>
    <w:rsid w:val="005E4D5B"/>
    <w:rsid w:val="005E6068"/>
    <w:rsid w:val="005E62E8"/>
    <w:rsid w:val="005E6CF3"/>
    <w:rsid w:val="005E6DAB"/>
    <w:rsid w:val="005E6E27"/>
    <w:rsid w:val="005E6EF9"/>
    <w:rsid w:val="005E7C17"/>
    <w:rsid w:val="005F3974"/>
    <w:rsid w:val="005F3F15"/>
    <w:rsid w:val="005F421E"/>
    <w:rsid w:val="005F4975"/>
    <w:rsid w:val="005F4A55"/>
    <w:rsid w:val="005F4EA0"/>
    <w:rsid w:val="005F4F11"/>
    <w:rsid w:val="005F5120"/>
    <w:rsid w:val="005F56AA"/>
    <w:rsid w:val="005F57C1"/>
    <w:rsid w:val="005F5E85"/>
    <w:rsid w:val="005F5FBF"/>
    <w:rsid w:val="005F6CD9"/>
    <w:rsid w:val="005F6D73"/>
    <w:rsid w:val="005F6E25"/>
    <w:rsid w:val="005F75E5"/>
    <w:rsid w:val="005F7B92"/>
    <w:rsid w:val="0060076D"/>
    <w:rsid w:val="006025CD"/>
    <w:rsid w:val="00602C44"/>
    <w:rsid w:val="00603E10"/>
    <w:rsid w:val="00604934"/>
    <w:rsid w:val="0060623B"/>
    <w:rsid w:val="006066EE"/>
    <w:rsid w:val="00606E1A"/>
    <w:rsid w:val="006074CE"/>
    <w:rsid w:val="006075CF"/>
    <w:rsid w:val="006076C0"/>
    <w:rsid w:val="006079B5"/>
    <w:rsid w:val="00607CA1"/>
    <w:rsid w:val="00607F43"/>
    <w:rsid w:val="00610FAF"/>
    <w:rsid w:val="006110F9"/>
    <w:rsid w:val="0061270A"/>
    <w:rsid w:val="0061431B"/>
    <w:rsid w:val="006143CA"/>
    <w:rsid w:val="0061464A"/>
    <w:rsid w:val="006161B5"/>
    <w:rsid w:val="00616729"/>
    <w:rsid w:val="00616CA9"/>
    <w:rsid w:val="0061732B"/>
    <w:rsid w:val="00620204"/>
    <w:rsid w:val="0062022E"/>
    <w:rsid w:val="00620636"/>
    <w:rsid w:val="006206D8"/>
    <w:rsid w:val="006209F9"/>
    <w:rsid w:val="00620BA4"/>
    <w:rsid w:val="006245FB"/>
    <w:rsid w:val="00625ACF"/>
    <w:rsid w:val="00625CC0"/>
    <w:rsid w:val="00626572"/>
    <w:rsid w:val="006305E8"/>
    <w:rsid w:val="00630900"/>
    <w:rsid w:val="006317BB"/>
    <w:rsid w:val="00632A19"/>
    <w:rsid w:val="00632E70"/>
    <w:rsid w:val="00634423"/>
    <w:rsid w:val="00634767"/>
    <w:rsid w:val="00635C05"/>
    <w:rsid w:val="006367D4"/>
    <w:rsid w:val="006368E3"/>
    <w:rsid w:val="00636EC6"/>
    <w:rsid w:val="00637093"/>
    <w:rsid w:val="0063774C"/>
    <w:rsid w:val="00637C62"/>
    <w:rsid w:val="00640291"/>
    <w:rsid w:val="0064046C"/>
    <w:rsid w:val="0064099D"/>
    <w:rsid w:val="006410C4"/>
    <w:rsid w:val="00642EA9"/>
    <w:rsid w:val="00643909"/>
    <w:rsid w:val="0064428E"/>
    <w:rsid w:val="00644DEE"/>
    <w:rsid w:val="006460C1"/>
    <w:rsid w:val="0064660B"/>
    <w:rsid w:val="006467FA"/>
    <w:rsid w:val="00646DE9"/>
    <w:rsid w:val="00646F7A"/>
    <w:rsid w:val="00647082"/>
    <w:rsid w:val="0065024B"/>
    <w:rsid w:val="00651044"/>
    <w:rsid w:val="00651A8E"/>
    <w:rsid w:val="006526A7"/>
    <w:rsid w:val="00652F78"/>
    <w:rsid w:val="0065313C"/>
    <w:rsid w:val="006537F1"/>
    <w:rsid w:val="00654379"/>
    <w:rsid w:val="0065547B"/>
    <w:rsid w:val="00655B33"/>
    <w:rsid w:val="00656C89"/>
    <w:rsid w:val="00656EEF"/>
    <w:rsid w:val="00661369"/>
    <w:rsid w:val="00661AB4"/>
    <w:rsid w:val="006625A4"/>
    <w:rsid w:val="00663FD4"/>
    <w:rsid w:val="00664BAD"/>
    <w:rsid w:val="00664DDC"/>
    <w:rsid w:val="00665B08"/>
    <w:rsid w:val="006664F4"/>
    <w:rsid w:val="00666E24"/>
    <w:rsid w:val="00667FEC"/>
    <w:rsid w:val="00670164"/>
    <w:rsid w:val="006702FC"/>
    <w:rsid w:val="00671B19"/>
    <w:rsid w:val="00672579"/>
    <w:rsid w:val="006730FF"/>
    <w:rsid w:val="006734B3"/>
    <w:rsid w:val="00673C75"/>
    <w:rsid w:val="00674349"/>
    <w:rsid w:val="0067471C"/>
    <w:rsid w:val="00674D11"/>
    <w:rsid w:val="00675A22"/>
    <w:rsid w:val="00675D62"/>
    <w:rsid w:val="00675E32"/>
    <w:rsid w:val="00680204"/>
    <w:rsid w:val="00680CE9"/>
    <w:rsid w:val="0068165E"/>
    <w:rsid w:val="00681AF5"/>
    <w:rsid w:val="00681C5C"/>
    <w:rsid w:val="00681EA1"/>
    <w:rsid w:val="00682336"/>
    <w:rsid w:val="006834C2"/>
    <w:rsid w:val="00683C45"/>
    <w:rsid w:val="00684083"/>
    <w:rsid w:val="00684466"/>
    <w:rsid w:val="006845CF"/>
    <w:rsid w:val="0068474E"/>
    <w:rsid w:val="00684CF6"/>
    <w:rsid w:val="00684DDA"/>
    <w:rsid w:val="006853CE"/>
    <w:rsid w:val="00686363"/>
    <w:rsid w:val="0068650C"/>
    <w:rsid w:val="0068793F"/>
    <w:rsid w:val="006879C4"/>
    <w:rsid w:val="00690080"/>
    <w:rsid w:val="00691ED5"/>
    <w:rsid w:val="00692945"/>
    <w:rsid w:val="00693D2A"/>
    <w:rsid w:val="0069558C"/>
    <w:rsid w:val="00695E32"/>
    <w:rsid w:val="0069615D"/>
    <w:rsid w:val="006969AF"/>
    <w:rsid w:val="0069785E"/>
    <w:rsid w:val="00697996"/>
    <w:rsid w:val="006A02C0"/>
    <w:rsid w:val="006A05A1"/>
    <w:rsid w:val="006A0664"/>
    <w:rsid w:val="006A06AF"/>
    <w:rsid w:val="006A07DF"/>
    <w:rsid w:val="006A0BD3"/>
    <w:rsid w:val="006A158C"/>
    <w:rsid w:val="006A1793"/>
    <w:rsid w:val="006A29B9"/>
    <w:rsid w:val="006A3946"/>
    <w:rsid w:val="006A3C2A"/>
    <w:rsid w:val="006A40FA"/>
    <w:rsid w:val="006A4101"/>
    <w:rsid w:val="006A4808"/>
    <w:rsid w:val="006A4B42"/>
    <w:rsid w:val="006A5D6A"/>
    <w:rsid w:val="006A6B8E"/>
    <w:rsid w:val="006A6B96"/>
    <w:rsid w:val="006B0B98"/>
    <w:rsid w:val="006B13A5"/>
    <w:rsid w:val="006B140B"/>
    <w:rsid w:val="006B198A"/>
    <w:rsid w:val="006B1CC1"/>
    <w:rsid w:val="006B1E09"/>
    <w:rsid w:val="006B2550"/>
    <w:rsid w:val="006B28EC"/>
    <w:rsid w:val="006B306E"/>
    <w:rsid w:val="006B345C"/>
    <w:rsid w:val="006B36AA"/>
    <w:rsid w:val="006B40C8"/>
    <w:rsid w:val="006B50E2"/>
    <w:rsid w:val="006B547E"/>
    <w:rsid w:val="006B61E6"/>
    <w:rsid w:val="006B65A6"/>
    <w:rsid w:val="006B6ED2"/>
    <w:rsid w:val="006C0688"/>
    <w:rsid w:val="006C1039"/>
    <w:rsid w:val="006C200E"/>
    <w:rsid w:val="006C2442"/>
    <w:rsid w:val="006C2496"/>
    <w:rsid w:val="006C30C6"/>
    <w:rsid w:val="006C3927"/>
    <w:rsid w:val="006C3CE7"/>
    <w:rsid w:val="006C426B"/>
    <w:rsid w:val="006C4480"/>
    <w:rsid w:val="006C4AAC"/>
    <w:rsid w:val="006C4E09"/>
    <w:rsid w:val="006C5509"/>
    <w:rsid w:val="006C58D9"/>
    <w:rsid w:val="006C6809"/>
    <w:rsid w:val="006C7136"/>
    <w:rsid w:val="006C73BE"/>
    <w:rsid w:val="006C7BEB"/>
    <w:rsid w:val="006C7F4A"/>
    <w:rsid w:val="006D0886"/>
    <w:rsid w:val="006D0E76"/>
    <w:rsid w:val="006D11C4"/>
    <w:rsid w:val="006D1625"/>
    <w:rsid w:val="006D2742"/>
    <w:rsid w:val="006D2885"/>
    <w:rsid w:val="006D2E9C"/>
    <w:rsid w:val="006D2F8C"/>
    <w:rsid w:val="006D34DD"/>
    <w:rsid w:val="006D36ED"/>
    <w:rsid w:val="006D44AC"/>
    <w:rsid w:val="006D7701"/>
    <w:rsid w:val="006D7798"/>
    <w:rsid w:val="006D77A1"/>
    <w:rsid w:val="006E03EC"/>
    <w:rsid w:val="006E0CB8"/>
    <w:rsid w:val="006E17EC"/>
    <w:rsid w:val="006E1C05"/>
    <w:rsid w:val="006E2719"/>
    <w:rsid w:val="006E3C03"/>
    <w:rsid w:val="006E3F33"/>
    <w:rsid w:val="006E3FA6"/>
    <w:rsid w:val="006E416D"/>
    <w:rsid w:val="006E4518"/>
    <w:rsid w:val="006E4F12"/>
    <w:rsid w:val="006E535E"/>
    <w:rsid w:val="006E6838"/>
    <w:rsid w:val="006E6886"/>
    <w:rsid w:val="006E6A28"/>
    <w:rsid w:val="006E6B03"/>
    <w:rsid w:val="006E7008"/>
    <w:rsid w:val="006E7F4C"/>
    <w:rsid w:val="006F03A6"/>
    <w:rsid w:val="006F086C"/>
    <w:rsid w:val="006F0D10"/>
    <w:rsid w:val="006F1804"/>
    <w:rsid w:val="006F290E"/>
    <w:rsid w:val="006F3FBB"/>
    <w:rsid w:val="006F57A3"/>
    <w:rsid w:val="006F5A06"/>
    <w:rsid w:val="006F5B11"/>
    <w:rsid w:val="006F6D11"/>
    <w:rsid w:val="006F6DD4"/>
    <w:rsid w:val="006F76A6"/>
    <w:rsid w:val="006F7E1D"/>
    <w:rsid w:val="006F7EAA"/>
    <w:rsid w:val="00700021"/>
    <w:rsid w:val="007008BF"/>
    <w:rsid w:val="0070113A"/>
    <w:rsid w:val="007026E7"/>
    <w:rsid w:val="00702757"/>
    <w:rsid w:val="007027B2"/>
    <w:rsid w:val="00703192"/>
    <w:rsid w:val="00703268"/>
    <w:rsid w:val="00703702"/>
    <w:rsid w:val="007039B5"/>
    <w:rsid w:val="00703D88"/>
    <w:rsid w:val="00704E5E"/>
    <w:rsid w:val="00705227"/>
    <w:rsid w:val="00705431"/>
    <w:rsid w:val="007061C4"/>
    <w:rsid w:val="00706ED2"/>
    <w:rsid w:val="007072C3"/>
    <w:rsid w:val="00707831"/>
    <w:rsid w:val="007104F0"/>
    <w:rsid w:val="00710521"/>
    <w:rsid w:val="00710833"/>
    <w:rsid w:val="00710EC9"/>
    <w:rsid w:val="0071145A"/>
    <w:rsid w:val="007119E0"/>
    <w:rsid w:val="00711CF2"/>
    <w:rsid w:val="00712332"/>
    <w:rsid w:val="00712DE5"/>
    <w:rsid w:val="00713BC6"/>
    <w:rsid w:val="00714035"/>
    <w:rsid w:val="00714B08"/>
    <w:rsid w:val="00714C73"/>
    <w:rsid w:val="00714FA4"/>
    <w:rsid w:val="0071559E"/>
    <w:rsid w:val="00716BC7"/>
    <w:rsid w:val="00716D03"/>
    <w:rsid w:val="00717288"/>
    <w:rsid w:val="007172A1"/>
    <w:rsid w:val="00717E0F"/>
    <w:rsid w:val="00717E97"/>
    <w:rsid w:val="0072007A"/>
    <w:rsid w:val="007201B0"/>
    <w:rsid w:val="007202D3"/>
    <w:rsid w:val="007204D6"/>
    <w:rsid w:val="007211D6"/>
    <w:rsid w:val="00721B7B"/>
    <w:rsid w:val="0072213E"/>
    <w:rsid w:val="00722753"/>
    <w:rsid w:val="00722832"/>
    <w:rsid w:val="00724F5E"/>
    <w:rsid w:val="00725125"/>
    <w:rsid w:val="00726761"/>
    <w:rsid w:val="007269A3"/>
    <w:rsid w:val="00727B84"/>
    <w:rsid w:val="0073034F"/>
    <w:rsid w:val="007308C1"/>
    <w:rsid w:val="00731559"/>
    <w:rsid w:val="00731D72"/>
    <w:rsid w:val="00732097"/>
    <w:rsid w:val="00733451"/>
    <w:rsid w:val="00733767"/>
    <w:rsid w:val="007337C2"/>
    <w:rsid w:val="00733A21"/>
    <w:rsid w:val="00733A2B"/>
    <w:rsid w:val="0073430C"/>
    <w:rsid w:val="00734A38"/>
    <w:rsid w:val="00735109"/>
    <w:rsid w:val="0073518D"/>
    <w:rsid w:val="00735670"/>
    <w:rsid w:val="0073599C"/>
    <w:rsid w:val="00735C61"/>
    <w:rsid w:val="00735E8A"/>
    <w:rsid w:val="007374AE"/>
    <w:rsid w:val="007379E7"/>
    <w:rsid w:val="007414AF"/>
    <w:rsid w:val="00741B5F"/>
    <w:rsid w:val="0074347F"/>
    <w:rsid w:val="007435EF"/>
    <w:rsid w:val="007437ED"/>
    <w:rsid w:val="0074388C"/>
    <w:rsid w:val="00743D37"/>
    <w:rsid w:val="00746696"/>
    <w:rsid w:val="007469A4"/>
    <w:rsid w:val="0074767A"/>
    <w:rsid w:val="00750080"/>
    <w:rsid w:val="00750414"/>
    <w:rsid w:val="007505AA"/>
    <w:rsid w:val="00750959"/>
    <w:rsid w:val="00750F5B"/>
    <w:rsid w:val="0075256E"/>
    <w:rsid w:val="007530B5"/>
    <w:rsid w:val="00753DE9"/>
    <w:rsid w:val="0075594F"/>
    <w:rsid w:val="00756715"/>
    <w:rsid w:val="00757C9E"/>
    <w:rsid w:val="00757DE1"/>
    <w:rsid w:val="00761487"/>
    <w:rsid w:val="00761AC9"/>
    <w:rsid w:val="00761C72"/>
    <w:rsid w:val="00762205"/>
    <w:rsid w:val="00762428"/>
    <w:rsid w:val="00762A71"/>
    <w:rsid w:val="0076327A"/>
    <w:rsid w:val="0076350B"/>
    <w:rsid w:val="007636E7"/>
    <w:rsid w:val="00763D16"/>
    <w:rsid w:val="00765645"/>
    <w:rsid w:val="00765D21"/>
    <w:rsid w:val="00765F00"/>
    <w:rsid w:val="007662B8"/>
    <w:rsid w:val="00766F25"/>
    <w:rsid w:val="00767025"/>
    <w:rsid w:val="00770746"/>
    <w:rsid w:val="00771D37"/>
    <w:rsid w:val="00772DF3"/>
    <w:rsid w:val="00774215"/>
    <w:rsid w:val="00774299"/>
    <w:rsid w:val="00774D7C"/>
    <w:rsid w:val="0077510E"/>
    <w:rsid w:val="007762A4"/>
    <w:rsid w:val="007805BD"/>
    <w:rsid w:val="007814C4"/>
    <w:rsid w:val="00781C46"/>
    <w:rsid w:val="00781D09"/>
    <w:rsid w:val="00781EE7"/>
    <w:rsid w:val="007837A2"/>
    <w:rsid w:val="00783825"/>
    <w:rsid w:val="007845BC"/>
    <w:rsid w:val="00784920"/>
    <w:rsid w:val="00785226"/>
    <w:rsid w:val="00785241"/>
    <w:rsid w:val="0078525F"/>
    <w:rsid w:val="00785DCE"/>
    <w:rsid w:val="0078695A"/>
    <w:rsid w:val="007903A0"/>
    <w:rsid w:val="00790C2E"/>
    <w:rsid w:val="00791047"/>
    <w:rsid w:val="007918DD"/>
    <w:rsid w:val="00791951"/>
    <w:rsid w:val="007924C6"/>
    <w:rsid w:val="00792695"/>
    <w:rsid w:val="00792D33"/>
    <w:rsid w:val="007936FD"/>
    <w:rsid w:val="00793ABE"/>
    <w:rsid w:val="0079445D"/>
    <w:rsid w:val="007944E6"/>
    <w:rsid w:val="007944F5"/>
    <w:rsid w:val="007A0294"/>
    <w:rsid w:val="007A039C"/>
    <w:rsid w:val="007A271A"/>
    <w:rsid w:val="007A2A23"/>
    <w:rsid w:val="007A3504"/>
    <w:rsid w:val="007A4321"/>
    <w:rsid w:val="007A443C"/>
    <w:rsid w:val="007A4DC4"/>
    <w:rsid w:val="007A58E5"/>
    <w:rsid w:val="007A650E"/>
    <w:rsid w:val="007A69E0"/>
    <w:rsid w:val="007A6A75"/>
    <w:rsid w:val="007A6E49"/>
    <w:rsid w:val="007A7005"/>
    <w:rsid w:val="007A7B8F"/>
    <w:rsid w:val="007B0BCC"/>
    <w:rsid w:val="007B0E09"/>
    <w:rsid w:val="007B16DC"/>
    <w:rsid w:val="007B4868"/>
    <w:rsid w:val="007B6766"/>
    <w:rsid w:val="007B7874"/>
    <w:rsid w:val="007C0A57"/>
    <w:rsid w:val="007C15D8"/>
    <w:rsid w:val="007C1CAC"/>
    <w:rsid w:val="007C1F4C"/>
    <w:rsid w:val="007C2988"/>
    <w:rsid w:val="007C2E30"/>
    <w:rsid w:val="007C3324"/>
    <w:rsid w:val="007C440B"/>
    <w:rsid w:val="007C4416"/>
    <w:rsid w:val="007C463D"/>
    <w:rsid w:val="007C524C"/>
    <w:rsid w:val="007C727A"/>
    <w:rsid w:val="007D017F"/>
    <w:rsid w:val="007D06ED"/>
    <w:rsid w:val="007D1BF3"/>
    <w:rsid w:val="007D2710"/>
    <w:rsid w:val="007D2C9B"/>
    <w:rsid w:val="007D329B"/>
    <w:rsid w:val="007D4BCA"/>
    <w:rsid w:val="007D53EE"/>
    <w:rsid w:val="007D680C"/>
    <w:rsid w:val="007E0361"/>
    <w:rsid w:val="007E1394"/>
    <w:rsid w:val="007E1804"/>
    <w:rsid w:val="007E1C80"/>
    <w:rsid w:val="007E2ADE"/>
    <w:rsid w:val="007E30F9"/>
    <w:rsid w:val="007E3259"/>
    <w:rsid w:val="007E333D"/>
    <w:rsid w:val="007E37F2"/>
    <w:rsid w:val="007E3CEE"/>
    <w:rsid w:val="007E46C4"/>
    <w:rsid w:val="007E6CC8"/>
    <w:rsid w:val="007E71E0"/>
    <w:rsid w:val="007E745D"/>
    <w:rsid w:val="007E75B5"/>
    <w:rsid w:val="007E7603"/>
    <w:rsid w:val="007E785B"/>
    <w:rsid w:val="007E7CB2"/>
    <w:rsid w:val="007F0180"/>
    <w:rsid w:val="007F073A"/>
    <w:rsid w:val="007F0FC0"/>
    <w:rsid w:val="007F24A2"/>
    <w:rsid w:val="007F2AB3"/>
    <w:rsid w:val="007F31DD"/>
    <w:rsid w:val="007F33E8"/>
    <w:rsid w:val="007F348F"/>
    <w:rsid w:val="007F401D"/>
    <w:rsid w:val="007F548D"/>
    <w:rsid w:val="007F6576"/>
    <w:rsid w:val="007F791E"/>
    <w:rsid w:val="007F7CE7"/>
    <w:rsid w:val="0080065A"/>
    <w:rsid w:val="00801795"/>
    <w:rsid w:val="0080227C"/>
    <w:rsid w:val="00802404"/>
    <w:rsid w:val="00802499"/>
    <w:rsid w:val="008033B6"/>
    <w:rsid w:val="00804913"/>
    <w:rsid w:val="0080557D"/>
    <w:rsid w:val="00805C7A"/>
    <w:rsid w:val="00806002"/>
    <w:rsid w:val="00806B31"/>
    <w:rsid w:val="00807953"/>
    <w:rsid w:val="00807B2D"/>
    <w:rsid w:val="00807EEC"/>
    <w:rsid w:val="008121E5"/>
    <w:rsid w:val="00813A36"/>
    <w:rsid w:val="00813B64"/>
    <w:rsid w:val="0081416A"/>
    <w:rsid w:val="0081592B"/>
    <w:rsid w:val="00815961"/>
    <w:rsid w:val="00815F3D"/>
    <w:rsid w:val="00817731"/>
    <w:rsid w:val="008178C3"/>
    <w:rsid w:val="00817BD9"/>
    <w:rsid w:val="00820AB8"/>
    <w:rsid w:val="00820D4F"/>
    <w:rsid w:val="00822332"/>
    <w:rsid w:val="008225DE"/>
    <w:rsid w:val="00822B26"/>
    <w:rsid w:val="00824900"/>
    <w:rsid w:val="008252BF"/>
    <w:rsid w:val="00825394"/>
    <w:rsid w:val="008260A5"/>
    <w:rsid w:val="00826B8C"/>
    <w:rsid w:val="00826CEB"/>
    <w:rsid w:val="00826D1A"/>
    <w:rsid w:val="00826E67"/>
    <w:rsid w:val="00827201"/>
    <w:rsid w:val="008276AE"/>
    <w:rsid w:val="00827A37"/>
    <w:rsid w:val="00827BBD"/>
    <w:rsid w:val="008305ED"/>
    <w:rsid w:val="0083143C"/>
    <w:rsid w:val="00831691"/>
    <w:rsid w:val="00832225"/>
    <w:rsid w:val="00832573"/>
    <w:rsid w:val="00832C4F"/>
    <w:rsid w:val="0083446B"/>
    <w:rsid w:val="008344FF"/>
    <w:rsid w:val="008360BD"/>
    <w:rsid w:val="00836109"/>
    <w:rsid w:val="00837341"/>
    <w:rsid w:val="0083787A"/>
    <w:rsid w:val="008378D9"/>
    <w:rsid w:val="00837E4F"/>
    <w:rsid w:val="00840459"/>
    <w:rsid w:val="008408A2"/>
    <w:rsid w:val="0084127B"/>
    <w:rsid w:val="008432A8"/>
    <w:rsid w:val="008439D5"/>
    <w:rsid w:val="00843B03"/>
    <w:rsid w:val="00843C64"/>
    <w:rsid w:val="00843CEA"/>
    <w:rsid w:val="00843F97"/>
    <w:rsid w:val="00844B61"/>
    <w:rsid w:val="00845F01"/>
    <w:rsid w:val="00846EE5"/>
    <w:rsid w:val="0085162B"/>
    <w:rsid w:val="008520A1"/>
    <w:rsid w:val="008545E8"/>
    <w:rsid w:val="008545F2"/>
    <w:rsid w:val="00854DDE"/>
    <w:rsid w:val="00854F4B"/>
    <w:rsid w:val="00855AE5"/>
    <w:rsid w:val="00855EEB"/>
    <w:rsid w:val="00855FD3"/>
    <w:rsid w:val="00856302"/>
    <w:rsid w:val="008564A1"/>
    <w:rsid w:val="00857A55"/>
    <w:rsid w:val="00857A8D"/>
    <w:rsid w:val="0086021C"/>
    <w:rsid w:val="008606A8"/>
    <w:rsid w:val="008609A3"/>
    <w:rsid w:val="008612FA"/>
    <w:rsid w:val="008622B5"/>
    <w:rsid w:val="008623FC"/>
    <w:rsid w:val="00862831"/>
    <w:rsid w:val="0086350C"/>
    <w:rsid w:val="00863AF1"/>
    <w:rsid w:val="0086403F"/>
    <w:rsid w:val="00865ABF"/>
    <w:rsid w:val="00866A82"/>
    <w:rsid w:val="008675D6"/>
    <w:rsid w:val="008676C5"/>
    <w:rsid w:val="00870403"/>
    <w:rsid w:val="008718F2"/>
    <w:rsid w:val="00872195"/>
    <w:rsid w:val="00874919"/>
    <w:rsid w:val="00874A48"/>
    <w:rsid w:val="00875C54"/>
    <w:rsid w:val="00875E2F"/>
    <w:rsid w:val="00877137"/>
    <w:rsid w:val="00877357"/>
    <w:rsid w:val="00880CC1"/>
    <w:rsid w:val="00881FCF"/>
    <w:rsid w:val="00882159"/>
    <w:rsid w:val="00882592"/>
    <w:rsid w:val="00883512"/>
    <w:rsid w:val="00884E59"/>
    <w:rsid w:val="00885003"/>
    <w:rsid w:val="00885A08"/>
    <w:rsid w:val="00886337"/>
    <w:rsid w:val="00886478"/>
    <w:rsid w:val="00886A10"/>
    <w:rsid w:val="00887C3A"/>
    <w:rsid w:val="0089068C"/>
    <w:rsid w:val="0089232F"/>
    <w:rsid w:val="0089233D"/>
    <w:rsid w:val="00892A88"/>
    <w:rsid w:val="00892F73"/>
    <w:rsid w:val="00892FFF"/>
    <w:rsid w:val="00893BE3"/>
    <w:rsid w:val="00894AD0"/>
    <w:rsid w:val="008952AB"/>
    <w:rsid w:val="00895C8C"/>
    <w:rsid w:val="00895DAA"/>
    <w:rsid w:val="0089627C"/>
    <w:rsid w:val="00896925"/>
    <w:rsid w:val="0089777D"/>
    <w:rsid w:val="00897F12"/>
    <w:rsid w:val="008A0052"/>
    <w:rsid w:val="008A054B"/>
    <w:rsid w:val="008A0A81"/>
    <w:rsid w:val="008A135A"/>
    <w:rsid w:val="008A1484"/>
    <w:rsid w:val="008A16B6"/>
    <w:rsid w:val="008A2133"/>
    <w:rsid w:val="008A43D9"/>
    <w:rsid w:val="008A4524"/>
    <w:rsid w:val="008A46B2"/>
    <w:rsid w:val="008A46DF"/>
    <w:rsid w:val="008A490B"/>
    <w:rsid w:val="008A492B"/>
    <w:rsid w:val="008A501A"/>
    <w:rsid w:val="008A578D"/>
    <w:rsid w:val="008A62DF"/>
    <w:rsid w:val="008A7CAE"/>
    <w:rsid w:val="008B03E8"/>
    <w:rsid w:val="008B0461"/>
    <w:rsid w:val="008B1A3E"/>
    <w:rsid w:val="008B1C84"/>
    <w:rsid w:val="008B3696"/>
    <w:rsid w:val="008B3746"/>
    <w:rsid w:val="008B3CE5"/>
    <w:rsid w:val="008B3D44"/>
    <w:rsid w:val="008B3D5D"/>
    <w:rsid w:val="008B4293"/>
    <w:rsid w:val="008B44EB"/>
    <w:rsid w:val="008B4BD1"/>
    <w:rsid w:val="008B55D6"/>
    <w:rsid w:val="008B5A3E"/>
    <w:rsid w:val="008B729D"/>
    <w:rsid w:val="008B7B8B"/>
    <w:rsid w:val="008B7DA4"/>
    <w:rsid w:val="008C09D5"/>
    <w:rsid w:val="008C1CE0"/>
    <w:rsid w:val="008C210E"/>
    <w:rsid w:val="008C2146"/>
    <w:rsid w:val="008C22D8"/>
    <w:rsid w:val="008C40A0"/>
    <w:rsid w:val="008C43D7"/>
    <w:rsid w:val="008C4678"/>
    <w:rsid w:val="008C4C33"/>
    <w:rsid w:val="008C532E"/>
    <w:rsid w:val="008C6735"/>
    <w:rsid w:val="008C6D1C"/>
    <w:rsid w:val="008C714E"/>
    <w:rsid w:val="008C717B"/>
    <w:rsid w:val="008C7224"/>
    <w:rsid w:val="008C7A64"/>
    <w:rsid w:val="008D26A1"/>
    <w:rsid w:val="008D46B0"/>
    <w:rsid w:val="008D5ED5"/>
    <w:rsid w:val="008D654A"/>
    <w:rsid w:val="008D66E0"/>
    <w:rsid w:val="008D74DC"/>
    <w:rsid w:val="008D7DB8"/>
    <w:rsid w:val="008D7F3D"/>
    <w:rsid w:val="008E051D"/>
    <w:rsid w:val="008E1C92"/>
    <w:rsid w:val="008E1ED4"/>
    <w:rsid w:val="008E3737"/>
    <w:rsid w:val="008E3A47"/>
    <w:rsid w:val="008E4738"/>
    <w:rsid w:val="008E577F"/>
    <w:rsid w:val="008E61A9"/>
    <w:rsid w:val="008E6738"/>
    <w:rsid w:val="008E6907"/>
    <w:rsid w:val="008E6C22"/>
    <w:rsid w:val="008E6E32"/>
    <w:rsid w:val="008E784D"/>
    <w:rsid w:val="008E79F6"/>
    <w:rsid w:val="008F03DE"/>
    <w:rsid w:val="008F3052"/>
    <w:rsid w:val="008F31FD"/>
    <w:rsid w:val="008F4103"/>
    <w:rsid w:val="008F4165"/>
    <w:rsid w:val="008F46CA"/>
    <w:rsid w:val="008F4938"/>
    <w:rsid w:val="008F53D3"/>
    <w:rsid w:val="008F6967"/>
    <w:rsid w:val="008F6F50"/>
    <w:rsid w:val="008F730C"/>
    <w:rsid w:val="008F7F2F"/>
    <w:rsid w:val="0090020D"/>
    <w:rsid w:val="0090025A"/>
    <w:rsid w:val="00900CBC"/>
    <w:rsid w:val="009013C6"/>
    <w:rsid w:val="009017D5"/>
    <w:rsid w:val="00901CC0"/>
    <w:rsid w:val="00902129"/>
    <w:rsid w:val="00902B29"/>
    <w:rsid w:val="00903498"/>
    <w:rsid w:val="009039FB"/>
    <w:rsid w:val="009041C3"/>
    <w:rsid w:val="00904BCA"/>
    <w:rsid w:val="009060C5"/>
    <w:rsid w:val="00906C2D"/>
    <w:rsid w:val="0091001B"/>
    <w:rsid w:val="00910176"/>
    <w:rsid w:val="0091196B"/>
    <w:rsid w:val="009121D8"/>
    <w:rsid w:val="00914452"/>
    <w:rsid w:val="00914629"/>
    <w:rsid w:val="00914EA2"/>
    <w:rsid w:val="00914EA7"/>
    <w:rsid w:val="00915C2F"/>
    <w:rsid w:val="009169D2"/>
    <w:rsid w:val="00916E52"/>
    <w:rsid w:val="009175B7"/>
    <w:rsid w:val="00917CC4"/>
    <w:rsid w:val="00917D0E"/>
    <w:rsid w:val="009208B3"/>
    <w:rsid w:val="00922C5B"/>
    <w:rsid w:val="009237FF"/>
    <w:rsid w:val="00924637"/>
    <w:rsid w:val="009256B6"/>
    <w:rsid w:val="00926750"/>
    <w:rsid w:val="00926A71"/>
    <w:rsid w:val="009300A8"/>
    <w:rsid w:val="00930228"/>
    <w:rsid w:val="009306A9"/>
    <w:rsid w:val="00930B8A"/>
    <w:rsid w:val="00931516"/>
    <w:rsid w:val="00931C3C"/>
    <w:rsid w:val="009321E6"/>
    <w:rsid w:val="00932234"/>
    <w:rsid w:val="00932860"/>
    <w:rsid w:val="00932BB3"/>
    <w:rsid w:val="009332BC"/>
    <w:rsid w:val="009334AC"/>
    <w:rsid w:val="009334E2"/>
    <w:rsid w:val="00933D55"/>
    <w:rsid w:val="00934477"/>
    <w:rsid w:val="009349F3"/>
    <w:rsid w:val="00934D49"/>
    <w:rsid w:val="0093591F"/>
    <w:rsid w:val="00935DE1"/>
    <w:rsid w:val="00937D93"/>
    <w:rsid w:val="00937E16"/>
    <w:rsid w:val="0094039C"/>
    <w:rsid w:val="009406B3"/>
    <w:rsid w:val="009422D1"/>
    <w:rsid w:val="00942412"/>
    <w:rsid w:val="009448E8"/>
    <w:rsid w:val="0094545B"/>
    <w:rsid w:val="00945782"/>
    <w:rsid w:val="00945DE2"/>
    <w:rsid w:val="00947311"/>
    <w:rsid w:val="0094758E"/>
    <w:rsid w:val="009479E7"/>
    <w:rsid w:val="00950044"/>
    <w:rsid w:val="0095016F"/>
    <w:rsid w:val="0095041F"/>
    <w:rsid w:val="0095096C"/>
    <w:rsid w:val="00950BB7"/>
    <w:rsid w:val="00951242"/>
    <w:rsid w:val="009517D4"/>
    <w:rsid w:val="0095184A"/>
    <w:rsid w:val="009519AB"/>
    <w:rsid w:val="00952E11"/>
    <w:rsid w:val="00952F13"/>
    <w:rsid w:val="00954934"/>
    <w:rsid w:val="00955F1C"/>
    <w:rsid w:val="00955FA9"/>
    <w:rsid w:val="009574B3"/>
    <w:rsid w:val="00957864"/>
    <w:rsid w:val="00957A36"/>
    <w:rsid w:val="00957E3C"/>
    <w:rsid w:val="00957F58"/>
    <w:rsid w:val="009603ED"/>
    <w:rsid w:val="009604BC"/>
    <w:rsid w:val="00961184"/>
    <w:rsid w:val="009615DF"/>
    <w:rsid w:val="00962A47"/>
    <w:rsid w:val="00962E99"/>
    <w:rsid w:val="0096326E"/>
    <w:rsid w:val="009655E4"/>
    <w:rsid w:val="00965A82"/>
    <w:rsid w:val="0096687B"/>
    <w:rsid w:val="009704E9"/>
    <w:rsid w:val="009707CB"/>
    <w:rsid w:val="00970E53"/>
    <w:rsid w:val="00971129"/>
    <w:rsid w:val="00971268"/>
    <w:rsid w:val="00971570"/>
    <w:rsid w:val="00971B1C"/>
    <w:rsid w:val="00972076"/>
    <w:rsid w:val="009721BF"/>
    <w:rsid w:val="00972A39"/>
    <w:rsid w:val="00972FB9"/>
    <w:rsid w:val="009731B4"/>
    <w:rsid w:val="009733FC"/>
    <w:rsid w:val="00973950"/>
    <w:rsid w:val="00973AF5"/>
    <w:rsid w:val="00973DC3"/>
    <w:rsid w:val="00975A0B"/>
    <w:rsid w:val="00977118"/>
    <w:rsid w:val="00980008"/>
    <w:rsid w:val="00980F1D"/>
    <w:rsid w:val="009813B6"/>
    <w:rsid w:val="00981EB9"/>
    <w:rsid w:val="00982917"/>
    <w:rsid w:val="00983474"/>
    <w:rsid w:val="009838BF"/>
    <w:rsid w:val="0098472D"/>
    <w:rsid w:val="009847F0"/>
    <w:rsid w:val="00984C43"/>
    <w:rsid w:val="0098518D"/>
    <w:rsid w:val="00985368"/>
    <w:rsid w:val="009867F9"/>
    <w:rsid w:val="0098684F"/>
    <w:rsid w:val="00986DA1"/>
    <w:rsid w:val="00987702"/>
    <w:rsid w:val="00987E54"/>
    <w:rsid w:val="00991D16"/>
    <w:rsid w:val="009926CB"/>
    <w:rsid w:val="009930BE"/>
    <w:rsid w:val="00993C25"/>
    <w:rsid w:val="00993C86"/>
    <w:rsid w:val="00995783"/>
    <w:rsid w:val="00996F40"/>
    <w:rsid w:val="00997DAE"/>
    <w:rsid w:val="009A09F9"/>
    <w:rsid w:val="009A0BEA"/>
    <w:rsid w:val="009A1135"/>
    <w:rsid w:val="009A1527"/>
    <w:rsid w:val="009A22E9"/>
    <w:rsid w:val="009A33A8"/>
    <w:rsid w:val="009A3BF3"/>
    <w:rsid w:val="009A3F52"/>
    <w:rsid w:val="009A4537"/>
    <w:rsid w:val="009A4627"/>
    <w:rsid w:val="009A50B1"/>
    <w:rsid w:val="009A662E"/>
    <w:rsid w:val="009A6805"/>
    <w:rsid w:val="009A74E0"/>
    <w:rsid w:val="009A750C"/>
    <w:rsid w:val="009A7624"/>
    <w:rsid w:val="009A7E5C"/>
    <w:rsid w:val="009B0A6B"/>
    <w:rsid w:val="009B0B13"/>
    <w:rsid w:val="009B1D4E"/>
    <w:rsid w:val="009B20C1"/>
    <w:rsid w:val="009B29D0"/>
    <w:rsid w:val="009B2B61"/>
    <w:rsid w:val="009B3572"/>
    <w:rsid w:val="009B45A2"/>
    <w:rsid w:val="009B62BB"/>
    <w:rsid w:val="009B647E"/>
    <w:rsid w:val="009B6DB6"/>
    <w:rsid w:val="009B70D9"/>
    <w:rsid w:val="009B7474"/>
    <w:rsid w:val="009B7E77"/>
    <w:rsid w:val="009C03CD"/>
    <w:rsid w:val="009C0E1F"/>
    <w:rsid w:val="009C2266"/>
    <w:rsid w:val="009C22DB"/>
    <w:rsid w:val="009C2950"/>
    <w:rsid w:val="009C3F94"/>
    <w:rsid w:val="009C421A"/>
    <w:rsid w:val="009C4FE2"/>
    <w:rsid w:val="009C56E8"/>
    <w:rsid w:val="009C5934"/>
    <w:rsid w:val="009C6BBE"/>
    <w:rsid w:val="009C6E51"/>
    <w:rsid w:val="009C6F85"/>
    <w:rsid w:val="009D0CE3"/>
    <w:rsid w:val="009D112A"/>
    <w:rsid w:val="009D1B83"/>
    <w:rsid w:val="009D1F90"/>
    <w:rsid w:val="009D2691"/>
    <w:rsid w:val="009D26FA"/>
    <w:rsid w:val="009D3111"/>
    <w:rsid w:val="009D333F"/>
    <w:rsid w:val="009D3508"/>
    <w:rsid w:val="009D36C4"/>
    <w:rsid w:val="009D3EDE"/>
    <w:rsid w:val="009D431D"/>
    <w:rsid w:val="009D4F7C"/>
    <w:rsid w:val="009D59D0"/>
    <w:rsid w:val="009D643E"/>
    <w:rsid w:val="009D705F"/>
    <w:rsid w:val="009D74C5"/>
    <w:rsid w:val="009E0B5B"/>
    <w:rsid w:val="009E0B80"/>
    <w:rsid w:val="009E1582"/>
    <w:rsid w:val="009E1C01"/>
    <w:rsid w:val="009E237E"/>
    <w:rsid w:val="009E269B"/>
    <w:rsid w:val="009E27F9"/>
    <w:rsid w:val="009E2ACB"/>
    <w:rsid w:val="009E2E9B"/>
    <w:rsid w:val="009E3852"/>
    <w:rsid w:val="009E3EC3"/>
    <w:rsid w:val="009E4344"/>
    <w:rsid w:val="009E49BF"/>
    <w:rsid w:val="009E4B53"/>
    <w:rsid w:val="009E5484"/>
    <w:rsid w:val="009E5555"/>
    <w:rsid w:val="009E597E"/>
    <w:rsid w:val="009E5E21"/>
    <w:rsid w:val="009E6270"/>
    <w:rsid w:val="009E78C3"/>
    <w:rsid w:val="009F0A8F"/>
    <w:rsid w:val="009F17FA"/>
    <w:rsid w:val="009F23AE"/>
    <w:rsid w:val="009F24E5"/>
    <w:rsid w:val="009F2A50"/>
    <w:rsid w:val="009F318E"/>
    <w:rsid w:val="009F3C0B"/>
    <w:rsid w:val="009F3E77"/>
    <w:rsid w:val="009F45ED"/>
    <w:rsid w:val="009F47A2"/>
    <w:rsid w:val="009F4C78"/>
    <w:rsid w:val="009F54B8"/>
    <w:rsid w:val="009F64C5"/>
    <w:rsid w:val="009F783C"/>
    <w:rsid w:val="00A019F3"/>
    <w:rsid w:val="00A02116"/>
    <w:rsid w:val="00A02571"/>
    <w:rsid w:val="00A026DE"/>
    <w:rsid w:val="00A03C09"/>
    <w:rsid w:val="00A03DD9"/>
    <w:rsid w:val="00A04D40"/>
    <w:rsid w:val="00A04D43"/>
    <w:rsid w:val="00A04E90"/>
    <w:rsid w:val="00A04FDF"/>
    <w:rsid w:val="00A0507E"/>
    <w:rsid w:val="00A05117"/>
    <w:rsid w:val="00A0654E"/>
    <w:rsid w:val="00A0695A"/>
    <w:rsid w:val="00A0748A"/>
    <w:rsid w:val="00A078EF"/>
    <w:rsid w:val="00A0798A"/>
    <w:rsid w:val="00A1029D"/>
    <w:rsid w:val="00A1077F"/>
    <w:rsid w:val="00A10895"/>
    <w:rsid w:val="00A11343"/>
    <w:rsid w:val="00A11431"/>
    <w:rsid w:val="00A116AF"/>
    <w:rsid w:val="00A11F1E"/>
    <w:rsid w:val="00A134C1"/>
    <w:rsid w:val="00A1476C"/>
    <w:rsid w:val="00A16C9E"/>
    <w:rsid w:val="00A16DAA"/>
    <w:rsid w:val="00A179EE"/>
    <w:rsid w:val="00A201D1"/>
    <w:rsid w:val="00A20700"/>
    <w:rsid w:val="00A20D4F"/>
    <w:rsid w:val="00A2197D"/>
    <w:rsid w:val="00A21A45"/>
    <w:rsid w:val="00A21BF8"/>
    <w:rsid w:val="00A21CB3"/>
    <w:rsid w:val="00A224C2"/>
    <w:rsid w:val="00A229ED"/>
    <w:rsid w:val="00A2328A"/>
    <w:rsid w:val="00A23910"/>
    <w:rsid w:val="00A251EA"/>
    <w:rsid w:val="00A26758"/>
    <w:rsid w:val="00A27049"/>
    <w:rsid w:val="00A2735D"/>
    <w:rsid w:val="00A27870"/>
    <w:rsid w:val="00A307E5"/>
    <w:rsid w:val="00A3176A"/>
    <w:rsid w:val="00A323F9"/>
    <w:rsid w:val="00A326D0"/>
    <w:rsid w:val="00A32A98"/>
    <w:rsid w:val="00A33FAC"/>
    <w:rsid w:val="00A34EE1"/>
    <w:rsid w:val="00A3574A"/>
    <w:rsid w:val="00A36617"/>
    <w:rsid w:val="00A36AC8"/>
    <w:rsid w:val="00A36AFC"/>
    <w:rsid w:val="00A40BB7"/>
    <w:rsid w:val="00A410D5"/>
    <w:rsid w:val="00A42639"/>
    <w:rsid w:val="00A42A19"/>
    <w:rsid w:val="00A42AB0"/>
    <w:rsid w:val="00A42F06"/>
    <w:rsid w:val="00A43C29"/>
    <w:rsid w:val="00A43E95"/>
    <w:rsid w:val="00A447E0"/>
    <w:rsid w:val="00A448E1"/>
    <w:rsid w:val="00A451DF"/>
    <w:rsid w:val="00A45D68"/>
    <w:rsid w:val="00A47A7E"/>
    <w:rsid w:val="00A51F06"/>
    <w:rsid w:val="00A51F5B"/>
    <w:rsid w:val="00A53F97"/>
    <w:rsid w:val="00A540E9"/>
    <w:rsid w:val="00A54201"/>
    <w:rsid w:val="00A554D5"/>
    <w:rsid w:val="00A566C8"/>
    <w:rsid w:val="00A5699C"/>
    <w:rsid w:val="00A56E68"/>
    <w:rsid w:val="00A57390"/>
    <w:rsid w:val="00A6023B"/>
    <w:rsid w:val="00A6174D"/>
    <w:rsid w:val="00A6196F"/>
    <w:rsid w:val="00A62346"/>
    <w:rsid w:val="00A6255D"/>
    <w:rsid w:val="00A62E1B"/>
    <w:rsid w:val="00A63175"/>
    <w:rsid w:val="00A63650"/>
    <w:rsid w:val="00A64FB5"/>
    <w:rsid w:val="00A663B1"/>
    <w:rsid w:val="00A66495"/>
    <w:rsid w:val="00A66566"/>
    <w:rsid w:val="00A66A11"/>
    <w:rsid w:val="00A71726"/>
    <w:rsid w:val="00A7192F"/>
    <w:rsid w:val="00A71976"/>
    <w:rsid w:val="00A724DE"/>
    <w:rsid w:val="00A7282A"/>
    <w:rsid w:val="00A72E30"/>
    <w:rsid w:val="00A73848"/>
    <w:rsid w:val="00A73F16"/>
    <w:rsid w:val="00A74333"/>
    <w:rsid w:val="00A74B04"/>
    <w:rsid w:val="00A74DB5"/>
    <w:rsid w:val="00A7659C"/>
    <w:rsid w:val="00A76B2A"/>
    <w:rsid w:val="00A7758D"/>
    <w:rsid w:val="00A77760"/>
    <w:rsid w:val="00A77BC8"/>
    <w:rsid w:val="00A77F5E"/>
    <w:rsid w:val="00A81412"/>
    <w:rsid w:val="00A819CF"/>
    <w:rsid w:val="00A827DF"/>
    <w:rsid w:val="00A8282E"/>
    <w:rsid w:val="00A82850"/>
    <w:rsid w:val="00A82B3D"/>
    <w:rsid w:val="00A82CF7"/>
    <w:rsid w:val="00A837DC"/>
    <w:rsid w:val="00A84FD0"/>
    <w:rsid w:val="00A85295"/>
    <w:rsid w:val="00A85C64"/>
    <w:rsid w:val="00A86F78"/>
    <w:rsid w:val="00A9110C"/>
    <w:rsid w:val="00A924B3"/>
    <w:rsid w:val="00A929D0"/>
    <w:rsid w:val="00A92A2C"/>
    <w:rsid w:val="00A93278"/>
    <w:rsid w:val="00A9339B"/>
    <w:rsid w:val="00A93425"/>
    <w:rsid w:val="00A93EE0"/>
    <w:rsid w:val="00A94DF6"/>
    <w:rsid w:val="00A95D16"/>
    <w:rsid w:val="00A96161"/>
    <w:rsid w:val="00A96D3F"/>
    <w:rsid w:val="00A96DAD"/>
    <w:rsid w:val="00A972DC"/>
    <w:rsid w:val="00A97D8F"/>
    <w:rsid w:val="00AA1000"/>
    <w:rsid w:val="00AA1355"/>
    <w:rsid w:val="00AA13FC"/>
    <w:rsid w:val="00AA1852"/>
    <w:rsid w:val="00AA1853"/>
    <w:rsid w:val="00AA195F"/>
    <w:rsid w:val="00AA1C0A"/>
    <w:rsid w:val="00AA2667"/>
    <w:rsid w:val="00AA2DF7"/>
    <w:rsid w:val="00AA30FE"/>
    <w:rsid w:val="00AA3E17"/>
    <w:rsid w:val="00AA4E3D"/>
    <w:rsid w:val="00AA4EB3"/>
    <w:rsid w:val="00AA573A"/>
    <w:rsid w:val="00AA5D20"/>
    <w:rsid w:val="00AA6E35"/>
    <w:rsid w:val="00AA73BB"/>
    <w:rsid w:val="00AA776D"/>
    <w:rsid w:val="00AA7916"/>
    <w:rsid w:val="00AA7CCF"/>
    <w:rsid w:val="00AB1694"/>
    <w:rsid w:val="00AB1A14"/>
    <w:rsid w:val="00AB1D8C"/>
    <w:rsid w:val="00AB2042"/>
    <w:rsid w:val="00AB25C9"/>
    <w:rsid w:val="00AB2B9F"/>
    <w:rsid w:val="00AB39CF"/>
    <w:rsid w:val="00AB45C0"/>
    <w:rsid w:val="00AB5576"/>
    <w:rsid w:val="00AB57D6"/>
    <w:rsid w:val="00AB5D99"/>
    <w:rsid w:val="00AB6152"/>
    <w:rsid w:val="00AB6C74"/>
    <w:rsid w:val="00AC0CE2"/>
    <w:rsid w:val="00AC1032"/>
    <w:rsid w:val="00AC12A9"/>
    <w:rsid w:val="00AC1382"/>
    <w:rsid w:val="00AC13FF"/>
    <w:rsid w:val="00AC1504"/>
    <w:rsid w:val="00AC1B17"/>
    <w:rsid w:val="00AC2BBD"/>
    <w:rsid w:val="00AC34D1"/>
    <w:rsid w:val="00AC4303"/>
    <w:rsid w:val="00AC4F52"/>
    <w:rsid w:val="00AC7BC4"/>
    <w:rsid w:val="00AC7D59"/>
    <w:rsid w:val="00AD033B"/>
    <w:rsid w:val="00AD0467"/>
    <w:rsid w:val="00AD2045"/>
    <w:rsid w:val="00AD3142"/>
    <w:rsid w:val="00AD31A3"/>
    <w:rsid w:val="00AD34D1"/>
    <w:rsid w:val="00AD3807"/>
    <w:rsid w:val="00AD4913"/>
    <w:rsid w:val="00AD55C7"/>
    <w:rsid w:val="00AD570C"/>
    <w:rsid w:val="00AD6387"/>
    <w:rsid w:val="00AD6C17"/>
    <w:rsid w:val="00AD6D11"/>
    <w:rsid w:val="00AE04E2"/>
    <w:rsid w:val="00AE0CDA"/>
    <w:rsid w:val="00AE1109"/>
    <w:rsid w:val="00AE174F"/>
    <w:rsid w:val="00AE1891"/>
    <w:rsid w:val="00AE1ECE"/>
    <w:rsid w:val="00AE209D"/>
    <w:rsid w:val="00AE3476"/>
    <w:rsid w:val="00AE3F70"/>
    <w:rsid w:val="00AE42A6"/>
    <w:rsid w:val="00AE4B04"/>
    <w:rsid w:val="00AE4BC1"/>
    <w:rsid w:val="00AE4FA2"/>
    <w:rsid w:val="00AE511A"/>
    <w:rsid w:val="00AE6DED"/>
    <w:rsid w:val="00AE78B8"/>
    <w:rsid w:val="00AE7D22"/>
    <w:rsid w:val="00AF038C"/>
    <w:rsid w:val="00AF0795"/>
    <w:rsid w:val="00AF164F"/>
    <w:rsid w:val="00AF1C7D"/>
    <w:rsid w:val="00AF2A0A"/>
    <w:rsid w:val="00AF5B09"/>
    <w:rsid w:val="00AF6686"/>
    <w:rsid w:val="00AF6B16"/>
    <w:rsid w:val="00AF72F5"/>
    <w:rsid w:val="00AF79AA"/>
    <w:rsid w:val="00B00B4E"/>
    <w:rsid w:val="00B01306"/>
    <w:rsid w:val="00B01BF1"/>
    <w:rsid w:val="00B01FE1"/>
    <w:rsid w:val="00B0280B"/>
    <w:rsid w:val="00B03979"/>
    <w:rsid w:val="00B040A1"/>
    <w:rsid w:val="00B06694"/>
    <w:rsid w:val="00B06EB2"/>
    <w:rsid w:val="00B1019E"/>
    <w:rsid w:val="00B117F1"/>
    <w:rsid w:val="00B122C4"/>
    <w:rsid w:val="00B12A5D"/>
    <w:rsid w:val="00B13A3D"/>
    <w:rsid w:val="00B13D04"/>
    <w:rsid w:val="00B14D17"/>
    <w:rsid w:val="00B14EBC"/>
    <w:rsid w:val="00B155BD"/>
    <w:rsid w:val="00B161BB"/>
    <w:rsid w:val="00B16CD4"/>
    <w:rsid w:val="00B17211"/>
    <w:rsid w:val="00B20E39"/>
    <w:rsid w:val="00B22BB8"/>
    <w:rsid w:val="00B22D54"/>
    <w:rsid w:val="00B231B5"/>
    <w:rsid w:val="00B23A39"/>
    <w:rsid w:val="00B249F6"/>
    <w:rsid w:val="00B24EA8"/>
    <w:rsid w:val="00B24ED8"/>
    <w:rsid w:val="00B25026"/>
    <w:rsid w:val="00B25846"/>
    <w:rsid w:val="00B25D08"/>
    <w:rsid w:val="00B26DD2"/>
    <w:rsid w:val="00B26FB7"/>
    <w:rsid w:val="00B30D83"/>
    <w:rsid w:val="00B310AD"/>
    <w:rsid w:val="00B318E1"/>
    <w:rsid w:val="00B318FC"/>
    <w:rsid w:val="00B324B1"/>
    <w:rsid w:val="00B324C6"/>
    <w:rsid w:val="00B32761"/>
    <w:rsid w:val="00B32933"/>
    <w:rsid w:val="00B32CDF"/>
    <w:rsid w:val="00B33654"/>
    <w:rsid w:val="00B33818"/>
    <w:rsid w:val="00B33A17"/>
    <w:rsid w:val="00B34AC0"/>
    <w:rsid w:val="00B34BE3"/>
    <w:rsid w:val="00B35451"/>
    <w:rsid w:val="00B357A7"/>
    <w:rsid w:val="00B377A6"/>
    <w:rsid w:val="00B37B56"/>
    <w:rsid w:val="00B37C00"/>
    <w:rsid w:val="00B40565"/>
    <w:rsid w:val="00B41501"/>
    <w:rsid w:val="00B41B9B"/>
    <w:rsid w:val="00B423D1"/>
    <w:rsid w:val="00B43333"/>
    <w:rsid w:val="00B4396A"/>
    <w:rsid w:val="00B43AA0"/>
    <w:rsid w:val="00B43ABA"/>
    <w:rsid w:val="00B44123"/>
    <w:rsid w:val="00B44EC5"/>
    <w:rsid w:val="00B45093"/>
    <w:rsid w:val="00B45C0B"/>
    <w:rsid w:val="00B45CA6"/>
    <w:rsid w:val="00B46305"/>
    <w:rsid w:val="00B46908"/>
    <w:rsid w:val="00B4725F"/>
    <w:rsid w:val="00B474D0"/>
    <w:rsid w:val="00B50F17"/>
    <w:rsid w:val="00B5138E"/>
    <w:rsid w:val="00B51C64"/>
    <w:rsid w:val="00B51E84"/>
    <w:rsid w:val="00B51EEA"/>
    <w:rsid w:val="00B53062"/>
    <w:rsid w:val="00B53A1D"/>
    <w:rsid w:val="00B54417"/>
    <w:rsid w:val="00B54E8B"/>
    <w:rsid w:val="00B564CD"/>
    <w:rsid w:val="00B568F2"/>
    <w:rsid w:val="00B57773"/>
    <w:rsid w:val="00B57A89"/>
    <w:rsid w:val="00B57E5B"/>
    <w:rsid w:val="00B607B7"/>
    <w:rsid w:val="00B6080F"/>
    <w:rsid w:val="00B60A4B"/>
    <w:rsid w:val="00B61120"/>
    <w:rsid w:val="00B611FF"/>
    <w:rsid w:val="00B61598"/>
    <w:rsid w:val="00B61A98"/>
    <w:rsid w:val="00B6352C"/>
    <w:rsid w:val="00B6393D"/>
    <w:rsid w:val="00B645A0"/>
    <w:rsid w:val="00B65642"/>
    <w:rsid w:val="00B6572B"/>
    <w:rsid w:val="00B65B05"/>
    <w:rsid w:val="00B660EB"/>
    <w:rsid w:val="00B673D0"/>
    <w:rsid w:val="00B674C7"/>
    <w:rsid w:val="00B67EE6"/>
    <w:rsid w:val="00B67EEB"/>
    <w:rsid w:val="00B71DC0"/>
    <w:rsid w:val="00B7226E"/>
    <w:rsid w:val="00B72EC9"/>
    <w:rsid w:val="00B73039"/>
    <w:rsid w:val="00B7329C"/>
    <w:rsid w:val="00B742E8"/>
    <w:rsid w:val="00B74593"/>
    <w:rsid w:val="00B746B0"/>
    <w:rsid w:val="00B749CE"/>
    <w:rsid w:val="00B7552B"/>
    <w:rsid w:val="00B759AA"/>
    <w:rsid w:val="00B76539"/>
    <w:rsid w:val="00B7732C"/>
    <w:rsid w:val="00B77583"/>
    <w:rsid w:val="00B776FA"/>
    <w:rsid w:val="00B77848"/>
    <w:rsid w:val="00B80212"/>
    <w:rsid w:val="00B812C7"/>
    <w:rsid w:val="00B8218C"/>
    <w:rsid w:val="00B824F9"/>
    <w:rsid w:val="00B8316E"/>
    <w:rsid w:val="00B8344A"/>
    <w:rsid w:val="00B84E9F"/>
    <w:rsid w:val="00B85225"/>
    <w:rsid w:val="00B85480"/>
    <w:rsid w:val="00B85CCD"/>
    <w:rsid w:val="00B8614B"/>
    <w:rsid w:val="00B86510"/>
    <w:rsid w:val="00B865FF"/>
    <w:rsid w:val="00B87623"/>
    <w:rsid w:val="00B8797E"/>
    <w:rsid w:val="00B87D28"/>
    <w:rsid w:val="00B87D78"/>
    <w:rsid w:val="00B90601"/>
    <w:rsid w:val="00B90E3E"/>
    <w:rsid w:val="00B9140D"/>
    <w:rsid w:val="00B91B51"/>
    <w:rsid w:val="00B923E1"/>
    <w:rsid w:val="00B92DF1"/>
    <w:rsid w:val="00B93ED5"/>
    <w:rsid w:val="00B95794"/>
    <w:rsid w:val="00B95839"/>
    <w:rsid w:val="00B96759"/>
    <w:rsid w:val="00B97A9C"/>
    <w:rsid w:val="00BA0685"/>
    <w:rsid w:val="00BA0E18"/>
    <w:rsid w:val="00BA1B81"/>
    <w:rsid w:val="00BA3014"/>
    <w:rsid w:val="00BA42B1"/>
    <w:rsid w:val="00BA47E4"/>
    <w:rsid w:val="00BA4AB7"/>
    <w:rsid w:val="00BA5059"/>
    <w:rsid w:val="00BA50CA"/>
    <w:rsid w:val="00BA65FC"/>
    <w:rsid w:val="00BA68DD"/>
    <w:rsid w:val="00BA6E31"/>
    <w:rsid w:val="00BA7849"/>
    <w:rsid w:val="00BB0044"/>
    <w:rsid w:val="00BB1949"/>
    <w:rsid w:val="00BB26D1"/>
    <w:rsid w:val="00BB30A9"/>
    <w:rsid w:val="00BB47FA"/>
    <w:rsid w:val="00BB4CDD"/>
    <w:rsid w:val="00BB5E61"/>
    <w:rsid w:val="00BB62F3"/>
    <w:rsid w:val="00BB721B"/>
    <w:rsid w:val="00BB76CC"/>
    <w:rsid w:val="00BB78AD"/>
    <w:rsid w:val="00BB7D79"/>
    <w:rsid w:val="00BC01C9"/>
    <w:rsid w:val="00BC212E"/>
    <w:rsid w:val="00BC27F7"/>
    <w:rsid w:val="00BC338B"/>
    <w:rsid w:val="00BC417A"/>
    <w:rsid w:val="00BC4981"/>
    <w:rsid w:val="00BC5E23"/>
    <w:rsid w:val="00BC65F9"/>
    <w:rsid w:val="00BC77A8"/>
    <w:rsid w:val="00BD1254"/>
    <w:rsid w:val="00BD19D9"/>
    <w:rsid w:val="00BD2759"/>
    <w:rsid w:val="00BD298A"/>
    <w:rsid w:val="00BD2C78"/>
    <w:rsid w:val="00BD2F8E"/>
    <w:rsid w:val="00BD39DC"/>
    <w:rsid w:val="00BD3C71"/>
    <w:rsid w:val="00BD4615"/>
    <w:rsid w:val="00BD5A2E"/>
    <w:rsid w:val="00BD6EF6"/>
    <w:rsid w:val="00BD6FEE"/>
    <w:rsid w:val="00BD70A5"/>
    <w:rsid w:val="00BD77E5"/>
    <w:rsid w:val="00BE0B4B"/>
    <w:rsid w:val="00BE165D"/>
    <w:rsid w:val="00BE1A56"/>
    <w:rsid w:val="00BE20A8"/>
    <w:rsid w:val="00BE23D5"/>
    <w:rsid w:val="00BE273B"/>
    <w:rsid w:val="00BE320D"/>
    <w:rsid w:val="00BE3635"/>
    <w:rsid w:val="00BE3BFA"/>
    <w:rsid w:val="00BE3ECD"/>
    <w:rsid w:val="00BE4A89"/>
    <w:rsid w:val="00BE4C6A"/>
    <w:rsid w:val="00BE72A1"/>
    <w:rsid w:val="00BE7375"/>
    <w:rsid w:val="00BE75E7"/>
    <w:rsid w:val="00BE7FC9"/>
    <w:rsid w:val="00BF0011"/>
    <w:rsid w:val="00BF27A2"/>
    <w:rsid w:val="00BF2EB2"/>
    <w:rsid w:val="00BF3B58"/>
    <w:rsid w:val="00BF3BC9"/>
    <w:rsid w:val="00BF4185"/>
    <w:rsid w:val="00BF4EC5"/>
    <w:rsid w:val="00BF52F0"/>
    <w:rsid w:val="00BF56A5"/>
    <w:rsid w:val="00BF5AF7"/>
    <w:rsid w:val="00BF6E5B"/>
    <w:rsid w:val="00BF753E"/>
    <w:rsid w:val="00BF7DF8"/>
    <w:rsid w:val="00C002C1"/>
    <w:rsid w:val="00C019A0"/>
    <w:rsid w:val="00C03156"/>
    <w:rsid w:val="00C04496"/>
    <w:rsid w:val="00C04B63"/>
    <w:rsid w:val="00C04EA3"/>
    <w:rsid w:val="00C05C3D"/>
    <w:rsid w:val="00C06527"/>
    <w:rsid w:val="00C0704E"/>
    <w:rsid w:val="00C07BE7"/>
    <w:rsid w:val="00C107DB"/>
    <w:rsid w:val="00C11819"/>
    <w:rsid w:val="00C12896"/>
    <w:rsid w:val="00C12BC2"/>
    <w:rsid w:val="00C12E11"/>
    <w:rsid w:val="00C13DB7"/>
    <w:rsid w:val="00C143E3"/>
    <w:rsid w:val="00C161C9"/>
    <w:rsid w:val="00C16281"/>
    <w:rsid w:val="00C17F6E"/>
    <w:rsid w:val="00C20192"/>
    <w:rsid w:val="00C2059E"/>
    <w:rsid w:val="00C20884"/>
    <w:rsid w:val="00C20A26"/>
    <w:rsid w:val="00C20D33"/>
    <w:rsid w:val="00C2299D"/>
    <w:rsid w:val="00C236EE"/>
    <w:rsid w:val="00C23D28"/>
    <w:rsid w:val="00C23E3F"/>
    <w:rsid w:val="00C24A7E"/>
    <w:rsid w:val="00C25D9C"/>
    <w:rsid w:val="00C2663F"/>
    <w:rsid w:val="00C27ABB"/>
    <w:rsid w:val="00C310B8"/>
    <w:rsid w:val="00C32128"/>
    <w:rsid w:val="00C332BF"/>
    <w:rsid w:val="00C350A6"/>
    <w:rsid w:val="00C35663"/>
    <w:rsid w:val="00C358D4"/>
    <w:rsid w:val="00C35B05"/>
    <w:rsid w:val="00C35CC1"/>
    <w:rsid w:val="00C3627B"/>
    <w:rsid w:val="00C410E0"/>
    <w:rsid w:val="00C41201"/>
    <w:rsid w:val="00C41289"/>
    <w:rsid w:val="00C42BA3"/>
    <w:rsid w:val="00C42CB7"/>
    <w:rsid w:val="00C42F90"/>
    <w:rsid w:val="00C43590"/>
    <w:rsid w:val="00C43A1B"/>
    <w:rsid w:val="00C43EC9"/>
    <w:rsid w:val="00C4430F"/>
    <w:rsid w:val="00C44969"/>
    <w:rsid w:val="00C452D6"/>
    <w:rsid w:val="00C45750"/>
    <w:rsid w:val="00C4597B"/>
    <w:rsid w:val="00C45A54"/>
    <w:rsid w:val="00C45D0A"/>
    <w:rsid w:val="00C463DC"/>
    <w:rsid w:val="00C46FE2"/>
    <w:rsid w:val="00C47456"/>
    <w:rsid w:val="00C502F3"/>
    <w:rsid w:val="00C50954"/>
    <w:rsid w:val="00C5198C"/>
    <w:rsid w:val="00C525F7"/>
    <w:rsid w:val="00C5275F"/>
    <w:rsid w:val="00C533B4"/>
    <w:rsid w:val="00C53B3A"/>
    <w:rsid w:val="00C54467"/>
    <w:rsid w:val="00C54BEB"/>
    <w:rsid w:val="00C54D1B"/>
    <w:rsid w:val="00C55407"/>
    <w:rsid w:val="00C55592"/>
    <w:rsid w:val="00C56C78"/>
    <w:rsid w:val="00C57169"/>
    <w:rsid w:val="00C57FE5"/>
    <w:rsid w:val="00C60EC2"/>
    <w:rsid w:val="00C61DC2"/>
    <w:rsid w:val="00C632A8"/>
    <w:rsid w:val="00C63BB2"/>
    <w:rsid w:val="00C63F60"/>
    <w:rsid w:val="00C646E9"/>
    <w:rsid w:val="00C6787B"/>
    <w:rsid w:val="00C70429"/>
    <w:rsid w:val="00C707DB"/>
    <w:rsid w:val="00C7080B"/>
    <w:rsid w:val="00C70F6E"/>
    <w:rsid w:val="00C713FB"/>
    <w:rsid w:val="00C71E99"/>
    <w:rsid w:val="00C720A4"/>
    <w:rsid w:val="00C724FA"/>
    <w:rsid w:val="00C73B52"/>
    <w:rsid w:val="00C7454F"/>
    <w:rsid w:val="00C74D2A"/>
    <w:rsid w:val="00C75395"/>
    <w:rsid w:val="00C76B88"/>
    <w:rsid w:val="00C7702C"/>
    <w:rsid w:val="00C80975"/>
    <w:rsid w:val="00C80EF0"/>
    <w:rsid w:val="00C814F8"/>
    <w:rsid w:val="00C844F9"/>
    <w:rsid w:val="00C85E5B"/>
    <w:rsid w:val="00C85FE4"/>
    <w:rsid w:val="00C87276"/>
    <w:rsid w:val="00C8776B"/>
    <w:rsid w:val="00C9030A"/>
    <w:rsid w:val="00C90B5C"/>
    <w:rsid w:val="00C91A79"/>
    <w:rsid w:val="00C928B3"/>
    <w:rsid w:val="00C92B6B"/>
    <w:rsid w:val="00C942CA"/>
    <w:rsid w:val="00C94625"/>
    <w:rsid w:val="00C94801"/>
    <w:rsid w:val="00C94E3B"/>
    <w:rsid w:val="00C95454"/>
    <w:rsid w:val="00C95819"/>
    <w:rsid w:val="00C95E1F"/>
    <w:rsid w:val="00C96E97"/>
    <w:rsid w:val="00C97753"/>
    <w:rsid w:val="00CA0963"/>
    <w:rsid w:val="00CA0A30"/>
    <w:rsid w:val="00CA0EED"/>
    <w:rsid w:val="00CA1A82"/>
    <w:rsid w:val="00CA1B7E"/>
    <w:rsid w:val="00CA3A38"/>
    <w:rsid w:val="00CA3EB9"/>
    <w:rsid w:val="00CA4D83"/>
    <w:rsid w:val="00CA52CE"/>
    <w:rsid w:val="00CA66C6"/>
    <w:rsid w:val="00CA75D7"/>
    <w:rsid w:val="00CA7975"/>
    <w:rsid w:val="00CB0DF7"/>
    <w:rsid w:val="00CB1B5C"/>
    <w:rsid w:val="00CB29E8"/>
    <w:rsid w:val="00CB2AB2"/>
    <w:rsid w:val="00CB2D21"/>
    <w:rsid w:val="00CB3B73"/>
    <w:rsid w:val="00CB3CBB"/>
    <w:rsid w:val="00CB3CFC"/>
    <w:rsid w:val="00CB45F8"/>
    <w:rsid w:val="00CB4689"/>
    <w:rsid w:val="00CB4D92"/>
    <w:rsid w:val="00CB608C"/>
    <w:rsid w:val="00CB62C3"/>
    <w:rsid w:val="00CB6B43"/>
    <w:rsid w:val="00CB6FAA"/>
    <w:rsid w:val="00CB7049"/>
    <w:rsid w:val="00CC1858"/>
    <w:rsid w:val="00CC1BE9"/>
    <w:rsid w:val="00CC1BF2"/>
    <w:rsid w:val="00CC1D2D"/>
    <w:rsid w:val="00CC2669"/>
    <w:rsid w:val="00CC2A23"/>
    <w:rsid w:val="00CC3723"/>
    <w:rsid w:val="00CC372F"/>
    <w:rsid w:val="00CC3B27"/>
    <w:rsid w:val="00CC5924"/>
    <w:rsid w:val="00CC5973"/>
    <w:rsid w:val="00CC5E5D"/>
    <w:rsid w:val="00CC5EE5"/>
    <w:rsid w:val="00CC6B88"/>
    <w:rsid w:val="00CD0FC7"/>
    <w:rsid w:val="00CD17A9"/>
    <w:rsid w:val="00CD1A1C"/>
    <w:rsid w:val="00CD1E6E"/>
    <w:rsid w:val="00CD2401"/>
    <w:rsid w:val="00CD2812"/>
    <w:rsid w:val="00CD362B"/>
    <w:rsid w:val="00CD3A70"/>
    <w:rsid w:val="00CD4809"/>
    <w:rsid w:val="00CD4C2D"/>
    <w:rsid w:val="00CD5048"/>
    <w:rsid w:val="00CD56E8"/>
    <w:rsid w:val="00CD56EC"/>
    <w:rsid w:val="00CD6210"/>
    <w:rsid w:val="00CD6352"/>
    <w:rsid w:val="00CD6AB6"/>
    <w:rsid w:val="00CD7AB2"/>
    <w:rsid w:val="00CE00E3"/>
    <w:rsid w:val="00CE0602"/>
    <w:rsid w:val="00CE09A2"/>
    <w:rsid w:val="00CE0A11"/>
    <w:rsid w:val="00CE145C"/>
    <w:rsid w:val="00CE1FB1"/>
    <w:rsid w:val="00CE252F"/>
    <w:rsid w:val="00CE2867"/>
    <w:rsid w:val="00CE3979"/>
    <w:rsid w:val="00CE4489"/>
    <w:rsid w:val="00CE44AA"/>
    <w:rsid w:val="00CE589E"/>
    <w:rsid w:val="00CE5C13"/>
    <w:rsid w:val="00CE643E"/>
    <w:rsid w:val="00CE681D"/>
    <w:rsid w:val="00CF0399"/>
    <w:rsid w:val="00CF271D"/>
    <w:rsid w:val="00CF2CAC"/>
    <w:rsid w:val="00CF310C"/>
    <w:rsid w:val="00CF3FCC"/>
    <w:rsid w:val="00CF5383"/>
    <w:rsid w:val="00CF67D5"/>
    <w:rsid w:val="00CF6E4B"/>
    <w:rsid w:val="00CF6E5D"/>
    <w:rsid w:val="00CF6E7B"/>
    <w:rsid w:val="00CF7049"/>
    <w:rsid w:val="00CF7D88"/>
    <w:rsid w:val="00D01619"/>
    <w:rsid w:val="00D017BF"/>
    <w:rsid w:val="00D034BA"/>
    <w:rsid w:val="00D03C08"/>
    <w:rsid w:val="00D03F75"/>
    <w:rsid w:val="00D04ECE"/>
    <w:rsid w:val="00D0503B"/>
    <w:rsid w:val="00D06639"/>
    <w:rsid w:val="00D06B5B"/>
    <w:rsid w:val="00D0761C"/>
    <w:rsid w:val="00D07960"/>
    <w:rsid w:val="00D100D4"/>
    <w:rsid w:val="00D11398"/>
    <w:rsid w:val="00D11C14"/>
    <w:rsid w:val="00D1291E"/>
    <w:rsid w:val="00D13260"/>
    <w:rsid w:val="00D13A1A"/>
    <w:rsid w:val="00D14889"/>
    <w:rsid w:val="00D16177"/>
    <w:rsid w:val="00D176AC"/>
    <w:rsid w:val="00D202D9"/>
    <w:rsid w:val="00D21B9B"/>
    <w:rsid w:val="00D21E75"/>
    <w:rsid w:val="00D22406"/>
    <w:rsid w:val="00D23206"/>
    <w:rsid w:val="00D23B05"/>
    <w:rsid w:val="00D23BF4"/>
    <w:rsid w:val="00D259B3"/>
    <w:rsid w:val="00D2627A"/>
    <w:rsid w:val="00D26F7B"/>
    <w:rsid w:val="00D2783D"/>
    <w:rsid w:val="00D3003C"/>
    <w:rsid w:val="00D30540"/>
    <w:rsid w:val="00D3296C"/>
    <w:rsid w:val="00D32C12"/>
    <w:rsid w:val="00D32C85"/>
    <w:rsid w:val="00D32F71"/>
    <w:rsid w:val="00D338EB"/>
    <w:rsid w:val="00D33FEF"/>
    <w:rsid w:val="00D35B96"/>
    <w:rsid w:val="00D36C6F"/>
    <w:rsid w:val="00D36D5E"/>
    <w:rsid w:val="00D37675"/>
    <w:rsid w:val="00D3780C"/>
    <w:rsid w:val="00D37C74"/>
    <w:rsid w:val="00D37ED5"/>
    <w:rsid w:val="00D4042C"/>
    <w:rsid w:val="00D41998"/>
    <w:rsid w:val="00D434B5"/>
    <w:rsid w:val="00D43C14"/>
    <w:rsid w:val="00D43EBA"/>
    <w:rsid w:val="00D446AF"/>
    <w:rsid w:val="00D44C42"/>
    <w:rsid w:val="00D45828"/>
    <w:rsid w:val="00D464E5"/>
    <w:rsid w:val="00D46F79"/>
    <w:rsid w:val="00D47385"/>
    <w:rsid w:val="00D51050"/>
    <w:rsid w:val="00D52982"/>
    <w:rsid w:val="00D53A05"/>
    <w:rsid w:val="00D53A2B"/>
    <w:rsid w:val="00D53C90"/>
    <w:rsid w:val="00D54075"/>
    <w:rsid w:val="00D541F1"/>
    <w:rsid w:val="00D5421E"/>
    <w:rsid w:val="00D543ED"/>
    <w:rsid w:val="00D55467"/>
    <w:rsid w:val="00D554B3"/>
    <w:rsid w:val="00D55855"/>
    <w:rsid w:val="00D55AE8"/>
    <w:rsid w:val="00D55E2F"/>
    <w:rsid w:val="00D55F02"/>
    <w:rsid w:val="00D56803"/>
    <w:rsid w:val="00D57088"/>
    <w:rsid w:val="00D570FC"/>
    <w:rsid w:val="00D571E0"/>
    <w:rsid w:val="00D57AEE"/>
    <w:rsid w:val="00D6016A"/>
    <w:rsid w:val="00D60C14"/>
    <w:rsid w:val="00D61283"/>
    <w:rsid w:val="00D61396"/>
    <w:rsid w:val="00D6194E"/>
    <w:rsid w:val="00D61D6D"/>
    <w:rsid w:val="00D61DA0"/>
    <w:rsid w:val="00D625DD"/>
    <w:rsid w:val="00D62C8E"/>
    <w:rsid w:val="00D63C42"/>
    <w:rsid w:val="00D667E6"/>
    <w:rsid w:val="00D66A58"/>
    <w:rsid w:val="00D66C55"/>
    <w:rsid w:val="00D673FA"/>
    <w:rsid w:val="00D67FE8"/>
    <w:rsid w:val="00D70474"/>
    <w:rsid w:val="00D70BBC"/>
    <w:rsid w:val="00D71B91"/>
    <w:rsid w:val="00D72577"/>
    <w:rsid w:val="00D727E3"/>
    <w:rsid w:val="00D72E3C"/>
    <w:rsid w:val="00D73198"/>
    <w:rsid w:val="00D7333C"/>
    <w:rsid w:val="00D7338A"/>
    <w:rsid w:val="00D73D1B"/>
    <w:rsid w:val="00D746D9"/>
    <w:rsid w:val="00D74D36"/>
    <w:rsid w:val="00D7565E"/>
    <w:rsid w:val="00D759D9"/>
    <w:rsid w:val="00D764FE"/>
    <w:rsid w:val="00D76C19"/>
    <w:rsid w:val="00D7742A"/>
    <w:rsid w:val="00D77CBD"/>
    <w:rsid w:val="00D77DFF"/>
    <w:rsid w:val="00D77E08"/>
    <w:rsid w:val="00D8006B"/>
    <w:rsid w:val="00D8090A"/>
    <w:rsid w:val="00D80B79"/>
    <w:rsid w:val="00D81262"/>
    <w:rsid w:val="00D81499"/>
    <w:rsid w:val="00D82EEE"/>
    <w:rsid w:val="00D83F8C"/>
    <w:rsid w:val="00D850A2"/>
    <w:rsid w:val="00D85992"/>
    <w:rsid w:val="00D85BE8"/>
    <w:rsid w:val="00D86001"/>
    <w:rsid w:val="00D86AD5"/>
    <w:rsid w:val="00D87266"/>
    <w:rsid w:val="00D90E3D"/>
    <w:rsid w:val="00D9182B"/>
    <w:rsid w:val="00D9230A"/>
    <w:rsid w:val="00D92E48"/>
    <w:rsid w:val="00D92F74"/>
    <w:rsid w:val="00D92F9C"/>
    <w:rsid w:val="00D933CF"/>
    <w:rsid w:val="00D93814"/>
    <w:rsid w:val="00D93C36"/>
    <w:rsid w:val="00D94D9D"/>
    <w:rsid w:val="00D94F9B"/>
    <w:rsid w:val="00D9646E"/>
    <w:rsid w:val="00D966D5"/>
    <w:rsid w:val="00D9682A"/>
    <w:rsid w:val="00D97FE1"/>
    <w:rsid w:val="00DA0315"/>
    <w:rsid w:val="00DA0A0A"/>
    <w:rsid w:val="00DA1E80"/>
    <w:rsid w:val="00DA2689"/>
    <w:rsid w:val="00DA2828"/>
    <w:rsid w:val="00DA2E1A"/>
    <w:rsid w:val="00DA42DF"/>
    <w:rsid w:val="00DA6814"/>
    <w:rsid w:val="00DA6FEE"/>
    <w:rsid w:val="00DA7482"/>
    <w:rsid w:val="00DA7D02"/>
    <w:rsid w:val="00DA7E37"/>
    <w:rsid w:val="00DB001E"/>
    <w:rsid w:val="00DB0CA6"/>
    <w:rsid w:val="00DB0DFC"/>
    <w:rsid w:val="00DB13EA"/>
    <w:rsid w:val="00DB1910"/>
    <w:rsid w:val="00DB30E5"/>
    <w:rsid w:val="00DB39FF"/>
    <w:rsid w:val="00DB3CB5"/>
    <w:rsid w:val="00DB3E5E"/>
    <w:rsid w:val="00DB6221"/>
    <w:rsid w:val="00DB6267"/>
    <w:rsid w:val="00DB639A"/>
    <w:rsid w:val="00DC0210"/>
    <w:rsid w:val="00DC08F0"/>
    <w:rsid w:val="00DC171E"/>
    <w:rsid w:val="00DC184B"/>
    <w:rsid w:val="00DC1ED2"/>
    <w:rsid w:val="00DC2210"/>
    <w:rsid w:val="00DC2F66"/>
    <w:rsid w:val="00DC3165"/>
    <w:rsid w:val="00DC3C1A"/>
    <w:rsid w:val="00DC4661"/>
    <w:rsid w:val="00DC606D"/>
    <w:rsid w:val="00DC7C68"/>
    <w:rsid w:val="00DC7F77"/>
    <w:rsid w:val="00DD0B19"/>
    <w:rsid w:val="00DD1538"/>
    <w:rsid w:val="00DD15DA"/>
    <w:rsid w:val="00DD1780"/>
    <w:rsid w:val="00DD1DDD"/>
    <w:rsid w:val="00DD2D39"/>
    <w:rsid w:val="00DD318B"/>
    <w:rsid w:val="00DD38A6"/>
    <w:rsid w:val="00DD45E9"/>
    <w:rsid w:val="00DD4D52"/>
    <w:rsid w:val="00DD4E2C"/>
    <w:rsid w:val="00DD5310"/>
    <w:rsid w:val="00DD5E28"/>
    <w:rsid w:val="00DD6040"/>
    <w:rsid w:val="00DD6607"/>
    <w:rsid w:val="00DD6685"/>
    <w:rsid w:val="00DD7495"/>
    <w:rsid w:val="00DD75A8"/>
    <w:rsid w:val="00DD7EFA"/>
    <w:rsid w:val="00DE0006"/>
    <w:rsid w:val="00DE0019"/>
    <w:rsid w:val="00DE035D"/>
    <w:rsid w:val="00DE0442"/>
    <w:rsid w:val="00DE16E4"/>
    <w:rsid w:val="00DE17FD"/>
    <w:rsid w:val="00DE1D1F"/>
    <w:rsid w:val="00DE1DFC"/>
    <w:rsid w:val="00DE21A0"/>
    <w:rsid w:val="00DE290A"/>
    <w:rsid w:val="00DE2D8F"/>
    <w:rsid w:val="00DE4107"/>
    <w:rsid w:val="00DE4388"/>
    <w:rsid w:val="00DE462D"/>
    <w:rsid w:val="00DE5475"/>
    <w:rsid w:val="00DE5A25"/>
    <w:rsid w:val="00DE61DD"/>
    <w:rsid w:val="00DE637F"/>
    <w:rsid w:val="00DE6583"/>
    <w:rsid w:val="00DE6C49"/>
    <w:rsid w:val="00DE6DCD"/>
    <w:rsid w:val="00DE732E"/>
    <w:rsid w:val="00DE7338"/>
    <w:rsid w:val="00DE7683"/>
    <w:rsid w:val="00DF011B"/>
    <w:rsid w:val="00DF18FE"/>
    <w:rsid w:val="00DF21C4"/>
    <w:rsid w:val="00DF2285"/>
    <w:rsid w:val="00DF2C5A"/>
    <w:rsid w:val="00DF3268"/>
    <w:rsid w:val="00DF4FE0"/>
    <w:rsid w:val="00DF55C3"/>
    <w:rsid w:val="00DF55F3"/>
    <w:rsid w:val="00E0086E"/>
    <w:rsid w:val="00E0099C"/>
    <w:rsid w:val="00E00C01"/>
    <w:rsid w:val="00E01B1B"/>
    <w:rsid w:val="00E020AD"/>
    <w:rsid w:val="00E030A7"/>
    <w:rsid w:val="00E032C3"/>
    <w:rsid w:val="00E034AB"/>
    <w:rsid w:val="00E03550"/>
    <w:rsid w:val="00E04F5C"/>
    <w:rsid w:val="00E060D4"/>
    <w:rsid w:val="00E06279"/>
    <w:rsid w:val="00E06434"/>
    <w:rsid w:val="00E06FBD"/>
    <w:rsid w:val="00E101ED"/>
    <w:rsid w:val="00E10B63"/>
    <w:rsid w:val="00E10D19"/>
    <w:rsid w:val="00E12832"/>
    <w:rsid w:val="00E12B9B"/>
    <w:rsid w:val="00E13423"/>
    <w:rsid w:val="00E13661"/>
    <w:rsid w:val="00E14294"/>
    <w:rsid w:val="00E15EAF"/>
    <w:rsid w:val="00E16A0E"/>
    <w:rsid w:val="00E17683"/>
    <w:rsid w:val="00E20A06"/>
    <w:rsid w:val="00E20ED2"/>
    <w:rsid w:val="00E20F55"/>
    <w:rsid w:val="00E22A0E"/>
    <w:rsid w:val="00E22ACF"/>
    <w:rsid w:val="00E23022"/>
    <w:rsid w:val="00E233C4"/>
    <w:rsid w:val="00E23F9D"/>
    <w:rsid w:val="00E24710"/>
    <w:rsid w:val="00E2546C"/>
    <w:rsid w:val="00E27398"/>
    <w:rsid w:val="00E27AED"/>
    <w:rsid w:val="00E31095"/>
    <w:rsid w:val="00E324BE"/>
    <w:rsid w:val="00E32517"/>
    <w:rsid w:val="00E3269B"/>
    <w:rsid w:val="00E33154"/>
    <w:rsid w:val="00E35CB4"/>
    <w:rsid w:val="00E36222"/>
    <w:rsid w:val="00E37469"/>
    <w:rsid w:val="00E4083C"/>
    <w:rsid w:val="00E4129A"/>
    <w:rsid w:val="00E41C24"/>
    <w:rsid w:val="00E423B4"/>
    <w:rsid w:val="00E424A5"/>
    <w:rsid w:val="00E42C06"/>
    <w:rsid w:val="00E42CC3"/>
    <w:rsid w:val="00E4350C"/>
    <w:rsid w:val="00E44386"/>
    <w:rsid w:val="00E45A8E"/>
    <w:rsid w:val="00E45FBE"/>
    <w:rsid w:val="00E4661E"/>
    <w:rsid w:val="00E46CC3"/>
    <w:rsid w:val="00E500A5"/>
    <w:rsid w:val="00E50103"/>
    <w:rsid w:val="00E5155C"/>
    <w:rsid w:val="00E5206B"/>
    <w:rsid w:val="00E5260A"/>
    <w:rsid w:val="00E528C3"/>
    <w:rsid w:val="00E532A4"/>
    <w:rsid w:val="00E53833"/>
    <w:rsid w:val="00E53AB0"/>
    <w:rsid w:val="00E53B53"/>
    <w:rsid w:val="00E5407E"/>
    <w:rsid w:val="00E55414"/>
    <w:rsid w:val="00E55966"/>
    <w:rsid w:val="00E55F0F"/>
    <w:rsid w:val="00E563E9"/>
    <w:rsid w:val="00E5710C"/>
    <w:rsid w:val="00E573ED"/>
    <w:rsid w:val="00E60B11"/>
    <w:rsid w:val="00E60CE1"/>
    <w:rsid w:val="00E60FAC"/>
    <w:rsid w:val="00E61113"/>
    <w:rsid w:val="00E62ED5"/>
    <w:rsid w:val="00E63E40"/>
    <w:rsid w:val="00E643F3"/>
    <w:rsid w:val="00E6444F"/>
    <w:rsid w:val="00E64B2E"/>
    <w:rsid w:val="00E654F9"/>
    <w:rsid w:val="00E65742"/>
    <w:rsid w:val="00E67276"/>
    <w:rsid w:val="00E6793F"/>
    <w:rsid w:val="00E70F96"/>
    <w:rsid w:val="00E71C5F"/>
    <w:rsid w:val="00E73721"/>
    <w:rsid w:val="00E7395E"/>
    <w:rsid w:val="00E74230"/>
    <w:rsid w:val="00E74EC5"/>
    <w:rsid w:val="00E759D6"/>
    <w:rsid w:val="00E7656C"/>
    <w:rsid w:val="00E765B5"/>
    <w:rsid w:val="00E77FEE"/>
    <w:rsid w:val="00E80319"/>
    <w:rsid w:val="00E80A90"/>
    <w:rsid w:val="00E82FBE"/>
    <w:rsid w:val="00E83905"/>
    <w:rsid w:val="00E842A5"/>
    <w:rsid w:val="00E84401"/>
    <w:rsid w:val="00E8481E"/>
    <w:rsid w:val="00E8486A"/>
    <w:rsid w:val="00E85111"/>
    <w:rsid w:val="00E85EB9"/>
    <w:rsid w:val="00E8654C"/>
    <w:rsid w:val="00E87210"/>
    <w:rsid w:val="00E8780B"/>
    <w:rsid w:val="00E913F3"/>
    <w:rsid w:val="00E9238F"/>
    <w:rsid w:val="00E93225"/>
    <w:rsid w:val="00E93768"/>
    <w:rsid w:val="00E93B48"/>
    <w:rsid w:val="00E947A8"/>
    <w:rsid w:val="00E95BB2"/>
    <w:rsid w:val="00E95E5B"/>
    <w:rsid w:val="00E9705D"/>
    <w:rsid w:val="00E970F6"/>
    <w:rsid w:val="00E973F5"/>
    <w:rsid w:val="00E97609"/>
    <w:rsid w:val="00EA06B3"/>
    <w:rsid w:val="00EA073D"/>
    <w:rsid w:val="00EA13FD"/>
    <w:rsid w:val="00EA186C"/>
    <w:rsid w:val="00EA1A9A"/>
    <w:rsid w:val="00EA1CF9"/>
    <w:rsid w:val="00EA1ED7"/>
    <w:rsid w:val="00EA2CE5"/>
    <w:rsid w:val="00EA3464"/>
    <w:rsid w:val="00EA4925"/>
    <w:rsid w:val="00EA4F15"/>
    <w:rsid w:val="00EA5231"/>
    <w:rsid w:val="00EA5EAD"/>
    <w:rsid w:val="00EA6A76"/>
    <w:rsid w:val="00EA776E"/>
    <w:rsid w:val="00EA7F88"/>
    <w:rsid w:val="00EB00D0"/>
    <w:rsid w:val="00EB0F84"/>
    <w:rsid w:val="00EB1574"/>
    <w:rsid w:val="00EB186F"/>
    <w:rsid w:val="00EB1BAD"/>
    <w:rsid w:val="00EB240D"/>
    <w:rsid w:val="00EB3DF1"/>
    <w:rsid w:val="00EB445E"/>
    <w:rsid w:val="00EB4592"/>
    <w:rsid w:val="00EB6769"/>
    <w:rsid w:val="00EB746E"/>
    <w:rsid w:val="00EB7B23"/>
    <w:rsid w:val="00EC115C"/>
    <w:rsid w:val="00EC2972"/>
    <w:rsid w:val="00EC3683"/>
    <w:rsid w:val="00EC3973"/>
    <w:rsid w:val="00EC4060"/>
    <w:rsid w:val="00EC4F2F"/>
    <w:rsid w:val="00EC5D2A"/>
    <w:rsid w:val="00EC5EE9"/>
    <w:rsid w:val="00EC70D6"/>
    <w:rsid w:val="00EC7711"/>
    <w:rsid w:val="00EC7904"/>
    <w:rsid w:val="00ED1222"/>
    <w:rsid w:val="00ED20D9"/>
    <w:rsid w:val="00ED320E"/>
    <w:rsid w:val="00ED3BF7"/>
    <w:rsid w:val="00ED4699"/>
    <w:rsid w:val="00ED47FE"/>
    <w:rsid w:val="00ED50BA"/>
    <w:rsid w:val="00ED63D1"/>
    <w:rsid w:val="00ED6B55"/>
    <w:rsid w:val="00ED7416"/>
    <w:rsid w:val="00EE04F8"/>
    <w:rsid w:val="00EE1DB7"/>
    <w:rsid w:val="00EE20B7"/>
    <w:rsid w:val="00EE323E"/>
    <w:rsid w:val="00EE4564"/>
    <w:rsid w:val="00EE4B80"/>
    <w:rsid w:val="00EE53C8"/>
    <w:rsid w:val="00EE5A9B"/>
    <w:rsid w:val="00EE6B7B"/>
    <w:rsid w:val="00EE7B38"/>
    <w:rsid w:val="00EF0215"/>
    <w:rsid w:val="00EF09E9"/>
    <w:rsid w:val="00EF0BD7"/>
    <w:rsid w:val="00EF12C9"/>
    <w:rsid w:val="00EF1F1F"/>
    <w:rsid w:val="00EF2657"/>
    <w:rsid w:val="00EF277A"/>
    <w:rsid w:val="00EF2A1B"/>
    <w:rsid w:val="00EF2FAD"/>
    <w:rsid w:val="00EF349C"/>
    <w:rsid w:val="00EF37C4"/>
    <w:rsid w:val="00EF3FB1"/>
    <w:rsid w:val="00EF4B66"/>
    <w:rsid w:val="00EF5349"/>
    <w:rsid w:val="00EF5654"/>
    <w:rsid w:val="00EF6D22"/>
    <w:rsid w:val="00EF776F"/>
    <w:rsid w:val="00EF7A36"/>
    <w:rsid w:val="00EF7B40"/>
    <w:rsid w:val="00F00550"/>
    <w:rsid w:val="00F006E8"/>
    <w:rsid w:val="00F0149D"/>
    <w:rsid w:val="00F02E7A"/>
    <w:rsid w:val="00F02FB5"/>
    <w:rsid w:val="00F0351F"/>
    <w:rsid w:val="00F04357"/>
    <w:rsid w:val="00F04409"/>
    <w:rsid w:val="00F06BAF"/>
    <w:rsid w:val="00F07102"/>
    <w:rsid w:val="00F100DF"/>
    <w:rsid w:val="00F10115"/>
    <w:rsid w:val="00F10671"/>
    <w:rsid w:val="00F11169"/>
    <w:rsid w:val="00F11894"/>
    <w:rsid w:val="00F13927"/>
    <w:rsid w:val="00F145A1"/>
    <w:rsid w:val="00F15AB3"/>
    <w:rsid w:val="00F16311"/>
    <w:rsid w:val="00F16564"/>
    <w:rsid w:val="00F17721"/>
    <w:rsid w:val="00F200BF"/>
    <w:rsid w:val="00F20138"/>
    <w:rsid w:val="00F20BA3"/>
    <w:rsid w:val="00F215E1"/>
    <w:rsid w:val="00F21612"/>
    <w:rsid w:val="00F21E0B"/>
    <w:rsid w:val="00F22C12"/>
    <w:rsid w:val="00F2306B"/>
    <w:rsid w:val="00F236F7"/>
    <w:rsid w:val="00F23B62"/>
    <w:rsid w:val="00F23C95"/>
    <w:rsid w:val="00F24BBB"/>
    <w:rsid w:val="00F25B1B"/>
    <w:rsid w:val="00F25B4B"/>
    <w:rsid w:val="00F2668E"/>
    <w:rsid w:val="00F26EA4"/>
    <w:rsid w:val="00F26F5E"/>
    <w:rsid w:val="00F27F63"/>
    <w:rsid w:val="00F30F2F"/>
    <w:rsid w:val="00F326E1"/>
    <w:rsid w:val="00F32DD9"/>
    <w:rsid w:val="00F3483B"/>
    <w:rsid w:val="00F34AB2"/>
    <w:rsid w:val="00F34DAD"/>
    <w:rsid w:val="00F34FB9"/>
    <w:rsid w:val="00F354D2"/>
    <w:rsid w:val="00F35C1C"/>
    <w:rsid w:val="00F36A08"/>
    <w:rsid w:val="00F370DD"/>
    <w:rsid w:val="00F37262"/>
    <w:rsid w:val="00F402A2"/>
    <w:rsid w:val="00F418E6"/>
    <w:rsid w:val="00F423BB"/>
    <w:rsid w:val="00F425DC"/>
    <w:rsid w:val="00F43335"/>
    <w:rsid w:val="00F43838"/>
    <w:rsid w:val="00F43BE9"/>
    <w:rsid w:val="00F43C5E"/>
    <w:rsid w:val="00F4554E"/>
    <w:rsid w:val="00F4560A"/>
    <w:rsid w:val="00F46EF3"/>
    <w:rsid w:val="00F479B6"/>
    <w:rsid w:val="00F47A3F"/>
    <w:rsid w:val="00F47B63"/>
    <w:rsid w:val="00F504C0"/>
    <w:rsid w:val="00F5091F"/>
    <w:rsid w:val="00F5109C"/>
    <w:rsid w:val="00F512DC"/>
    <w:rsid w:val="00F51B54"/>
    <w:rsid w:val="00F51C44"/>
    <w:rsid w:val="00F51D63"/>
    <w:rsid w:val="00F529BC"/>
    <w:rsid w:val="00F54ABC"/>
    <w:rsid w:val="00F54AFF"/>
    <w:rsid w:val="00F54C27"/>
    <w:rsid w:val="00F554EC"/>
    <w:rsid w:val="00F56628"/>
    <w:rsid w:val="00F56E16"/>
    <w:rsid w:val="00F6064E"/>
    <w:rsid w:val="00F6223B"/>
    <w:rsid w:val="00F63219"/>
    <w:rsid w:val="00F64242"/>
    <w:rsid w:val="00F644EE"/>
    <w:rsid w:val="00F6514C"/>
    <w:rsid w:val="00F6680A"/>
    <w:rsid w:val="00F67198"/>
    <w:rsid w:val="00F67798"/>
    <w:rsid w:val="00F67982"/>
    <w:rsid w:val="00F67CE1"/>
    <w:rsid w:val="00F7048E"/>
    <w:rsid w:val="00F7122B"/>
    <w:rsid w:val="00F71677"/>
    <w:rsid w:val="00F74C81"/>
    <w:rsid w:val="00F751A0"/>
    <w:rsid w:val="00F76064"/>
    <w:rsid w:val="00F77B71"/>
    <w:rsid w:val="00F80561"/>
    <w:rsid w:val="00F80BD9"/>
    <w:rsid w:val="00F8189C"/>
    <w:rsid w:val="00F81BC4"/>
    <w:rsid w:val="00F82063"/>
    <w:rsid w:val="00F82204"/>
    <w:rsid w:val="00F82393"/>
    <w:rsid w:val="00F828D9"/>
    <w:rsid w:val="00F8316E"/>
    <w:rsid w:val="00F831C3"/>
    <w:rsid w:val="00F84188"/>
    <w:rsid w:val="00F8482D"/>
    <w:rsid w:val="00F8493D"/>
    <w:rsid w:val="00F85763"/>
    <w:rsid w:val="00F85C7E"/>
    <w:rsid w:val="00F864FF"/>
    <w:rsid w:val="00F86730"/>
    <w:rsid w:val="00F86A69"/>
    <w:rsid w:val="00F90733"/>
    <w:rsid w:val="00F92183"/>
    <w:rsid w:val="00F92440"/>
    <w:rsid w:val="00F926EA"/>
    <w:rsid w:val="00F93371"/>
    <w:rsid w:val="00F946EA"/>
    <w:rsid w:val="00F9574C"/>
    <w:rsid w:val="00F964A4"/>
    <w:rsid w:val="00F97285"/>
    <w:rsid w:val="00F9745D"/>
    <w:rsid w:val="00F9759C"/>
    <w:rsid w:val="00F97B81"/>
    <w:rsid w:val="00FA0167"/>
    <w:rsid w:val="00FA0B76"/>
    <w:rsid w:val="00FA0BC7"/>
    <w:rsid w:val="00FA225F"/>
    <w:rsid w:val="00FA24A0"/>
    <w:rsid w:val="00FA378C"/>
    <w:rsid w:val="00FA4041"/>
    <w:rsid w:val="00FA418F"/>
    <w:rsid w:val="00FA59EA"/>
    <w:rsid w:val="00FA5AEC"/>
    <w:rsid w:val="00FA6658"/>
    <w:rsid w:val="00FA6BB9"/>
    <w:rsid w:val="00FA6C68"/>
    <w:rsid w:val="00FA76C0"/>
    <w:rsid w:val="00FA7781"/>
    <w:rsid w:val="00FB1083"/>
    <w:rsid w:val="00FB1EBF"/>
    <w:rsid w:val="00FB1FE3"/>
    <w:rsid w:val="00FB2439"/>
    <w:rsid w:val="00FB31C7"/>
    <w:rsid w:val="00FB3391"/>
    <w:rsid w:val="00FB4E79"/>
    <w:rsid w:val="00FB56EC"/>
    <w:rsid w:val="00FB589D"/>
    <w:rsid w:val="00FB5E89"/>
    <w:rsid w:val="00FB7237"/>
    <w:rsid w:val="00FB7D4C"/>
    <w:rsid w:val="00FC0EDF"/>
    <w:rsid w:val="00FC24C9"/>
    <w:rsid w:val="00FC2919"/>
    <w:rsid w:val="00FC2B6B"/>
    <w:rsid w:val="00FC2C38"/>
    <w:rsid w:val="00FC2E16"/>
    <w:rsid w:val="00FC3810"/>
    <w:rsid w:val="00FC3F36"/>
    <w:rsid w:val="00FC429A"/>
    <w:rsid w:val="00FC4D9A"/>
    <w:rsid w:val="00FC5E79"/>
    <w:rsid w:val="00FC6D04"/>
    <w:rsid w:val="00FC73F8"/>
    <w:rsid w:val="00FC7710"/>
    <w:rsid w:val="00FC77B5"/>
    <w:rsid w:val="00FD0342"/>
    <w:rsid w:val="00FD1AFD"/>
    <w:rsid w:val="00FD2F76"/>
    <w:rsid w:val="00FD6605"/>
    <w:rsid w:val="00FD6809"/>
    <w:rsid w:val="00FD698B"/>
    <w:rsid w:val="00FD716A"/>
    <w:rsid w:val="00FD7443"/>
    <w:rsid w:val="00FE0394"/>
    <w:rsid w:val="00FE0673"/>
    <w:rsid w:val="00FE27DF"/>
    <w:rsid w:val="00FE3E50"/>
    <w:rsid w:val="00FE5873"/>
    <w:rsid w:val="00FE5B54"/>
    <w:rsid w:val="00FE7167"/>
    <w:rsid w:val="00FE72BF"/>
    <w:rsid w:val="00FF10B5"/>
    <w:rsid w:val="00FF1789"/>
    <w:rsid w:val="00FF1A3B"/>
    <w:rsid w:val="00FF1EBC"/>
    <w:rsid w:val="00FF1FDA"/>
    <w:rsid w:val="00FF2578"/>
    <w:rsid w:val="00FF3B5F"/>
    <w:rsid w:val="00FF4833"/>
    <w:rsid w:val="00FF4EBD"/>
    <w:rsid w:val="00FF5531"/>
    <w:rsid w:val="00FF7CF4"/>
    <w:rsid w:val="01610122"/>
    <w:rsid w:val="01C7668D"/>
    <w:rsid w:val="01E07EB4"/>
    <w:rsid w:val="02A508C7"/>
    <w:rsid w:val="02A65B5A"/>
    <w:rsid w:val="030C34CB"/>
    <w:rsid w:val="035C47F3"/>
    <w:rsid w:val="036828B4"/>
    <w:rsid w:val="03B30715"/>
    <w:rsid w:val="03E742D6"/>
    <w:rsid w:val="0405685B"/>
    <w:rsid w:val="04B8048F"/>
    <w:rsid w:val="051B2AEC"/>
    <w:rsid w:val="052D0F70"/>
    <w:rsid w:val="057D00C0"/>
    <w:rsid w:val="05C2408F"/>
    <w:rsid w:val="05D320F6"/>
    <w:rsid w:val="062C77B7"/>
    <w:rsid w:val="06D67D8D"/>
    <w:rsid w:val="072A7934"/>
    <w:rsid w:val="074A1605"/>
    <w:rsid w:val="07901A56"/>
    <w:rsid w:val="08732C15"/>
    <w:rsid w:val="092B611F"/>
    <w:rsid w:val="09B607FD"/>
    <w:rsid w:val="0A1C4F80"/>
    <w:rsid w:val="0A481E2F"/>
    <w:rsid w:val="0A534B17"/>
    <w:rsid w:val="0A5E5319"/>
    <w:rsid w:val="0A5F43BF"/>
    <w:rsid w:val="0A831271"/>
    <w:rsid w:val="0AB852A4"/>
    <w:rsid w:val="0ACB0282"/>
    <w:rsid w:val="0AD32EE7"/>
    <w:rsid w:val="0AD7237A"/>
    <w:rsid w:val="0B167997"/>
    <w:rsid w:val="0BB02B15"/>
    <w:rsid w:val="0BE06373"/>
    <w:rsid w:val="0BF8153A"/>
    <w:rsid w:val="0BFC1E8C"/>
    <w:rsid w:val="0BFC4FBB"/>
    <w:rsid w:val="0C02081B"/>
    <w:rsid w:val="0C1545E0"/>
    <w:rsid w:val="0C1B774C"/>
    <w:rsid w:val="0C2A5CE1"/>
    <w:rsid w:val="0CA97584"/>
    <w:rsid w:val="0CDB1D65"/>
    <w:rsid w:val="0D065508"/>
    <w:rsid w:val="0DA202C9"/>
    <w:rsid w:val="0E0F4F7E"/>
    <w:rsid w:val="0E98318E"/>
    <w:rsid w:val="0EF55F19"/>
    <w:rsid w:val="0F585BBE"/>
    <w:rsid w:val="0FB2285F"/>
    <w:rsid w:val="0FDA53E2"/>
    <w:rsid w:val="100E3D6C"/>
    <w:rsid w:val="106066B9"/>
    <w:rsid w:val="11541D45"/>
    <w:rsid w:val="11F84E89"/>
    <w:rsid w:val="12034458"/>
    <w:rsid w:val="120813A8"/>
    <w:rsid w:val="12293439"/>
    <w:rsid w:val="12330C6C"/>
    <w:rsid w:val="1345275B"/>
    <w:rsid w:val="13E0024A"/>
    <w:rsid w:val="143409F7"/>
    <w:rsid w:val="14593E9D"/>
    <w:rsid w:val="14654FC2"/>
    <w:rsid w:val="14742C81"/>
    <w:rsid w:val="14A80848"/>
    <w:rsid w:val="14D302E3"/>
    <w:rsid w:val="14D85324"/>
    <w:rsid w:val="14DB48D9"/>
    <w:rsid w:val="153A0496"/>
    <w:rsid w:val="15413A33"/>
    <w:rsid w:val="156843D0"/>
    <w:rsid w:val="156D02D5"/>
    <w:rsid w:val="15B015BE"/>
    <w:rsid w:val="160A26DF"/>
    <w:rsid w:val="16664C4C"/>
    <w:rsid w:val="16703054"/>
    <w:rsid w:val="16AE020E"/>
    <w:rsid w:val="16E63C8B"/>
    <w:rsid w:val="17152A08"/>
    <w:rsid w:val="17377504"/>
    <w:rsid w:val="17AD5E36"/>
    <w:rsid w:val="17F906B8"/>
    <w:rsid w:val="180A2CBF"/>
    <w:rsid w:val="181F5B0E"/>
    <w:rsid w:val="18B30B0F"/>
    <w:rsid w:val="18CB55B9"/>
    <w:rsid w:val="191C0790"/>
    <w:rsid w:val="191C4614"/>
    <w:rsid w:val="194C32C9"/>
    <w:rsid w:val="19510D51"/>
    <w:rsid w:val="19C54AFF"/>
    <w:rsid w:val="1A2E337D"/>
    <w:rsid w:val="1A372069"/>
    <w:rsid w:val="1A4F3C52"/>
    <w:rsid w:val="1AAF2EF9"/>
    <w:rsid w:val="1B003F41"/>
    <w:rsid w:val="1B130FB4"/>
    <w:rsid w:val="1B690AF1"/>
    <w:rsid w:val="1C217765"/>
    <w:rsid w:val="1C3E3130"/>
    <w:rsid w:val="1C4E5A1B"/>
    <w:rsid w:val="1C7F65DB"/>
    <w:rsid w:val="1CA87C13"/>
    <w:rsid w:val="1D0144B7"/>
    <w:rsid w:val="1D851F9F"/>
    <w:rsid w:val="1D855B70"/>
    <w:rsid w:val="1D893FD0"/>
    <w:rsid w:val="1DC802E8"/>
    <w:rsid w:val="1DE03624"/>
    <w:rsid w:val="1DE0761D"/>
    <w:rsid w:val="1DF36C14"/>
    <w:rsid w:val="1E136D5D"/>
    <w:rsid w:val="1E2320D2"/>
    <w:rsid w:val="1E6908EA"/>
    <w:rsid w:val="1EBB2926"/>
    <w:rsid w:val="1F024C03"/>
    <w:rsid w:val="1F5025F4"/>
    <w:rsid w:val="1F647B54"/>
    <w:rsid w:val="1F660D6A"/>
    <w:rsid w:val="1F8E0E1A"/>
    <w:rsid w:val="1FC240C1"/>
    <w:rsid w:val="1FD97D72"/>
    <w:rsid w:val="21033015"/>
    <w:rsid w:val="226777DB"/>
    <w:rsid w:val="2287387A"/>
    <w:rsid w:val="22B44857"/>
    <w:rsid w:val="22D11612"/>
    <w:rsid w:val="22FC4B05"/>
    <w:rsid w:val="231C5333"/>
    <w:rsid w:val="235B3422"/>
    <w:rsid w:val="2374491B"/>
    <w:rsid w:val="23EE51EF"/>
    <w:rsid w:val="24700EB7"/>
    <w:rsid w:val="251B5318"/>
    <w:rsid w:val="252F2472"/>
    <w:rsid w:val="25387FD7"/>
    <w:rsid w:val="25F76449"/>
    <w:rsid w:val="2636629E"/>
    <w:rsid w:val="264234B4"/>
    <w:rsid w:val="264834DB"/>
    <w:rsid w:val="265256EB"/>
    <w:rsid w:val="267A6665"/>
    <w:rsid w:val="269705C3"/>
    <w:rsid w:val="26D27B36"/>
    <w:rsid w:val="26E0095E"/>
    <w:rsid w:val="26FB452C"/>
    <w:rsid w:val="27064B07"/>
    <w:rsid w:val="27214F20"/>
    <w:rsid w:val="2780628D"/>
    <w:rsid w:val="27B64475"/>
    <w:rsid w:val="27F64B81"/>
    <w:rsid w:val="29262AA2"/>
    <w:rsid w:val="297C499C"/>
    <w:rsid w:val="29A06A1A"/>
    <w:rsid w:val="29BC37D4"/>
    <w:rsid w:val="29CD2C79"/>
    <w:rsid w:val="2A1471EB"/>
    <w:rsid w:val="2A1E3DA8"/>
    <w:rsid w:val="2A585EDD"/>
    <w:rsid w:val="2AF85FA9"/>
    <w:rsid w:val="2BAE18F5"/>
    <w:rsid w:val="2C4012CE"/>
    <w:rsid w:val="2D242C68"/>
    <w:rsid w:val="2D621327"/>
    <w:rsid w:val="2D740220"/>
    <w:rsid w:val="2DC43944"/>
    <w:rsid w:val="2E0221C2"/>
    <w:rsid w:val="2E092F47"/>
    <w:rsid w:val="2E676B50"/>
    <w:rsid w:val="2E896E70"/>
    <w:rsid w:val="2F4E1E04"/>
    <w:rsid w:val="2F8D14A5"/>
    <w:rsid w:val="2FC41D05"/>
    <w:rsid w:val="2FF16D25"/>
    <w:rsid w:val="300A47CA"/>
    <w:rsid w:val="300F2FDF"/>
    <w:rsid w:val="304E3819"/>
    <w:rsid w:val="307A778C"/>
    <w:rsid w:val="307F6728"/>
    <w:rsid w:val="30B67A0A"/>
    <w:rsid w:val="30F72387"/>
    <w:rsid w:val="31015DB1"/>
    <w:rsid w:val="31053882"/>
    <w:rsid w:val="310E47F7"/>
    <w:rsid w:val="312D1C4B"/>
    <w:rsid w:val="319178D8"/>
    <w:rsid w:val="31AC2F75"/>
    <w:rsid w:val="31E61F28"/>
    <w:rsid w:val="329E436A"/>
    <w:rsid w:val="32D70760"/>
    <w:rsid w:val="32F80C6A"/>
    <w:rsid w:val="333077D1"/>
    <w:rsid w:val="33664FA1"/>
    <w:rsid w:val="33865110"/>
    <w:rsid w:val="33DB1BF1"/>
    <w:rsid w:val="343B5906"/>
    <w:rsid w:val="346A58EF"/>
    <w:rsid w:val="3489567C"/>
    <w:rsid w:val="353D2677"/>
    <w:rsid w:val="35D444F5"/>
    <w:rsid w:val="35E63D13"/>
    <w:rsid w:val="361E344B"/>
    <w:rsid w:val="362829E1"/>
    <w:rsid w:val="365D3CF6"/>
    <w:rsid w:val="36EC05BB"/>
    <w:rsid w:val="37D83070"/>
    <w:rsid w:val="37E67880"/>
    <w:rsid w:val="386677F1"/>
    <w:rsid w:val="38673123"/>
    <w:rsid w:val="39A6259B"/>
    <w:rsid w:val="3A490408"/>
    <w:rsid w:val="3B292648"/>
    <w:rsid w:val="3B8A16E7"/>
    <w:rsid w:val="3C1014B7"/>
    <w:rsid w:val="3C1D65D5"/>
    <w:rsid w:val="3C484EA0"/>
    <w:rsid w:val="3CD26413"/>
    <w:rsid w:val="3D0715A3"/>
    <w:rsid w:val="3D654FC2"/>
    <w:rsid w:val="3DB9536A"/>
    <w:rsid w:val="3DDD00DC"/>
    <w:rsid w:val="3E5500BA"/>
    <w:rsid w:val="3F966DE9"/>
    <w:rsid w:val="3FED5F73"/>
    <w:rsid w:val="405F6CD2"/>
    <w:rsid w:val="41092CAD"/>
    <w:rsid w:val="41102568"/>
    <w:rsid w:val="418107AC"/>
    <w:rsid w:val="41BE218B"/>
    <w:rsid w:val="420B70C2"/>
    <w:rsid w:val="42362E39"/>
    <w:rsid w:val="425D0854"/>
    <w:rsid w:val="426B3E60"/>
    <w:rsid w:val="428B5994"/>
    <w:rsid w:val="429F402B"/>
    <w:rsid w:val="42CE66BF"/>
    <w:rsid w:val="42D15685"/>
    <w:rsid w:val="42DB3A64"/>
    <w:rsid w:val="42E331A6"/>
    <w:rsid w:val="43811983"/>
    <w:rsid w:val="43A04953"/>
    <w:rsid w:val="443B699C"/>
    <w:rsid w:val="44513222"/>
    <w:rsid w:val="450627D9"/>
    <w:rsid w:val="45374C20"/>
    <w:rsid w:val="4557299B"/>
    <w:rsid w:val="455C3FB8"/>
    <w:rsid w:val="45DA3058"/>
    <w:rsid w:val="47B54A39"/>
    <w:rsid w:val="47E444D6"/>
    <w:rsid w:val="481560CB"/>
    <w:rsid w:val="48F35E64"/>
    <w:rsid w:val="48F42145"/>
    <w:rsid w:val="49044CF8"/>
    <w:rsid w:val="49554C1F"/>
    <w:rsid w:val="4960614B"/>
    <w:rsid w:val="49B5367D"/>
    <w:rsid w:val="4A151BC9"/>
    <w:rsid w:val="4A694230"/>
    <w:rsid w:val="4A943739"/>
    <w:rsid w:val="4A9B13EC"/>
    <w:rsid w:val="4AB2265A"/>
    <w:rsid w:val="4ABB2F38"/>
    <w:rsid w:val="4AD21A4B"/>
    <w:rsid w:val="4AE03433"/>
    <w:rsid w:val="4BCE3FFA"/>
    <w:rsid w:val="4C036381"/>
    <w:rsid w:val="4C204108"/>
    <w:rsid w:val="4CC2117C"/>
    <w:rsid w:val="4CE01900"/>
    <w:rsid w:val="4D2A7704"/>
    <w:rsid w:val="4D953B01"/>
    <w:rsid w:val="4DE90850"/>
    <w:rsid w:val="4DF87C68"/>
    <w:rsid w:val="4E0C7FE8"/>
    <w:rsid w:val="4E1B5275"/>
    <w:rsid w:val="4F3A571D"/>
    <w:rsid w:val="4F7C5E8E"/>
    <w:rsid w:val="4F864BED"/>
    <w:rsid w:val="4FA57024"/>
    <w:rsid w:val="4FA71D4F"/>
    <w:rsid w:val="4FE85247"/>
    <w:rsid w:val="505C6D00"/>
    <w:rsid w:val="50C25AB5"/>
    <w:rsid w:val="50EA44C5"/>
    <w:rsid w:val="50FD0F68"/>
    <w:rsid w:val="51241D9C"/>
    <w:rsid w:val="515C297D"/>
    <w:rsid w:val="518B3D17"/>
    <w:rsid w:val="5231693E"/>
    <w:rsid w:val="523F0947"/>
    <w:rsid w:val="528043F1"/>
    <w:rsid w:val="52A46E87"/>
    <w:rsid w:val="52DE6AC4"/>
    <w:rsid w:val="531806AA"/>
    <w:rsid w:val="536A23F3"/>
    <w:rsid w:val="53A27F8D"/>
    <w:rsid w:val="53AD0ACF"/>
    <w:rsid w:val="53AD259A"/>
    <w:rsid w:val="54E1390F"/>
    <w:rsid w:val="55641BC1"/>
    <w:rsid w:val="55B144AA"/>
    <w:rsid w:val="55CE07DC"/>
    <w:rsid w:val="566467F0"/>
    <w:rsid w:val="56C2161F"/>
    <w:rsid w:val="56D40948"/>
    <w:rsid w:val="56E4452D"/>
    <w:rsid w:val="5826360D"/>
    <w:rsid w:val="584015BF"/>
    <w:rsid w:val="58413424"/>
    <w:rsid w:val="588070C7"/>
    <w:rsid w:val="58847AF3"/>
    <w:rsid w:val="58CC66F3"/>
    <w:rsid w:val="58E7170D"/>
    <w:rsid w:val="59913283"/>
    <w:rsid w:val="59C274F4"/>
    <w:rsid w:val="59D43A84"/>
    <w:rsid w:val="5A591CB4"/>
    <w:rsid w:val="5A6F03CD"/>
    <w:rsid w:val="5AA61FA3"/>
    <w:rsid w:val="5B037F4A"/>
    <w:rsid w:val="5C076FA0"/>
    <w:rsid w:val="5C400B46"/>
    <w:rsid w:val="5C9B490B"/>
    <w:rsid w:val="5CE20A2D"/>
    <w:rsid w:val="5D6941D5"/>
    <w:rsid w:val="5DA64B1D"/>
    <w:rsid w:val="5DC60726"/>
    <w:rsid w:val="5E775B7D"/>
    <w:rsid w:val="5F383963"/>
    <w:rsid w:val="5FC26E8F"/>
    <w:rsid w:val="602B7F48"/>
    <w:rsid w:val="60EC260E"/>
    <w:rsid w:val="617A6A6D"/>
    <w:rsid w:val="61CF41C9"/>
    <w:rsid w:val="625E55BA"/>
    <w:rsid w:val="629A0821"/>
    <w:rsid w:val="632B5123"/>
    <w:rsid w:val="6357618F"/>
    <w:rsid w:val="63A646A7"/>
    <w:rsid w:val="6456610F"/>
    <w:rsid w:val="64F6594B"/>
    <w:rsid w:val="650F54C2"/>
    <w:rsid w:val="65E47E23"/>
    <w:rsid w:val="66462713"/>
    <w:rsid w:val="66495C8B"/>
    <w:rsid w:val="666B2BAA"/>
    <w:rsid w:val="669D40F3"/>
    <w:rsid w:val="66A7365F"/>
    <w:rsid w:val="66B648A6"/>
    <w:rsid w:val="66FB6839"/>
    <w:rsid w:val="675A1E0A"/>
    <w:rsid w:val="67FA1B80"/>
    <w:rsid w:val="681C477C"/>
    <w:rsid w:val="683C18F6"/>
    <w:rsid w:val="683E65DA"/>
    <w:rsid w:val="68FE62C7"/>
    <w:rsid w:val="69036041"/>
    <w:rsid w:val="69054EF6"/>
    <w:rsid w:val="697616E8"/>
    <w:rsid w:val="6A243B5B"/>
    <w:rsid w:val="6A2B3221"/>
    <w:rsid w:val="6A5A5F7C"/>
    <w:rsid w:val="6A75300F"/>
    <w:rsid w:val="6AA22769"/>
    <w:rsid w:val="6AE00EA5"/>
    <w:rsid w:val="6AFD71B8"/>
    <w:rsid w:val="6B2510D1"/>
    <w:rsid w:val="6B5300C4"/>
    <w:rsid w:val="6B7E0574"/>
    <w:rsid w:val="6B8B376D"/>
    <w:rsid w:val="6B9B625E"/>
    <w:rsid w:val="6C272BAF"/>
    <w:rsid w:val="6C7E6953"/>
    <w:rsid w:val="6CA272ED"/>
    <w:rsid w:val="6CA73DE9"/>
    <w:rsid w:val="6CC252A8"/>
    <w:rsid w:val="6CF52D53"/>
    <w:rsid w:val="6D587857"/>
    <w:rsid w:val="6D752B31"/>
    <w:rsid w:val="6DDD3488"/>
    <w:rsid w:val="6E005A16"/>
    <w:rsid w:val="6E4A1D8F"/>
    <w:rsid w:val="6EC84106"/>
    <w:rsid w:val="6F5242C4"/>
    <w:rsid w:val="6F72590D"/>
    <w:rsid w:val="6F766539"/>
    <w:rsid w:val="70451CA4"/>
    <w:rsid w:val="70BF104C"/>
    <w:rsid w:val="70C95ADA"/>
    <w:rsid w:val="718F158B"/>
    <w:rsid w:val="719A2AA9"/>
    <w:rsid w:val="721C147E"/>
    <w:rsid w:val="72985513"/>
    <w:rsid w:val="72A8008B"/>
    <w:rsid w:val="73171E33"/>
    <w:rsid w:val="734D12B5"/>
    <w:rsid w:val="736432AD"/>
    <w:rsid w:val="737465FA"/>
    <w:rsid w:val="737A72A4"/>
    <w:rsid w:val="73983892"/>
    <w:rsid w:val="73A06A2B"/>
    <w:rsid w:val="73E346C9"/>
    <w:rsid w:val="741A7923"/>
    <w:rsid w:val="74B47BB9"/>
    <w:rsid w:val="74BF6631"/>
    <w:rsid w:val="7546050F"/>
    <w:rsid w:val="76650107"/>
    <w:rsid w:val="76FD0D45"/>
    <w:rsid w:val="78F62987"/>
    <w:rsid w:val="791C672F"/>
    <w:rsid w:val="79633F3C"/>
    <w:rsid w:val="79CE76B2"/>
    <w:rsid w:val="79E42732"/>
    <w:rsid w:val="7A3F5ACD"/>
    <w:rsid w:val="7A5035C4"/>
    <w:rsid w:val="7A6235D2"/>
    <w:rsid w:val="7AA76725"/>
    <w:rsid w:val="7AC35E02"/>
    <w:rsid w:val="7AEB6B93"/>
    <w:rsid w:val="7B137743"/>
    <w:rsid w:val="7B2C6EA3"/>
    <w:rsid w:val="7B4F0209"/>
    <w:rsid w:val="7BD45143"/>
    <w:rsid w:val="7C577CDF"/>
    <w:rsid w:val="7C5B3C5C"/>
    <w:rsid w:val="7C6158E3"/>
    <w:rsid w:val="7CA1530B"/>
    <w:rsid w:val="7CAE3839"/>
    <w:rsid w:val="7CEC0BA6"/>
    <w:rsid w:val="7D02632C"/>
    <w:rsid w:val="7E3433C7"/>
    <w:rsid w:val="7E8115E0"/>
    <w:rsid w:val="7EE9388D"/>
    <w:rsid w:val="7FEC7A9C"/>
  </w:rsids>
  <m:mathPr>
    <m:mathFont m:val="Times New Roman"/>
    <m:brkBin m:val="before"/>
    <m:brkBinSub m:val="--"/>
    <m:smallFrac m:val="1"/>
    <m:dispDef/>
    <m:lMargin m:val="0"/>
    <m:rMargin m:val="0"/>
    <m:defJc m:val="centerGroup"/>
    <m:wrapIndent m:val="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宋体" w:cstheme="minorBidi"/>
      <w:kern w:val="2"/>
      <w:sz w:val="24"/>
      <w:szCs w:val="22"/>
      <w:lang w:val="en-US" w:eastAsia="zh-CN" w:bidi="ar-SA"/>
    </w:rPr>
  </w:style>
  <w:style w:type="paragraph" w:styleId="2">
    <w:name w:val="heading 1"/>
    <w:basedOn w:val="1"/>
    <w:next w:val="1"/>
    <w:link w:val="23"/>
    <w:qFormat/>
    <w:uiPriority w:val="0"/>
    <w:pPr>
      <w:keepNext/>
      <w:keepLines/>
      <w:spacing w:before="50" w:beforeLines="50" w:after="50" w:afterLines="50" w:line="288" w:lineRule="auto"/>
      <w:ind w:firstLine="0" w:firstLineChars="0"/>
      <w:jc w:val="center"/>
      <w:outlineLvl w:val="0"/>
    </w:pPr>
    <w:rPr>
      <w:b/>
      <w:bCs/>
      <w:kern w:val="44"/>
      <w:sz w:val="28"/>
      <w:szCs w:val="24"/>
    </w:rPr>
  </w:style>
  <w:style w:type="paragraph" w:styleId="3">
    <w:name w:val="heading 2"/>
    <w:basedOn w:val="1"/>
    <w:next w:val="1"/>
    <w:link w:val="34"/>
    <w:unhideWhenUsed/>
    <w:qFormat/>
    <w:uiPriority w:val="9"/>
    <w:pPr>
      <w:keepNext/>
      <w:keepLines/>
      <w:spacing w:line="288" w:lineRule="auto"/>
      <w:ind w:firstLine="0" w:firstLineChars="0"/>
      <w:jc w:val="left"/>
      <w:outlineLvl w:val="1"/>
    </w:pPr>
    <w:rPr>
      <w:rFonts w:eastAsiaTheme="majorEastAsia" w:cstheme="majorBidi"/>
      <w:b/>
      <w:bCs/>
      <w:szCs w:val="32"/>
    </w:rPr>
  </w:style>
  <w:style w:type="paragraph" w:styleId="4">
    <w:name w:val="heading 3"/>
    <w:basedOn w:val="1"/>
    <w:next w:val="1"/>
    <w:link w:val="31"/>
    <w:unhideWhenUsed/>
    <w:qFormat/>
    <w:uiPriority w:val="9"/>
    <w:pPr>
      <w:keepNext/>
      <w:keepLines/>
      <w:spacing w:line="288" w:lineRule="auto"/>
      <w:ind w:firstLine="0" w:firstLineChars="0"/>
      <w:jc w:val="left"/>
      <w:outlineLvl w:val="2"/>
    </w:pPr>
    <w:rPr>
      <w:bCs/>
      <w:sz w:val="21"/>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7"/>
    <w:unhideWhenUsed/>
    <w:qFormat/>
    <w:uiPriority w:val="99"/>
    <w:pPr>
      <w:jc w:val="left"/>
    </w:pPr>
  </w:style>
  <w:style w:type="paragraph" w:styleId="6">
    <w:name w:val="toc 3"/>
    <w:basedOn w:val="1"/>
    <w:next w:val="1"/>
    <w:semiHidden/>
    <w:unhideWhenUsed/>
    <w:qFormat/>
    <w:uiPriority w:val="39"/>
    <w:pPr>
      <w:ind w:left="840" w:leftChars="400"/>
    </w:pPr>
  </w:style>
  <w:style w:type="paragraph" w:styleId="7">
    <w:name w:val="Date"/>
    <w:basedOn w:val="1"/>
    <w:next w:val="1"/>
    <w:link w:val="25"/>
    <w:semiHidden/>
    <w:unhideWhenUsed/>
    <w:qFormat/>
    <w:uiPriority w:val="99"/>
    <w:pPr>
      <w:ind w:left="100" w:leftChars="2500"/>
    </w:pPr>
  </w:style>
  <w:style w:type="paragraph" w:styleId="8">
    <w:name w:val="footer"/>
    <w:basedOn w:val="1"/>
    <w:link w:val="30"/>
    <w:unhideWhenUsed/>
    <w:qFormat/>
    <w:uiPriority w:val="99"/>
    <w:pPr>
      <w:tabs>
        <w:tab w:val="center" w:pos="4153"/>
        <w:tab w:val="right" w:pos="8306"/>
      </w:tabs>
      <w:snapToGrid w:val="0"/>
      <w:jc w:val="left"/>
    </w:pPr>
    <w:rPr>
      <w:sz w:val="18"/>
      <w:szCs w:val="18"/>
    </w:rPr>
  </w:style>
  <w:style w:type="paragraph" w:styleId="9">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autoRedefine/>
    <w:unhideWhenUsed/>
    <w:qFormat/>
    <w:uiPriority w:val="39"/>
    <w:pPr>
      <w:tabs>
        <w:tab w:val="right" w:leader="dot" w:pos="8504"/>
      </w:tabs>
      <w:ind w:firstLine="482"/>
    </w:pPr>
    <w:rPr>
      <w:rFonts w:cs="Times New Roman"/>
      <w:b/>
      <w:bCs/>
    </w:rPr>
  </w:style>
  <w:style w:type="paragraph" w:styleId="11">
    <w:name w:val="Subtitle"/>
    <w:basedOn w:val="1"/>
    <w:next w:val="1"/>
    <w:link w:val="22"/>
    <w:qFormat/>
    <w:uiPriority w:val="0"/>
    <w:pPr>
      <w:spacing w:line="300" w:lineRule="auto"/>
      <w:ind w:firstLine="0" w:firstLineChars="0"/>
      <w:jc w:val="left"/>
      <w:outlineLvl w:val="1"/>
    </w:pPr>
    <w:rPr>
      <w:rFonts w:eastAsia="黑体" w:asciiTheme="majorHAnsi" w:hAnsiTheme="majorHAnsi" w:cstheme="majorBidi"/>
      <w:bCs/>
      <w:kern w:val="28"/>
      <w:sz w:val="28"/>
      <w:szCs w:val="32"/>
    </w:rPr>
  </w:style>
  <w:style w:type="paragraph" w:styleId="12">
    <w:name w:val="toc 2"/>
    <w:basedOn w:val="1"/>
    <w:next w:val="1"/>
    <w:autoRedefine/>
    <w:unhideWhenUsed/>
    <w:qFormat/>
    <w:uiPriority w:val="39"/>
    <w:pPr>
      <w:ind w:left="420" w:leftChars="200"/>
    </w:pPr>
  </w:style>
  <w:style w:type="paragraph" w:styleId="13">
    <w:name w:val="Normal (Web)"/>
    <w:basedOn w:val="1"/>
    <w:qFormat/>
    <w:uiPriority w:val="0"/>
    <w:pPr>
      <w:widowControl/>
      <w:spacing w:before="100" w:beforeAutospacing="1" w:after="100" w:afterAutospacing="1"/>
      <w:ind w:firstLine="0" w:firstLineChars="0"/>
      <w:jc w:val="left"/>
    </w:pPr>
    <w:rPr>
      <w:rFonts w:ascii="宋体" w:hAnsi="宋体" w:cs="Times New Roman"/>
      <w:kern w:val="0"/>
      <w:szCs w:val="24"/>
    </w:rPr>
  </w:style>
  <w:style w:type="paragraph" w:styleId="14">
    <w:name w:val="Title"/>
    <w:basedOn w:val="1"/>
    <w:next w:val="1"/>
    <w:link w:val="24"/>
    <w:qFormat/>
    <w:uiPriority w:val="0"/>
    <w:pPr>
      <w:spacing w:line="300" w:lineRule="auto"/>
      <w:ind w:firstLine="0" w:firstLineChars="0"/>
      <w:jc w:val="center"/>
      <w:outlineLvl w:val="0"/>
    </w:pPr>
    <w:rPr>
      <w:rFonts w:eastAsia="黑体" w:asciiTheme="majorHAnsi" w:hAnsiTheme="majorHAnsi" w:cstheme="majorBidi"/>
      <w:bCs/>
      <w:sz w:val="32"/>
      <w:szCs w:val="32"/>
    </w:rPr>
  </w:style>
  <w:style w:type="paragraph" w:styleId="15">
    <w:name w:val="annotation subject"/>
    <w:basedOn w:val="5"/>
    <w:next w:val="5"/>
    <w:link w:val="28"/>
    <w:semiHidden/>
    <w:unhideWhenUsed/>
    <w:qFormat/>
    <w:uiPriority w:val="99"/>
    <w:rPr>
      <w:b/>
      <w:bCs/>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bCs/>
    </w:rPr>
  </w:style>
  <w:style w:type="character" w:styleId="20">
    <w:name w:val="Hyperlink"/>
    <w:basedOn w:val="18"/>
    <w:unhideWhenUsed/>
    <w:qFormat/>
    <w:uiPriority w:val="99"/>
    <w:rPr>
      <w:color w:val="0000FF"/>
      <w:u w:val="single"/>
    </w:rPr>
  </w:style>
  <w:style w:type="character" w:styleId="21">
    <w:name w:val="annotation reference"/>
    <w:basedOn w:val="18"/>
    <w:semiHidden/>
    <w:unhideWhenUsed/>
    <w:qFormat/>
    <w:uiPriority w:val="99"/>
    <w:rPr>
      <w:sz w:val="21"/>
      <w:szCs w:val="21"/>
    </w:rPr>
  </w:style>
  <w:style w:type="character" w:customStyle="1" w:styleId="22">
    <w:name w:val="Подзаголовок Знак"/>
    <w:basedOn w:val="18"/>
    <w:link w:val="11"/>
    <w:qFormat/>
    <w:uiPriority w:val="0"/>
    <w:rPr>
      <w:rFonts w:eastAsia="黑体" w:asciiTheme="majorHAnsi" w:hAnsiTheme="majorHAnsi" w:cstheme="majorBidi"/>
      <w:bCs/>
      <w:kern w:val="28"/>
      <w:sz w:val="28"/>
      <w:szCs w:val="32"/>
    </w:rPr>
  </w:style>
  <w:style w:type="character" w:customStyle="1" w:styleId="23">
    <w:name w:val="Заголовок 1 Знак"/>
    <w:basedOn w:val="18"/>
    <w:link w:val="2"/>
    <w:qFormat/>
    <w:uiPriority w:val="0"/>
    <w:rPr>
      <w:rFonts w:ascii="Times New Roman" w:hAnsi="Times New Roman" w:eastAsia="宋体"/>
      <w:b/>
      <w:bCs/>
      <w:kern w:val="44"/>
      <w:sz w:val="28"/>
      <w:szCs w:val="24"/>
    </w:rPr>
  </w:style>
  <w:style w:type="character" w:customStyle="1" w:styleId="24">
    <w:name w:val="Заголовок Знак"/>
    <w:basedOn w:val="18"/>
    <w:link w:val="14"/>
    <w:qFormat/>
    <w:uiPriority w:val="0"/>
    <w:rPr>
      <w:rFonts w:eastAsia="黑体" w:asciiTheme="majorHAnsi" w:hAnsiTheme="majorHAnsi" w:cstheme="majorBidi"/>
      <w:bCs/>
      <w:sz w:val="32"/>
      <w:szCs w:val="32"/>
    </w:rPr>
  </w:style>
  <w:style w:type="character" w:customStyle="1" w:styleId="25">
    <w:name w:val="Дата Знак"/>
    <w:basedOn w:val="18"/>
    <w:link w:val="7"/>
    <w:semiHidden/>
    <w:qFormat/>
    <w:uiPriority w:val="99"/>
    <w:rPr>
      <w:rFonts w:eastAsia="宋体"/>
      <w:sz w:val="24"/>
    </w:rPr>
  </w:style>
  <w:style w:type="paragraph" w:styleId="26">
    <w:name w:val="List Paragraph"/>
    <w:basedOn w:val="1"/>
    <w:qFormat/>
    <w:uiPriority w:val="34"/>
    <w:pPr>
      <w:ind w:firstLine="420"/>
    </w:pPr>
  </w:style>
  <w:style w:type="character" w:customStyle="1" w:styleId="27">
    <w:name w:val="Текст примечания Знак"/>
    <w:basedOn w:val="18"/>
    <w:link w:val="5"/>
    <w:qFormat/>
    <w:uiPriority w:val="99"/>
    <w:rPr>
      <w:rFonts w:eastAsia="宋体"/>
      <w:sz w:val="24"/>
    </w:rPr>
  </w:style>
  <w:style w:type="character" w:customStyle="1" w:styleId="28">
    <w:name w:val="Тема примечания Знак"/>
    <w:basedOn w:val="27"/>
    <w:link w:val="15"/>
    <w:semiHidden/>
    <w:qFormat/>
    <w:uiPriority w:val="99"/>
    <w:rPr>
      <w:rFonts w:eastAsia="宋体"/>
      <w:b/>
      <w:bCs/>
      <w:sz w:val="24"/>
    </w:rPr>
  </w:style>
  <w:style w:type="character" w:customStyle="1" w:styleId="29">
    <w:name w:val="Верхний колонтитул Знак"/>
    <w:basedOn w:val="18"/>
    <w:link w:val="9"/>
    <w:qFormat/>
    <w:uiPriority w:val="99"/>
    <w:rPr>
      <w:rFonts w:eastAsia="宋体"/>
      <w:sz w:val="18"/>
      <w:szCs w:val="18"/>
    </w:rPr>
  </w:style>
  <w:style w:type="character" w:customStyle="1" w:styleId="30">
    <w:name w:val="Нижний колонтитул Знак"/>
    <w:basedOn w:val="18"/>
    <w:link w:val="8"/>
    <w:qFormat/>
    <w:uiPriority w:val="99"/>
    <w:rPr>
      <w:rFonts w:eastAsia="宋体"/>
      <w:sz w:val="18"/>
      <w:szCs w:val="18"/>
    </w:rPr>
  </w:style>
  <w:style w:type="character" w:customStyle="1" w:styleId="31">
    <w:name w:val="Заголовок 3 Знак"/>
    <w:basedOn w:val="18"/>
    <w:link w:val="4"/>
    <w:semiHidden/>
    <w:qFormat/>
    <w:uiPriority w:val="9"/>
    <w:rPr>
      <w:rFonts w:ascii="Times New Roman" w:hAnsi="Times New Roman" w:eastAsia="宋体"/>
      <w:bCs/>
      <w:sz w:val="21"/>
      <w:szCs w:val="32"/>
    </w:rPr>
  </w:style>
  <w:style w:type="character" w:customStyle="1" w:styleId="32">
    <w:name w:val="detail_mlabel__eipkt"/>
    <w:basedOn w:val="18"/>
    <w:qFormat/>
    <w:uiPriority w:val="0"/>
  </w:style>
  <w:style w:type="character" w:styleId="33">
    <w:name w:val="Placeholder Text"/>
    <w:basedOn w:val="18"/>
    <w:semiHidden/>
    <w:qFormat/>
    <w:uiPriority w:val="99"/>
    <w:rPr>
      <w:color w:val="808080"/>
    </w:rPr>
  </w:style>
  <w:style w:type="character" w:customStyle="1" w:styleId="34">
    <w:name w:val="Заголовок 2 Знак"/>
    <w:basedOn w:val="18"/>
    <w:link w:val="3"/>
    <w:semiHidden/>
    <w:qFormat/>
    <w:uiPriority w:val="9"/>
    <w:rPr>
      <w:rFonts w:ascii="Times New Roman" w:hAnsi="Times New Roman" w:eastAsiaTheme="majorEastAsia" w:cstheme="majorBidi"/>
      <w:b/>
      <w:bCs/>
      <w:sz w:val="24"/>
      <w:szCs w:val="32"/>
    </w:rPr>
  </w:style>
  <w:style w:type="paragraph" w:customStyle="1" w:styleId="35">
    <w:name w:val="参考文献内容"/>
    <w:basedOn w:val="1"/>
    <w:qFormat/>
    <w:uiPriority w:val="0"/>
    <w:pPr>
      <w:spacing w:line="360" w:lineRule="auto"/>
    </w:pPr>
    <w:rPr>
      <w:rFonts w:cs="Times New Roman"/>
      <w:sz w:val="21"/>
      <w:szCs w:val="24"/>
    </w:rPr>
  </w:style>
  <w:style w:type="paragraph" w:styleId="36">
    <w:name w:val="No Spacing"/>
    <w:qFormat/>
    <w:uiPriority w:val="1"/>
    <w:pPr>
      <w:widowControl w:val="0"/>
      <w:ind w:firstLine="200" w:firstLineChars="200"/>
      <w:jc w:val="both"/>
    </w:pPr>
    <w:rPr>
      <w:rFonts w:eastAsia="宋体" w:asciiTheme="minorHAnsi" w:hAnsiTheme="minorHAnsi" w:cstheme="minorBidi"/>
      <w:kern w:val="2"/>
      <w:sz w:val="24"/>
      <w:szCs w:val="22"/>
      <w:lang w:val="en-US" w:eastAsia="zh-CN" w:bidi="ar-SA"/>
    </w:rPr>
  </w:style>
  <w:style w:type="character" w:customStyle="1" w:styleId="37">
    <w:name w:val="zwen"/>
    <w:basedOn w:val="18"/>
    <w:qFormat/>
    <w:uiPriority w:val="0"/>
  </w:style>
  <w:style w:type="paragraph" w:customStyle="1" w:styleId="38">
    <w:name w:val="TOC 标题1"/>
    <w:basedOn w:val="2"/>
    <w:next w:val="1"/>
    <w:unhideWhenUsed/>
    <w:qFormat/>
    <w:uiPriority w:val="39"/>
    <w:pPr>
      <w:widowControl/>
      <w:spacing w:before="240" w:line="259" w:lineRule="auto"/>
      <w:jc w:val="left"/>
      <w:outlineLvl w:val="9"/>
    </w:pPr>
    <w:rPr>
      <w:rFonts w:asciiTheme="majorHAnsi" w:hAnsiTheme="majorHAnsi" w:eastAsiaTheme="majorEastAsia" w:cstheme="majorBidi"/>
      <w:bCs w:val="0"/>
      <w:color w:val="2F5597" w:themeColor="accent1" w:themeShade="BF"/>
      <w:kern w:val="0"/>
      <w:sz w:val="32"/>
      <w:szCs w:val="32"/>
    </w:rPr>
  </w:style>
  <w:style w:type="character" w:customStyle="1" w:styleId="39">
    <w:name w:val="未处理的提及1"/>
    <w:basedOn w:val="18"/>
    <w:semiHidden/>
    <w:unhideWhenUsed/>
    <w:qFormat/>
    <w:uiPriority w:val="99"/>
    <w:rPr>
      <w:color w:val="605E5C"/>
      <w:shd w:val="clear" w:color="auto" w:fill="E1DFDD"/>
    </w:rPr>
  </w:style>
  <w:style w:type="paragraph" w:customStyle="1" w:styleId="40">
    <w:name w:val="Default"/>
    <w:autoRedefine/>
    <w:qFormat/>
    <w:uiPriority w:val="0"/>
    <w:pPr>
      <w:autoSpaceDE w:val="0"/>
      <w:autoSpaceDN w:val="0"/>
      <w:adjustRightInd w:val="0"/>
      <w:jc w:val="center"/>
    </w:pPr>
    <w:rPr>
      <w:rFonts w:ascii="Times New Roman" w:hAnsi="Times New Roman" w:eastAsia="宋体" w:cs="Times New Roman"/>
      <w:kern w:val="2"/>
      <w:sz w:val="28"/>
      <w:szCs w:val="28"/>
      <w:lang w:val="en-US" w:eastAsia="zh-CN" w:bidi="ar-SA"/>
    </w:rPr>
  </w:style>
  <w:style w:type="character" w:customStyle="1" w:styleId="41">
    <w:name w:val="font31"/>
    <w:qFormat/>
    <w:uiPriority w:val="0"/>
    <w:rPr>
      <w:rFonts w:ascii="等线" w:hAnsi="等线" w:eastAsia="等线" w:cs="等线"/>
      <w:color w:val="000000"/>
      <w:sz w:val="22"/>
      <w:szCs w:val="22"/>
      <w:u w:val="none"/>
    </w:rPr>
  </w:style>
  <w:style w:type="character" w:customStyle="1" w:styleId="42">
    <w:name w:val="font51"/>
    <w:qFormat/>
    <w:uiPriority w:val="0"/>
    <w:rPr>
      <w:rFonts w:hint="eastAsia" w:ascii="等线" w:hAnsi="等线" w:eastAsia="等线" w:cs="等线"/>
      <w:color w:val="000000"/>
      <w:sz w:val="22"/>
      <w:szCs w:val="22"/>
      <w:u w:val="none"/>
      <w:vertAlign w:val="superscript"/>
    </w:rPr>
  </w:style>
  <w:style w:type="paragraph" w:customStyle="1" w:styleId="43">
    <w:name w:val="修订1"/>
    <w:hidden/>
    <w:unhideWhenUsed/>
    <w:qFormat/>
    <w:uiPriority w:val="99"/>
    <w:rPr>
      <w:rFonts w:ascii="Times New Roman" w:hAnsi="Times New Roman" w:eastAsia="宋体" w:cstheme="minorBidi"/>
      <w:kern w:val="2"/>
      <w:sz w:val="24"/>
      <w:szCs w:val="22"/>
      <w:lang w:val="en-US" w:eastAsia="zh-CN" w:bidi="ar-SA"/>
    </w:rPr>
  </w:style>
  <w:style w:type="paragraph" w:customStyle="1" w:styleId="44">
    <w:name w:val="Рецензия1"/>
    <w:hidden/>
    <w:unhideWhenUsed/>
    <w:qFormat/>
    <w:uiPriority w:val="99"/>
    <w:rPr>
      <w:rFonts w:ascii="Times New Roman" w:hAnsi="Times New Roman" w:eastAsia="宋体" w:cstheme="minorBidi"/>
      <w:kern w:val="2"/>
      <w:sz w:val="24"/>
      <w:szCs w:val="22"/>
      <w:lang w:val="en-US" w:eastAsia="zh-CN" w:bidi="ar-SA"/>
    </w:rPr>
  </w:style>
  <w:style w:type="paragraph" w:customStyle="1" w:styleId="45">
    <w:name w:val="Рецензия2"/>
    <w:hidden/>
    <w:unhideWhenUsed/>
    <w:qFormat/>
    <w:uiPriority w:val="99"/>
    <w:rPr>
      <w:rFonts w:ascii="Times New Roman" w:hAnsi="Times New Roman" w:eastAsia="宋体" w:cstheme="minorBidi"/>
      <w:kern w:val="2"/>
      <w:sz w:val="24"/>
      <w:szCs w:val="22"/>
      <w:lang w:val="en-US" w:eastAsia="zh-CN" w:bidi="ar-SA"/>
    </w:rPr>
  </w:style>
  <w:style w:type="character" w:customStyle="1" w:styleId="46">
    <w:name w:val="Unresolved Mention"/>
    <w:basedOn w:val="1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6" Type="http://schemas.openxmlformats.org/officeDocument/2006/relationships/fontTable" Target="fontTable.xml"/><Relationship Id="rId85" Type="http://schemas.openxmlformats.org/officeDocument/2006/relationships/customXml" Target="../customXml/item1.xml"/><Relationship Id="rId84" Type="http://schemas.openxmlformats.org/officeDocument/2006/relationships/image" Target="media/image68.emf"/><Relationship Id="rId83" Type="http://schemas.openxmlformats.org/officeDocument/2006/relationships/image" Target="media/image67.emf"/><Relationship Id="rId82" Type="http://schemas.openxmlformats.org/officeDocument/2006/relationships/image" Target="media/image66.emf"/><Relationship Id="rId81" Type="http://schemas.openxmlformats.org/officeDocument/2006/relationships/image" Target="media/image65.emf"/><Relationship Id="rId80" Type="http://schemas.openxmlformats.org/officeDocument/2006/relationships/image" Target="media/image64.emf"/><Relationship Id="rId8" Type="http://schemas.openxmlformats.org/officeDocument/2006/relationships/footer" Target="footer1.xml"/><Relationship Id="rId79" Type="http://schemas.openxmlformats.org/officeDocument/2006/relationships/image" Target="media/image63.emf"/><Relationship Id="rId78" Type="http://schemas.openxmlformats.org/officeDocument/2006/relationships/image" Target="media/image62.emf"/><Relationship Id="rId77" Type="http://schemas.openxmlformats.org/officeDocument/2006/relationships/image" Target="media/image61.emf"/><Relationship Id="rId76" Type="http://schemas.openxmlformats.org/officeDocument/2006/relationships/image" Target="media/image60.emf"/><Relationship Id="rId75" Type="http://schemas.openxmlformats.org/officeDocument/2006/relationships/image" Target="media/image59.emf"/><Relationship Id="rId74" Type="http://schemas.openxmlformats.org/officeDocument/2006/relationships/image" Target="media/image58.png"/><Relationship Id="rId73" Type="http://schemas.openxmlformats.org/officeDocument/2006/relationships/image" Target="media/image57.emf"/><Relationship Id="rId72" Type="http://schemas.openxmlformats.org/officeDocument/2006/relationships/image" Target="media/image56.png"/><Relationship Id="rId71" Type="http://schemas.openxmlformats.org/officeDocument/2006/relationships/image" Target="media/image55.png"/><Relationship Id="rId70" Type="http://schemas.openxmlformats.org/officeDocument/2006/relationships/image" Target="media/image54.emf"/><Relationship Id="rId7" Type="http://schemas.openxmlformats.org/officeDocument/2006/relationships/header" Target="header3.xml"/><Relationship Id="rId69" Type="http://schemas.openxmlformats.org/officeDocument/2006/relationships/image" Target="media/image53.emf"/><Relationship Id="rId68" Type="http://schemas.openxmlformats.org/officeDocument/2006/relationships/image" Target="media/image52.emf"/><Relationship Id="rId67" Type="http://schemas.openxmlformats.org/officeDocument/2006/relationships/image" Target="media/image51.emf"/><Relationship Id="rId66" Type="http://schemas.openxmlformats.org/officeDocument/2006/relationships/image" Target="media/image50.emf"/><Relationship Id="rId65" Type="http://schemas.openxmlformats.org/officeDocument/2006/relationships/image" Target="media/image49.emf"/><Relationship Id="rId64" Type="http://schemas.openxmlformats.org/officeDocument/2006/relationships/image" Target="media/image48.emf"/><Relationship Id="rId63" Type="http://schemas.openxmlformats.org/officeDocument/2006/relationships/image" Target="media/image47.emf"/><Relationship Id="rId62" Type="http://schemas.openxmlformats.org/officeDocument/2006/relationships/image" Target="media/image46.emf"/><Relationship Id="rId61" Type="http://schemas.openxmlformats.org/officeDocument/2006/relationships/image" Target="media/image45.emf"/><Relationship Id="rId60" Type="http://schemas.openxmlformats.org/officeDocument/2006/relationships/image" Target="media/image44.emf"/><Relationship Id="rId6" Type="http://schemas.openxmlformats.org/officeDocument/2006/relationships/header" Target="header2.xml"/><Relationship Id="rId59" Type="http://schemas.openxmlformats.org/officeDocument/2006/relationships/image" Target="media/image43.emf"/><Relationship Id="rId58" Type="http://schemas.openxmlformats.org/officeDocument/2006/relationships/oleObject" Target="embeddings/oleObject4.bin"/><Relationship Id="rId57" Type="http://schemas.openxmlformats.org/officeDocument/2006/relationships/image" Target="media/image42.emf"/><Relationship Id="rId56" Type="http://schemas.openxmlformats.org/officeDocument/2006/relationships/image" Target="media/image41.png"/><Relationship Id="rId55" Type="http://schemas.openxmlformats.org/officeDocument/2006/relationships/image" Target="media/image40.png"/><Relationship Id="rId54" Type="http://schemas.openxmlformats.org/officeDocument/2006/relationships/image" Target="media/image39.png"/><Relationship Id="rId53" Type="http://schemas.openxmlformats.org/officeDocument/2006/relationships/image" Target="media/image38.png"/><Relationship Id="rId52" Type="http://schemas.openxmlformats.org/officeDocument/2006/relationships/image" Target="media/image37.emf"/><Relationship Id="rId51" Type="http://schemas.openxmlformats.org/officeDocument/2006/relationships/image" Target="media/image36.emf"/><Relationship Id="rId50" Type="http://schemas.openxmlformats.org/officeDocument/2006/relationships/image" Target="media/image35.emf"/><Relationship Id="rId5" Type="http://schemas.openxmlformats.org/officeDocument/2006/relationships/header" Target="header1.xml"/><Relationship Id="rId49" Type="http://schemas.openxmlformats.org/officeDocument/2006/relationships/image" Target="media/image34.emf"/><Relationship Id="rId48" Type="http://schemas.openxmlformats.org/officeDocument/2006/relationships/image" Target="media/image33.png"/><Relationship Id="rId47" Type="http://schemas.openxmlformats.org/officeDocument/2006/relationships/image" Target="media/image32.png"/><Relationship Id="rId46" Type="http://schemas.openxmlformats.org/officeDocument/2006/relationships/image" Target="media/image31.png"/><Relationship Id="rId45" Type="http://schemas.openxmlformats.org/officeDocument/2006/relationships/image" Target="media/image30.emf"/><Relationship Id="rId44" Type="http://schemas.openxmlformats.org/officeDocument/2006/relationships/image" Target="media/image29.emf"/><Relationship Id="rId43" Type="http://schemas.openxmlformats.org/officeDocument/2006/relationships/image" Target="media/image28.emf"/><Relationship Id="rId42" Type="http://schemas.openxmlformats.org/officeDocument/2006/relationships/image" Target="media/image27.emf"/><Relationship Id="rId41" Type="http://schemas.openxmlformats.org/officeDocument/2006/relationships/image" Target="media/image26.emf"/><Relationship Id="rId40" Type="http://schemas.openxmlformats.org/officeDocument/2006/relationships/image" Target="media/image25.emf"/><Relationship Id="rId4" Type="http://schemas.openxmlformats.org/officeDocument/2006/relationships/endnotes" Target="endnotes.xml"/><Relationship Id="rId39" Type="http://schemas.openxmlformats.org/officeDocument/2006/relationships/image" Target="media/image24.emf"/><Relationship Id="rId38" Type="http://schemas.openxmlformats.org/officeDocument/2006/relationships/image" Target="media/image23.emf"/><Relationship Id="rId37" Type="http://schemas.openxmlformats.org/officeDocument/2006/relationships/image" Target="media/image22.emf"/><Relationship Id="rId36" Type="http://schemas.openxmlformats.org/officeDocument/2006/relationships/image" Target="media/image21.emf"/><Relationship Id="rId35" Type="http://schemas.openxmlformats.org/officeDocument/2006/relationships/image" Target="media/image20.emf"/><Relationship Id="rId34" Type="http://schemas.openxmlformats.org/officeDocument/2006/relationships/image" Target="media/image19.emf"/><Relationship Id="rId33" Type="http://schemas.openxmlformats.org/officeDocument/2006/relationships/image" Target="media/image18.emf"/><Relationship Id="rId32" Type="http://schemas.openxmlformats.org/officeDocument/2006/relationships/image" Target="media/image17.emf"/><Relationship Id="rId31" Type="http://schemas.openxmlformats.org/officeDocument/2006/relationships/image" Target="media/image16.emf"/><Relationship Id="rId30" Type="http://schemas.openxmlformats.org/officeDocument/2006/relationships/image" Target="media/image15.emf"/><Relationship Id="rId3" Type="http://schemas.openxmlformats.org/officeDocument/2006/relationships/footnotes" Target="footnotes.xml"/><Relationship Id="rId29" Type="http://schemas.openxmlformats.org/officeDocument/2006/relationships/image" Target="media/image14.emf"/><Relationship Id="rId28" Type="http://schemas.openxmlformats.org/officeDocument/2006/relationships/image" Target="media/image13.emf"/><Relationship Id="rId27" Type="http://schemas.openxmlformats.org/officeDocument/2006/relationships/image" Target="media/image12.emf"/><Relationship Id="rId26" Type="http://schemas.openxmlformats.org/officeDocument/2006/relationships/image" Target="media/image11.emf"/><Relationship Id="rId25" Type="http://schemas.openxmlformats.org/officeDocument/2006/relationships/image" Target="media/image10.emf"/><Relationship Id="rId24" Type="http://schemas.openxmlformats.org/officeDocument/2006/relationships/image" Target="media/image9.png"/><Relationship Id="rId23" Type="http://schemas.openxmlformats.org/officeDocument/2006/relationships/image" Target="media/image8.png"/><Relationship Id="rId22" Type="http://schemas.openxmlformats.org/officeDocument/2006/relationships/image" Target="media/image7.emf"/><Relationship Id="rId21" Type="http://schemas.openxmlformats.org/officeDocument/2006/relationships/oleObject" Target="embeddings/oleObject3.bin"/><Relationship Id="rId20" Type="http://schemas.openxmlformats.org/officeDocument/2006/relationships/image" Target="media/image6.emf"/><Relationship Id="rId2" Type="http://schemas.openxmlformats.org/officeDocument/2006/relationships/settings" Target="settings.xml"/><Relationship Id="rId19" Type="http://schemas.openxmlformats.org/officeDocument/2006/relationships/oleObject" Target="embeddings/oleObject2.bin"/><Relationship Id="rId18" Type="http://schemas.openxmlformats.org/officeDocument/2006/relationships/image" Target="media/image5.emf"/><Relationship Id="rId17" Type="http://schemas.openxmlformats.org/officeDocument/2006/relationships/image" Target="media/image4.emf"/><Relationship Id="rId16" Type="http://schemas.openxmlformats.org/officeDocument/2006/relationships/oleObject" Target="embeddings/oleObject1.bin"/><Relationship Id="rId15" Type="http://schemas.openxmlformats.org/officeDocument/2006/relationships/image" Target="media/image3.emf"/><Relationship Id="rId14" Type="http://schemas.openxmlformats.org/officeDocument/2006/relationships/image" Target="media/image2.emf"/><Relationship Id="rId13" Type="http://schemas.openxmlformats.org/officeDocument/2006/relationships/image" Target="media/image1.emf"/><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47ABF-3681-4B4C-81B0-9FD38E26BA7F}">
  <ds:schemaRefs/>
</ds:datastoreItem>
</file>

<file path=docProps/app.xml><?xml version="1.0" encoding="utf-8"?>
<Properties xmlns="http://schemas.openxmlformats.org/officeDocument/2006/extended-properties" xmlns:vt="http://schemas.openxmlformats.org/officeDocument/2006/docPropsVTypes">
  <Template>Normal</Template>
  <Pages>120</Pages>
  <Words>39776</Words>
  <Characters>254925</Characters>
  <Lines>2224</Lines>
  <Paragraphs>626</Paragraphs>
  <TotalTime>275</TotalTime>
  <ScaleCrop>false</ScaleCrop>
  <LinksUpToDate>false</LinksUpToDate>
  <CharactersWithSpaces>294491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2026-04-29T06:21:00Z</dcterms:created>
  <dc:creator>张 国庆</dc:creator>
  <cp:lastModifiedBy>=_=</cp:lastModifiedBy>
  <cp:lastPrinted>2026-04-06T11:24:00Z</cp:lastPrinted>
  <dcterms:modified xsi:type="dcterms:W3CDTF">2026-05-04T16:06:37Z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eyJoZGlkIjoiODE2YWFjMzlhYjZmYmM2YTAzMTJjOTAwNmM4YTIxNDEiLCJ1c2VySWQiOiI1OTUzNTA5NTcifQ==</vt:lpwstr>
  </property>
  <property fmtid="{D5CDD505-2E9C-101B-9397-08002B2CF9AE}" pid="3" name="KSOProductBuildVer">
    <vt:lpwstr>2052-12.1.0.25865</vt:lpwstr>
  </property>
  <property fmtid="{D5CDD505-2E9C-101B-9397-08002B2CF9AE}" pid="4" name="ICV">
    <vt:lpwstr>7F1CF95B86B949D4B9C92B6B88BC8C29_13</vt:lpwstr>
  </property>
</Properties>
</file>