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FA768E" w14:textId="77777777" w:rsidR="00BF7F92" w:rsidRDefault="00853685" w:rsidP="00BF7F92">
      <w:pPr>
        <w:spacing w:line="240" w:lineRule="auto"/>
        <w:jc w:val="center"/>
        <w:rPr>
          <w:rFonts w:ascii="Times New Roman" w:hAnsi="Times New Roman" w:cs="Times New Roman"/>
          <w:sz w:val="28"/>
          <w:szCs w:val="28"/>
        </w:rPr>
      </w:pPr>
      <w:bookmarkStart w:id="0" w:name="_Hlk129937857"/>
      <w:r w:rsidRPr="00BF7F92">
        <w:rPr>
          <w:rFonts w:ascii="Times New Roman" w:hAnsi="Times New Roman" w:cs="Times New Roman"/>
          <w:sz w:val="28"/>
          <w:szCs w:val="28"/>
        </w:rPr>
        <w:t>Al-Farabi Kazakh National University</w:t>
      </w:r>
    </w:p>
    <w:p w14:paraId="6A1C5552" w14:textId="77777777" w:rsidR="00BF7F92" w:rsidRPr="00A6371B" w:rsidRDefault="00BF7F92" w:rsidP="00BF7F92">
      <w:pPr>
        <w:spacing w:line="240" w:lineRule="auto"/>
        <w:jc w:val="center"/>
        <w:rPr>
          <w:rFonts w:ascii="Times New Roman" w:hAnsi="Times New Roman" w:cs="Times New Roman"/>
          <w:sz w:val="28"/>
          <w:szCs w:val="28"/>
          <w:lang w:val="en-US"/>
        </w:rPr>
      </w:pPr>
    </w:p>
    <w:p w14:paraId="518B1D63" w14:textId="77777777" w:rsidR="00DC7ACF" w:rsidRPr="00A6371B" w:rsidRDefault="00DC7ACF" w:rsidP="00BF7F92">
      <w:pPr>
        <w:spacing w:line="240" w:lineRule="auto"/>
        <w:jc w:val="center"/>
        <w:rPr>
          <w:rFonts w:ascii="Times New Roman" w:hAnsi="Times New Roman" w:cs="Times New Roman"/>
          <w:sz w:val="28"/>
          <w:szCs w:val="28"/>
          <w:lang w:val="en-US"/>
        </w:rPr>
      </w:pPr>
    </w:p>
    <w:p w14:paraId="25DFE33D" w14:textId="4BBB653F" w:rsidR="00BF7F92" w:rsidRPr="00BF7F92" w:rsidRDefault="00BF7F92" w:rsidP="00BF7F92">
      <w:pPr>
        <w:spacing w:line="240" w:lineRule="auto"/>
        <w:rPr>
          <w:rFonts w:ascii="Times New Roman" w:hAnsi="Times New Roman" w:cs="Times New Roman"/>
          <w:sz w:val="28"/>
          <w:szCs w:val="28"/>
        </w:rPr>
      </w:pPr>
      <w:r>
        <w:rPr>
          <w:rFonts w:ascii="Times New Roman" w:hAnsi="Times New Roman" w:cs="Times New Roman"/>
          <w:color w:val="000000"/>
          <w:sz w:val="28"/>
          <w:szCs w:val="28"/>
        </w:rPr>
        <w:t xml:space="preserve">UDC </w:t>
      </w:r>
      <w:r w:rsidR="00853685" w:rsidRPr="00BF7F92">
        <w:rPr>
          <w:rFonts w:ascii="Times New Roman" w:hAnsi="Times New Roman" w:cs="Times New Roman"/>
          <w:color w:val="000000"/>
          <w:sz w:val="28"/>
          <w:szCs w:val="28"/>
        </w:rPr>
        <w:t xml:space="preserve">578.832.1:043.5                                                              </w:t>
      </w:r>
      <w:r>
        <w:rPr>
          <w:rFonts w:ascii="Times New Roman" w:hAnsi="Times New Roman" w:cs="Times New Roman"/>
          <w:color w:val="000000"/>
          <w:sz w:val="28"/>
          <w:szCs w:val="28"/>
        </w:rPr>
        <w:t xml:space="preserve">Presented </w:t>
      </w:r>
      <w:r>
        <w:rPr>
          <w:rFonts w:ascii="Times New Roman" w:hAnsi="Times New Roman" w:cs="Times New Roman"/>
          <w:color w:val="000000"/>
          <w:sz w:val="28"/>
          <w:szCs w:val="28"/>
          <w:lang w:val="en-US"/>
        </w:rPr>
        <w:t>a</w:t>
      </w:r>
      <w:r w:rsidRPr="00BF7F92">
        <w:rPr>
          <w:rFonts w:ascii="Times New Roman" w:hAnsi="Times New Roman" w:cs="Times New Roman"/>
          <w:color w:val="000000"/>
          <w:sz w:val="28"/>
          <w:szCs w:val="28"/>
        </w:rPr>
        <w:t xml:space="preserve">s </w:t>
      </w:r>
      <w:r>
        <w:rPr>
          <w:rFonts w:ascii="Times New Roman" w:hAnsi="Times New Roman" w:cs="Times New Roman"/>
          <w:color w:val="000000"/>
          <w:sz w:val="28"/>
          <w:szCs w:val="28"/>
        </w:rPr>
        <w:t>manuscript</w:t>
      </w:r>
    </w:p>
    <w:p w14:paraId="21E56A26" w14:textId="191D6D36" w:rsidR="00226539" w:rsidRPr="00BF7F92" w:rsidRDefault="00226539" w:rsidP="00BF7F92">
      <w:pPr>
        <w:spacing w:line="240" w:lineRule="auto"/>
        <w:rPr>
          <w:rFonts w:ascii="Times New Roman" w:hAnsi="Times New Roman" w:cs="Times New Roman"/>
          <w:sz w:val="28"/>
          <w:szCs w:val="28"/>
        </w:rPr>
      </w:pPr>
    </w:p>
    <w:p w14:paraId="7ADC2DE9" w14:textId="77777777" w:rsidR="009573C6" w:rsidRDefault="009573C6" w:rsidP="00BF7F92">
      <w:pPr>
        <w:spacing w:line="240" w:lineRule="auto"/>
        <w:ind w:firstLineChars="709" w:firstLine="1985"/>
        <w:jc w:val="center"/>
        <w:rPr>
          <w:rFonts w:ascii="Times New Roman" w:hAnsi="Times New Roman" w:cs="Times New Roman"/>
          <w:sz w:val="28"/>
          <w:szCs w:val="28"/>
        </w:rPr>
      </w:pPr>
    </w:p>
    <w:p w14:paraId="48D97B2F" w14:textId="77777777" w:rsidR="007672BD" w:rsidRDefault="007672BD" w:rsidP="00BF7F92">
      <w:pPr>
        <w:spacing w:line="240" w:lineRule="auto"/>
        <w:ind w:firstLineChars="709" w:firstLine="1985"/>
        <w:jc w:val="center"/>
        <w:rPr>
          <w:rFonts w:ascii="Times New Roman" w:hAnsi="Times New Roman" w:cs="Times New Roman"/>
          <w:sz w:val="28"/>
          <w:szCs w:val="28"/>
        </w:rPr>
      </w:pPr>
    </w:p>
    <w:p w14:paraId="6FB50871" w14:textId="77777777" w:rsidR="007672BD" w:rsidRPr="00BF7F92" w:rsidRDefault="007672BD" w:rsidP="00BF7F92">
      <w:pPr>
        <w:spacing w:line="240" w:lineRule="auto"/>
        <w:ind w:firstLineChars="709" w:firstLine="1985"/>
        <w:jc w:val="center"/>
        <w:rPr>
          <w:rFonts w:ascii="Times New Roman" w:hAnsi="Times New Roman" w:cs="Times New Roman"/>
          <w:sz w:val="28"/>
          <w:szCs w:val="28"/>
        </w:rPr>
      </w:pPr>
    </w:p>
    <w:p w14:paraId="7925EB2C" w14:textId="6D1BD4BE" w:rsidR="00226539" w:rsidRDefault="00853685" w:rsidP="00BF7F92">
      <w:pPr>
        <w:spacing w:line="240" w:lineRule="auto"/>
        <w:jc w:val="center"/>
        <w:rPr>
          <w:rFonts w:ascii="Times New Roman" w:hAnsi="Times New Roman" w:cs="Times New Roman"/>
          <w:b/>
          <w:bCs/>
          <w:sz w:val="28"/>
          <w:szCs w:val="28"/>
        </w:rPr>
      </w:pPr>
      <w:r w:rsidRPr="00BF7F92">
        <w:rPr>
          <w:rFonts w:ascii="Times New Roman" w:hAnsi="Times New Roman" w:cs="Times New Roman"/>
          <w:b/>
          <w:bCs/>
          <w:sz w:val="28"/>
          <w:szCs w:val="28"/>
        </w:rPr>
        <w:t>KHAIDAROV SAKEN ZHARKYNOVICH</w:t>
      </w:r>
    </w:p>
    <w:p w14:paraId="1F12AE87" w14:textId="77777777" w:rsidR="00716DFB" w:rsidRDefault="00716DFB" w:rsidP="00BF7F92">
      <w:pPr>
        <w:spacing w:line="240" w:lineRule="auto"/>
        <w:jc w:val="center"/>
        <w:rPr>
          <w:rFonts w:ascii="Times New Roman" w:hAnsi="Times New Roman" w:cs="Times New Roman"/>
          <w:b/>
          <w:bCs/>
          <w:sz w:val="28"/>
          <w:szCs w:val="28"/>
        </w:rPr>
      </w:pPr>
    </w:p>
    <w:p w14:paraId="4865A563" w14:textId="77777777" w:rsidR="001E42FE" w:rsidRPr="00BF7F92" w:rsidRDefault="001E42FE" w:rsidP="00BF7F92">
      <w:pPr>
        <w:spacing w:line="240" w:lineRule="auto"/>
        <w:jc w:val="center"/>
        <w:rPr>
          <w:rFonts w:ascii="Times New Roman" w:hAnsi="Times New Roman" w:cs="Times New Roman"/>
          <w:b/>
          <w:bCs/>
          <w:sz w:val="28"/>
          <w:szCs w:val="28"/>
        </w:rPr>
      </w:pPr>
    </w:p>
    <w:p w14:paraId="4D5CCEDE" w14:textId="77777777" w:rsidR="00226539" w:rsidRPr="00BF7F92" w:rsidRDefault="00853685" w:rsidP="00BF7F92">
      <w:pPr>
        <w:spacing w:line="240" w:lineRule="auto"/>
        <w:jc w:val="center"/>
        <w:rPr>
          <w:rFonts w:ascii="Times New Roman" w:hAnsi="Times New Roman" w:cs="Times New Roman"/>
          <w:b/>
          <w:bCs/>
          <w:i/>
          <w:iCs/>
          <w:sz w:val="28"/>
          <w:szCs w:val="28"/>
        </w:rPr>
      </w:pPr>
      <w:bookmarkStart w:id="1" w:name="_Hlk185527317"/>
      <w:r w:rsidRPr="00BF7F92">
        <w:rPr>
          <w:rFonts w:ascii="Times New Roman" w:hAnsi="Times New Roman" w:cs="Times New Roman"/>
          <w:b/>
          <w:bCs/>
          <w:sz w:val="28"/>
          <w:szCs w:val="28"/>
        </w:rPr>
        <w:t xml:space="preserve">Study of the antiviral activity of drugs against the </w:t>
      </w:r>
      <w:r w:rsidRPr="00BF7F92">
        <w:rPr>
          <w:rFonts w:ascii="Times New Roman" w:hAnsi="Times New Roman" w:cs="Times New Roman"/>
          <w:b/>
          <w:bCs/>
          <w:i/>
          <w:iCs/>
          <w:sz w:val="28"/>
          <w:szCs w:val="28"/>
        </w:rPr>
        <w:t>SARS-COV-2 virus in vitro</w:t>
      </w:r>
    </w:p>
    <w:p w14:paraId="2F69AD95" w14:textId="77777777" w:rsidR="009573C6" w:rsidRPr="00BF7F92" w:rsidRDefault="009573C6" w:rsidP="00BF7F92">
      <w:pPr>
        <w:spacing w:line="240" w:lineRule="auto"/>
        <w:rPr>
          <w:rFonts w:ascii="Times New Roman" w:hAnsi="Times New Roman" w:cs="Times New Roman"/>
          <w:b/>
          <w:bCs/>
          <w:i/>
          <w:iCs/>
          <w:sz w:val="28"/>
          <w:szCs w:val="28"/>
        </w:rPr>
      </w:pPr>
    </w:p>
    <w:bookmarkEnd w:id="1"/>
    <w:p w14:paraId="4A8CAB73" w14:textId="77777777" w:rsidR="00226539" w:rsidRPr="00BF7F92" w:rsidRDefault="00226539" w:rsidP="00BF7F92">
      <w:pPr>
        <w:spacing w:line="240" w:lineRule="auto"/>
        <w:rPr>
          <w:rFonts w:ascii="Times New Roman" w:hAnsi="Times New Roman" w:cs="Times New Roman"/>
          <w:sz w:val="28"/>
          <w:szCs w:val="28"/>
        </w:rPr>
      </w:pPr>
    </w:p>
    <w:p w14:paraId="6254B4EA" w14:textId="2E3F6157" w:rsidR="00226539" w:rsidRDefault="00853685" w:rsidP="00BF7F92">
      <w:pPr>
        <w:spacing w:line="240" w:lineRule="auto"/>
        <w:jc w:val="center"/>
        <w:rPr>
          <w:rFonts w:ascii="Times New Roman" w:hAnsi="Times New Roman" w:cs="Times New Roman"/>
          <w:sz w:val="28"/>
          <w:szCs w:val="28"/>
        </w:rPr>
      </w:pPr>
      <w:r w:rsidRPr="00BF7F92">
        <w:rPr>
          <w:rFonts w:ascii="Times New Roman" w:hAnsi="Times New Roman" w:cs="Times New Roman"/>
          <w:sz w:val="28"/>
          <w:szCs w:val="28"/>
        </w:rPr>
        <w:t>8D05110 Virology</w:t>
      </w:r>
    </w:p>
    <w:p w14:paraId="596838AB" w14:textId="77777777" w:rsidR="00BF7F92" w:rsidRDefault="00BF7F92" w:rsidP="00BF7F92">
      <w:pPr>
        <w:spacing w:line="240" w:lineRule="auto"/>
        <w:rPr>
          <w:rFonts w:ascii="Times New Roman" w:hAnsi="Times New Roman" w:cs="Times New Roman"/>
          <w:sz w:val="28"/>
          <w:szCs w:val="28"/>
        </w:rPr>
      </w:pPr>
    </w:p>
    <w:p w14:paraId="66AD6E04" w14:textId="0E52DE07" w:rsidR="00226539" w:rsidRPr="007672BD" w:rsidRDefault="00853685" w:rsidP="00BF7F92">
      <w:pPr>
        <w:spacing w:line="240" w:lineRule="auto"/>
        <w:jc w:val="center"/>
        <w:rPr>
          <w:rFonts w:ascii="Times New Roman" w:hAnsi="Times New Roman" w:cs="Times New Roman"/>
          <w:sz w:val="28"/>
          <w:szCs w:val="28"/>
        </w:rPr>
      </w:pPr>
      <w:r w:rsidRPr="007672BD">
        <w:rPr>
          <w:rFonts w:ascii="Times New Roman" w:hAnsi="Times New Roman" w:cs="Times New Roman"/>
          <w:sz w:val="28"/>
          <w:szCs w:val="28"/>
        </w:rPr>
        <w:t xml:space="preserve">Dissertation for the </w:t>
      </w:r>
      <w:r w:rsidR="00BF7F92" w:rsidRPr="007672BD">
        <w:rPr>
          <w:rFonts w:ascii="Times New Roman" w:hAnsi="Times New Roman" w:cs="Times New Roman"/>
          <w:sz w:val="28"/>
          <w:szCs w:val="28"/>
        </w:rPr>
        <w:t>Doctor of Philosophy (PhD) degree</w:t>
      </w:r>
    </w:p>
    <w:p w14:paraId="6CB35DB6" w14:textId="77777777" w:rsidR="00043CE2" w:rsidRDefault="00043CE2" w:rsidP="00BF7F92">
      <w:pPr>
        <w:spacing w:line="240" w:lineRule="auto"/>
        <w:jc w:val="center"/>
        <w:rPr>
          <w:rFonts w:ascii="Times New Roman" w:hAnsi="Times New Roman" w:cs="Times New Roman"/>
          <w:b/>
          <w:bCs/>
          <w:sz w:val="28"/>
          <w:szCs w:val="28"/>
          <w:lang w:val="en-US"/>
        </w:rPr>
      </w:pPr>
    </w:p>
    <w:p w14:paraId="21151C3D" w14:textId="77777777" w:rsidR="007672BD" w:rsidRDefault="007672BD" w:rsidP="00BF7F92">
      <w:pPr>
        <w:spacing w:line="240" w:lineRule="auto"/>
        <w:jc w:val="center"/>
        <w:rPr>
          <w:rFonts w:ascii="Times New Roman" w:hAnsi="Times New Roman" w:cs="Times New Roman"/>
          <w:b/>
          <w:bCs/>
          <w:sz w:val="28"/>
          <w:szCs w:val="28"/>
          <w:lang w:val="en-US"/>
        </w:rPr>
      </w:pPr>
    </w:p>
    <w:p w14:paraId="24936680" w14:textId="77777777" w:rsidR="007672BD" w:rsidRPr="00716DFB" w:rsidRDefault="007672BD" w:rsidP="00BF7F92">
      <w:pPr>
        <w:spacing w:line="240" w:lineRule="auto"/>
        <w:jc w:val="center"/>
        <w:rPr>
          <w:rFonts w:ascii="Times New Roman" w:hAnsi="Times New Roman" w:cs="Times New Roman"/>
          <w:b/>
          <w:bCs/>
          <w:sz w:val="28"/>
          <w:szCs w:val="28"/>
          <w:lang w:val="en-US"/>
        </w:rPr>
      </w:pPr>
    </w:p>
    <w:p w14:paraId="2A70BCC5" w14:textId="745970B2" w:rsidR="00226539" w:rsidRPr="00BF7F92" w:rsidRDefault="00043CE2" w:rsidP="00716DFB">
      <w:pPr>
        <w:spacing w:line="240" w:lineRule="auto"/>
        <w:ind w:leftChars="1868" w:left="4110" w:firstLineChars="759" w:firstLine="2125"/>
        <w:rPr>
          <w:rFonts w:ascii="Times New Roman" w:hAnsi="Times New Roman" w:cs="Times New Roman"/>
          <w:sz w:val="28"/>
          <w:szCs w:val="28"/>
        </w:rPr>
      </w:pPr>
      <w:r w:rsidRPr="00716DFB">
        <w:rPr>
          <w:rFonts w:ascii="Times New Roman" w:hAnsi="Times New Roman" w:cs="Times New Roman"/>
          <w:sz w:val="28"/>
          <w:szCs w:val="28"/>
          <w:lang w:val="en-US"/>
        </w:rPr>
        <w:t xml:space="preserve">  </w:t>
      </w:r>
      <w:r w:rsidR="00853685" w:rsidRPr="00BF7F92">
        <w:rPr>
          <w:rFonts w:ascii="Times New Roman" w:hAnsi="Times New Roman" w:cs="Times New Roman"/>
          <w:sz w:val="28"/>
          <w:szCs w:val="28"/>
        </w:rPr>
        <w:t xml:space="preserve">Scientific </w:t>
      </w:r>
      <w:r w:rsidR="00BF7F92">
        <w:rPr>
          <w:rFonts w:ascii="Times New Roman" w:hAnsi="Times New Roman" w:cs="Times New Roman"/>
          <w:sz w:val="28"/>
          <w:szCs w:val="28"/>
        </w:rPr>
        <w:t>Advisor</w:t>
      </w:r>
      <w:r w:rsidR="00853685" w:rsidRPr="00BF7F92">
        <w:rPr>
          <w:rFonts w:ascii="Times New Roman" w:hAnsi="Times New Roman" w:cs="Times New Roman"/>
          <w:sz w:val="28"/>
          <w:szCs w:val="28"/>
        </w:rPr>
        <w:t>:</w:t>
      </w:r>
    </w:p>
    <w:p w14:paraId="4206A230" w14:textId="7BDC61EB" w:rsidR="00226539" w:rsidRPr="00BF7F92" w:rsidRDefault="00043CE2" w:rsidP="00716DFB">
      <w:pPr>
        <w:spacing w:line="240" w:lineRule="auto"/>
        <w:ind w:leftChars="1868" w:left="4110" w:firstLineChars="759" w:firstLine="2125"/>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853685" w:rsidRPr="00BF7F92">
        <w:rPr>
          <w:rFonts w:ascii="Times New Roman" w:hAnsi="Times New Roman" w:cs="Times New Roman"/>
          <w:sz w:val="28"/>
          <w:szCs w:val="28"/>
        </w:rPr>
        <w:t>Burashev</w:t>
      </w:r>
      <w:proofErr w:type="spellEnd"/>
      <w:r w:rsidR="00853685" w:rsidRPr="00BF7F92">
        <w:rPr>
          <w:rFonts w:ascii="Times New Roman" w:hAnsi="Times New Roman" w:cs="Times New Roman"/>
          <w:sz w:val="28"/>
          <w:szCs w:val="28"/>
        </w:rPr>
        <w:t xml:space="preserve"> Y</w:t>
      </w:r>
      <w:r w:rsidR="00716DFB">
        <w:rPr>
          <w:rFonts w:ascii="Times New Roman" w:hAnsi="Times New Roman" w:cs="Times New Roman"/>
          <w:sz w:val="28"/>
          <w:szCs w:val="28"/>
        </w:rPr>
        <w:t>.D.</w:t>
      </w:r>
    </w:p>
    <w:p w14:paraId="6925F786" w14:textId="1D406EDD" w:rsidR="00716DFB" w:rsidRPr="00BF7F92" w:rsidRDefault="00807101" w:rsidP="00716DFB">
      <w:pPr>
        <w:spacing w:line="240" w:lineRule="auto"/>
        <w:ind w:leftChars="1868" w:left="4110" w:firstLineChars="759" w:firstLine="2125"/>
        <w:rPr>
          <w:rFonts w:ascii="Times New Roman" w:hAnsi="Times New Roman" w:cs="Times New Roman"/>
          <w:sz w:val="28"/>
          <w:szCs w:val="28"/>
        </w:rPr>
      </w:pPr>
      <w:r>
        <w:rPr>
          <w:rFonts w:ascii="Times New Roman" w:hAnsi="Times New Roman" w:cs="Times New Roman"/>
          <w:sz w:val="28"/>
          <w:szCs w:val="28"/>
        </w:rPr>
        <w:t xml:space="preserve">  </w:t>
      </w:r>
      <w:r w:rsidR="00BF7F92">
        <w:rPr>
          <w:rFonts w:ascii="Times New Roman" w:hAnsi="Times New Roman" w:cs="Times New Roman"/>
          <w:sz w:val="28"/>
          <w:szCs w:val="28"/>
        </w:rPr>
        <w:t xml:space="preserve"> </w:t>
      </w:r>
      <w:r w:rsidR="00853685" w:rsidRPr="00BF7F92">
        <w:rPr>
          <w:rFonts w:ascii="Times New Roman" w:hAnsi="Times New Roman" w:cs="Times New Roman"/>
          <w:sz w:val="28"/>
          <w:szCs w:val="28"/>
        </w:rPr>
        <w:t xml:space="preserve">PhD, </w:t>
      </w:r>
      <w:r w:rsidR="00716DFB">
        <w:rPr>
          <w:rFonts w:ascii="Times New Roman" w:hAnsi="Times New Roman" w:cs="Times New Roman"/>
          <w:sz w:val="28"/>
          <w:szCs w:val="28"/>
        </w:rPr>
        <w:t>S.T.</w:t>
      </w:r>
      <w:r w:rsidR="00BF7F92">
        <w:rPr>
          <w:rFonts w:ascii="Times New Roman" w:hAnsi="Times New Roman" w:cs="Times New Roman"/>
          <w:sz w:val="28"/>
          <w:szCs w:val="28"/>
        </w:rPr>
        <w:t xml:space="preserve"> </w:t>
      </w:r>
    </w:p>
    <w:p w14:paraId="63717273" w14:textId="77777777" w:rsidR="00043CE2" w:rsidRDefault="00043CE2" w:rsidP="00716DFB">
      <w:pPr>
        <w:spacing w:line="240" w:lineRule="auto"/>
        <w:ind w:leftChars="1868" w:left="4110" w:firstLineChars="759" w:firstLine="2125"/>
        <w:rPr>
          <w:rFonts w:ascii="Times New Roman" w:hAnsi="Times New Roman" w:cs="Times New Roman"/>
          <w:sz w:val="28"/>
          <w:szCs w:val="28"/>
        </w:rPr>
      </w:pPr>
    </w:p>
    <w:p w14:paraId="67454BB0" w14:textId="7CE39756" w:rsidR="00226539" w:rsidRPr="00DC7ACF" w:rsidRDefault="00853685" w:rsidP="00716DFB">
      <w:pPr>
        <w:spacing w:line="240" w:lineRule="auto"/>
        <w:ind w:leftChars="1868" w:left="4110" w:firstLineChars="759" w:firstLine="2125"/>
        <w:rPr>
          <w:rFonts w:ascii="Times New Roman" w:hAnsi="Times New Roman" w:cs="Times New Roman"/>
          <w:sz w:val="28"/>
          <w:szCs w:val="28"/>
          <w:lang w:val="en-US"/>
        </w:rPr>
      </w:pPr>
      <w:r w:rsidRPr="00BF7F92">
        <w:rPr>
          <w:rFonts w:ascii="Times New Roman" w:hAnsi="Times New Roman" w:cs="Times New Roman"/>
          <w:sz w:val="28"/>
          <w:szCs w:val="28"/>
        </w:rPr>
        <w:t xml:space="preserve">Foreign </w:t>
      </w:r>
      <w:r w:rsidR="00043CE2">
        <w:rPr>
          <w:rFonts w:ascii="Times New Roman" w:hAnsi="Times New Roman" w:cs="Times New Roman"/>
          <w:sz w:val="28"/>
          <w:szCs w:val="28"/>
        </w:rPr>
        <w:t>Scientific</w:t>
      </w:r>
      <w:r w:rsidRPr="00BF7F92">
        <w:rPr>
          <w:rFonts w:ascii="Times New Roman" w:hAnsi="Times New Roman" w:cs="Times New Roman"/>
          <w:sz w:val="28"/>
          <w:szCs w:val="28"/>
        </w:rPr>
        <w:t xml:space="preserve"> </w:t>
      </w:r>
      <w:r w:rsidR="00043CE2">
        <w:rPr>
          <w:rFonts w:ascii="Times New Roman" w:hAnsi="Times New Roman" w:cs="Times New Roman"/>
          <w:sz w:val="28"/>
          <w:szCs w:val="28"/>
        </w:rPr>
        <w:t>Advisor</w:t>
      </w:r>
      <w:r w:rsidR="00DC7ACF" w:rsidRPr="00DC7ACF">
        <w:rPr>
          <w:rFonts w:ascii="Times New Roman" w:hAnsi="Times New Roman" w:cs="Times New Roman"/>
          <w:sz w:val="28"/>
          <w:szCs w:val="28"/>
          <w:lang w:val="en-US"/>
        </w:rPr>
        <w:t>:</w:t>
      </w:r>
    </w:p>
    <w:p w14:paraId="68759C37" w14:textId="77777777" w:rsidR="00226539" w:rsidRPr="00BF7F92" w:rsidRDefault="00853685" w:rsidP="00716DFB">
      <w:pPr>
        <w:spacing w:line="240" w:lineRule="auto"/>
        <w:ind w:leftChars="1868" w:left="4110" w:firstLineChars="759" w:firstLine="2125"/>
        <w:rPr>
          <w:rFonts w:ascii="Times New Roman" w:hAnsi="Times New Roman" w:cs="Times New Roman"/>
          <w:sz w:val="28"/>
          <w:szCs w:val="28"/>
        </w:rPr>
      </w:pPr>
      <w:r w:rsidRPr="00BF7F92">
        <w:rPr>
          <w:rFonts w:ascii="Times New Roman" w:hAnsi="Times New Roman" w:cs="Times New Roman"/>
          <w:sz w:val="28"/>
          <w:szCs w:val="28"/>
        </w:rPr>
        <w:t>Edan Robert Tulman</w:t>
      </w:r>
    </w:p>
    <w:p w14:paraId="02F6DECC" w14:textId="77777777" w:rsidR="00226539" w:rsidRPr="00BF7F92" w:rsidRDefault="00853685" w:rsidP="00716DFB">
      <w:pPr>
        <w:spacing w:line="240" w:lineRule="auto"/>
        <w:ind w:leftChars="1868" w:left="4110" w:firstLineChars="759" w:firstLine="2125"/>
        <w:rPr>
          <w:rFonts w:ascii="Times New Roman" w:hAnsi="Times New Roman" w:cs="Times New Roman"/>
          <w:sz w:val="28"/>
          <w:szCs w:val="28"/>
        </w:rPr>
      </w:pPr>
      <w:r w:rsidRPr="00BF7F92">
        <w:rPr>
          <w:rFonts w:ascii="Times New Roman" w:hAnsi="Times New Roman" w:cs="Times New Roman"/>
          <w:sz w:val="28"/>
          <w:szCs w:val="28"/>
        </w:rPr>
        <w:t xml:space="preserve">PhD, Associate Professor, </w:t>
      </w:r>
    </w:p>
    <w:p w14:paraId="5663EDE9" w14:textId="77777777" w:rsidR="007672BD" w:rsidRPr="00A6371B" w:rsidRDefault="007672BD" w:rsidP="00043CE2">
      <w:pPr>
        <w:spacing w:line="240" w:lineRule="auto"/>
        <w:ind w:leftChars="64" w:left="141" w:firstLineChars="709" w:firstLine="1985"/>
        <w:jc w:val="right"/>
        <w:rPr>
          <w:rFonts w:ascii="Times New Roman" w:hAnsi="Times New Roman" w:cs="Times New Roman"/>
          <w:sz w:val="28"/>
          <w:szCs w:val="28"/>
          <w:lang w:val="en-US"/>
        </w:rPr>
      </w:pPr>
    </w:p>
    <w:p w14:paraId="3D750047" w14:textId="127C9AEB" w:rsidR="00226539" w:rsidRPr="00043CE2" w:rsidRDefault="00043CE2" w:rsidP="00043CE2">
      <w:pPr>
        <w:spacing w:line="240" w:lineRule="auto"/>
        <w:ind w:right="360"/>
        <w:rPr>
          <w:rFonts w:ascii="Times New Roman" w:hAnsi="Times New Roman" w:cs="Times New Roman"/>
          <w:sz w:val="28"/>
          <w:szCs w:val="28"/>
          <w:lang w:val="en-US"/>
        </w:rPr>
      </w:pPr>
      <w:r>
        <w:rPr>
          <w:rFonts w:ascii="Times New Roman" w:hAnsi="Times New Roman" w:cs="Times New Roman"/>
          <w:sz w:val="28"/>
          <w:szCs w:val="28"/>
        </w:rPr>
        <w:t xml:space="preserve">                                                 </w:t>
      </w:r>
      <w:r w:rsidR="00853685" w:rsidRPr="00BF7F92">
        <w:rPr>
          <w:rFonts w:ascii="Times New Roman" w:hAnsi="Times New Roman" w:cs="Times New Roman"/>
          <w:sz w:val="28"/>
          <w:szCs w:val="28"/>
        </w:rPr>
        <w:t>Republic of Kazakhstan</w:t>
      </w:r>
    </w:p>
    <w:p w14:paraId="4E3F927D" w14:textId="514FE7B6" w:rsidR="00BF7F92" w:rsidRPr="00043CE2" w:rsidRDefault="0045204B" w:rsidP="00043CE2">
      <w:pPr>
        <w:spacing w:after="0" w:line="240" w:lineRule="auto"/>
        <w:jc w:val="center"/>
        <w:rPr>
          <w:rFonts w:ascii="Times New Roman" w:hAnsi="Times New Roman" w:cs="Times New Roman"/>
          <w:sz w:val="28"/>
          <w:szCs w:val="28"/>
          <w:lang w:val="en-US"/>
        </w:rPr>
      </w:pPr>
      <w:r w:rsidRPr="00BF7F92">
        <w:rPr>
          <w:rFonts w:ascii="Times New Roman" w:hAnsi="Times New Roman" w:cs="Times New Roman"/>
          <w:sz w:val="28"/>
          <w:szCs w:val="28"/>
        </w:rPr>
        <w:t>Almaty 2025</w:t>
      </w:r>
    </w:p>
    <w:p w14:paraId="17BC7EFE" w14:textId="34952836" w:rsidR="00226539" w:rsidRDefault="008B1377" w:rsidP="00193921">
      <w:pPr>
        <w:spacing w:line="240" w:lineRule="auto"/>
        <w:jc w:val="center"/>
        <w:rPr>
          <w:rFonts w:ascii="Times New Roman" w:hAnsi="Times New Roman" w:cs="Times New Roman"/>
          <w:b/>
          <w:bCs/>
          <w:sz w:val="28"/>
          <w:szCs w:val="28"/>
        </w:rPr>
      </w:pPr>
      <w:bookmarkStart w:id="2" w:name="_Hlk131669557"/>
      <w:r>
        <w:rPr>
          <w:rFonts w:ascii="Times New Roman" w:hAnsi="Times New Roman" w:cs="Times New Roman"/>
          <w:b/>
          <w:bCs/>
          <w:sz w:val="28"/>
          <w:szCs w:val="28"/>
        </w:rPr>
        <w:lastRenderedPageBreak/>
        <w:t xml:space="preserve">TABLE OF </w:t>
      </w:r>
      <w:r w:rsidR="00853685" w:rsidRPr="00C0310A">
        <w:rPr>
          <w:rFonts w:ascii="Times New Roman" w:hAnsi="Times New Roman" w:cs="Times New Roman"/>
          <w:b/>
          <w:bCs/>
          <w:sz w:val="28"/>
          <w:szCs w:val="28"/>
        </w:rPr>
        <w:t>CONTENT</w:t>
      </w:r>
      <w:r>
        <w:rPr>
          <w:rFonts w:ascii="Times New Roman" w:hAnsi="Times New Roman" w:cs="Times New Roman"/>
          <w:b/>
          <w:bCs/>
          <w:sz w:val="28"/>
          <w:szCs w:val="28"/>
        </w:rPr>
        <w:t>S</w:t>
      </w:r>
    </w:p>
    <w:p w14:paraId="4F7962A2" w14:textId="77777777" w:rsidR="00193921" w:rsidRPr="00C0310A" w:rsidRDefault="00193921" w:rsidP="00B41857">
      <w:pPr>
        <w:spacing w:line="360" w:lineRule="auto"/>
        <w:jc w:val="center"/>
        <w:rPr>
          <w:rFonts w:ascii="Times New Roman" w:hAnsi="Times New Roman" w:cs="Times New Roman"/>
          <w:b/>
          <w:bCs/>
          <w:sz w:val="28"/>
          <w:szCs w:val="28"/>
          <w:lang w:val="en-US"/>
        </w:rPr>
      </w:pPr>
    </w:p>
    <w:tbl>
      <w:tblPr>
        <w:tblStyle w:val="af0"/>
        <w:tblW w:w="964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893"/>
        <w:gridCol w:w="7811"/>
        <w:gridCol w:w="702"/>
      </w:tblGrid>
      <w:tr w:rsidR="003C3BD2" w:rsidRPr="00C0310A" w14:paraId="31F1164E" w14:textId="77777777" w:rsidTr="00DC7ACF">
        <w:trPr>
          <w:trHeight w:val="316"/>
          <w:jc w:val="center"/>
        </w:trPr>
        <w:tc>
          <w:tcPr>
            <w:tcW w:w="8940" w:type="dxa"/>
            <w:gridSpan w:val="3"/>
          </w:tcPr>
          <w:p w14:paraId="1D69072D" w14:textId="11F3D31B" w:rsidR="003C3BD2" w:rsidRPr="00A31C06" w:rsidRDefault="00C454C6" w:rsidP="00DB12F1">
            <w:pPr>
              <w:spacing w:after="0" w:line="240" w:lineRule="auto"/>
              <w:rPr>
                <w:rFonts w:ascii="Times New Roman" w:hAnsi="Times New Roman" w:cs="Times New Roman"/>
                <w:b/>
                <w:bCs/>
                <w:sz w:val="28"/>
                <w:szCs w:val="28"/>
                <w:lang w:val="en-US"/>
              </w:rPr>
            </w:pPr>
            <w:r w:rsidRPr="00A31C06">
              <w:rPr>
                <w:rFonts w:ascii="Times New Roman" w:hAnsi="Times New Roman" w:cs="Times New Roman"/>
                <w:b/>
                <w:bCs/>
                <w:sz w:val="28"/>
                <w:szCs w:val="28"/>
                <w:lang w:val="en-US"/>
              </w:rPr>
              <w:t>NORMATIVE REFERENCES</w:t>
            </w:r>
            <w:r w:rsidR="003C3BD2" w:rsidRPr="00A31C06">
              <w:rPr>
                <w:rFonts w:ascii="Times New Roman" w:hAnsi="Times New Roman" w:cs="Times New Roman"/>
                <w:b/>
                <w:bCs/>
                <w:sz w:val="28"/>
                <w:szCs w:val="28"/>
              </w:rPr>
              <w:t>……</w:t>
            </w:r>
            <w:r w:rsidR="00DB12F1" w:rsidRPr="00A31C06">
              <w:rPr>
                <w:rFonts w:ascii="Times New Roman" w:hAnsi="Times New Roman" w:cs="Times New Roman"/>
                <w:b/>
                <w:bCs/>
                <w:sz w:val="28"/>
                <w:szCs w:val="28"/>
              </w:rPr>
              <w:t>………………………………</w:t>
            </w:r>
            <w:r w:rsidR="00C0310A">
              <w:rPr>
                <w:rFonts w:ascii="Times New Roman" w:hAnsi="Times New Roman" w:cs="Times New Roman"/>
                <w:b/>
                <w:bCs/>
                <w:sz w:val="28"/>
                <w:szCs w:val="28"/>
              </w:rPr>
              <w:t>……</w:t>
            </w:r>
            <w:r w:rsidR="00193921">
              <w:rPr>
                <w:rFonts w:ascii="Times New Roman" w:hAnsi="Times New Roman" w:cs="Times New Roman"/>
                <w:b/>
                <w:bCs/>
                <w:sz w:val="28"/>
                <w:szCs w:val="28"/>
              </w:rPr>
              <w:t>..</w:t>
            </w:r>
            <w:r w:rsidR="00C0310A">
              <w:rPr>
                <w:rFonts w:ascii="Times New Roman" w:hAnsi="Times New Roman" w:cs="Times New Roman"/>
                <w:b/>
                <w:bCs/>
                <w:sz w:val="28"/>
                <w:szCs w:val="28"/>
              </w:rPr>
              <w:t>.</w:t>
            </w:r>
            <w:r w:rsidR="00A31C06" w:rsidRPr="00A31C06">
              <w:rPr>
                <w:rFonts w:ascii="Times New Roman" w:hAnsi="Times New Roman" w:cs="Times New Roman"/>
                <w:b/>
                <w:bCs/>
                <w:sz w:val="28"/>
                <w:szCs w:val="28"/>
              </w:rPr>
              <w:t>..</w:t>
            </w:r>
            <w:r w:rsidR="00DB12F1" w:rsidRPr="00A31C06">
              <w:rPr>
                <w:rFonts w:ascii="Times New Roman" w:hAnsi="Times New Roman" w:cs="Times New Roman"/>
                <w:b/>
                <w:bCs/>
                <w:sz w:val="28"/>
                <w:szCs w:val="28"/>
              </w:rPr>
              <w:t>.</w:t>
            </w:r>
          </w:p>
        </w:tc>
        <w:tc>
          <w:tcPr>
            <w:tcW w:w="702" w:type="dxa"/>
          </w:tcPr>
          <w:p w14:paraId="614512DA" w14:textId="76449C76" w:rsidR="003C3BD2" w:rsidRPr="00F478AD" w:rsidRDefault="00EB6A2C" w:rsidP="00DB12F1">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en-US"/>
              </w:rPr>
              <w:t xml:space="preserve">    </w:t>
            </w:r>
            <w:r w:rsidR="00F478AD">
              <w:rPr>
                <w:rFonts w:ascii="Times New Roman" w:hAnsi="Times New Roman" w:cs="Times New Roman"/>
                <w:sz w:val="28"/>
                <w:szCs w:val="28"/>
                <w:lang w:val="ru-RU"/>
              </w:rPr>
              <w:t>4</w:t>
            </w:r>
          </w:p>
        </w:tc>
      </w:tr>
      <w:tr w:rsidR="00C454C6" w:rsidRPr="00C0310A" w14:paraId="27B1F0C3" w14:textId="77777777" w:rsidTr="00DC7ACF">
        <w:trPr>
          <w:trHeight w:val="316"/>
          <w:jc w:val="center"/>
        </w:trPr>
        <w:tc>
          <w:tcPr>
            <w:tcW w:w="8940" w:type="dxa"/>
            <w:gridSpan w:val="3"/>
          </w:tcPr>
          <w:p w14:paraId="128F54D5" w14:textId="36A1B382" w:rsidR="00C454C6" w:rsidRPr="00A31C06" w:rsidRDefault="00C454C6" w:rsidP="00DB12F1">
            <w:pPr>
              <w:spacing w:after="0" w:line="240" w:lineRule="auto"/>
              <w:jc w:val="both"/>
              <w:rPr>
                <w:rFonts w:ascii="Times New Roman" w:hAnsi="Times New Roman" w:cs="Times New Roman"/>
                <w:b/>
                <w:bCs/>
                <w:sz w:val="28"/>
                <w:szCs w:val="28"/>
              </w:rPr>
            </w:pPr>
            <w:r w:rsidRPr="00A31C06">
              <w:rPr>
                <w:rFonts w:ascii="Times New Roman" w:hAnsi="Times New Roman" w:cs="Times New Roman"/>
                <w:b/>
                <w:bCs/>
                <w:sz w:val="28"/>
                <w:szCs w:val="28"/>
              </w:rPr>
              <w:t>NOTATIONS AND ABBREVIATIONS</w:t>
            </w:r>
            <w:r w:rsidR="00A31C06" w:rsidRPr="00A31C06">
              <w:rPr>
                <w:rFonts w:ascii="Times New Roman" w:hAnsi="Times New Roman" w:cs="Times New Roman"/>
                <w:b/>
                <w:bCs/>
                <w:sz w:val="28"/>
                <w:szCs w:val="28"/>
              </w:rPr>
              <w:t>…………………………</w:t>
            </w:r>
            <w:r w:rsidR="00C0310A">
              <w:rPr>
                <w:rFonts w:ascii="Times New Roman" w:hAnsi="Times New Roman" w:cs="Times New Roman"/>
                <w:b/>
                <w:bCs/>
                <w:sz w:val="28"/>
                <w:szCs w:val="28"/>
              </w:rPr>
              <w:t>……</w:t>
            </w:r>
            <w:r w:rsidR="00193921">
              <w:rPr>
                <w:rFonts w:ascii="Times New Roman" w:hAnsi="Times New Roman" w:cs="Times New Roman"/>
                <w:b/>
                <w:bCs/>
                <w:sz w:val="28"/>
                <w:szCs w:val="28"/>
              </w:rPr>
              <w:t>…</w:t>
            </w:r>
            <w:r w:rsidR="00A31C06" w:rsidRPr="00A31C06">
              <w:rPr>
                <w:rFonts w:ascii="Times New Roman" w:hAnsi="Times New Roman" w:cs="Times New Roman"/>
                <w:b/>
                <w:bCs/>
                <w:sz w:val="28"/>
                <w:szCs w:val="28"/>
              </w:rPr>
              <w:t>…</w:t>
            </w:r>
          </w:p>
        </w:tc>
        <w:tc>
          <w:tcPr>
            <w:tcW w:w="702" w:type="dxa"/>
          </w:tcPr>
          <w:p w14:paraId="1FB6178B" w14:textId="14BE422A" w:rsidR="00C454C6" w:rsidRPr="00F478AD" w:rsidRDefault="00EB6A2C" w:rsidP="00DB12F1">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en-US"/>
              </w:rPr>
              <w:t xml:space="preserve">    </w:t>
            </w:r>
            <w:r w:rsidR="00F478AD">
              <w:rPr>
                <w:rFonts w:ascii="Times New Roman" w:hAnsi="Times New Roman" w:cs="Times New Roman"/>
                <w:sz w:val="28"/>
                <w:szCs w:val="28"/>
                <w:lang w:val="ru-RU"/>
              </w:rPr>
              <w:t>5</w:t>
            </w:r>
          </w:p>
        </w:tc>
      </w:tr>
      <w:tr w:rsidR="00C43486" w:rsidRPr="00C0310A" w14:paraId="74A00978" w14:textId="77777777" w:rsidTr="00DC7ACF">
        <w:trPr>
          <w:trHeight w:val="316"/>
          <w:jc w:val="center"/>
        </w:trPr>
        <w:tc>
          <w:tcPr>
            <w:tcW w:w="8940" w:type="dxa"/>
            <w:gridSpan w:val="3"/>
          </w:tcPr>
          <w:p w14:paraId="06E973CB" w14:textId="4A1ED0ED" w:rsidR="00C43486" w:rsidRPr="00A31C06" w:rsidRDefault="00C43486" w:rsidP="00DB12F1">
            <w:pPr>
              <w:spacing w:after="0" w:line="240" w:lineRule="auto"/>
              <w:jc w:val="both"/>
              <w:rPr>
                <w:rFonts w:ascii="Times New Roman" w:hAnsi="Times New Roman" w:cs="Times New Roman"/>
                <w:b/>
                <w:bCs/>
                <w:sz w:val="28"/>
                <w:szCs w:val="28"/>
                <w:lang w:val="en-US"/>
              </w:rPr>
            </w:pPr>
            <w:r w:rsidRPr="00A31C06">
              <w:rPr>
                <w:rFonts w:ascii="Times New Roman" w:hAnsi="Times New Roman" w:cs="Times New Roman"/>
                <w:b/>
                <w:bCs/>
                <w:sz w:val="28"/>
                <w:szCs w:val="28"/>
              </w:rPr>
              <w:t>INTRODUCTION…………………………………………………</w:t>
            </w:r>
            <w:r w:rsidR="00C0310A">
              <w:rPr>
                <w:rFonts w:ascii="Times New Roman" w:hAnsi="Times New Roman" w:cs="Times New Roman"/>
                <w:b/>
                <w:bCs/>
                <w:sz w:val="28"/>
                <w:szCs w:val="28"/>
              </w:rPr>
              <w:t>…</w:t>
            </w:r>
            <w:proofErr w:type="gramStart"/>
            <w:r w:rsidR="00C0310A">
              <w:rPr>
                <w:rFonts w:ascii="Times New Roman" w:hAnsi="Times New Roman" w:cs="Times New Roman"/>
                <w:b/>
                <w:bCs/>
                <w:sz w:val="28"/>
                <w:szCs w:val="28"/>
              </w:rPr>
              <w:t>…</w:t>
            </w:r>
            <w:r w:rsidR="00193921">
              <w:rPr>
                <w:rFonts w:ascii="Times New Roman" w:hAnsi="Times New Roman" w:cs="Times New Roman"/>
                <w:b/>
                <w:bCs/>
                <w:sz w:val="28"/>
                <w:szCs w:val="28"/>
              </w:rPr>
              <w:t>..</w:t>
            </w:r>
            <w:r w:rsidR="00C0310A">
              <w:rPr>
                <w:rFonts w:ascii="Times New Roman" w:hAnsi="Times New Roman" w:cs="Times New Roman"/>
                <w:b/>
                <w:bCs/>
                <w:sz w:val="28"/>
                <w:szCs w:val="28"/>
              </w:rPr>
              <w:t>….</w:t>
            </w:r>
            <w:r w:rsidR="00A31C06" w:rsidRPr="00A31C06">
              <w:rPr>
                <w:rFonts w:ascii="Times New Roman" w:hAnsi="Times New Roman" w:cs="Times New Roman"/>
                <w:b/>
                <w:bCs/>
                <w:sz w:val="28"/>
                <w:szCs w:val="28"/>
              </w:rPr>
              <w:t>.</w:t>
            </w:r>
            <w:proofErr w:type="gramEnd"/>
          </w:p>
        </w:tc>
        <w:tc>
          <w:tcPr>
            <w:tcW w:w="702" w:type="dxa"/>
            <w:hideMark/>
          </w:tcPr>
          <w:p w14:paraId="450BE6BF" w14:textId="59E598C2" w:rsidR="00C43486" w:rsidRPr="00F478AD" w:rsidRDefault="00EB6A2C" w:rsidP="00DB12F1">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en-US"/>
              </w:rPr>
              <w:t xml:space="preserve">    </w:t>
            </w:r>
            <w:r w:rsidR="00F478AD">
              <w:rPr>
                <w:rFonts w:ascii="Times New Roman" w:hAnsi="Times New Roman" w:cs="Times New Roman"/>
                <w:sz w:val="28"/>
                <w:szCs w:val="28"/>
                <w:lang w:val="ru-RU"/>
              </w:rPr>
              <w:t>6</w:t>
            </w:r>
          </w:p>
        </w:tc>
      </w:tr>
      <w:tr w:rsidR="00C43486" w:rsidRPr="00C0310A" w14:paraId="57703579" w14:textId="77777777" w:rsidTr="00DC7ACF">
        <w:trPr>
          <w:trHeight w:val="316"/>
          <w:jc w:val="center"/>
        </w:trPr>
        <w:tc>
          <w:tcPr>
            <w:tcW w:w="8940" w:type="dxa"/>
            <w:gridSpan w:val="3"/>
          </w:tcPr>
          <w:p w14:paraId="74FBC844" w14:textId="07C0E77C" w:rsidR="00C43486" w:rsidRPr="00DB12F1" w:rsidRDefault="00E36714" w:rsidP="00DB12F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14693">
              <w:rPr>
                <w:rFonts w:ascii="Times New Roman" w:hAnsi="Times New Roman" w:cs="Times New Roman"/>
                <w:sz w:val="28"/>
                <w:szCs w:val="28"/>
              </w:rPr>
              <w:t xml:space="preserve"> </w:t>
            </w:r>
            <w:r w:rsidR="00C43486" w:rsidRPr="00E36714">
              <w:rPr>
                <w:rFonts w:ascii="Times New Roman" w:hAnsi="Times New Roman" w:cs="Times New Roman"/>
                <w:b/>
                <w:bCs/>
                <w:sz w:val="28"/>
                <w:szCs w:val="28"/>
              </w:rPr>
              <w:t>1</w:t>
            </w:r>
            <w:r w:rsidRPr="00E36714">
              <w:rPr>
                <w:rFonts w:ascii="Times New Roman" w:hAnsi="Times New Roman" w:cs="Times New Roman"/>
                <w:b/>
                <w:bCs/>
                <w:sz w:val="28"/>
                <w:szCs w:val="28"/>
              </w:rPr>
              <w:t>LITERATURE REVIEW</w:t>
            </w:r>
            <w:r w:rsidR="00C43486" w:rsidRPr="00DB12F1">
              <w:rPr>
                <w:rFonts w:ascii="Times New Roman" w:hAnsi="Times New Roman" w:cs="Times New Roman"/>
                <w:sz w:val="28"/>
                <w:szCs w:val="28"/>
                <w:lang w:val="en-US"/>
              </w:rPr>
              <w:t>……………………………</w:t>
            </w:r>
            <w:r w:rsidR="00C43486" w:rsidRPr="00DB12F1">
              <w:rPr>
                <w:rFonts w:ascii="Times New Roman" w:hAnsi="Times New Roman" w:cs="Times New Roman"/>
                <w:sz w:val="28"/>
                <w:szCs w:val="28"/>
              </w:rPr>
              <w:t>…</w:t>
            </w:r>
            <w:r w:rsidR="00A31C06">
              <w:rPr>
                <w:rFonts w:ascii="Times New Roman" w:hAnsi="Times New Roman" w:cs="Times New Roman"/>
                <w:sz w:val="28"/>
                <w:szCs w:val="28"/>
              </w:rPr>
              <w:t>……………</w:t>
            </w:r>
            <w:proofErr w:type="gramStart"/>
            <w:r w:rsidR="00A31C06">
              <w:rPr>
                <w:rFonts w:ascii="Times New Roman" w:hAnsi="Times New Roman" w:cs="Times New Roman"/>
                <w:sz w:val="28"/>
                <w:szCs w:val="28"/>
              </w:rPr>
              <w:t>…</w:t>
            </w:r>
            <w:r>
              <w:rPr>
                <w:rFonts w:ascii="Times New Roman" w:hAnsi="Times New Roman" w:cs="Times New Roman"/>
                <w:sz w:val="28"/>
                <w:szCs w:val="28"/>
              </w:rPr>
              <w:t>..</w:t>
            </w:r>
            <w:proofErr w:type="gramEnd"/>
          </w:p>
        </w:tc>
        <w:tc>
          <w:tcPr>
            <w:tcW w:w="702" w:type="dxa"/>
            <w:hideMark/>
          </w:tcPr>
          <w:p w14:paraId="7A3ED4A2" w14:textId="6C56F0C4" w:rsidR="00C43486" w:rsidRPr="00C0310A" w:rsidRDefault="00EB6A2C" w:rsidP="00DB12F1">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C43486" w:rsidRPr="00C0310A">
              <w:rPr>
                <w:rFonts w:ascii="Times New Roman" w:hAnsi="Times New Roman" w:cs="Times New Roman"/>
                <w:sz w:val="28"/>
                <w:szCs w:val="28"/>
                <w:lang w:val="kk-KZ"/>
              </w:rPr>
              <w:t>1</w:t>
            </w:r>
            <w:r w:rsidR="00301634" w:rsidRPr="00C0310A">
              <w:rPr>
                <w:rFonts w:ascii="Times New Roman" w:hAnsi="Times New Roman" w:cs="Times New Roman"/>
                <w:sz w:val="28"/>
                <w:szCs w:val="28"/>
                <w:lang w:val="en-US"/>
              </w:rPr>
              <w:t>0</w:t>
            </w:r>
          </w:p>
        </w:tc>
      </w:tr>
      <w:tr w:rsidR="00C0310A" w:rsidRPr="00C0310A" w14:paraId="6C894B48" w14:textId="77777777" w:rsidTr="00DC7ACF">
        <w:trPr>
          <w:trHeight w:val="299"/>
          <w:jc w:val="center"/>
        </w:trPr>
        <w:tc>
          <w:tcPr>
            <w:tcW w:w="236" w:type="dxa"/>
          </w:tcPr>
          <w:p w14:paraId="06C04F15"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893" w:type="dxa"/>
            <w:hideMark/>
          </w:tcPr>
          <w:p w14:paraId="1AA6903A" w14:textId="77777777" w:rsidR="00C43486" w:rsidRPr="00DB12F1" w:rsidRDefault="00C43486" w:rsidP="00DB12F1">
            <w:pPr>
              <w:spacing w:after="0" w:line="240" w:lineRule="auto"/>
              <w:jc w:val="both"/>
              <w:rPr>
                <w:rFonts w:ascii="Times New Roman" w:hAnsi="Times New Roman" w:cs="Times New Roman"/>
                <w:sz w:val="28"/>
                <w:szCs w:val="28"/>
              </w:rPr>
            </w:pPr>
            <w:r w:rsidRPr="00DB12F1">
              <w:rPr>
                <w:rFonts w:ascii="Times New Roman" w:hAnsi="Times New Roman" w:cs="Times New Roman"/>
                <w:sz w:val="28"/>
                <w:szCs w:val="28"/>
              </w:rPr>
              <w:t>1.1</w:t>
            </w:r>
          </w:p>
        </w:tc>
        <w:tc>
          <w:tcPr>
            <w:tcW w:w="7811" w:type="dxa"/>
            <w:hideMark/>
          </w:tcPr>
          <w:p w14:paraId="02F7D25F" w14:textId="730C819A" w:rsidR="00C43486" w:rsidRPr="00DB12F1" w:rsidRDefault="00C14693" w:rsidP="00DB12F1">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rPr>
              <w:t>The biology of</w:t>
            </w:r>
            <w:r w:rsidR="00E36714">
              <w:rPr>
                <w:rFonts w:ascii="Times New Roman" w:hAnsi="Times New Roman" w:cs="Times New Roman"/>
                <w:sz w:val="28"/>
                <w:szCs w:val="28"/>
              </w:rPr>
              <w:t xml:space="preserve"> </w:t>
            </w:r>
            <w:r>
              <w:rPr>
                <w:rFonts w:ascii="Times New Roman" w:hAnsi="Times New Roman" w:cs="Times New Roman"/>
                <w:sz w:val="28"/>
                <w:szCs w:val="28"/>
              </w:rPr>
              <w:t>c</w:t>
            </w:r>
            <w:r w:rsidR="00776BB5" w:rsidRPr="00DB12F1">
              <w:rPr>
                <w:rFonts w:ascii="Times New Roman" w:hAnsi="Times New Roman" w:cs="Times New Roman"/>
                <w:sz w:val="28"/>
                <w:szCs w:val="28"/>
              </w:rPr>
              <w:t>oronaviruses</w:t>
            </w:r>
            <w:r w:rsidR="00776BB5" w:rsidRPr="00DB12F1">
              <w:rPr>
                <w:rFonts w:ascii="Times New Roman" w:hAnsi="Times New Roman" w:cs="Times New Roman"/>
                <w:sz w:val="28"/>
                <w:szCs w:val="28"/>
                <w:lang w:val="ru-RU"/>
              </w:rPr>
              <w:t>………………………………</w:t>
            </w:r>
            <w:r>
              <w:rPr>
                <w:rFonts w:ascii="Times New Roman" w:hAnsi="Times New Roman" w:cs="Times New Roman"/>
                <w:sz w:val="28"/>
                <w:szCs w:val="28"/>
                <w:lang w:val="en-US"/>
              </w:rPr>
              <w:t>……...</w:t>
            </w:r>
            <w:r w:rsidR="00776BB5" w:rsidRPr="00DB12F1">
              <w:rPr>
                <w:rFonts w:ascii="Times New Roman" w:hAnsi="Times New Roman" w:cs="Times New Roman"/>
                <w:sz w:val="28"/>
                <w:szCs w:val="28"/>
                <w:lang w:val="ru-RU"/>
              </w:rPr>
              <w:t>.</w:t>
            </w:r>
          </w:p>
        </w:tc>
        <w:tc>
          <w:tcPr>
            <w:tcW w:w="702" w:type="dxa"/>
            <w:hideMark/>
          </w:tcPr>
          <w:p w14:paraId="784E3D0E" w14:textId="47218778" w:rsidR="00C43486" w:rsidRPr="00C0310A" w:rsidRDefault="00EB6A2C" w:rsidP="00DB12F1">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C43486" w:rsidRPr="00C0310A">
              <w:rPr>
                <w:rFonts w:ascii="Times New Roman" w:hAnsi="Times New Roman" w:cs="Times New Roman"/>
                <w:sz w:val="28"/>
                <w:szCs w:val="28"/>
                <w:lang w:val="kk-KZ"/>
              </w:rPr>
              <w:t>1</w:t>
            </w:r>
            <w:r w:rsidR="00301634" w:rsidRPr="00C0310A">
              <w:rPr>
                <w:rFonts w:ascii="Times New Roman" w:hAnsi="Times New Roman" w:cs="Times New Roman"/>
                <w:sz w:val="28"/>
                <w:szCs w:val="28"/>
                <w:lang w:val="en-US"/>
              </w:rPr>
              <w:t>0</w:t>
            </w:r>
          </w:p>
        </w:tc>
      </w:tr>
      <w:tr w:rsidR="00C0310A" w:rsidRPr="00C0310A" w14:paraId="63869EC5" w14:textId="77777777" w:rsidTr="00DC7ACF">
        <w:trPr>
          <w:trHeight w:val="316"/>
          <w:jc w:val="center"/>
        </w:trPr>
        <w:tc>
          <w:tcPr>
            <w:tcW w:w="236" w:type="dxa"/>
          </w:tcPr>
          <w:p w14:paraId="6A19EA09"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893" w:type="dxa"/>
            <w:hideMark/>
          </w:tcPr>
          <w:p w14:paraId="7F345639" w14:textId="30FCA962" w:rsidR="00C43486" w:rsidRPr="00DB12F1" w:rsidRDefault="00C43486" w:rsidP="00DB12F1">
            <w:pPr>
              <w:spacing w:after="0" w:line="240" w:lineRule="auto"/>
              <w:jc w:val="both"/>
              <w:rPr>
                <w:rFonts w:ascii="Times New Roman" w:hAnsi="Times New Roman" w:cs="Times New Roman"/>
                <w:sz w:val="28"/>
                <w:szCs w:val="28"/>
                <w:lang w:val="ru-RU"/>
              </w:rPr>
            </w:pPr>
            <w:r w:rsidRPr="00DB12F1">
              <w:rPr>
                <w:rFonts w:ascii="Times New Roman" w:hAnsi="Times New Roman" w:cs="Times New Roman"/>
                <w:sz w:val="28"/>
                <w:szCs w:val="28"/>
              </w:rPr>
              <w:t>1.</w:t>
            </w:r>
            <w:r w:rsidR="00776BB5" w:rsidRPr="00DB12F1">
              <w:rPr>
                <w:rFonts w:ascii="Times New Roman" w:hAnsi="Times New Roman" w:cs="Times New Roman"/>
                <w:sz w:val="28"/>
                <w:szCs w:val="28"/>
                <w:lang w:val="ru-RU"/>
              </w:rPr>
              <w:t>2</w:t>
            </w:r>
          </w:p>
        </w:tc>
        <w:tc>
          <w:tcPr>
            <w:tcW w:w="7811" w:type="dxa"/>
            <w:hideMark/>
          </w:tcPr>
          <w:p w14:paraId="15DCCBAF" w14:textId="1D26AAC1" w:rsidR="00C43486" w:rsidRPr="00DB12F1" w:rsidRDefault="00FC3B76" w:rsidP="00DB12F1">
            <w:pPr>
              <w:pStyle w:val="ae"/>
              <w:spacing w:after="0" w:line="240" w:lineRule="auto"/>
              <w:jc w:val="both"/>
              <w:rPr>
                <w:sz w:val="28"/>
                <w:szCs w:val="28"/>
                <w:lang w:val="en-US"/>
              </w:rPr>
            </w:pPr>
            <w:r w:rsidRPr="00DB12F1">
              <w:rPr>
                <w:sz w:val="28"/>
                <w:szCs w:val="28"/>
              </w:rPr>
              <w:t>Antiviral drugs against SARS-CoV-2</w:t>
            </w:r>
            <w:r w:rsidR="00C43486" w:rsidRPr="00DB12F1">
              <w:rPr>
                <w:sz w:val="28"/>
                <w:szCs w:val="28"/>
                <w:lang w:val="en-US"/>
              </w:rPr>
              <w:t>…</w:t>
            </w:r>
            <w:r w:rsidR="00C43486" w:rsidRPr="00DB12F1">
              <w:rPr>
                <w:sz w:val="28"/>
                <w:szCs w:val="28"/>
                <w:lang w:val="kk-KZ"/>
              </w:rPr>
              <w:t>.........</w:t>
            </w:r>
            <w:r w:rsidR="00C43486" w:rsidRPr="00DB12F1">
              <w:rPr>
                <w:sz w:val="28"/>
                <w:szCs w:val="28"/>
                <w:lang w:val="en-US"/>
              </w:rPr>
              <w:t>……………</w:t>
            </w:r>
            <w:r w:rsidR="00776BB5" w:rsidRPr="00DB12F1">
              <w:rPr>
                <w:sz w:val="28"/>
                <w:szCs w:val="28"/>
                <w:lang w:val="en-US"/>
              </w:rPr>
              <w:t>…</w:t>
            </w:r>
            <w:r w:rsidR="00A31C06">
              <w:rPr>
                <w:sz w:val="28"/>
                <w:szCs w:val="28"/>
                <w:lang w:val="en-US"/>
              </w:rPr>
              <w:t>..</w:t>
            </w:r>
            <w:r w:rsidR="00F41D6F" w:rsidRPr="00DB12F1">
              <w:rPr>
                <w:sz w:val="28"/>
                <w:szCs w:val="28"/>
                <w:lang w:val="en-US"/>
              </w:rPr>
              <w:t>........</w:t>
            </w:r>
            <w:r w:rsidR="00A31C06">
              <w:rPr>
                <w:sz w:val="28"/>
                <w:szCs w:val="28"/>
                <w:lang w:val="en-US"/>
              </w:rPr>
              <w:t>.</w:t>
            </w:r>
            <w:r w:rsidR="00C43486" w:rsidRPr="00DB12F1">
              <w:rPr>
                <w:sz w:val="28"/>
                <w:szCs w:val="28"/>
                <w:lang w:val="en-US"/>
              </w:rPr>
              <w:t>.</w:t>
            </w:r>
          </w:p>
        </w:tc>
        <w:tc>
          <w:tcPr>
            <w:tcW w:w="702" w:type="dxa"/>
            <w:hideMark/>
          </w:tcPr>
          <w:p w14:paraId="527EBF88" w14:textId="41C1E957" w:rsidR="00C43486" w:rsidRPr="00F478AD" w:rsidRDefault="00EB6A2C" w:rsidP="00DB12F1">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rPr>
              <w:t xml:space="preserve"> </w:t>
            </w:r>
            <w:r w:rsidR="000233A8" w:rsidRPr="00C0310A">
              <w:rPr>
                <w:rFonts w:ascii="Times New Roman" w:hAnsi="Times New Roman" w:cs="Times New Roman"/>
                <w:sz w:val="28"/>
                <w:szCs w:val="28"/>
              </w:rPr>
              <w:t>2</w:t>
            </w:r>
            <w:r w:rsidR="00F478AD">
              <w:rPr>
                <w:rFonts w:ascii="Times New Roman" w:hAnsi="Times New Roman" w:cs="Times New Roman"/>
                <w:sz w:val="28"/>
                <w:szCs w:val="28"/>
                <w:lang w:val="ru-RU"/>
              </w:rPr>
              <w:t>1</w:t>
            </w:r>
          </w:p>
        </w:tc>
      </w:tr>
      <w:tr w:rsidR="00C0310A" w:rsidRPr="00C0310A" w14:paraId="65D08DD2" w14:textId="77777777" w:rsidTr="00DC7ACF">
        <w:trPr>
          <w:trHeight w:val="316"/>
          <w:jc w:val="center"/>
        </w:trPr>
        <w:tc>
          <w:tcPr>
            <w:tcW w:w="236" w:type="dxa"/>
          </w:tcPr>
          <w:p w14:paraId="3E85C7A7"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893" w:type="dxa"/>
            <w:hideMark/>
          </w:tcPr>
          <w:p w14:paraId="2D493493" w14:textId="23408901" w:rsidR="00C43486" w:rsidRPr="00DB12F1" w:rsidRDefault="00C43486" w:rsidP="00DB12F1">
            <w:pPr>
              <w:spacing w:after="0" w:line="240" w:lineRule="auto"/>
              <w:jc w:val="both"/>
              <w:rPr>
                <w:rFonts w:ascii="Times New Roman" w:hAnsi="Times New Roman" w:cs="Times New Roman"/>
                <w:sz w:val="28"/>
                <w:szCs w:val="28"/>
              </w:rPr>
            </w:pPr>
            <w:r w:rsidRPr="00DB12F1">
              <w:rPr>
                <w:rFonts w:ascii="Times New Roman" w:hAnsi="Times New Roman" w:cs="Times New Roman"/>
                <w:sz w:val="28"/>
                <w:szCs w:val="28"/>
              </w:rPr>
              <w:t>1.</w:t>
            </w:r>
            <w:r w:rsidR="00E36714">
              <w:rPr>
                <w:rFonts w:ascii="Times New Roman" w:hAnsi="Times New Roman" w:cs="Times New Roman"/>
                <w:sz w:val="28"/>
                <w:szCs w:val="28"/>
              </w:rPr>
              <w:t xml:space="preserve"> </w:t>
            </w:r>
            <w:r w:rsidR="00776BB5" w:rsidRPr="00DB12F1">
              <w:rPr>
                <w:rFonts w:ascii="Times New Roman" w:hAnsi="Times New Roman" w:cs="Times New Roman"/>
                <w:sz w:val="28"/>
                <w:szCs w:val="28"/>
              </w:rPr>
              <w:t>3</w:t>
            </w:r>
          </w:p>
        </w:tc>
        <w:tc>
          <w:tcPr>
            <w:tcW w:w="7811" w:type="dxa"/>
            <w:hideMark/>
          </w:tcPr>
          <w:p w14:paraId="6C72BC3F" w14:textId="6F716243" w:rsidR="00C43486" w:rsidRPr="00DB12F1" w:rsidRDefault="00776BB5" w:rsidP="00DB12F1">
            <w:pPr>
              <w:pStyle w:val="af1"/>
              <w:spacing w:after="0" w:line="240" w:lineRule="auto"/>
              <w:ind w:left="0"/>
              <w:jc w:val="both"/>
              <w:rPr>
                <w:rFonts w:ascii="Times New Roman" w:hAnsi="Times New Roman" w:cs="Times New Roman"/>
                <w:sz w:val="28"/>
                <w:szCs w:val="28"/>
              </w:rPr>
            </w:pPr>
            <w:r w:rsidRPr="00DB12F1">
              <w:rPr>
                <w:rFonts w:ascii="Times New Roman" w:hAnsi="Times New Roman" w:cs="Times New Roman"/>
                <w:sz w:val="28"/>
                <w:szCs w:val="28"/>
              </w:rPr>
              <w:t>Lethal mutagenesis as a purpose</w:t>
            </w:r>
            <w:r w:rsidR="00C43486" w:rsidRPr="00DB12F1">
              <w:rPr>
                <w:rFonts w:ascii="Times New Roman" w:hAnsi="Times New Roman" w:cs="Times New Roman"/>
                <w:sz w:val="28"/>
                <w:szCs w:val="28"/>
                <w:lang w:val="en-US"/>
              </w:rPr>
              <w:t>……………</w:t>
            </w:r>
            <w:r w:rsidR="00C43486" w:rsidRPr="00DB12F1">
              <w:rPr>
                <w:rFonts w:ascii="Times New Roman" w:hAnsi="Times New Roman" w:cs="Times New Roman"/>
                <w:sz w:val="28"/>
                <w:szCs w:val="28"/>
              </w:rPr>
              <w:t>……………</w:t>
            </w:r>
            <w:r w:rsidRPr="00DB12F1">
              <w:rPr>
                <w:rFonts w:ascii="Times New Roman" w:hAnsi="Times New Roman" w:cs="Times New Roman"/>
                <w:sz w:val="28"/>
                <w:szCs w:val="28"/>
              </w:rPr>
              <w:t>………</w:t>
            </w:r>
            <w:r w:rsidR="00A31C06">
              <w:rPr>
                <w:rFonts w:ascii="Times New Roman" w:hAnsi="Times New Roman" w:cs="Times New Roman"/>
                <w:sz w:val="28"/>
                <w:szCs w:val="28"/>
              </w:rPr>
              <w:t>…</w:t>
            </w:r>
            <w:r w:rsidR="00C43486" w:rsidRPr="00DB12F1">
              <w:rPr>
                <w:rFonts w:ascii="Times New Roman" w:hAnsi="Times New Roman" w:cs="Times New Roman"/>
                <w:sz w:val="28"/>
                <w:szCs w:val="28"/>
              </w:rPr>
              <w:t>.</w:t>
            </w:r>
          </w:p>
        </w:tc>
        <w:tc>
          <w:tcPr>
            <w:tcW w:w="702" w:type="dxa"/>
            <w:hideMark/>
          </w:tcPr>
          <w:p w14:paraId="08ACBCB8" w14:textId="28E3AF1E" w:rsidR="00C43486" w:rsidRPr="00F478AD" w:rsidRDefault="00EB6A2C" w:rsidP="00DB12F1">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rPr>
              <w:t xml:space="preserve"> </w:t>
            </w:r>
            <w:r w:rsidR="000233A8" w:rsidRPr="00C0310A">
              <w:rPr>
                <w:rFonts w:ascii="Times New Roman" w:hAnsi="Times New Roman" w:cs="Times New Roman"/>
                <w:sz w:val="28"/>
                <w:szCs w:val="28"/>
              </w:rPr>
              <w:t>3</w:t>
            </w:r>
            <w:r w:rsidR="00F478AD">
              <w:rPr>
                <w:rFonts w:ascii="Times New Roman" w:hAnsi="Times New Roman" w:cs="Times New Roman"/>
                <w:sz w:val="28"/>
                <w:szCs w:val="28"/>
                <w:lang w:val="ru-RU"/>
              </w:rPr>
              <w:t>0</w:t>
            </w:r>
          </w:p>
        </w:tc>
      </w:tr>
      <w:tr w:rsidR="00C0310A" w:rsidRPr="00C0310A" w14:paraId="31208B02" w14:textId="77777777" w:rsidTr="00DC7ACF">
        <w:trPr>
          <w:trHeight w:val="316"/>
          <w:jc w:val="center"/>
        </w:trPr>
        <w:tc>
          <w:tcPr>
            <w:tcW w:w="236" w:type="dxa"/>
          </w:tcPr>
          <w:p w14:paraId="17D3C8DC"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893" w:type="dxa"/>
            <w:hideMark/>
          </w:tcPr>
          <w:p w14:paraId="32CD5EA3" w14:textId="0ED7180D" w:rsidR="00C43486" w:rsidRPr="00DB12F1" w:rsidRDefault="00C43486" w:rsidP="00DB12F1">
            <w:pPr>
              <w:spacing w:after="0" w:line="240" w:lineRule="auto"/>
              <w:jc w:val="both"/>
              <w:rPr>
                <w:rFonts w:ascii="Times New Roman" w:hAnsi="Times New Roman" w:cs="Times New Roman"/>
                <w:sz w:val="28"/>
                <w:szCs w:val="28"/>
              </w:rPr>
            </w:pPr>
            <w:r w:rsidRPr="00DB12F1">
              <w:rPr>
                <w:rFonts w:ascii="Times New Roman" w:hAnsi="Times New Roman" w:cs="Times New Roman"/>
                <w:sz w:val="28"/>
                <w:szCs w:val="28"/>
              </w:rPr>
              <w:t>1.</w:t>
            </w:r>
            <w:r w:rsidR="00FC3B76" w:rsidRPr="00DB12F1">
              <w:rPr>
                <w:rFonts w:ascii="Times New Roman" w:hAnsi="Times New Roman" w:cs="Times New Roman"/>
                <w:sz w:val="28"/>
                <w:szCs w:val="28"/>
              </w:rPr>
              <w:t>4</w:t>
            </w:r>
          </w:p>
        </w:tc>
        <w:tc>
          <w:tcPr>
            <w:tcW w:w="7811" w:type="dxa"/>
            <w:hideMark/>
          </w:tcPr>
          <w:p w14:paraId="0BB46E55" w14:textId="0A799810" w:rsidR="00C43486" w:rsidRPr="00DB12F1" w:rsidRDefault="00FC3B76" w:rsidP="00DB12F1">
            <w:pPr>
              <w:pStyle w:val="af1"/>
              <w:spacing w:after="0" w:line="240" w:lineRule="auto"/>
              <w:ind w:left="0"/>
              <w:jc w:val="both"/>
              <w:rPr>
                <w:rFonts w:ascii="Times New Roman" w:hAnsi="Times New Roman" w:cs="Times New Roman"/>
                <w:sz w:val="28"/>
                <w:szCs w:val="28"/>
              </w:rPr>
            </w:pPr>
            <w:r w:rsidRPr="00DB12F1">
              <w:rPr>
                <w:rFonts w:ascii="Times New Roman" w:hAnsi="Times New Roman" w:cs="Times New Roman"/>
                <w:sz w:val="28"/>
                <w:szCs w:val="28"/>
              </w:rPr>
              <w:t xml:space="preserve">Influenza virus and antivirals </w:t>
            </w:r>
            <w:r w:rsidR="00C43486" w:rsidRPr="00DB12F1">
              <w:rPr>
                <w:rFonts w:ascii="Times New Roman" w:hAnsi="Times New Roman" w:cs="Times New Roman"/>
                <w:sz w:val="28"/>
                <w:szCs w:val="28"/>
                <w:lang w:val="en-US"/>
              </w:rPr>
              <w:t>…………………</w:t>
            </w:r>
            <w:r w:rsidR="00C43486" w:rsidRPr="00DB12F1">
              <w:rPr>
                <w:rFonts w:ascii="Times New Roman" w:hAnsi="Times New Roman" w:cs="Times New Roman"/>
                <w:sz w:val="28"/>
                <w:szCs w:val="28"/>
              </w:rPr>
              <w:t>……….......</w:t>
            </w:r>
            <w:r w:rsidRPr="00DB12F1">
              <w:rPr>
                <w:rFonts w:ascii="Times New Roman" w:hAnsi="Times New Roman" w:cs="Times New Roman"/>
                <w:sz w:val="28"/>
                <w:szCs w:val="28"/>
              </w:rPr>
              <w:t>..............</w:t>
            </w:r>
          </w:p>
        </w:tc>
        <w:tc>
          <w:tcPr>
            <w:tcW w:w="702" w:type="dxa"/>
            <w:hideMark/>
          </w:tcPr>
          <w:p w14:paraId="23F96190" w14:textId="4B36D7F7" w:rsidR="00C43486" w:rsidRPr="00F478AD" w:rsidRDefault="00C0310A" w:rsidP="00DB12F1">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en-US"/>
              </w:rPr>
              <w:t xml:space="preserve">  </w:t>
            </w:r>
            <w:r w:rsidR="000233A8" w:rsidRPr="00C0310A">
              <w:rPr>
                <w:rFonts w:ascii="Times New Roman" w:hAnsi="Times New Roman" w:cs="Times New Roman"/>
                <w:sz w:val="28"/>
                <w:szCs w:val="28"/>
                <w:lang w:val="en-US"/>
              </w:rPr>
              <w:t>3</w:t>
            </w:r>
            <w:r w:rsidR="00F478AD">
              <w:rPr>
                <w:rFonts w:ascii="Times New Roman" w:hAnsi="Times New Roman" w:cs="Times New Roman"/>
                <w:sz w:val="28"/>
                <w:szCs w:val="28"/>
                <w:lang w:val="ru-RU"/>
              </w:rPr>
              <w:t>3</w:t>
            </w:r>
          </w:p>
        </w:tc>
      </w:tr>
      <w:tr w:rsidR="00C0310A" w:rsidRPr="00C0310A" w14:paraId="3E6EED3F" w14:textId="77777777" w:rsidTr="00DC7ACF">
        <w:trPr>
          <w:trHeight w:val="316"/>
          <w:jc w:val="center"/>
        </w:trPr>
        <w:tc>
          <w:tcPr>
            <w:tcW w:w="236" w:type="dxa"/>
          </w:tcPr>
          <w:p w14:paraId="4881A052"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893" w:type="dxa"/>
          </w:tcPr>
          <w:p w14:paraId="2FF04667" w14:textId="09053978" w:rsidR="00C43486" w:rsidRPr="00DB12F1" w:rsidRDefault="00C43486" w:rsidP="00DB12F1">
            <w:pPr>
              <w:spacing w:after="0" w:line="240" w:lineRule="auto"/>
              <w:jc w:val="both"/>
              <w:rPr>
                <w:rFonts w:ascii="Times New Roman" w:hAnsi="Times New Roman" w:cs="Times New Roman"/>
                <w:sz w:val="28"/>
                <w:szCs w:val="28"/>
              </w:rPr>
            </w:pPr>
            <w:r w:rsidRPr="00DB12F1">
              <w:rPr>
                <w:rFonts w:ascii="Times New Roman" w:hAnsi="Times New Roman" w:cs="Times New Roman"/>
                <w:sz w:val="28"/>
                <w:szCs w:val="28"/>
              </w:rPr>
              <w:t>1.</w:t>
            </w:r>
            <w:r w:rsidR="005F1B32" w:rsidRPr="00DB12F1">
              <w:rPr>
                <w:rFonts w:ascii="Times New Roman" w:hAnsi="Times New Roman" w:cs="Times New Roman"/>
                <w:sz w:val="28"/>
                <w:szCs w:val="28"/>
              </w:rPr>
              <w:t>5</w:t>
            </w:r>
          </w:p>
        </w:tc>
        <w:tc>
          <w:tcPr>
            <w:tcW w:w="7811" w:type="dxa"/>
            <w:hideMark/>
          </w:tcPr>
          <w:p w14:paraId="2FC9A460" w14:textId="0557704B" w:rsidR="00C43486" w:rsidRPr="00DB12F1" w:rsidRDefault="005F1B32" w:rsidP="00DB12F1">
            <w:pPr>
              <w:pStyle w:val="af1"/>
              <w:spacing w:after="0" w:line="240" w:lineRule="auto"/>
              <w:ind w:left="0"/>
              <w:rPr>
                <w:rFonts w:ascii="Times New Roman" w:hAnsi="Times New Roman" w:cs="Times New Roman"/>
                <w:sz w:val="28"/>
                <w:szCs w:val="28"/>
                <w:lang w:val="kk-KZ"/>
              </w:rPr>
            </w:pPr>
            <w:r w:rsidRPr="00DB12F1">
              <w:rPr>
                <w:rFonts w:ascii="Times New Roman" w:hAnsi="Times New Roman" w:cs="Times New Roman"/>
                <w:sz w:val="28"/>
                <w:szCs w:val="28"/>
              </w:rPr>
              <w:t>Cell viability and antiviral assay – MTT and CCK8 methods</w:t>
            </w:r>
            <w:r w:rsidR="006E7CA7" w:rsidRPr="00DB12F1">
              <w:rPr>
                <w:rFonts w:ascii="Times New Roman" w:hAnsi="Times New Roman" w:cs="Times New Roman"/>
                <w:sz w:val="28"/>
                <w:szCs w:val="28"/>
              </w:rPr>
              <w:t>…</w:t>
            </w:r>
            <w:r w:rsidR="00407559">
              <w:rPr>
                <w:rFonts w:ascii="Times New Roman" w:hAnsi="Times New Roman" w:cs="Times New Roman"/>
                <w:sz w:val="28"/>
                <w:szCs w:val="28"/>
              </w:rPr>
              <w:t>...</w:t>
            </w:r>
            <w:r w:rsidR="006E7CA7" w:rsidRPr="00DB12F1">
              <w:rPr>
                <w:rFonts w:ascii="Times New Roman" w:hAnsi="Times New Roman" w:cs="Times New Roman"/>
                <w:sz w:val="28"/>
                <w:szCs w:val="28"/>
              </w:rPr>
              <w:t>…</w:t>
            </w:r>
          </w:p>
        </w:tc>
        <w:tc>
          <w:tcPr>
            <w:tcW w:w="702" w:type="dxa"/>
          </w:tcPr>
          <w:p w14:paraId="65B3D13D" w14:textId="7A290B11" w:rsidR="00C43486" w:rsidRPr="00F478AD" w:rsidRDefault="00EB6A2C" w:rsidP="00DB12F1">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en-US"/>
              </w:rPr>
              <w:t xml:space="preserve">  </w:t>
            </w:r>
            <w:r w:rsidR="000233A8" w:rsidRPr="00C0310A">
              <w:rPr>
                <w:rFonts w:ascii="Times New Roman" w:hAnsi="Times New Roman" w:cs="Times New Roman"/>
                <w:sz w:val="28"/>
                <w:szCs w:val="28"/>
                <w:lang w:val="en-US"/>
              </w:rPr>
              <w:t>4</w:t>
            </w:r>
            <w:r w:rsidR="00F478AD">
              <w:rPr>
                <w:rFonts w:ascii="Times New Roman" w:hAnsi="Times New Roman" w:cs="Times New Roman"/>
                <w:sz w:val="28"/>
                <w:szCs w:val="28"/>
                <w:lang w:val="ru-RU"/>
              </w:rPr>
              <w:t>2</w:t>
            </w:r>
          </w:p>
        </w:tc>
      </w:tr>
      <w:tr w:rsidR="00C0310A" w:rsidRPr="00C0310A" w14:paraId="54A11AF0" w14:textId="77777777" w:rsidTr="00DC7ACF">
        <w:trPr>
          <w:trHeight w:val="305"/>
          <w:jc w:val="center"/>
        </w:trPr>
        <w:tc>
          <w:tcPr>
            <w:tcW w:w="236" w:type="dxa"/>
          </w:tcPr>
          <w:p w14:paraId="40906CCB"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893" w:type="dxa"/>
          </w:tcPr>
          <w:p w14:paraId="7FAA7897" w14:textId="4AB2D5DD" w:rsidR="00C43486" w:rsidRPr="00DB12F1" w:rsidRDefault="00C43486" w:rsidP="00DB12F1">
            <w:pPr>
              <w:spacing w:after="0" w:line="240" w:lineRule="auto"/>
              <w:jc w:val="both"/>
              <w:rPr>
                <w:rFonts w:ascii="Times New Roman" w:hAnsi="Times New Roman" w:cs="Times New Roman"/>
                <w:sz w:val="28"/>
                <w:szCs w:val="28"/>
              </w:rPr>
            </w:pPr>
            <w:r w:rsidRPr="00DB12F1">
              <w:rPr>
                <w:rFonts w:ascii="Times New Roman" w:hAnsi="Times New Roman" w:cs="Times New Roman"/>
                <w:sz w:val="28"/>
                <w:szCs w:val="28"/>
              </w:rPr>
              <w:t>1.</w:t>
            </w:r>
            <w:r w:rsidR="005F1B32" w:rsidRPr="00DB12F1">
              <w:rPr>
                <w:rFonts w:ascii="Times New Roman" w:hAnsi="Times New Roman" w:cs="Times New Roman"/>
                <w:sz w:val="28"/>
                <w:szCs w:val="28"/>
              </w:rPr>
              <w:t>6</w:t>
            </w:r>
          </w:p>
        </w:tc>
        <w:tc>
          <w:tcPr>
            <w:tcW w:w="7811" w:type="dxa"/>
          </w:tcPr>
          <w:p w14:paraId="49E138AF" w14:textId="19ED8BD9" w:rsidR="00C43486" w:rsidRPr="00DB12F1" w:rsidRDefault="006E7CA7" w:rsidP="00DB12F1">
            <w:pPr>
              <w:pStyle w:val="af1"/>
              <w:spacing w:after="0" w:line="240" w:lineRule="auto"/>
              <w:ind w:left="0"/>
              <w:rPr>
                <w:rFonts w:ascii="Times New Roman" w:hAnsi="Times New Roman" w:cs="Times New Roman"/>
                <w:sz w:val="28"/>
                <w:szCs w:val="28"/>
                <w:lang w:val="kk-KZ"/>
              </w:rPr>
            </w:pPr>
            <w:r w:rsidRPr="00DB12F1">
              <w:rPr>
                <w:rFonts w:ascii="Times New Roman" w:hAnsi="Times New Roman" w:cs="Times New Roman"/>
                <w:sz w:val="28"/>
                <w:szCs w:val="28"/>
              </w:rPr>
              <w:t>IL-33-Antiviral response cytokine ……………………………</w:t>
            </w:r>
            <w:r w:rsidR="003C3BD2" w:rsidRPr="00DB12F1">
              <w:rPr>
                <w:rFonts w:ascii="Times New Roman" w:hAnsi="Times New Roman" w:cs="Times New Roman"/>
                <w:sz w:val="28"/>
                <w:szCs w:val="28"/>
              </w:rPr>
              <w:t>.</w:t>
            </w:r>
            <w:r w:rsidRPr="00DB12F1">
              <w:rPr>
                <w:rFonts w:ascii="Times New Roman" w:hAnsi="Times New Roman" w:cs="Times New Roman"/>
                <w:sz w:val="28"/>
                <w:szCs w:val="28"/>
              </w:rPr>
              <w:t>…</w:t>
            </w:r>
            <w:r w:rsidR="00407559">
              <w:rPr>
                <w:rFonts w:ascii="Times New Roman" w:hAnsi="Times New Roman" w:cs="Times New Roman"/>
                <w:sz w:val="28"/>
                <w:szCs w:val="28"/>
              </w:rPr>
              <w:t>..</w:t>
            </w:r>
            <w:r w:rsidRPr="00DB12F1">
              <w:rPr>
                <w:rFonts w:ascii="Times New Roman" w:hAnsi="Times New Roman" w:cs="Times New Roman"/>
                <w:sz w:val="28"/>
                <w:szCs w:val="28"/>
              </w:rPr>
              <w:t>.</w:t>
            </w:r>
          </w:p>
        </w:tc>
        <w:tc>
          <w:tcPr>
            <w:tcW w:w="702" w:type="dxa"/>
          </w:tcPr>
          <w:p w14:paraId="604866EA" w14:textId="7525B80A" w:rsidR="00C43486" w:rsidRPr="00BF2B69" w:rsidRDefault="00C0310A" w:rsidP="00DB12F1">
            <w:pPr>
              <w:spacing w:after="0" w:line="240" w:lineRule="auto"/>
              <w:rPr>
                <w:rFonts w:ascii="Times New Roman" w:hAnsi="Times New Roman" w:cs="Times New Roman"/>
                <w:sz w:val="28"/>
                <w:szCs w:val="28"/>
                <w:lang w:val="en-US"/>
              </w:rPr>
            </w:pPr>
            <w:r>
              <w:rPr>
                <w:rFonts w:ascii="Times New Roman" w:hAnsi="Times New Roman" w:cs="Times New Roman"/>
                <w:sz w:val="28"/>
                <w:szCs w:val="28"/>
              </w:rPr>
              <w:t xml:space="preserve"> </w:t>
            </w:r>
            <w:r w:rsidR="00EB6A2C">
              <w:rPr>
                <w:rFonts w:ascii="Times New Roman" w:hAnsi="Times New Roman" w:cs="Times New Roman"/>
                <w:sz w:val="28"/>
                <w:szCs w:val="28"/>
              </w:rPr>
              <w:t xml:space="preserve"> </w:t>
            </w:r>
            <w:r w:rsidR="000233A8" w:rsidRPr="00C0310A">
              <w:rPr>
                <w:rFonts w:ascii="Times New Roman" w:hAnsi="Times New Roman" w:cs="Times New Roman"/>
                <w:sz w:val="28"/>
                <w:szCs w:val="28"/>
              </w:rPr>
              <w:t>5</w:t>
            </w:r>
            <w:r w:rsidR="00BF2B69">
              <w:rPr>
                <w:rFonts w:ascii="Times New Roman" w:hAnsi="Times New Roman" w:cs="Times New Roman"/>
                <w:sz w:val="28"/>
                <w:szCs w:val="28"/>
                <w:lang w:val="en-US"/>
              </w:rPr>
              <w:t>0</w:t>
            </w:r>
          </w:p>
        </w:tc>
      </w:tr>
      <w:tr w:rsidR="00C0310A" w:rsidRPr="00C0310A" w14:paraId="57609C54" w14:textId="77777777" w:rsidTr="00DC7ACF">
        <w:trPr>
          <w:trHeight w:val="368"/>
          <w:jc w:val="center"/>
        </w:trPr>
        <w:tc>
          <w:tcPr>
            <w:tcW w:w="236" w:type="dxa"/>
          </w:tcPr>
          <w:p w14:paraId="439353A9"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893" w:type="dxa"/>
          </w:tcPr>
          <w:p w14:paraId="05FD5882" w14:textId="07144A16" w:rsidR="00C43486" w:rsidRPr="00DB12F1" w:rsidRDefault="00C43486" w:rsidP="00DB12F1">
            <w:pPr>
              <w:spacing w:after="0" w:line="240" w:lineRule="auto"/>
              <w:jc w:val="both"/>
              <w:rPr>
                <w:rFonts w:ascii="Times New Roman" w:hAnsi="Times New Roman" w:cs="Times New Roman"/>
                <w:sz w:val="28"/>
                <w:szCs w:val="28"/>
              </w:rPr>
            </w:pPr>
            <w:r w:rsidRPr="00DB12F1">
              <w:rPr>
                <w:rFonts w:ascii="Times New Roman" w:hAnsi="Times New Roman" w:cs="Times New Roman"/>
                <w:sz w:val="28"/>
                <w:szCs w:val="28"/>
              </w:rPr>
              <w:t>1.</w:t>
            </w:r>
            <w:r w:rsidR="006E7CA7" w:rsidRPr="00DB12F1">
              <w:rPr>
                <w:rFonts w:ascii="Times New Roman" w:hAnsi="Times New Roman" w:cs="Times New Roman"/>
                <w:sz w:val="28"/>
                <w:szCs w:val="28"/>
              </w:rPr>
              <w:t>7</w:t>
            </w:r>
          </w:p>
        </w:tc>
        <w:tc>
          <w:tcPr>
            <w:tcW w:w="7811" w:type="dxa"/>
          </w:tcPr>
          <w:p w14:paraId="63392C18" w14:textId="2AAD71D8" w:rsidR="00C43486" w:rsidRPr="00DB12F1" w:rsidRDefault="00EB6A2C" w:rsidP="00DB12F1">
            <w:pPr>
              <w:pStyle w:val="af1"/>
              <w:spacing w:after="0" w:line="240" w:lineRule="auto"/>
              <w:ind w:left="0"/>
              <w:rPr>
                <w:rFonts w:ascii="Times New Roman" w:hAnsi="Times New Roman" w:cs="Times New Roman"/>
                <w:sz w:val="28"/>
                <w:szCs w:val="28"/>
              </w:rPr>
            </w:pPr>
            <w:r w:rsidRPr="00EB6A2C">
              <w:rPr>
                <w:rFonts w:ascii="Times New Roman" w:hAnsi="Times New Roman" w:cs="Times New Roman"/>
                <w:sz w:val="28"/>
                <w:szCs w:val="28"/>
              </w:rPr>
              <w:t>Autoimmune Complications After Sinovac-CoronaVac COVID-19 Vaccination</w:t>
            </w:r>
            <w:r>
              <w:rPr>
                <w:rFonts w:ascii="Times New Roman" w:hAnsi="Times New Roman" w:cs="Times New Roman"/>
                <w:sz w:val="28"/>
                <w:szCs w:val="28"/>
              </w:rPr>
              <w:t>…………………………………………………………</w:t>
            </w:r>
          </w:p>
        </w:tc>
        <w:tc>
          <w:tcPr>
            <w:tcW w:w="702" w:type="dxa"/>
          </w:tcPr>
          <w:p w14:paraId="235D8FC1" w14:textId="69123430" w:rsidR="00C43486" w:rsidRPr="00F478AD" w:rsidRDefault="00EB6A2C" w:rsidP="00DB12F1">
            <w:pPr>
              <w:spacing w:after="0" w:line="240" w:lineRule="auto"/>
              <w:rPr>
                <w:rFonts w:ascii="Times New Roman" w:hAnsi="Times New Roman" w:cs="Times New Roman"/>
                <w:sz w:val="28"/>
                <w:szCs w:val="28"/>
                <w:lang w:val="ru-RU"/>
              </w:rPr>
            </w:pPr>
            <w:r>
              <w:rPr>
                <w:rFonts w:ascii="Times New Roman" w:hAnsi="Times New Roman" w:cs="Times New Roman"/>
                <w:sz w:val="28"/>
                <w:szCs w:val="28"/>
              </w:rPr>
              <w:t xml:space="preserve">  </w:t>
            </w:r>
            <w:r w:rsidR="000233A8" w:rsidRPr="00C0310A">
              <w:rPr>
                <w:rFonts w:ascii="Times New Roman" w:hAnsi="Times New Roman" w:cs="Times New Roman"/>
                <w:sz w:val="28"/>
                <w:szCs w:val="28"/>
              </w:rPr>
              <w:t>5</w:t>
            </w:r>
            <w:r w:rsidR="00F478AD">
              <w:rPr>
                <w:rFonts w:ascii="Times New Roman" w:hAnsi="Times New Roman" w:cs="Times New Roman"/>
                <w:sz w:val="28"/>
                <w:szCs w:val="28"/>
                <w:lang w:val="ru-RU"/>
              </w:rPr>
              <w:t>2</w:t>
            </w:r>
          </w:p>
        </w:tc>
      </w:tr>
      <w:tr w:rsidR="00C43486" w:rsidRPr="00C0310A" w14:paraId="777E8718" w14:textId="77777777" w:rsidTr="00DC7ACF">
        <w:trPr>
          <w:trHeight w:val="316"/>
          <w:jc w:val="center"/>
        </w:trPr>
        <w:tc>
          <w:tcPr>
            <w:tcW w:w="8940" w:type="dxa"/>
            <w:gridSpan w:val="3"/>
          </w:tcPr>
          <w:p w14:paraId="684D5C9A" w14:textId="79124F37" w:rsidR="00C43486" w:rsidRPr="00E36714" w:rsidRDefault="00E36714" w:rsidP="00DB12F1">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rPr>
              <w:t xml:space="preserve">   </w:t>
            </w:r>
            <w:r w:rsidR="00005A5C">
              <w:rPr>
                <w:rFonts w:ascii="Times New Roman" w:hAnsi="Times New Roman" w:cs="Times New Roman"/>
                <w:sz w:val="28"/>
                <w:szCs w:val="28"/>
              </w:rPr>
              <w:t xml:space="preserve"> </w:t>
            </w:r>
            <w:r w:rsidR="00C43486" w:rsidRPr="00410C56">
              <w:rPr>
                <w:rFonts w:ascii="Times New Roman" w:hAnsi="Times New Roman" w:cs="Times New Roman"/>
                <w:b/>
                <w:bCs/>
                <w:sz w:val="28"/>
                <w:szCs w:val="28"/>
              </w:rPr>
              <w:t>2</w:t>
            </w:r>
            <w:r w:rsidR="00A31C06">
              <w:rPr>
                <w:rFonts w:ascii="Times New Roman" w:hAnsi="Times New Roman" w:cs="Times New Roman"/>
                <w:sz w:val="28"/>
                <w:szCs w:val="28"/>
              </w:rPr>
              <w:t xml:space="preserve"> </w:t>
            </w:r>
            <w:r w:rsidR="001E193D" w:rsidRPr="00DB12F1">
              <w:rPr>
                <w:rFonts w:ascii="Times New Roman" w:hAnsi="Times New Roman" w:cs="Times New Roman"/>
                <w:b/>
                <w:bCs/>
                <w:sz w:val="28"/>
                <w:szCs w:val="28"/>
              </w:rPr>
              <w:t>MATERIALS AND METHODS OF RESEARCH</w:t>
            </w:r>
            <w:r w:rsidR="001E193D" w:rsidRPr="00DB12F1">
              <w:rPr>
                <w:rFonts w:ascii="Times New Roman" w:hAnsi="Times New Roman" w:cs="Times New Roman"/>
                <w:sz w:val="28"/>
                <w:szCs w:val="28"/>
              </w:rPr>
              <w:t xml:space="preserve"> </w:t>
            </w:r>
            <w:r w:rsidR="00C43486" w:rsidRPr="00DB12F1">
              <w:rPr>
                <w:rFonts w:ascii="Times New Roman" w:hAnsi="Times New Roman" w:cs="Times New Roman"/>
                <w:sz w:val="28"/>
                <w:szCs w:val="28"/>
                <w:lang w:val="en-US"/>
              </w:rPr>
              <w:t>…………..</w:t>
            </w:r>
            <w:r w:rsidR="00C43486" w:rsidRPr="00DB12F1">
              <w:rPr>
                <w:rFonts w:ascii="Times New Roman" w:hAnsi="Times New Roman" w:cs="Times New Roman"/>
                <w:sz w:val="28"/>
                <w:szCs w:val="28"/>
                <w:lang w:val="kk-KZ"/>
              </w:rPr>
              <w:t>...............</w:t>
            </w:r>
          </w:p>
        </w:tc>
        <w:tc>
          <w:tcPr>
            <w:tcW w:w="702" w:type="dxa"/>
            <w:hideMark/>
          </w:tcPr>
          <w:p w14:paraId="7AE67E0C" w14:textId="5DCE60A5" w:rsidR="00C43486" w:rsidRPr="00F478AD" w:rsidRDefault="00F478AD" w:rsidP="00DB12F1">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54</w:t>
            </w:r>
          </w:p>
        </w:tc>
      </w:tr>
      <w:tr w:rsidR="00C0310A" w:rsidRPr="00C0310A" w14:paraId="6A7B66A5" w14:textId="77777777" w:rsidTr="00DC7ACF">
        <w:trPr>
          <w:trHeight w:val="305"/>
          <w:jc w:val="center"/>
        </w:trPr>
        <w:tc>
          <w:tcPr>
            <w:tcW w:w="236" w:type="dxa"/>
          </w:tcPr>
          <w:p w14:paraId="4C11A3EC"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893" w:type="dxa"/>
            <w:hideMark/>
          </w:tcPr>
          <w:p w14:paraId="5BCA667B" w14:textId="77777777" w:rsidR="00C43486" w:rsidRPr="00C0310A" w:rsidRDefault="00C43486" w:rsidP="00DB12F1">
            <w:pPr>
              <w:spacing w:after="0" w:line="240" w:lineRule="auto"/>
              <w:jc w:val="both"/>
              <w:rPr>
                <w:rFonts w:ascii="Times New Roman" w:hAnsi="Times New Roman" w:cs="Times New Roman"/>
                <w:sz w:val="28"/>
                <w:szCs w:val="28"/>
              </w:rPr>
            </w:pPr>
            <w:r w:rsidRPr="00C0310A">
              <w:rPr>
                <w:rFonts w:ascii="Times New Roman" w:hAnsi="Times New Roman" w:cs="Times New Roman"/>
                <w:sz w:val="28"/>
                <w:szCs w:val="28"/>
              </w:rPr>
              <w:t>2.1</w:t>
            </w:r>
          </w:p>
        </w:tc>
        <w:tc>
          <w:tcPr>
            <w:tcW w:w="7811" w:type="dxa"/>
            <w:hideMark/>
          </w:tcPr>
          <w:p w14:paraId="7ECA5D0A" w14:textId="69E907B3" w:rsidR="00C43486" w:rsidRPr="00DB12F1" w:rsidRDefault="001E193D" w:rsidP="00DB12F1">
            <w:pPr>
              <w:pStyle w:val="af1"/>
              <w:spacing w:after="0" w:line="240" w:lineRule="auto"/>
              <w:ind w:left="0"/>
              <w:jc w:val="both"/>
              <w:rPr>
                <w:rFonts w:ascii="Times New Roman" w:hAnsi="Times New Roman" w:cs="Times New Roman"/>
                <w:sz w:val="28"/>
                <w:szCs w:val="28"/>
              </w:rPr>
            </w:pPr>
            <w:r w:rsidRPr="00DB12F1">
              <w:rPr>
                <w:rFonts w:ascii="Times New Roman" w:hAnsi="Times New Roman" w:cs="Times New Roman"/>
                <w:sz w:val="28"/>
                <w:szCs w:val="28"/>
              </w:rPr>
              <w:t xml:space="preserve">Research </w:t>
            </w:r>
            <w:r w:rsidR="0041457B" w:rsidRPr="00DB12F1">
              <w:rPr>
                <w:rFonts w:ascii="Times New Roman" w:hAnsi="Times New Roman" w:cs="Times New Roman"/>
                <w:sz w:val="28"/>
                <w:szCs w:val="28"/>
              </w:rPr>
              <w:t>Objects.</w:t>
            </w:r>
            <w:r w:rsidR="00C43486" w:rsidRPr="00DB12F1">
              <w:rPr>
                <w:rFonts w:ascii="Times New Roman" w:hAnsi="Times New Roman" w:cs="Times New Roman"/>
                <w:sz w:val="28"/>
                <w:szCs w:val="28"/>
                <w:lang w:val="en-US"/>
              </w:rPr>
              <w:t>…………………………………………</w:t>
            </w:r>
            <w:r w:rsidR="00F41D6F" w:rsidRPr="00DB12F1">
              <w:rPr>
                <w:rFonts w:ascii="Times New Roman" w:hAnsi="Times New Roman" w:cs="Times New Roman"/>
                <w:sz w:val="28"/>
                <w:szCs w:val="28"/>
                <w:lang w:val="en-US"/>
              </w:rPr>
              <w:t>………</w:t>
            </w:r>
            <w:r w:rsidRPr="00DB12F1">
              <w:rPr>
                <w:rFonts w:ascii="Times New Roman" w:hAnsi="Times New Roman" w:cs="Times New Roman"/>
                <w:sz w:val="28"/>
                <w:szCs w:val="28"/>
                <w:lang w:val="en-US"/>
              </w:rPr>
              <w:t>.</w:t>
            </w:r>
            <w:r w:rsidR="00D35203">
              <w:rPr>
                <w:rFonts w:ascii="Times New Roman" w:hAnsi="Times New Roman" w:cs="Times New Roman"/>
                <w:sz w:val="28"/>
                <w:szCs w:val="28"/>
              </w:rPr>
              <w:t>.</w:t>
            </w:r>
            <w:r w:rsidR="0041457B" w:rsidRPr="00DB12F1">
              <w:rPr>
                <w:rFonts w:ascii="Times New Roman" w:hAnsi="Times New Roman" w:cs="Times New Roman"/>
                <w:sz w:val="28"/>
                <w:szCs w:val="28"/>
              </w:rPr>
              <w:t>.</w:t>
            </w:r>
          </w:p>
        </w:tc>
        <w:tc>
          <w:tcPr>
            <w:tcW w:w="702" w:type="dxa"/>
            <w:hideMark/>
          </w:tcPr>
          <w:p w14:paraId="3460391A" w14:textId="453C222D" w:rsidR="00C43486" w:rsidRPr="00F478AD" w:rsidRDefault="00F478AD" w:rsidP="00DB12F1">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54</w:t>
            </w:r>
          </w:p>
        </w:tc>
      </w:tr>
      <w:tr w:rsidR="00C0310A" w:rsidRPr="00C0310A" w14:paraId="34F6A79E" w14:textId="77777777" w:rsidTr="00DC7ACF">
        <w:trPr>
          <w:trHeight w:val="316"/>
          <w:jc w:val="center"/>
        </w:trPr>
        <w:tc>
          <w:tcPr>
            <w:tcW w:w="236" w:type="dxa"/>
          </w:tcPr>
          <w:p w14:paraId="1B1DBDBB"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893" w:type="dxa"/>
            <w:hideMark/>
          </w:tcPr>
          <w:p w14:paraId="5F047717" w14:textId="77777777" w:rsidR="00C43486" w:rsidRPr="00C0310A" w:rsidRDefault="00C43486" w:rsidP="00DB12F1">
            <w:pPr>
              <w:spacing w:after="0" w:line="240" w:lineRule="auto"/>
              <w:jc w:val="both"/>
              <w:rPr>
                <w:rFonts w:ascii="Times New Roman" w:hAnsi="Times New Roman" w:cs="Times New Roman"/>
                <w:sz w:val="28"/>
                <w:szCs w:val="28"/>
              </w:rPr>
            </w:pPr>
            <w:r w:rsidRPr="00C0310A">
              <w:rPr>
                <w:rFonts w:ascii="Times New Roman" w:hAnsi="Times New Roman" w:cs="Times New Roman"/>
                <w:sz w:val="28"/>
                <w:szCs w:val="28"/>
              </w:rPr>
              <w:t>2.2</w:t>
            </w:r>
          </w:p>
        </w:tc>
        <w:tc>
          <w:tcPr>
            <w:tcW w:w="7811" w:type="dxa"/>
            <w:hideMark/>
          </w:tcPr>
          <w:p w14:paraId="4959841F" w14:textId="63E882A6" w:rsidR="00C43486" w:rsidRPr="00D35203" w:rsidRDefault="0059014A" w:rsidP="00DB12F1">
            <w:pPr>
              <w:pStyle w:val="af1"/>
              <w:spacing w:after="0" w:line="240" w:lineRule="auto"/>
              <w:ind w:left="0"/>
              <w:jc w:val="both"/>
              <w:rPr>
                <w:rFonts w:ascii="Times New Roman" w:hAnsi="Times New Roman" w:cs="Times New Roman"/>
                <w:sz w:val="28"/>
                <w:szCs w:val="28"/>
                <w:lang w:val="en-US"/>
              </w:rPr>
            </w:pPr>
            <w:r w:rsidRPr="00DB12F1">
              <w:rPr>
                <w:rFonts w:ascii="Times New Roman" w:hAnsi="Times New Roman" w:cs="Times New Roman"/>
                <w:sz w:val="28"/>
                <w:szCs w:val="28"/>
              </w:rPr>
              <w:t>Research Materials</w:t>
            </w:r>
            <w:r w:rsidR="00C43486" w:rsidRPr="00DB12F1">
              <w:rPr>
                <w:rFonts w:ascii="Times New Roman" w:hAnsi="Times New Roman" w:cs="Times New Roman"/>
                <w:sz w:val="28"/>
                <w:szCs w:val="28"/>
                <w:lang w:val="en-US"/>
              </w:rPr>
              <w:t>…………………………………………</w:t>
            </w:r>
            <w:r w:rsidRPr="00DB12F1">
              <w:rPr>
                <w:rFonts w:ascii="Times New Roman" w:hAnsi="Times New Roman" w:cs="Times New Roman"/>
                <w:sz w:val="28"/>
                <w:szCs w:val="28"/>
                <w:lang w:val="kk-KZ"/>
              </w:rPr>
              <w:t>…</w:t>
            </w:r>
            <w:r w:rsidR="00D35203">
              <w:rPr>
                <w:rFonts w:ascii="Times New Roman" w:hAnsi="Times New Roman" w:cs="Times New Roman"/>
                <w:sz w:val="28"/>
                <w:szCs w:val="28"/>
                <w:lang w:val="kk-KZ"/>
              </w:rPr>
              <w:t>....</w:t>
            </w:r>
            <w:r w:rsidR="00F41D6F" w:rsidRPr="00DB12F1">
              <w:rPr>
                <w:rFonts w:ascii="Times New Roman" w:hAnsi="Times New Roman" w:cs="Times New Roman"/>
                <w:sz w:val="28"/>
                <w:szCs w:val="28"/>
                <w:lang w:val="en-US"/>
              </w:rPr>
              <w:t>…</w:t>
            </w:r>
            <w:r w:rsidR="00C43486" w:rsidRPr="00DB12F1">
              <w:rPr>
                <w:rFonts w:ascii="Times New Roman" w:hAnsi="Times New Roman" w:cs="Times New Roman"/>
                <w:sz w:val="28"/>
                <w:szCs w:val="28"/>
                <w:lang w:val="kk-KZ"/>
              </w:rPr>
              <w:t>.</w:t>
            </w:r>
          </w:p>
        </w:tc>
        <w:tc>
          <w:tcPr>
            <w:tcW w:w="702" w:type="dxa"/>
            <w:hideMark/>
          </w:tcPr>
          <w:p w14:paraId="0A2E8024" w14:textId="095AEA82" w:rsidR="00C43486" w:rsidRPr="00F478AD" w:rsidRDefault="00F478AD" w:rsidP="00DB12F1">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55</w:t>
            </w:r>
          </w:p>
        </w:tc>
      </w:tr>
      <w:tr w:rsidR="00C0310A" w:rsidRPr="00C0310A" w14:paraId="710AD471" w14:textId="77777777" w:rsidTr="00DC7ACF">
        <w:trPr>
          <w:trHeight w:val="316"/>
          <w:jc w:val="center"/>
        </w:trPr>
        <w:tc>
          <w:tcPr>
            <w:tcW w:w="236" w:type="dxa"/>
          </w:tcPr>
          <w:p w14:paraId="75891743"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893" w:type="dxa"/>
            <w:hideMark/>
          </w:tcPr>
          <w:p w14:paraId="274E4E64" w14:textId="77777777" w:rsidR="00C43486" w:rsidRPr="00C0310A" w:rsidRDefault="00C43486" w:rsidP="00DB12F1">
            <w:pPr>
              <w:spacing w:after="0" w:line="240" w:lineRule="auto"/>
              <w:jc w:val="both"/>
              <w:rPr>
                <w:rFonts w:ascii="Times New Roman" w:hAnsi="Times New Roman" w:cs="Times New Roman"/>
                <w:sz w:val="28"/>
                <w:szCs w:val="28"/>
              </w:rPr>
            </w:pPr>
            <w:r w:rsidRPr="00C0310A">
              <w:rPr>
                <w:rFonts w:ascii="Times New Roman" w:hAnsi="Times New Roman" w:cs="Times New Roman"/>
                <w:sz w:val="28"/>
                <w:szCs w:val="28"/>
              </w:rPr>
              <w:t>2.3</w:t>
            </w:r>
          </w:p>
        </w:tc>
        <w:tc>
          <w:tcPr>
            <w:tcW w:w="7811" w:type="dxa"/>
            <w:hideMark/>
          </w:tcPr>
          <w:p w14:paraId="02221F49" w14:textId="28807A82" w:rsidR="005A7726" w:rsidRPr="00DB12F1" w:rsidRDefault="005A7726" w:rsidP="00DB12F1">
            <w:pPr>
              <w:pStyle w:val="af1"/>
              <w:spacing w:after="0" w:line="240" w:lineRule="auto"/>
              <w:ind w:left="0"/>
              <w:jc w:val="both"/>
              <w:rPr>
                <w:rFonts w:ascii="Times New Roman" w:hAnsi="Times New Roman" w:cs="Times New Roman"/>
                <w:sz w:val="28"/>
                <w:szCs w:val="28"/>
              </w:rPr>
            </w:pPr>
            <w:r w:rsidRPr="00DB12F1">
              <w:rPr>
                <w:rFonts w:ascii="Times New Roman" w:hAnsi="Times New Roman" w:cs="Times New Roman"/>
                <w:sz w:val="28"/>
                <w:szCs w:val="28"/>
              </w:rPr>
              <w:t xml:space="preserve">Research Methods </w:t>
            </w:r>
            <w:r w:rsidR="006D6FF5" w:rsidRPr="00DB12F1">
              <w:rPr>
                <w:rFonts w:ascii="Times New Roman" w:hAnsi="Times New Roman" w:cs="Times New Roman"/>
                <w:sz w:val="28"/>
                <w:szCs w:val="28"/>
              </w:rPr>
              <w:t>………………………………………………</w:t>
            </w:r>
            <w:proofErr w:type="gramStart"/>
            <w:r w:rsidR="006D6FF5" w:rsidRPr="00DB12F1">
              <w:rPr>
                <w:rFonts w:ascii="Times New Roman" w:hAnsi="Times New Roman" w:cs="Times New Roman"/>
                <w:sz w:val="28"/>
                <w:szCs w:val="28"/>
              </w:rPr>
              <w:t>…</w:t>
            </w:r>
            <w:r w:rsidR="00D35203">
              <w:rPr>
                <w:rFonts w:ascii="Times New Roman" w:hAnsi="Times New Roman" w:cs="Times New Roman"/>
                <w:sz w:val="28"/>
                <w:szCs w:val="28"/>
              </w:rPr>
              <w:t>..</w:t>
            </w:r>
            <w:proofErr w:type="gramEnd"/>
          </w:p>
        </w:tc>
        <w:tc>
          <w:tcPr>
            <w:tcW w:w="702" w:type="dxa"/>
            <w:hideMark/>
          </w:tcPr>
          <w:p w14:paraId="7216D589" w14:textId="4BC585A4" w:rsidR="00C43486" w:rsidRPr="00F478AD" w:rsidRDefault="00F478AD" w:rsidP="00DB12F1">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57</w:t>
            </w:r>
          </w:p>
        </w:tc>
      </w:tr>
      <w:tr w:rsidR="00C0310A" w:rsidRPr="00C0310A" w14:paraId="128579B9" w14:textId="77777777" w:rsidTr="00DC7ACF">
        <w:trPr>
          <w:trHeight w:val="305"/>
          <w:jc w:val="center"/>
        </w:trPr>
        <w:tc>
          <w:tcPr>
            <w:tcW w:w="236" w:type="dxa"/>
          </w:tcPr>
          <w:p w14:paraId="4784E491"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893" w:type="dxa"/>
            <w:hideMark/>
          </w:tcPr>
          <w:p w14:paraId="50416FB5" w14:textId="77777777" w:rsidR="00C43486" w:rsidRPr="00C0310A" w:rsidRDefault="00C43486" w:rsidP="00DB12F1">
            <w:pPr>
              <w:spacing w:after="0" w:line="240" w:lineRule="auto"/>
              <w:jc w:val="both"/>
              <w:rPr>
                <w:rFonts w:ascii="Times New Roman" w:hAnsi="Times New Roman" w:cs="Times New Roman"/>
                <w:sz w:val="28"/>
                <w:szCs w:val="28"/>
              </w:rPr>
            </w:pPr>
            <w:r w:rsidRPr="00C0310A">
              <w:rPr>
                <w:rFonts w:ascii="Times New Roman" w:hAnsi="Times New Roman" w:cs="Times New Roman"/>
                <w:sz w:val="28"/>
                <w:szCs w:val="28"/>
              </w:rPr>
              <w:t>2.3.1</w:t>
            </w:r>
          </w:p>
        </w:tc>
        <w:tc>
          <w:tcPr>
            <w:tcW w:w="7811" w:type="dxa"/>
            <w:hideMark/>
          </w:tcPr>
          <w:p w14:paraId="79675535" w14:textId="39870CFF" w:rsidR="00C43486" w:rsidRPr="00DB12F1" w:rsidRDefault="009F7BC3" w:rsidP="00193921">
            <w:pPr>
              <w:spacing w:after="0" w:line="240" w:lineRule="auto"/>
              <w:rPr>
                <w:rFonts w:ascii="Times New Roman" w:hAnsi="Times New Roman" w:cs="Times New Roman"/>
                <w:sz w:val="28"/>
                <w:szCs w:val="28"/>
              </w:rPr>
            </w:pPr>
            <w:r w:rsidRPr="00DB12F1">
              <w:rPr>
                <w:rFonts w:ascii="Times New Roman" w:hAnsi="Times New Roman" w:cs="Times New Roman"/>
                <w:sz w:val="28"/>
                <w:szCs w:val="28"/>
              </w:rPr>
              <w:t xml:space="preserve">Bronchoalveolar Lavage Fluid -supernatant collection </w:t>
            </w:r>
            <w:r w:rsidR="00C43486" w:rsidRPr="00DB12F1">
              <w:rPr>
                <w:rFonts w:ascii="Times New Roman" w:hAnsi="Times New Roman" w:cs="Times New Roman"/>
                <w:sz w:val="28"/>
                <w:szCs w:val="28"/>
                <w:lang w:val="kk-KZ"/>
              </w:rPr>
              <w:t>....</w:t>
            </w:r>
            <w:r w:rsidR="00C43486" w:rsidRPr="00DB12F1">
              <w:rPr>
                <w:rFonts w:ascii="Times New Roman" w:hAnsi="Times New Roman" w:cs="Times New Roman"/>
                <w:sz w:val="28"/>
                <w:szCs w:val="28"/>
                <w:lang w:val="en-US"/>
              </w:rPr>
              <w:t>………</w:t>
            </w:r>
            <w:proofErr w:type="gramStart"/>
            <w:r w:rsidR="00D35203">
              <w:rPr>
                <w:rFonts w:ascii="Times New Roman" w:hAnsi="Times New Roman" w:cs="Times New Roman"/>
                <w:sz w:val="28"/>
                <w:szCs w:val="28"/>
                <w:lang w:val="en-US"/>
              </w:rPr>
              <w:t>.</w:t>
            </w:r>
            <w:r w:rsidR="00C14693">
              <w:rPr>
                <w:rFonts w:ascii="Times New Roman" w:hAnsi="Times New Roman" w:cs="Times New Roman"/>
                <w:sz w:val="28"/>
                <w:szCs w:val="28"/>
                <w:lang w:val="en-US"/>
              </w:rPr>
              <w:t>..</w:t>
            </w:r>
            <w:r w:rsidR="00D35203">
              <w:rPr>
                <w:rFonts w:ascii="Times New Roman" w:hAnsi="Times New Roman" w:cs="Times New Roman"/>
                <w:sz w:val="28"/>
                <w:szCs w:val="28"/>
                <w:lang w:val="en-US"/>
              </w:rPr>
              <w:t>.</w:t>
            </w:r>
            <w:r w:rsidR="00C43486" w:rsidRPr="00DB12F1">
              <w:rPr>
                <w:rFonts w:ascii="Times New Roman" w:hAnsi="Times New Roman" w:cs="Times New Roman"/>
                <w:sz w:val="28"/>
                <w:szCs w:val="28"/>
                <w:lang w:val="kk-KZ"/>
              </w:rPr>
              <w:t>.</w:t>
            </w:r>
            <w:proofErr w:type="gramEnd"/>
          </w:p>
        </w:tc>
        <w:tc>
          <w:tcPr>
            <w:tcW w:w="702" w:type="dxa"/>
            <w:hideMark/>
          </w:tcPr>
          <w:p w14:paraId="0C3CC606" w14:textId="435F4B6E" w:rsidR="00C43486" w:rsidRPr="00F478AD" w:rsidRDefault="00F478AD" w:rsidP="00DB12F1">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57</w:t>
            </w:r>
          </w:p>
        </w:tc>
      </w:tr>
      <w:tr w:rsidR="00C0310A" w:rsidRPr="00C0310A" w14:paraId="547D4EF0" w14:textId="77777777" w:rsidTr="00DC7ACF">
        <w:trPr>
          <w:trHeight w:val="305"/>
          <w:jc w:val="center"/>
        </w:trPr>
        <w:tc>
          <w:tcPr>
            <w:tcW w:w="236" w:type="dxa"/>
          </w:tcPr>
          <w:p w14:paraId="259B61C2"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893" w:type="dxa"/>
          </w:tcPr>
          <w:p w14:paraId="5502281E" w14:textId="77777777" w:rsidR="00C43486" w:rsidRPr="00C0310A" w:rsidRDefault="00C43486" w:rsidP="00DB12F1">
            <w:pPr>
              <w:spacing w:after="0" w:line="240" w:lineRule="auto"/>
              <w:jc w:val="both"/>
              <w:rPr>
                <w:rFonts w:ascii="Times New Roman" w:hAnsi="Times New Roman" w:cs="Times New Roman"/>
                <w:sz w:val="28"/>
                <w:szCs w:val="28"/>
              </w:rPr>
            </w:pPr>
            <w:r w:rsidRPr="00C0310A">
              <w:rPr>
                <w:rFonts w:ascii="Times New Roman" w:hAnsi="Times New Roman" w:cs="Times New Roman"/>
                <w:sz w:val="28"/>
                <w:szCs w:val="28"/>
              </w:rPr>
              <w:t>2.3.2</w:t>
            </w:r>
          </w:p>
        </w:tc>
        <w:tc>
          <w:tcPr>
            <w:tcW w:w="7811" w:type="dxa"/>
          </w:tcPr>
          <w:p w14:paraId="4EC9DC2B" w14:textId="2D1A2A3A" w:rsidR="00C43486" w:rsidRPr="00DB12F1" w:rsidRDefault="009F7BC3" w:rsidP="00DB12F1">
            <w:pPr>
              <w:pStyle w:val="af1"/>
              <w:spacing w:after="0" w:line="240" w:lineRule="auto"/>
              <w:ind w:left="0"/>
              <w:jc w:val="both"/>
              <w:rPr>
                <w:rFonts w:ascii="Times New Roman" w:hAnsi="Times New Roman" w:cs="Times New Roman"/>
                <w:sz w:val="28"/>
                <w:szCs w:val="28"/>
              </w:rPr>
            </w:pPr>
            <w:r w:rsidRPr="00DB12F1">
              <w:rPr>
                <w:rFonts w:ascii="Times New Roman" w:hAnsi="Times New Roman" w:cs="Times New Roman"/>
                <w:sz w:val="28"/>
                <w:szCs w:val="28"/>
              </w:rPr>
              <w:t>Murine lung IL-33 stimulation experiment</w:t>
            </w:r>
            <w:r w:rsidRPr="00DB12F1">
              <w:rPr>
                <w:rFonts w:ascii="Times New Roman" w:hAnsi="Times New Roman" w:cs="Times New Roman"/>
                <w:b/>
                <w:bCs/>
                <w:sz w:val="28"/>
                <w:szCs w:val="28"/>
              </w:rPr>
              <w:t xml:space="preserve"> </w:t>
            </w:r>
            <w:r w:rsidR="00C43486" w:rsidRPr="00DB12F1">
              <w:rPr>
                <w:rFonts w:ascii="Times New Roman" w:hAnsi="Times New Roman" w:cs="Times New Roman"/>
                <w:sz w:val="28"/>
                <w:szCs w:val="28"/>
              </w:rPr>
              <w:t>……………………</w:t>
            </w:r>
            <w:r w:rsidR="00D35203">
              <w:rPr>
                <w:rFonts w:ascii="Times New Roman" w:hAnsi="Times New Roman" w:cs="Times New Roman"/>
                <w:sz w:val="28"/>
                <w:szCs w:val="28"/>
              </w:rPr>
              <w:t>…</w:t>
            </w:r>
            <w:r w:rsidR="00C14693">
              <w:rPr>
                <w:rFonts w:ascii="Times New Roman" w:hAnsi="Times New Roman" w:cs="Times New Roman"/>
                <w:sz w:val="28"/>
                <w:szCs w:val="28"/>
              </w:rPr>
              <w:t>...</w:t>
            </w:r>
            <w:r w:rsidR="00C43486" w:rsidRPr="00DB12F1">
              <w:rPr>
                <w:rFonts w:ascii="Times New Roman" w:hAnsi="Times New Roman" w:cs="Times New Roman"/>
                <w:sz w:val="28"/>
                <w:szCs w:val="28"/>
              </w:rPr>
              <w:t>.</w:t>
            </w:r>
          </w:p>
        </w:tc>
        <w:tc>
          <w:tcPr>
            <w:tcW w:w="702" w:type="dxa"/>
          </w:tcPr>
          <w:p w14:paraId="31102C39" w14:textId="1D1BF767" w:rsidR="00C43486" w:rsidRPr="00F478AD" w:rsidRDefault="00F478AD" w:rsidP="00DB12F1">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58</w:t>
            </w:r>
          </w:p>
        </w:tc>
      </w:tr>
      <w:tr w:rsidR="00C0310A" w:rsidRPr="00C0310A" w14:paraId="5D9DBB99" w14:textId="77777777" w:rsidTr="00DC7ACF">
        <w:trPr>
          <w:trHeight w:val="316"/>
          <w:jc w:val="center"/>
        </w:trPr>
        <w:tc>
          <w:tcPr>
            <w:tcW w:w="236" w:type="dxa"/>
          </w:tcPr>
          <w:p w14:paraId="664A2AEC"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893" w:type="dxa"/>
            <w:hideMark/>
          </w:tcPr>
          <w:p w14:paraId="465D827D" w14:textId="163BEA5C" w:rsidR="00C43486" w:rsidRPr="00C0310A" w:rsidRDefault="00C43486" w:rsidP="00DB12F1">
            <w:pPr>
              <w:spacing w:after="0" w:line="240" w:lineRule="auto"/>
              <w:jc w:val="both"/>
              <w:rPr>
                <w:rFonts w:ascii="Times New Roman" w:hAnsi="Times New Roman" w:cs="Times New Roman"/>
                <w:sz w:val="28"/>
                <w:szCs w:val="28"/>
              </w:rPr>
            </w:pPr>
            <w:r w:rsidRPr="00C0310A">
              <w:rPr>
                <w:rFonts w:ascii="Times New Roman" w:hAnsi="Times New Roman" w:cs="Times New Roman"/>
                <w:sz w:val="28"/>
                <w:szCs w:val="28"/>
              </w:rPr>
              <w:t>2.3.</w:t>
            </w:r>
            <w:r w:rsidR="009F7BC3" w:rsidRPr="00C0310A">
              <w:rPr>
                <w:rFonts w:ascii="Times New Roman" w:hAnsi="Times New Roman" w:cs="Times New Roman"/>
                <w:sz w:val="28"/>
                <w:szCs w:val="28"/>
              </w:rPr>
              <w:t>3</w:t>
            </w:r>
          </w:p>
        </w:tc>
        <w:tc>
          <w:tcPr>
            <w:tcW w:w="7811" w:type="dxa"/>
            <w:hideMark/>
          </w:tcPr>
          <w:p w14:paraId="0C63DEB0" w14:textId="6A5F1BA9" w:rsidR="00C43486" w:rsidRPr="00DB12F1" w:rsidRDefault="00E62E8D" w:rsidP="00DB12F1">
            <w:pPr>
              <w:spacing w:after="0" w:line="240" w:lineRule="auto"/>
              <w:rPr>
                <w:rFonts w:ascii="Times New Roman" w:hAnsi="Times New Roman" w:cs="Times New Roman"/>
                <w:sz w:val="28"/>
                <w:szCs w:val="28"/>
              </w:rPr>
            </w:pPr>
            <w:r w:rsidRPr="00DB12F1">
              <w:rPr>
                <w:rFonts w:ascii="Times New Roman" w:hAnsi="Times New Roman" w:cs="Times New Roman"/>
                <w:sz w:val="28"/>
                <w:szCs w:val="28"/>
              </w:rPr>
              <w:t>Viral Cultivation on VeroE6 Cells……………………………</w:t>
            </w:r>
            <w:r w:rsidR="00C0310A">
              <w:rPr>
                <w:rFonts w:ascii="Times New Roman" w:hAnsi="Times New Roman" w:cs="Times New Roman"/>
                <w:sz w:val="28"/>
                <w:szCs w:val="28"/>
              </w:rPr>
              <w:t>…</w:t>
            </w:r>
            <w:proofErr w:type="gramStart"/>
            <w:r w:rsidR="00C0310A">
              <w:rPr>
                <w:rFonts w:ascii="Times New Roman" w:hAnsi="Times New Roman" w:cs="Times New Roman"/>
                <w:sz w:val="28"/>
                <w:szCs w:val="28"/>
              </w:rPr>
              <w:t>.</w:t>
            </w:r>
            <w:r w:rsidR="00D35203">
              <w:rPr>
                <w:rFonts w:ascii="Times New Roman" w:hAnsi="Times New Roman" w:cs="Times New Roman"/>
                <w:sz w:val="28"/>
                <w:szCs w:val="28"/>
              </w:rPr>
              <w:t>.</w:t>
            </w:r>
            <w:r w:rsidR="00C43486" w:rsidRPr="00DB12F1">
              <w:rPr>
                <w:rFonts w:ascii="Times New Roman" w:hAnsi="Times New Roman" w:cs="Times New Roman"/>
                <w:sz w:val="28"/>
                <w:szCs w:val="28"/>
                <w:lang w:val="kk-KZ"/>
              </w:rPr>
              <w:t>...</w:t>
            </w:r>
            <w:proofErr w:type="gramEnd"/>
          </w:p>
        </w:tc>
        <w:tc>
          <w:tcPr>
            <w:tcW w:w="702" w:type="dxa"/>
            <w:hideMark/>
          </w:tcPr>
          <w:p w14:paraId="6E62C147" w14:textId="7B5D2FE0" w:rsidR="00C43486" w:rsidRPr="00F478AD" w:rsidRDefault="00F478AD" w:rsidP="00DB12F1">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58</w:t>
            </w:r>
          </w:p>
        </w:tc>
      </w:tr>
      <w:tr w:rsidR="00C0310A" w:rsidRPr="00C0310A" w14:paraId="7852EB2E" w14:textId="77777777" w:rsidTr="00DC7ACF">
        <w:trPr>
          <w:trHeight w:val="316"/>
          <w:jc w:val="center"/>
        </w:trPr>
        <w:tc>
          <w:tcPr>
            <w:tcW w:w="236" w:type="dxa"/>
          </w:tcPr>
          <w:p w14:paraId="0732D1B3"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893" w:type="dxa"/>
            <w:hideMark/>
          </w:tcPr>
          <w:p w14:paraId="43A36FD5" w14:textId="4C0A3ED8" w:rsidR="00C43486" w:rsidRPr="00C0310A" w:rsidRDefault="00C43486" w:rsidP="00DB12F1">
            <w:pPr>
              <w:spacing w:after="0" w:line="240" w:lineRule="auto"/>
              <w:jc w:val="both"/>
              <w:rPr>
                <w:rFonts w:ascii="Times New Roman" w:hAnsi="Times New Roman" w:cs="Times New Roman"/>
                <w:sz w:val="28"/>
                <w:szCs w:val="28"/>
              </w:rPr>
            </w:pPr>
            <w:r w:rsidRPr="00C0310A">
              <w:rPr>
                <w:rFonts w:ascii="Times New Roman" w:hAnsi="Times New Roman" w:cs="Times New Roman"/>
                <w:sz w:val="28"/>
                <w:szCs w:val="28"/>
              </w:rPr>
              <w:t>2.3.</w:t>
            </w:r>
            <w:r w:rsidR="00E62E8D" w:rsidRPr="00C0310A">
              <w:rPr>
                <w:rFonts w:ascii="Times New Roman" w:hAnsi="Times New Roman" w:cs="Times New Roman"/>
                <w:sz w:val="28"/>
                <w:szCs w:val="28"/>
              </w:rPr>
              <w:t>4</w:t>
            </w:r>
          </w:p>
        </w:tc>
        <w:tc>
          <w:tcPr>
            <w:tcW w:w="7811" w:type="dxa"/>
            <w:hideMark/>
          </w:tcPr>
          <w:p w14:paraId="700613DF" w14:textId="40583D63" w:rsidR="00C43486" w:rsidRPr="00DB12F1" w:rsidRDefault="006B18CD" w:rsidP="00DB12F1">
            <w:pPr>
              <w:pStyle w:val="af1"/>
              <w:spacing w:after="0" w:line="240" w:lineRule="auto"/>
              <w:ind w:left="0"/>
              <w:jc w:val="both"/>
              <w:rPr>
                <w:rFonts w:ascii="Times New Roman" w:hAnsi="Times New Roman" w:cs="Times New Roman"/>
                <w:sz w:val="28"/>
                <w:szCs w:val="28"/>
                <w:highlight w:val="lightGray"/>
                <w:lang w:val="kk-KZ"/>
              </w:rPr>
            </w:pPr>
            <w:r w:rsidRPr="00DB12F1">
              <w:rPr>
                <w:rFonts w:ascii="Times New Roman" w:hAnsi="Times New Roman" w:cs="Times New Roman"/>
                <w:sz w:val="28"/>
                <w:szCs w:val="28"/>
              </w:rPr>
              <w:t>Molecular biology and virus strain processing</w:t>
            </w:r>
            <w:r w:rsidRPr="00DB12F1">
              <w:rPr>
                <w:rFonts w:ascii="Times New Roman" w:hAnsi="Times New Roman" w:cs="Times New Roman"/>
                <w:b/>
                <w:bCs/>
                <w:sz w:val="28"/>
                <w:szCs w:val="28"/>
              </w:rPr>
              <w:t xml:space="preserve"> </w:t>
            </w:r>
            <w:r w:rsidR="00C43486" w:rsidRPr="00DB12F1">
              <w:rPr>
                <w:rFonts w:ascii="Times New Roman" w:hAnsi="Times New Roman" w:cs="Times New Roman"/>
                <w:sz w:val="28"/>
                <w:szCs w:val="28"/>
                <w:lang w:val="kk-KZ"/>
              </w:rPr>
              <w:t>....................</w:t>
            </w:r>
            <w:r w:rsidRPr="00DB12F1">
              <w:rPr>
                <w:rFonts w:ascii="Times New Roman" w:hAnsi="Times New Roman" w:cs="Times New Roman"/>
                <w:sz w:val="28"/>
                <w:szCs w:val="28"/>
                <w:lang w:val="en-US"/>
              </w:rPr>
              <w:t>.............</w:t>
            </w:r>
            <w:r w:rsidR="00C43486" w:rsidRPr="00DB12F1">
              <w:rPr>
                <w:rFonts w:ascii="Times New Roman" w:hAnsi="Times New Roman" w:cs="Times New Roman"/>
                <w:sz w:val="28"/>
                <w:szCs w:val="28"/>
                <w:lang w:val="kk-KZ"/>
              </w:rPr>
              <w:t>.</w:t>
            </w:r>
          </w:p>
        </w:tc>
        <w:tc>
          <w:tcPr>
            <w:tcW w:w="702" w:type="dxa"/>
            <w:hideMark/>
          </w:tcPr>
          <w:p w14:paraId="34353584" w14:textId="1CE97985" w:rsidR="00C43486" w:rsidRPr="00F478AD" w:rsidRDefault="000D0AB1" w:rsidP="00DB12F1">
            <w:pPr>
              <w:spacing w:after="0" w:line="240" w:lineRule="auto"/>
              <w:jc w:val="center"/>
              <w:rPr>
                <w:rFonts w:ascii="Times New Roman" w:hAnsi="Times New Roman" w:cs="Times New Roman"/>
                <w:sz w:val="28"/>
                <w:szCs w:val="28"/>
                <w:lang w:val="ru-RU"/>
              </w:rPr>
            </w:pPr>
            <w:r w:rsidRPr="00C0310A">
              <w:rPr>
                <w:rFonts w:ascii="Times New Roman" w:hAnsi="Times New Roman" w:cs="Times New Roman"/>
                <w:sz w:val="28"/>
                <w:szCs w:val="28"/>
                <w:lang w:val="en-US"/>
              </w:rPr>
              <w:t>6</w:t>
            </w:r>
            <w:r w:rsidR="00F478AD">
              <w:rPr>
                <w:rFonts w:ascii="Times New Roman" w:hAnsi="Times New Roman" w:cs="Times New Roman"/>
                <w:sz w:val="28"/>
                <w:szCs w:val="28"/>
                <w:lang w:val="ru-RU"/>
              </w:rPr>
              <w:t>0</w:t>
            </w:r>
          </w:p>
        </w:tc>
      </w:tr>
      <w:tr w:rsidR="00C0310A" w:rsidRPr="00C0310A" w14:paraId="04FAA49C" w14:textId="77777777" w:rsidTr="00DC7ACF">
        <w:trPr>
          <w:trHeight w:val="305"/>
          <w:jc w:val="center"/>
        </w:trPr>
        <w:tc>
          <w:tcPr>
            <w:tcW w:w="236" w:type="dxa"/>
          </w:tcPr>
          <w:p w14:paraId="201548F0"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893" w:type="dxa"/>
            <w:hideMark/>
          </w:tcPr>
          <w:p w14:paraId="6B9BD12A" w14:textId="15972184" w:rsidR="00C43486" w:rsidRPr="00C0310A" w:rsidRDefault="00C43486" w:rsidP="00DB12F1">
            <w:pPr>
              <w:spacing w:after="0" w:line="240" w:lineRule="auto"/>
              <w:jc w:val="both"/>
              <w:rPr>
                <w:rFonts w:ascii="Times New Roman" w:hAnsi="Times New Roman" w:cs="Times New Roman"/>
                <w:sz w:val="28"/>
                <w:szCs w:val="28"/>
              </w:rPr>
            </w:pPr>
            <w:r w:rsidRPr="00C0310A">
              <w:rPr>
                <w:rFonts w:ascii="Times New Roman" w:hAnsi="Times New Roman" w:cs="Times New Roman"/>
                <w:sz w:val="28"/>
                <w:szCs w:val="28"/>
              </w:rPr>
              <w:t>2.</w:t>
            </w:r>
            <w:r w:rsidR="006B18CD" w:rsidRPr="00C0310A">
              <w:rPr>
                <w:rFonts w:ascii="Times New Roman" w:hAnsi="Times New Roman" w:cs="Times New Roman"/>
                <w:sz w:val="28"/>
                <w:szCs w:val="28"/>
              </w:rPr>
              <w:t>3.5</w:t>
            </w:r>
          </w:p>
        </w:tc>
        <w:tc>
          <w:tcPr>
            <w:tcW w:w="7811" w:type="dxa"/>
            <w:hideMark/>
          </w:tcPr>
          <w:p w14:paraId="53B41804" w14:textId="203B5E93" w:rsidR="00C43486" w:rsidRPr="00DB12F1" w:rsidRDefault="002400B6" w:rsidP="00DB12F1">
            <w:pPr>
              <w:spacing w:after="0" w:line="240" w:lineRule="auto"/>
              <w:rPr>
                <w:rFonts w:ascii="Times New Roman" w:hAnsi="Times New Roman" w:cs="Times New Roman"/>
                <w:sz w:val="28"/>
                <w:szCs w:val="28"/>
              </w:rPr>
            </w:pPr>
            <w:r w:rsidRPr="00DB12F1">
              <w:rPr>
                <w:rFonts w:ascii="Times New Roman" w:hAnsi="Times New Roman" w:cs="Times New Roman"/>
                <w:sz w:val="28"/>
                <w:szCs w:val="28"/>
              </w:rPr>
              <w:t xml:space="preserve">The principles for selecting the concentrations of antiviral drugs </w:t>
            </w:r>
            <w:r w:rsidR="00C43486" w:rsidRPr="00DB12F1">
              <w:rPr>
                <w:rFonts w:ascii="Times New Roman" w:hAnsi="Times New Roman" w:cs="Times New Roman"/>
                <w:sz w:val="28"/>
                <w:szCs w:val="28"/>
                <w:lang w:val="en-US"/>
              </w:rPr>
              <w:t>…</w:t>
            </w:r>
          </w:p>
        </w:tc>
        <w:tc>
          <w:tcPr>
            <w:tcW w:w="702" w:type="dxa"/>
            <w:hideMark/>
          </w:tcPr>
          <w:p w14:paraId="3F0A30B0" w14:textId="237CB96B" w:rsidR="00C43486" w:rsidRPr="00F478AD" w:rsidRDefault="00F478AD" w:rsidP="00DB12F1">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61</w:t>
            </w:r>
          </w:p>
        </w:tc>
      </w:tr>
      <w:tr w:rsidR="00C0310A" w:rsidRPr="00C0310A" w14:paraId="53B465FE" w14:textId="77777777" w:rsidTr="00DC7ACF">
        <w:trPr>
          <w:trHeight w:val="305"/>
          <w:jc w:val="center"/>
        </w:trPr>
        <w:tc>
          <w:tcPr>
            <w:tcW w:w="236" w:type="dxa"/>
          </w:tcPr>
          <w:p w14:paraId="48B5B7AF" w14:textId="77777777" w:rsidR="002400B6" w:rsidRPr="00DB12F1" w:rsidRDefault="002400B6" w:rsidP="00DB12F1">
            <w:pPr>
              <w:spacing w:after="0" w:line="240" w:lineRule="auto"/>
              <w:jc w:val="both"/>
              <w:rPr>
                <w:rFonts w:ascii="Times New Roman" w:hAnsi="Times New Roman" w:cs="Times New Roman"/>
                <w:sz w:val="28"/>
                <w:szCs w:val="28"/>
              </w:rPr>
            </w:pPr>
          </w:p>
        </w:tc>
        <w:tc>
          <w:tcPr>
            <w:tcW w:w="893" w:type="dxa"/>
          </w:tcPr>
          <w:p w14:paraId="7E547DA0" w14:textId="4E5F7271" w:rsidR="002400B6" w:rsidRPr="00C0310A" w:rsidRDefault="002400B6" w:rsidP="00DB12F1">
            <w:pPr>
              <w:spacing w:after="0" w:line="240" w:lineRule="auto"/>
              <w:jc w:val="both"/>
              <w:rPr>
                <w:rFonts w:ascii="Times New Roman" w:hAnsi="Times New Roman" w:cs="Times New Roman"/>
                <w:sz w:val="28"/>
                <w:szCs w:val="28"/>
              </w:rPr>
            </w:pPr>
            <w:r w:rsidRPr="00C0310A">
              <w:rPr>
                <w:rFonts w:ascii="Times New Roman" w:hAnsi="Times New Roman" w:cs="Times New Roman"/>
                <w:sz w:val="28"/>
                <w:szCs w:val="28"/>
              </w:rPr>
              <w:t>2.4</w:t>
            </w:r>
          </w:p>
        </w:tc>
        <w:tc>
          <w:tcPr>
            <w:tcW w:w="7811" w:type="dxa"/>
          </w:tcPr>
          <w:p w14:paraId="0A646727" w14:textId="7F39F10C" w:rsidR="002400B6" w:rsidRPr="00DB12F1" w:rsidRDefault="00DC3B41" w:rsidP="00DB12F1">
            <w:pPr>
              <w:spacing w:after="0" w:line="240" w:lineRule="auto"/>
              <w:rPr>
                <w:rFonts w:ascii="Times New Roman" w:hAnsi="Times New Roman" w:cs="Times New Roman"/>
                <w:sz w:val="28"/>
                <w:szCs w:val="28"/>
              </w:rPr>
            </w:pPr>
            <w:r w:rsidRPr="00DB12F1">
              <w:rPr>
                <w:rFonts w:ascii="Times New Roman" w:hAnsi="Times New Roman" w:cs="Times New Roman"/>
                <w:sz w:val="28"/>
                <w:szCs w:val="28"/>
              </w:rPr>
              <w:t>Key methods of dissertational work ……………………………</w:t>
            </w:r>
            <w:proofErr w:type="gramStart"/>
            <w:r w:rsidR="00C0310A">
              <w:rPr>
                <w:rFonts w:ascii="Times New Roman" w:hAnsi="Times New Roman" w:cs="Times New Roman"/>
                <w:sz w:val="28"/>
                <w:szCs w:val="28"/>
              </w:rPr>
              <w:t>….</w:t>
            </w:r>
            <w:r w:rsidR="00D35203">
              <w:rPr>
                <w:rFonts w:ascii="Times New Roman" w:hAnsi="Times New Roman" w:cs="Times New Roman"/>
                <w:sz w:val="28"/>
                <w:szCs w:val="28"/>
              </w:rPr>
              <w:t>.</w:t>
            </w:r>
            <w:proofErr w:type="gramEnd"/>
          </w:p>
        </w:tc>
        <w:tc>
          <w:tcPr>
            <w:tcW w:w="702" w:type="dxa"/>
          </w:tcPr>
          <w:p w14:paraId="48D5F8BE" w14:textId="36109A29" w:rsidR="002400B6" w:rsidRPr="00C0310A" w:rsidRDefault="00F478AD" w:rsidP="00DB12F1">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ru-RU"/>
              </w:rPr>
              <w:t>6</w:t>
            </w:r>
            <w:r w:rsidR="00273E1F" w:rsidRPr="00C0310A">
              <w:rPr>
                <w:rFonts w:ascii="Times New Roman" w:hAnsi="Times New Roman" w:cs="Times New Roman"/>
                <w:sz w:val="28"/>
                <w:szCs w:val="28"/>
                <w:lang w:val="en-US"/>
              </w:rPr>
              <w:t>2</w:t>
            </w:r>
          </w:p>
        </w:tc>
      </w:tr>
      <w:tr w:rsidR="00C0310A" w:rsidRPr="00C0310A" w14:paraId="76CB3DB0" w14:textId="77777777" w:rsidTr="00DC7ACF">
        <w:trPr>
          <w:trHeight w:val="316"/>
          <w:jc w:val="center"/>
        </w:trPr>
        <w:tc>
          <w:tcPr>
            <w:tcW w:w="236" w:type="dxa"/>
          </w:tcPr>
          <w:p w14:paraId="1E89B1E4"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893" w:type="dxa"/>
            <w:hideMark/>
          </w:tcPr>
          <w:p w14:paraId="237A3AAB" w14:textId="77777777" w:rsidR="00C43486" w:rsidRPr="00410C56" w:rsidRDefault="00C43486" w:rsidP="00DB12F1">
            <w:pPr>
              <w:spacing w:after="0" w:line="240" w:lineRule="auto"/>
              <w:jc w:val="both"/>
              <w:rPr>
                <w:rFonts w:ascii="Times New Roman" w:hAnsi="Times New Roman" w:cs="Times New Roman"/>
                <w:b/>
                <w:bCs/>
                <w:sz w:val="28"/>
                <w:szCs w:val="28"/>
              </w:rPr>
            </w:pPr>
            <w:r w:rsidRPr="00410C56">
              <w:rPr>
                <w:rFonts w:ascii="Times New Roman" w:hAnsi="Times New Roman" w:cs="Times New Roman"/>
                <w:b/>
                <w:bCs/>
                <w:sz w:val="28"/>
                <w:szCs w:val="28"/>
              </w:rPr>
              <w:t>3</w:t>
            </w:r>
          </w:p>
        </w:tc>
        <w:tc>
          <w:tcPr>
            <w:tcW w:w="7811" w:type="dxa"/>
            <w:hideMark/>
          </w:tcPr>
          <w:p w14:paraId="23296680" w14:textId="4C8F496F" w:rsidR="00C43486" w:rsidRPr="00DB12F1" w:rsidRDefault="00DC3B41" w:rsidP="00DB12F1">
            <w:pPr>
              <w:pStyle w:val="Default"/>
              <w:contextualSpacing/>
              <w:jc w:val="both"/>
              <w:rPr>
                <w:sz w:val="28"/>
                <w:szCs w:val="28"/>
                <w:lang w:val="en-US" w:eastAsia="en-US"/>
              </w:rPr>
            </w:pPr>
            <w:r w:rsidRPr="00DB12F1">
              <w:rPr>
                <w:b/>
                <w:bCs/>
                <w:sz w:val="28"/>
                <w:szCs w:val="28"/>
                <w:lang w:val="en-US" w:eastAsia="en-US"/>
              </w:rPr>
              <w:t>RESULTS AND DISCUSSION</w:t>
            </w:r>
            <w:r w:rsidRPr="00DB12F1">
              <w:rPr>
                <w:sz w:val="28"/>
                <w:szCs w:val="28"/>
                <w:lang w:val="en-US" w:eastAsia="en-US"/>
              </w:rPr>
              <w:t>………………………………</w:t>
            </w:r>
            <w:r w:rsidR="00C0310A">
              <w:rPr>
                <w:sz w:val="28"/>
                <w:szCs w:val="28"/>
                <w:lang w:val="en-US" w:eastAsia="en-US"/>
              </w:rPr>
              <w:t>…..</w:t>
            </w:r>
            <w:r w:rsidR="00842EFC" w:rsidRPr="00DB12F1">
              <w:rPr>
                <w:sz w:val="28"/>
                <w:szCs w:val="28"/>
                <w:lang w:val="en-US" w:eastAsia="en-US"/>
              </w:rPr>
              <w:t>.</w:t>
            </w:r>
          </w:p>
        </w:tc>
        <w:tc>
          <w:tcPr>
            <w:tcW w:w="702" w:type="dxa"/>
            <w:hideMark/>
          </w:tcPr>
          <w:p w14:paraId="064DEEB5" w14:textId="0575A744" w:rsidR="00C43486" w:rsidRPr="00F478AD" w:rsidRDefault="00F478AD" w:rsidP="00DB12F1">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77</w:t>
            </w:r>
          </w:p>
        </w:tc>
      </w:tr>
      <w:tr w:rsidR="00C0310A" w:rsidRPr="00C0310A" w14:paraId="43E93575" w14:textId="77777777" w:rsidTr="00DC7ACF">
        <w:trPr>
          <w:trHeight w:val="633"/>
          <w:jc w:val="center"/>
        </w:trPr>
        <w:tc>
          <w:tcPr>
            <w:tcW w:w="236" w:type="dxa"/>
          </w:tcPr>
          <w:p w14:paraId="6E0A8205"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893" w:type="dxa"/>
            <w:hideMark/>
          </w:tcPr>
          <w:p w14:paraId="242AE80A" w14:textId="77777777" w:rsidR="00C43486" w:rsidRPr="00C0310A" w:rsidRDefault="00C43486" w:rsidP="00DB12F1">
            <w:pPr>
              <w:spacing w:after="0" w:line="240" w:lineRule="auto"/>
              <w:jc w:val="both"/>
              <w:rPr>
                <w:rFonts w:ascii="Times New Roman" w:hAnsi="Times New Roman" w:cs="Times New Roman"/>
                <w:sz w:val="28"/>
                <w:szCs w:val="28"/>
              </w:rPr>
            </w:pPr>
            <w:r w:rsidRPr="00C0310A">
              <w:rPr>
                <w:rFonts w:ascii="Times New Roman" w:hAnsi="Times New Roman" w:cs="Times New Roman"/>
                <w:sz w:val="28"/>
                <w:szCs w:val="28"/>
              </w:rPr>
              <w:t>3.1</w:t>
            </w:r>
          </w:p>
        </w:tc>
        <w:tc>
          <w:tcPr>
            <w:tcW w:w="7811" w:type="dxa"/>
            <w:hideMark/>
          </w:tcPr>
          <w:p w14:paraId="36E325E9" w14:textId="58570CF9" w:rsidR="00C43486" w:rsidRPr="00DB12F1" w:rsidRDefault="00944517" w:rsidP="00DB12F1">
            <w:pPr>
              <w:pStyle w:val="Default"/>
              <w:contextualSpacing/>
              <w:jc w:val="both"/>
              <w:rPr>
                <w:bCs/>
                <w:sz w:val="28"/>
                <w:szCs w:val="28"/>
                <w:highlight w:val="lightGray"/>
                <w:lang w:val="en-US" w:eastAsia="en-US"/>
              </w:rPr>
            </w:pPr>
            <w:r w:rsidRPr="00DB12F1">
              <w:rPr>
                <w:bCs/>
                <w:iCs/>
                <w:sz w:val="28"/>
                <w:szCs w:val="28"/>
                <w:lang w:val="en-GB"/>
              </w:rPr>
              <w:t xml:space="preserve">Vero E6 cell infection and 72-hour incubation, titer production from Bronchoalveolar lavage fluid (BALF) and murine upper airways </w:t>
            </w:r>
            <w:r w:rsidR="00C43486" w:rsidRPr="00DB12F1">
              <w:rPr>
                <w:bCs/>
                <w:sz w:val="28"/>
                <w:szCs w:val="28"/>
                <w:lang w:val="kk-KZ"/>
              </w:rPr>
              <w:t>......</w:t>
            </w:r>
          </w:p>
        </w:tc>
        <w:tc>
          <w:tcPr>
            <w:tcW w:w="702" w:type="dxa"/>
            <w:hideMark/>
          </w:tcPr>
          <w:p w14:paraId="43323EED" w14:textId="77777777" w:rsidR="00C43486" w:rsidRPr="00C0310A" w:rsidRDefault="00C43486" w:rsidP="00DB12F1">
            <w:pPr>
              <w:spacing w:after="0" w:line="240" w:lineRule="auto"/>
              <w:jc w:val="center"/>
              <w:rPr>
                <w:rFonts w:ascii="Times New Roman" w:hAnsi="Times New Roman" w:cs="Times New Roman"/>
                <w:sz w:val="28"/>
                <w:szCs w:val="28"/>
                <w:lang w:val="en-US"/>
              </w:rPr>
            </w:pPr>
          </w:p>
          <w:p w14:paraId="79A4D76C" w14:textId="45DBE0DD" w:rsidR="00C43486" w:rsidRPr="00F478AD" w:rsidRDefault="00F478AD" w:rsidP="00DB12F1">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77</w:t>
            </w:r>
          </w:p>
        </w:tc>
      </w:tr>
      <w:tr w:rsidR="00C0310A" w:rsidRPr="00C0310A" w14:paraId="6DE7D3B8" w14:textId="77777777" w:rsidTr="00DC7ACF">
        <w:trPr>
          <w:trHeight w:val="621"/>
          <w:jc w:val="center"/>
        </w:trPr>
        <w:tc>
          <w:tcPr>
            <w:tcW w:w="236" w:type="dxa"/>
          </w:tcPr>
          <w:p w14:paraId="64B4A0A5"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893" w:type="dxa"/>
            <w:hideMark/>
          </w:tcPr>
          <w:p w14:paraId="0083BD4D" w14:textId="77777777" w:rsidR="00C43486" w:rsidRPr="00C0310A" w:rsidRDefault="00C43486" w:rsidP="00DB12F1">
            <w:pPr>
              <w:spacing w:after="0" w:line="240" w:lineRule="auto"/>
              <w:jc w:val="both"/>
              <w:rPr>
                <w:rFonts w:ascii="Times New Roman" w:hAnsi="Times New Roman" w:cs="Times New Roman"/>
                <w:sz w:val="28"/>
                <w:szCs w:val="28"/>
              </w:rPr>
            </w:pPr>
            <w:r w:rsidRPr="00C0310A">
              <w:rPr>
                <w:rFonts w:ascii="Times New Roman" w:hAnsi="Times New Roman" w:cs="Times New Roman"/>
                <w:sz w:val="28"/>
                <w:szCs w:val="28"/>
              </w:rPr>
              <w:t>3.2</w:t>
            </w:r>
          </w:p>
        </w:tc>
        <w:tc>
          <w:tcPr>
            <w:tcW w:w="7811" w:type="dxa"/>
            <w:hideMark/>
          </w:tcPr>
          <w:p w14:paraId="5901E0E7" w14:textId="65B993AE" w:rsidR="00C43486" w:rsidRPr="00DB12F1" w:rsidRDefault="00005A5C" w:rsidP="00DB12F1">
            <w:pPr>
              <w:spacing w:after="0" w:line="240" w:lineRule="auto"/>
              <w:jc w:val="both"/>
              <w:rPr>
                <w:rFonts w:ascii="Times New Roman" w:hAnsi="Times New Roman" w:cs="Times New Roman"/>
                <w:bCs/>
                <w:sz w:val="28"/>
                <w:szCs w:val="28"/>
                <w:lang w:val="kk-KZ"/>
              </w:rPr>
            </w:pPr>
            <w:r w:rsidRPr="00005A5C">
              <w:rPr>
                <w:rFonts w:ascii="Times New Roman" w:hAnsi="Times New Roman" w:cs="Times New Roman"/>
                <w:bCs/>
                <w:iCs/>
                <w:sz w:val="28"/>
                <w:szCs w:val="28"/>
              </w:rPr>
              <w:t>Detection and Characterization of the SARS-CoV-2/KAZ/B1.1/2021 (Alpha) Variant</w:t>
            </w:r>
            <w:r w:rsidR="0052465C" w:rsidRPr="00DB12F1">
              <w:rPr>
                <w:rFonts w:ascii="Times New Roman" w:hAnsi="Times New Roman" w:cs="Times New Roman"/>
                <w:bCs/>
                <w:iCs/>
                <w:sz w:val="28"/>
                <w:szCs w:val="28"/>
              </w:rPr>
              <w:t>………</w:t>
            </w:r>
            <w:r>
              <w:rPr>
                <w:rFonts w:ascii="Times New Roman" w:hAnsi="Times New Roman" w:cs="Times New Roman"/>
                <w:bCs/>
                <w:iCs/>
                <w:sz w:val="28"/>
                <w:szCs w:val="28"/>
              </w:rPr>
              <w:t>………………………</w:t>
            </w:r>
            <w:proofErr w:type="gramStart"/>
            <w:r>
              <w:rPr>
                <w:rFonts w:ascii="Times New Roman" w:hAnsi="Times New Roman" w:cs="Times New Roman"/>
                <w:bCs/>
                <w:iCs/>
                <w:sz w:val="28"/>
                <w:szCs w:val="28"/>
              </w:rPr>
              <w:t>...</w:t>
            </w:r>
            <w:r w:rsidR="003C3BD2" w:rsidRPr="00DB12F1">
              <w:rPr>
                <w:rFonts w:ascii="Times New Roman" w:hAnsi="Times New Roman" w:cs="Times New Roman"/>
                <w:bCs/>
                <w:iCs/>
                <w:sz w:val="28"/>
                <w:szCs w:val="28"/>
              </w:rPr>
              <w:t>.</w:t>
            </w:r>
            <w:r w:rsidR="0052465C" w:rsidRPr="00DB12F1">
              <w:rPr>
                <w:rFonts w:ascii="Times New Roman" w:hAnsi="Times New Roman" w:cs="Times New Roman"/>
                <w:bCs/>
                <w:iCs/>
                <w:sz w:val="28"/>
                <w:szCs w:val="28"/>
              </w:rPr>
              <w:t>.</w:t>
            </w:r>
            <w:proofErr w:type="gramEnd"/>
          </w:p>
        </w:tc>
        <w:tc>
          <w:tcPr>
            <w:tcW w:w="702" w:type="dxa"/>
            <w:hideMark/>
          </w:tcPr>
          <w:p w14:paraId="54F4C8C2" w14:textId="77777777" w:rsidR="00C0310A" w:rsidRDefault="00C0310A" w:rsidP="000C0767">
            <w:pPr>
              <w:spacing w:after="0" w:line="240" w:lineRule="auto"/>
              <w:rPr>
                <w:rFonts w:ascii="Times New Roman" w:hAnsi="Times New Roman" w:cs="Times New Roman"/>
                <w:sz w:val="28"/>
                <w:szCs w:val="28"/>
              </w:rPr>
            </w:pPr>
          </w:p>
          <w:p w14:paraId="381DE505" w14:textId="59CF9139" w:rsidR="00C43486" w:rsidRPr="00F478AD" w:rsidRDefault="00005A5C" w:rsidP="00005A5C">
            <w:pPr>
              <w:spacing w:after="0" w:line="240" w:lineRule="auto"/>
              <w:rPr>
                <w:rFonts w:ascii="Times New Roman" w:hAnsi="Times New Roman" w:cs="Times New Roman"/>
                <w:sz w:val="28"/>
                <w:szCs w:val="28"/>
                <w:lang w:val="ru-RU"/>
              </w:rPr>
            </w:pPr>
            <w:r>
              <w:rPr>
                <w:rFonts w:ascii="Times New Roman" w:hAnsi="Times New Roman" w:cs="Times New Roman"/>
                <w:sz w:val="28"/>
                <w:szCs w:val="28"/>
              </w:rPr>
              <w:t xml:space="preserve">  </w:t>
            </w:r>
            <w:r w:rsidR="00F478AD">
              <w:rPr>
                <w:rFonts w:ascii="Times New Roman" w:hAnsi="Times New Roman" w:cs="Times New Roman"/>
                <w:sz w:val="28"/>
                <w:szCs w:val="28"/>
                <w:lang w:val="ru-RU"/>
              </w:rPr>
              <w:t>80</w:t>
            </w:r>
          </w:p>
        </w:tc>
      </w:tr>
      <w:tr w:rsidR="00C0310A" w:rsidRPr="00C0310A" w14:paraId="65DE4C4F" w14:textId="77777777" w:rsidTr="00DC7ACF">
        <w:trPr>
          <w:trHeight w:val="316"/>
          <w:jc w:val="center"/>
        </w:trPr>
        <w:tc>
          <w:tcPr>
            <w:tcW w:w="236" w:type="dxa"/>
          </w:tcPr>
          <w:p w14:paraId="71B2310D"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893" w:type="dxa"/>
          </w:tcPr>
          <w:p w14:paraId="5C10BFA0" w14:textId="77777777" w:rsidR="00C43486" w:rsidRPr="00C0310A" w:rsidRDefault="00C43486" w:rsidP="00DB12F1">
            <w:pPr>
              <w:spacing w:after="0" w:line="240" w:lineRule="auto"/>
              <w:jc w:val="both"/>
              <w:rPr>
                <w:rFonts w:ascii="Times New Roman" w:hAnsi="Times New Roman" w:cs="Times New Roman"/>
                <w:sz w:val="28"/>
                <w:szCs w:val="28"/>
                <w:lang w:val="kk-KZ"/>
              </w:rPr>
            </w:pPr>
            <w:r w:rsidRPr="00C0310A">
              <w:rPr>
                <w:rFonts w:ascii="Times New Roman" w:hAnsi="Times New Roman" w:cs="Times New Roman"/>
                <w:sz w:val="28"/>
                <w:szCs w:val="28"/>
              </w:rPr>
              <w:t>3</w:t>
            </w:r>
            <w:r w:rsidRPr="00C0310A">
              <w:rPr>
                <w:rFonts w:ascii="Times New Roman" w:hAnsi="Times New Roman" w:cs="Times New Roman"/>
                <w:sz w:val="28"/>
                <w:szCs w:val="28"/>
                <w:lang w:val="kk-KZ"/>
              </w:rPr>
              <w:t>.3</w:t>
            </w:r>
          </w:p>
        </w:tc>
        <w:tc>
          <w:tcPr>
            <w:tcW w:w="7811" w:type="dxa"/>
          </w:tcPr>
          <w:p w14:paraId="0994395E" w14:textId="2057A549" w:rsidR="00C43486" w:rsidRPr="00DB12F1" w:rsidRDefault="0052465C" w:rsidP="00DB12F1">
            <w:pPr>
              <w:spacing w:after="0" w:line="240" w:lineRule="auto"/>
              <w:jc w:val="both"/>
              <w:rPr>
                <w:rFonts w:ascii="Times New Roman" w:hAnsi="Times New Roman" w:cs="Times New Roman"/>
                <w:bCs/>
                <w:sz w:val="28"/>
                <w:szCs w:val="28"/>
                <w:lang w:val="kk-KZ"/>
              </w:rPr>
            </w:pPr>
            <w:r w:rsidRPr="00DB12F1">
              <w:rPr>
                <w:rFonts w:ascii="Times New Roman" w:hAnsi="Times New Roman" w:cs="Times New Roman"/>
                <w:bCs/>
                <w:sz w:val="28"/>
                <w:szCs w:val="28"/>
              </w:rPr>
              <w:t>Antiviral drug cytotoxicity assays…………………………………</w:t>
            </w:r>
            <w:r w:rsidR="00D35203">
              <w:rPr>
                <w:rFonts w:ascii="Times New Roman" w:hAnsi="Times New Roman" w:cs="Times New Roman"/>
                <w:bCs/>
                <w:sz w:val="28"/>
                <w:szCs w:val="28"/>
              </w:rPr>
              <w:t>..</w:t>
            </w:r>
            <w:r w:rsidRPr="00DB12F1">
              <w:rPr>
                <w:rFonts w:ascii="Times New Roman" w:hAnsi="Times New Roman" w:cs="Times New Roman"/>
                <w:bCs/>
                <w:sz w:val="28"/>
                <w:szCs w:val="28"/>
              </w:rPr>
              <w:t>.</w:t>
            </w:r>
          </w:p>
        </w:tc>
        <w:tc>
          <w:tcPr>
            <w:tcW w:w="702" w:type="dxa"/>
          </w:tcPr>
          <w:p w14:paraId="16696F44" w14:textId="1C9E43B4" w:rsidR="00C43486" w:rsidRPr="00C0310A" w:rsidRDefault="00273E1F" w:rsidP="00DB12F1">
            <w:pPr>
              <w:spacing w:after="0" w:line="240" w:lineRule="auto"/>
              <w:jc w:val="center"/>
              <w:rPr>
                <w:rFonts w:ascii="Times New Roman" w:hAnsi="Times New Roman" w:cs="Times New Roman"/>
                <w:sz w:val="28"/>
                <w:szCs w:val="28"/>
                <w:lang w:val="kk-KZ"/>
              </w:rPr>
            </w:pPr>
            <w:r w:rsidRPr="00C0310A">
              <w:rPr>
                <w:rFonts w:ascii="Times New Roman" w:hAnsi="Times New Roman" w:cs="Times New Roman"/>
                <w:sz w:val="28"/>
                <w:szCs w:val="28"/>
              </w:rPr>
              <w:t>86</w:t>
            </w:r>
          </w:p>
        </w:tc>
      </w:tr>
      <w:tr w:rsidR="00C0310A" w:rsidRPr="00C0310A" w14:paraId="0CBB1E2A" w14:textId="77777777" w:rsidTr="00DC7ACF">
        <w:trPr>
          <w:trHeight w:val="316"/>
          <w:jc w:val="center"/>
        </w:trPr>
        <w:tc>
          <w:tcPr>
            <w:tcW w:w="236" w:type="dxa"/>
          </w:tcPr>
          <w:p w14:paraId="7CEDC8A9" w14:textId="77777777" w:rsidR="0052465C" w:rsidRPr="00DB12F1" w:rsidRDefault="0052465C" w:rsidP="00DB12F1">
            <w:pPr>
              <w:spacing w:after="0" w:line="240" w:lineRule="auto"/>
              <w:jc w:val="both"/>
              <w:rPr>
                <w:rFonts w:ascii="Times New Roman" w:hAnsi="Times New Roman" w:cs="Times New Roman"/>
                <w:sz w:val="28"/>
                <w:szCs w:val="28"/>
              </w:rPr>
            </w:pPr>
          </w:p>
        </w:tc>
        <w:tc>
          <w:tcPr>
            <w:tcW w:w="893" w:type="dxa"/>
          </w:tcPr>
          <w:p w14:paraId="4937EFFC" w14:textId="29B4BE25" w:rsidR="0052465C" w:rsidRPr="00C0310A" w:rsidRDefault="0052465C" w:rsidP="00DB12F1">
            <w:pPr>
              <w:spacing w:after="0" w:line="240" w:lineRule="auto"/>
              <w:jc w:val="both"/>
              <w:rPr>
                <w:rFonts w:ascii="Times New Roman" w:hAnsi="Times New Roman" w:cs="Times New Roman"/>
                <w:sz w:val="28"/>
                <w:szCs w:val="28"/>
              </w:rPr>
            </w:pPr>
            <w:r w:rsidRPr="00C0310A">
              <w:rPr>
                <w:rFonts w:ascii="Times New Roman" w:hAnsi="Times New Roman" w:cs="Times New Roman"/>
                <w:sz w:val="28"/>
                <w:szCs w:val="28"/>
              </w:rPr>
              <w:t>3.3.1</w:t>
            </w:r>
          </w:p>
        </w:tc>
        <w:tc>
          <w:tcPr>
            <w:tcW w:w="7811" w:type="dxa"/>
          </w:tcPr>
          <w:p w14:paraId="01FE624E" w14:textId="3F2D6BD9" w:rsidR="0052465C" w:rsidRPr="00DB12F1" w:rsidRDefault="0052465C" w:rsidP="00DB12F1">
            <w:pPr>
              <w:spacing w:after="0" w:line="240" w:lineRule="auto"/>
              <w:jc w:val="both"/>
              <w:rPr>
                <w:rFonts w:ascii="Times New Roman" w:hAnsi="Times New Roman" w:cs="Times New Roman"/>
                <w:bCs/>
                <w:sz w:val="28"/>
                <w:szCs w:val="28"/>
              </w:rPr>
            </w:pPr>
            <w:r w:rsidRPr="00DB12F1">
              <w:rPr>
                <w:rFonts w:ascii="Times New Roman" w:hAnsi="Times New Roman" w:cs="Times New Roman"/>
                <w:bCs/>
                <w:sz w:val="28"/>
                <w:szCs w:val="28"/>
              </w:rPr>
              <w:t>Determination of cytotoxicity of drugs for cell culture (CCK8) ……</w:t>
            </w:r>
          </w:p>
        </w:tc>
        <w:tc>
          <w:tcPr>
            <w:tcW w:w="702" w:type="dxa"/>
          </w:tcPr>
          <w:p w14:paraId="170DEFF4" w14:textId="43DC057B" w:rsidR="0052465C" w:rsidRPr="00F478AD" w:rsidRDefault="00F478AD" w:rsidP="00DB12F1">
            <w:pPr>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t>86</w:t>
            </w:r>
          </w:p>
        </w:tc>
      </w:tr>
      <w:tr w:rsidR="00C0310A" w:rsidRPr="00C0310A" w14:paraId="41A99A13" w14:textId="77777777" w:rsidTr="00DC7ACF">
        <w:trPr>
          <w:trHeight w:val="316"/>
          <w:jc w:val="center"/>
        </w:trPr>
        <w:tc>
          <w:tcPr>
            <w:tcW w:w="236" w:type="dxa"/>
          </w:tcPr>
          <w:p w14:paraId="738A2ECA" w14:textId="77777777" w:rsidR="0052465C" w:rsidRPr="00DB12F1" w:rsidRDefault="0052465C" w:rsidP="00DB12F1">
            <w:pPr>
              <w:spacing w:after="0" w:line="240" w:lineRule="auto"/>
              <w:jc w:val="both"/>
              <w:rPr>
                <w:rFonts w:ascii="Times New Roman" w:hAnsi="Times New Roman" w:cs="Times New Roman"/>
                <w:sz w:val="28"/>
                <w:szCs w:val="28"/>
              </w:rPr>
            </w:pPr>
          </w:p>
        </w:tc>
        <w:tc>
          <w:tcPr>
            <w:tcW w:w="893" w:type="dxa"/>
          </w:tcPr>
          <w:p w14:paraId="1731E1F6" w14:textId="5E313FC9" w:rsidR="0052465C" w:rsidRPr="00C0310A" w:rsidRDefault="0052465C" w:rsidP="00DB12F1">
            <w:pPr>
              <w:spacing w:after="0" w:line="240" w:lineRule="auto"/>
              <w:jc w:val="both"/>
              <w:rPr>
                <w:rFonts w:ascii="Times New Roman" w:hAnsi="Times New Roman" w:cs="Times New Roman"/>
                <w:sz w:val="28"/>
                <w:szCs w:val="28"/>
              </w:rPr>
            </w:pPr>
            <w:r w:rsidRPr="00C0310A">
              <w:rPr>
                <w:rFonts w:ascii="Times New Roman" w:hAnsi="Times New Roman" w:cs="Times New Roman"/>
                <w:sz w:val="28"/>
                <w:szCs w:val="28"/>
              </w:rPr>
              <w:t>3.3.2</w:t>
            </w:r>
          </w:p>
        </w:tc>
        <w:tc>
          <w:tcPr>
            <w:tcW w:w="7811" w:type="dxa"/>
          </w:tcPr>
          <w:p w14:paraId="6FB66777" w14:textId="53CE00E7" w:rsidR="0052465C" w:rsidRPr="00DB12F1" w:rsidRDefault="0052465C" w:rsidP="00DB12F1">
            <w:pPr>
              <w:spacing w:after="0" w:line="240" w:lineRule="auto"/>
              <w:jc w:val="both"/>
              <w:rPr>
                <w:rFonts w:ascii="Times New Roman" w:hAnsi="Times New Roman" w:cs="Times New Roman"/>
                <w:bCs/>
                <w:sz w:val="28"/>
                <w:szCs w:val="28"/>
              </w:rPr>
            </w:pPr>
            <w:r w:rsidRPr="00DB12F1">
              <w:rPr>
                <w:rFonts w:ascii="Times New Roman" w:hAnsi="Times New Roman" w:cs="Times New Roman"/>
                <w:bCs/>
                <w:sz w:val="28"/>
                <w:szCs w:val="28"/>
              </w:rPr>
              <w:t>CCK8 test for cell viability in four drugs at varying concentrations against SARS-CoV-2 Titters……………………………………</w:t>
            </w:r>
            <w:proofErr w:type="gramStart"/>
            <w:r w:rsidR="00D35203">
              <w:rPr>
                <w:rFonts w:ascii="Times New Roman" w:hAnsi="Times New Roman" w:cs="Times New Roman"/>
                <w:bCs/>
                <w:sz w:val="28"/>
                <w:szCs w:val="28"/>
              </w:rPr>
              <w:t>..</w:t>
            </w:r>
            <w:r w:rsidRPr="00DB12F1">
              <w:rPr>
                <w:rFonts w:ascii="Times New Roman" w:hAnsi="Times New Roman" w:cs="Times New Roman"/>
                <w:bCs/>
                <w:sz w:val="28"/>
                <w:szCs w:val="28"/>
              </w:rPr>
              <w:t>...</w:t>
            </w:r>
            <w:proofErr w:type="gramEnd"/>
          </w:p>
        </w:tc>
        <w:tc>
          <w:tcPr>
            <w:tcW w:w="702" w:type="dxa"/>
          </w:tcPr>
          <w:p w14:paraId="43AC3CE9" w14:textId="1EC0A196" w:rsidR="0052465C" w:rsidRPr="00F478AD" w:rsidRDefault="00E36714" w:rsidP="00C0310A">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en-US"/>
              </w:rPr>
              <w:t xml:space="preserve"> </w:t>
            </w:r>
            <w:r w:rsidR="00F478AD">
              <w:rPr>
                <w:rFonts w:ascii="Times New Roman" w:hAnsi="Times New Roman" w:cs="Times New Roman"/>
                <w:sz w:val="28"/>
                <w:szCs w:val="28"/>
                <w:lang w:val="ru-RU"/>
              </w:rPr>
              <w:t>92</w:t>
            </w:r>
          </w:p>
        </w:tc>
      </w:tr>
      <w:tr w:rsidR="00C0310A" w:rsidRPr="00C0310A" w14:paraId="21C47609" w14:textId="77777777" w:rsidTr="00DC7ACF">
        <w:trPr>
          <w:trHeight w:val="316"/>
          <w:jc w:val="center"/>
        </w:trPr>
        <w:tc>
          <w:tcPr>
            <w:tcW w:w="236" w:type="dxa"/>
          </w:tcPr>
          <w:p w14:paraId="698AA2A2" w14:textId="77777777" w:rsidR="000D199C" w:rsidRPr="00DB12F1" w:rsidRDefault="000D199C" w:rsidP="00DB12F1">
            <w:pPr>
              <w:spacing w:after="0" w:line="240" w:lineRule="auto"/>
              <w:jc w:val="both"/>
              <w:rPr>
                <w:rFonts w:ascii="Times New Roman" w:hAnsi="Times New Roman" w:cs="Times New Roman"/>
                <w:sz w:val="28"/>
                <w:szCs w:val="28"/>
              </w:rPr>
            </w:pPr>
          </w:p>
        </w:tc>
        <w:tc>
          <w:tcPr>
            <w:tcW w:w="893" w:type="dxa"/>
          </w:tcPr>
          <w:p w14:paraId="068DFF7D" w14:textId="3C4CAB00" w:rsidR="000D199C" w:rsidRPr="00C0310A" w:rsidRDefault="000D199C" w:rsidP="00DB12F1">
            <w:pPr>
              <w:spacing w:after="0" w:line="240" w:lineRule="auto"/>
              <w:jc w:val="both"/>
              <w:rPr>
                <w:rFonts w:ascii="Times New Roman" w:hAnsi="Times New Roman" w:cs="Times New Roman"/>
                <w:sz w:val="28"/>
                <w:szCs w:val="28"/>
              </w:rPr>
            </w:pPr>
            <w:r w:rsidRPr="00C0310A">
              <w:rPr>
                <w:rFonts w:ascii="Times New Roman" w:hAnsi="Times New Roman" w:cs="Times New Roman"/>
                <w:sz w:val="28"/>
                <w:szCs w:val="28"/>
              </w:rPr>
              <w:t>3.3.3</w:t>
            </w:r>
          </w:p>
        </w:tc>
        <w:tc>
          <w:tcPr>
            <w:tcW w:w="7811" w:type="dxa"/>
          </w:tcPr>
          <w:p w14:paraId="108F21B3" w14:textId="6B8120A3" w:rsidR="000D199C" w:rsidRPr="00DB12F1" w:rsidRDefault="000D199C" w:rsidP="00DB12F1">
            <w:pPr>
              <w:spacing w:after="0" w:line="240" w:lineRule="auto"/>
              <w:jc w:val="both"/>
              <w:rPr>
                <w:rFonts w:ascii="Times New Roman" w:hAnsi="Times New Roman" w:cs="Times New Roman"/>
                <w:bCs/>
                <w:sz w:val="28"/>
                <w:szCs w:val="28"/>
              </w:rPr>
            </w:pPr>
            <w:r w:rsidRPr="00DB12F1">
              <w:rPr>
                <w:rFonts w:ascii="Times New Roman" w:hAnsi="Times New Roman" w:cs="Times New Roman"/>
                <w:bCs/>
                <w:sz w:val="28"/>
                <w:szCs w:val="28"/>
              </w:rPr>
              <w:t>MTT assay for cell viability in response to four drugs at varying concentrations against the SARS-CoV-2 Titters-Wuhan strain…</w:t>
            </w:r>
            <w:r w:rsidR="00C0310A">
              <w:rPr>
                <w:rFonts w:ascii="Times New Roman" w:hAnsi="Times New Roman" w:cs="Times New Roman"/>
                <w:bCs/>
                <w:sz w:val="28"/>
                <w:szCs w:val="28"/>
              </w:rPr>
              <w:t>…</w:t>
            </w:r>
          </w:p>
        </w:tc>
        <w:tc>
          <w:tcPr>
            <w:tcW w:w="702" w:type="dxa"/>
          </w:tcPr>
          <w:p w14:paraId="5E0C87D9" w14:textId="5F03C052" w:rsidR="000D199C" w:rsidRPr="00F478AD" w:rsidRDefault="00E36714" w:rsidP="00C0310A">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en-US"/>
              </w:rPr>
              <w:t xml:space="preserve"> </w:t>
            </w:r>
            <w:r w:rsidR="00F478AD">
              <w:rPr>
                <w:rFonts w:ascii="Times New Roman" w:hAnsi="Times New Roman" w:cs="Times New Roman"/>
                <w:sz w:val="28"/>
                <w:szCs w:val="28"/>
                <w:lang w:val="ru-RU"/>
              </w:rPr>
              <w:t>97</w:t>
            </w:r>
          </w:p>
        </w:tc>
      </w:tr>
      <w:tr w:rsidR="00C0310A" w:rsidRPr="00C0310A" w14:paraId="5A335E5A" w14:textId="77777777" w:rsidTr="00DC7ACF">
        <w:trPr>
          <w:trHeight w:val="316"/>
          <w:jc w:val="center"/>
        </w:trPr>
        <w:tc>
          <w:tcPr>
            <w:tcW w:w="236" w:type="dxa"/>
          </w:tcPr>
          <w:p w14:paraId="6C149268" w14:textId="77777777" w:rsidR="00D40ADE" w:rsidRPr="00DB12F1" w:rsidRDefault="00D40ADE" w:rsidP="00DB12F1">
            <w:pPr>
              <w:spacing w:after="0" w:line="240" w:lineRule="auto"/>
              <w:jc w:val="both"/>
              <w:rPr>
                <w:rFonts w:ascii="Times New Roman" w:hAnsi="Times New Roman" w:cs="Times New Roman"/>
                <w:sz w:val="28"/>
                <w:szCs w:val="28"/>
              </w:rPr>
            </w:pPr>
          </w:p>
        </w:tc>
        <w:tc>
          <w:tcPr>
            <w:tcW w:w="893" w:type="dxa"/>
          </w:tcPr>
          <w:p w14:paraId="6C419198" w14:textId="1EC80528" w:rsidR="00D40ADE" w:rsidRPr="00C0310A" w:rsidRDefault="00D40ADE" w:rsidP="00DB12F1">
            <w:pPr>
              <w:spacing w:after="0" w:line="240" w:lineRule="auto"/>
              <w:jc w:val="both"/>
              <w:rPr>
                <w:rFonts w:ascii="Times New Roman" w:hAnsi="Times New Roman" w:cs="Times New Roman"/>
                <w:sz w:val="28"/>
                <w:szCs w:val="28"/>
              </w:rPr>
            </w:pPr>
            <w:r w:rsidRPr="00C0310A">
              <w:rPr>
                <w:rFonts w:ascii="Times New Roman" w:hAnsi="Times New Roman" w:cs="Times New Roman"/>
                <w:sz w:val="28"/>
                <w:szCs w:val="28"/>
              </w:rPr>
              <w:t>3.4</w:t>
            </w:r>
          </w:p>
        </w:tc>
        <w:tc>
          <w:tcPr>
            <w:tcW w:w="7811" w:type="dxa"/>
          </w:tcPr>
          <w:p w14:paraId="2A7B7120" w14:textId="7A7A8FE4" w:rsidR="00D40ADE" w:rsidRPr="00DB12F1" w:rsidRDefault="00D40ADE" w:rsidP="00DB12F1">
            <w:pPr>
              <w:spacing w:after="0" w:line="240" w:lineRule="auto"/>
              <w:jc w:val="both"/>
              <w:rPr>
                <w:rFonts w:ascii="Times New Roman" w:hAnsi="Times New Roman" w:cs="Times New Roman"/>
                <w:bCs/>
                <w:sz w:val="28"/>
                <w:szCs w:val="28"/>
              </w:rPr>
            </w:pPr>
            <w:r w:rsidRPr="00DB12F1">
              <w:rPr>
                <w:rFonts w:ascii="Times New Roman" w:hAnsi="Times New Roman" w:cs="Times New Roman"/>
                <w:bCs/>
                <w:sz w:val="28"/>
                <w:szCs w:val="28"/>
              </w:rPr>
              <w:t xml:space="preserve">Antiviral activity count after adding four drugs </w:t>
            </w:r>
          </w:p>
        </w:tc>
        <w:tc>
          <w:tcPr>
            <w:tcW w:w="702" w:type="dxa"/>
          </w:tcPr>
          <w:p w14:paraId="5CAFAAAC" w14:textId="705B3E50" w:rsidR="00D40ADE" w:rsidRPr="00F478AD" w:rsidRDefault="004A728B" w:rsidP="00C0310A">
            <w:pPr>
              <w:spacing w:after="0" w:line="240" w:lineRule="auto"/>
              <w:rPr>
                <w:rFonts w:ascii="Times New Roman" w:hAnsi="Times New Roman" w:cs="Times New Roman"/>
                <w:sz w:val="28"/>
                <w:szCs w:val="28"/>
                <w:lang w:val="ru-RU"/>
              </w:rPr>
            </w:pPr>
            <w:r w:rsidRPr="00C0310A">
              <w:rPr>
                <w:rFonts w:ascii="Times New Roman" w:hAnsi="Times New Roman" w:cs="Times New Roman"/>
                <w:sz w:val="28"/>
                <w:szCs w:val="28"/>
              </w:rPr>
              <w:t>1</w:t>
            </w:r>
            <w:r w:rsidR="00F478AD">
              <w:rPr>
                <w:rFonts w:ascii="Times New Roman" w:hAnsi="Times New Roman" w:cs="Times New Roman"/>
                <w:sz w:val="28"/>
                <w:szCs w:val="28"/>
                <w:lang w:val="ru-RU"/>
              </w:rPr>
              <w:t>01</w:t>
            </w:r>
          </w:p>
        </w:tc>
      </w:tr>
      <w:tr w:rsidR="00C0310A" w:rsidRPr="00C0310A" w14:paraId="27B33FC0" w14:textId="77777777" w:rsidTr="00DC7ACF">
        <w:trPr>
          <w:trHeight w:val="316"/>
          <w:jc w:val="center"/>
        </w:trPr>
        <w:tc>
          <w:tcPr>
            <w:tcW w:w="236" w:type="dxa"/>
          </w:tcPr>
          <w:p w14:paraId="17AF692A" w14:textId="77777777" w:rsidR="00D40ADE" w:rsidRPr="00DB12F1" w:rsidRDefault="00D40ADE" w:rsidP="00DB12F1">
            <w:pPr>
              <w:spacing w:after="0" w:line="240" w:lineRule="auto"/>
              <w:jc w:val="both"/>
              <w:rPr>
                <w:rFonts w:ascii="Times New Roman" w:hAnsi="Times New Roman" w:cs="Times New Roman"/>
                <w:sz w:val="28"/>
                <w:szCs w:val="28"/>
              </w:rPr>
            </w:pPr>
          </w:p>
        </w:tc>
        <w:tc>
          <w:tcPr>
            <w:tcW w:w="893" w:type="dxa"/>
          </w:tcPr>
          <w:p w14:paraId="3F623604" w14:textId="10D490DB" w:rsidR="00D40ADE" w:rsidRPr="00C0310A" w:rsidRDefault="00D40ADE" w:rsidP="00DB12F1">
            <w:pPr>
              <w:spacing w:after="0" w:line="240" w:lineRule="auto"/>
              <w:jc w:val="both"/>
              <w:rPr>
                <w:rFonts w:ascii="Times New Roman" w:hAnsi="Times New Roman" w:cs="Times New Roman"/>
                <w:sz w:val="28"/>
                <w:szCs w:val="28"/>
              </w:rPr>
            </w:pPr>
            <w:r w:rsidRPr="00C0310A">
              <w:rPr>
                <w:rFonts w:ascii="Times New Roman" w:hAnsi="Times New Roman" w:cs="Times New Roman"/>
                <w:sz w:val="28"/>
                <w:szCs w:val="28"/>
              </w:rPr>
              <w:t>3.5</w:t>
            </w:r>
          </w:p>
        </w:tc>
        <w:tc>
          <w:tcPr>
            <w:tcW w:w="7811" w:type="dxa"/>
          </w:tcPr>
          <w:p w14:paraId="35BF156A" w14:textId="6E252EA3" w:rsidR="00D40ADE" w:rsidRPr="00DB12F1" w:rsidRDefault="00D40ADE" w:rsidP="00DB12F1">
            <w:pPr>
              <w:spacing w:after="0" w:line="240" w:lineRule="auto"/>
              <w:jc w:val="both"/>
              <w:rPr>
                <w:rFonts w:ascii="Times New Roman" w:hAnsi="Times New Roman" w:cs="Times New Roman"/>
                <w:bCs/>
                <w:sz w:val="28"/>
                <w:szCs w:val="28"/>
              </w:rPr>
            </w:pPr>
            <w:r w:rsidRPr="00DB12F1">
              <w:rPr>
                <w:rFonts w:ascii="Times New Roman" w:hAnsi="Times New Roman" w:cs="Times New Roman"/>
                <w:bCs/>
                <w:iCs/>
                <w:sz w:val="28"/>
                <w:szCs w:val="28"/>
              </w:rPr>
              <w:t xml:space="preserve">Antiviral activity confirmation of TAF in four concentrations through qRT-PCR </w:t>
            </w:r>
            <w:r w:rsidR="00D35203">
              <w:rPr>
                <w:rFonts w:ascii="Times New Roman" w:hAnsi="Times New Roman" w:cs="Times New Roman"/>
                <w:bCs/>
                <w:iCs/>
                <w:sz w:val="28"/>
                <w:szCs w:val="28"/>
              </w:rPr>
              <w:t>………………………………………………</w:t>
            </w:r>
            <w:r w:rsidR="00C0310A">
              <w:rPr>
                <w:rFonts w:ascii="Times New Roman" w:hAnsi="Times New Roman" w:cs="Times New Roman"/>
                <w:bCs/>
                <w:iCs/>
                <w:sz w:val="28"/>
                <w:szCs w:val="28"/>
              </w:rPr>
              <w:t>….</w:t>
            </w:r>
          </w:p>
        </w:tc>
        <w:tc>
          <w:tcPr>
            <w:tcW w:w="702" w:type="dxa"/>
          </w:tcPr>
          <w:p w14:paraId="7EA554CD" w14:textId="759399EB" w:rsidR="00D40ADE" w:rsidRPr="00F478AD" w:rsidRDefault="00C0310A" w:rsidP="00C0310A">
            <w:pPr>
              <w:spacing w:after="0" w:line="240" w:lineRule="auto"/>
              <w:rPr>
                <w:rFonts w:ascii="Times New Roman" w:hAnsi="Times New Roman" w:cs="Times New Roman"/>
                <w:sz w:val="28"/>
                <w:szCs w:val="28"/>
                <w:lang w:val="ru-RU"/>
              </w:rPr>
            </w:pPr>
            <w:r w:rsidRPr="00C0310A">
              <w:rPr>
                <w:rFonts w:ascii="Times New Roman" w:hAnsi="Times New Roman" w:cs="Times New Roman"/>
                <w:sz w:val="28"/>
                <w:szCs w:val="28"/>
              </w:rPr>
              <w:t>1</w:t>
            </w:r>
            <w:r w:rsidR="00F478AD">
              <w:rPr>
                <w:rFonts w:ascii="Times New Roman" w:hAnsi="Times New Roman" w:cs="Times New Roman"/>
                <w:sz w:val="28"/>
                <w:szCs w:val="28"/>
                <w:lang w:val="ru-RU"/>
              </w:rPr>
              <w:t>10</w:t>
            </w:r>
          </w:p>
        </w:tc>
      </w:tr>
      <w:tr w:rsidR="00C0310A" w:rsidRPr="00C0310A" w14:paraId="0604C7C9" w14:textId="77777777" w:rsidTr="00DC7ACF">
        <w:trPr>
          <w:trHeight w:val="316"/>
          <w:jc w:val="center"/>
        </w:trPr>
        <w:tc>
          <w:tcPr>
            <w:tcW w:w="236" w:type="dxa"/>
          </w:tcPr>
          <w:p w14:paraId="7EA161DF" w14:textId="77777777" w:rsidR="00D40ADE" w:rsidRPr="00DB12F1" w:rsidRDefault="00D40ADE" w:rsidP="00DB12F1">
            <w:pPr>
              <w:spacing w:after="0" w:line="240" w:lineRule="auto"/>
              <w:jc w:val="both"/>
              <w:rPr>
                <w:rFonts w:ascii="Times New Roman" w:hAnsi="Times New Roman" w:cs="Times New Roman"/>
                <w:sz w:val="28"/>
                <w:szCs w:val="28"/>
              </w:rPr>
            </w:pPr>
          </w:p>
        </w:tc>
        <w:tc>
          <w:tcPr>
            <w:tcW w:w="893" w:type="dxa"/>
          </w:tcPr>
          <w:p w14:paraId="1034A8AB" w14:textId="78BBF3EC" w:rsidR="00D40ADE" w:rsidRPr="00C0310A" w:rsidRDefault="00D40ADE" w:rsidP="00DB12F1">
            <w:pPr>
              <w:spacing w:after="0" w:line="240" w:lineRule="auto"/>
              <w:jc w:val="both"/>
              <w:rPr>
                <w:rFonts w:ascii="Times New Roman" w:hAnsi="Times New Roman" w:cs="Times New Roman"/>
                <w:sz w:val="28"/>
                <w:szCs w:val="28"/>
              </w:rPr>
            </w:pPr>
            <w:r w:rsidRPr="00C0310A">
              <w:rPr>
                <w:rFonts w:ascii="Times New Roman" w:hAnsi="Times New Roman" w:cs="Times New Roman"/>
                <w:sz w:val="28"/>
                <w:szCs w:val="28"/>
              </w:rPr>
              <w:t>3.6</w:t>
            </w:r>
          </w:p>
        </w:tc>
        <w:tc>
          <w:tcPr>
            <w:tcW w:w="7811" w:type="dxa"/>
          </w:tcPr>
          <w:p w14:paraId="4F3756F3" w14:textId="46E50A28" w:rsidR="00D40ADE" w:rsidRPr="00DB12F1" w:rsidRDefault="00D40ADE" w:rsidP="00DB12F1">
            <w:pPr>
              <w:spacing w:after="0" w:line="240" w:lineRule="auto"/>
              <w:jc w:val="both"/>
              <w:rPr>
                <w:rFonts w:ascii="Times New Roman" w:hAnsi="Times New Roman" w:cs="Times New Roman"/>
                <w:bCs/>
                <w:iCs/>
                <w:sz w:val="28"/>
                <w:szCs w:val="28"/>
              </w:rPr>
            </w:pPr>
            <w:r w:rsidRPr="00DB12F1">
              <w:rPr>
                <w:rFonts w:ascii="Times New Roman" w:hAnsi="Times New Roman" w:cs="Times New Roman"/>
                <w:bCs/>
                <w:iCs/>
                <w:sz w:val="28"/>
                <w:szCs w:val="28"/>
              </w:rPr>
              <w:t>The preclinical test of antiviral properties of IL33 in vivo on regular lab WT-Mice………………………………………………………</w:t>
            </w:r>
          </w:p>
        </w:tc>
        <w:tc>
          <w:tcPr>
            <w:tcW w:w="702" w:type="dxa"/>
          </w:tcPr>
          <w:p w14:paraId="190F9646" w14:textId="715A5BB9" w:rsidR="00D40ADE" w:rsidRPr="00F478AD" w:rsidRDefault="004A728B" w:rsidP="00C0310A">
            <w:pPr>
              <w:spacing w:after="0" w:line="240" w:lineRule="auto"/>
              <w:rPr>
                <w:rFonts w:ascii="Times New Roman" w:hAnsi="Times New Roman" w:cs="Times New Roman"/>
                <w:sz w:val="28"/>
                <w:szCs w:val="28"/>
                <w:lang w:val="ru-RU"/>
              </w:rPr>
            </w:pPr>
            <w:r w:rsidRPr="00C0310A">
              <w:rPr>
                <w:rFonts w:ascii="Times New Roman" w:hAnsi="Times New Roman" w:cs="Times New Roman"/>
                <w:sz w:val="28"/>
                <w:szCs w:val="28"/>
              </w:rPr>
              <w:t>1</w:t>
            </w:r>
            <w:r w:rsidR="00F478AD">
              <w:rPr>
                <w:rFonts w:ascii="Times New Roman" w:hAnsi="Times New Roman" w:cs="Times New Roman"/>
                <w:sz w:val="28"/>
                <w:szCs w:val="28"/>
                <w:lang w:val="ru-RU"/>
              </w:rPr>
              <w:t>11</w:t>
            </w:r>
          </w:p>
        </w:tc>
      </w:tr>
      <w:tr w:rsidR="00C0310A" w:rsidRPr="00C0310A" w14:paraId="7B300121" w14:textId="77777777" w:rsidTr="00DC7ACF">
        <w:trPr>
          <w:trHeight w:val="316"/>
          <w:jc w:val="center"/>
        </w:trPr>
        <w:tc>
          <w:tcPr>
            <w:tcW w:w="236" w:type="dxa"/>
          </w:tcPr>
          <w:p w14:paraId="6698271E" w14:textId="77777777" w:rsidR="00D40ADE" w:rsidRPr="00DB12F1" w:rsidRDefault="00D40ADE" w:rsidP="00DB12F1">
            <w:pPr>
              <w:spacing w:after="0" w:line="240" w:lineRule="auto"/>
              <w:jc w:val="both"/>
              <w:rPr>
                <w:rFonts w:ascii="Times New Roman" w:hAnsi="Times New Roman" w:cs="Times New Roman"/>
                <w:sz w:val="28"/>
                <w:szCs w:val="28"/>
              </w:rPr>
            </w:pPr>
          </w:p>
        </w:tc>
        <w:tc>
          <w:tcPr>
            <w:tcW w:w="893" w:type="dxa"/>
          </w:tcPr>
          <w:p w14:paraId="76218DB3" w14:textId="6A0120F7" w:rsidR="00D40ADE" w:rsidRPr="00C0310A" w:rsidRDefault="00D40ADE" w:rsidP="00DB12F1">
            <w:pPr>
              <w:spacing w:after="0" w:line="240" w:lineRule="auto"/>
              <w:jc w:val="both"/>
              <w:rPr>
                <w:rFonts w:ascii="Times New Roman" w:hAnsi="Times New Roman" w:cs="Times New Roman"/>
                <w:sz w:val="28"/>
                <w:szCs w:val="28"/>
              </w:rPr>
            </w:pPr>
            <w:r w:rsidRPr="00C0310A">
              <w:rPr>
                <w:rFonts w:ascii="Times New Roman" w:hAnsi="Times New Roman" w:cs="Times New Roman"/>
                <w:sz w:val="28"/>
                <w:szCs w:val="28"/>
              </w:rPr>
              <w:t>3.7</w:t>
            </w:r>
          </w:p>
        </w:tc>
        <w:tc>
          <w:tcPr>
            <w:tcW w:w="7811" w:type="dxa"/>
          </w:tcPr>
          <w:p w14:paraId="00460A23" w14:textId="73996639" w:rsidR="00D40ADE" w:rsidRPr="00DB12F1" w:rsidRDefault="00D40ADE" w:rsidP="00DB12F1">
            <w:pPr>
              <w:spacing w:after="0" w:line="240" w:lineRule="auto"/>
              <w:jc w:val="both"/>
              <w:rPr>
                <w:rFonts w:ascii="Times New Roman" w:hAnsi="Times New Roman" w:cs="Times New Roman"/>
                <w:bCs/>
                <w:iCs/>
                <w:sz w:val="28"/>
                <w:szCs w:val="28"/>
              </w:rPr>
            </w:pPr>
            <w:r w:rsidRPr="00DB12F1">
              <w:rPr>
                <w:rFonts w:ascii="Times New Roman" w:hAnsi="Times New Roman" w:cs="Times New Roman"/>
                <w:bCs/>
                <w:iCs/>
                <w:sz w:val="28"/>
                <w:szCs w:val="28"/>
              </w:rPr>
              <w:t xml:space="preserve"> Antiviral recommendations against SARS-CoV-2 according to the provided results on RdRP-inhibition activity in vitro……………</w:t>
            </w:r>
            <w:proofErr w:type="gramStart"/>
            <w:r w:rsidRPr="00DB12F1">
              <w:rPr>
                <w:rFonts w:ascii="Times New Roman" w:hAnsi="Times New Roman" w:cs="Times New Roman"/>
                <w:bCs/>
                <w:iCs/>
                <w:sz w:val="28"/>
                <w:szCs w:val="28"/>
              </w:rPr>
              <w:t>…</w:t>
            </w:r>
            <w:r w:rsidR="00726DD0" w:rsidRPr="00DB12F1">
              <w:rPr>
                <w:rFonts w:ascii="Times New Roman" w:hAnsi="Times New Roman" w:cs="Times New Roman"/>
                <w:bCs/>
                <w:iCs/>
                <w:sz w:val="28"/>
                <w:szCs w:val="28"/>
              </w:rPr>
              <w:t>.</w:t>
            </w:r>
            <w:r w:rsidRPr="00DB12F1">
              <w:rPr>
                <w:rFonts w:ascii="Times New Roman" w:hAnsi="Times New Roman" w:cs="Times New Roman"/>
                <w:bCs/>
                <w:iCs/>
                <w:sz w:val="28"/>
                <w:szCs w:val="28"/>
              </w:rPr>
              <w:t>.</w:t>
            </w:r>
            <w:proofErr w:type="gramEnd"/>
          </w:p>
        </w:tc>
        <w:tc>
          <w:tcPr>
            <w:tcW w:w="702" w:type="dxa"/>
          </w:tcPr>
          <w:p w14:paraId="19FF88CE" w14:textId="48D9C9CA" w:rsidR="00D40ADE" w:rsidRPr="00F478AD" w:rsidRDefault="004A728B" w:rsidP="00DB12F1">
            <w:pPr>
              <w:spacing w:after="0" w:line="240" w:lineRule="auto"/>
              <w:jc w:val="center"/>
              <w:rPr>
                <w:rFonts w:ascii="Times New Roman" w:hAnsi="Times New Roman" w:cs="Times New Roman"/>
                <w:sz w:val="28"/>
                <w:szCs w:val="28"/>
                <w:lang w:val="ru-RU"/>
              </w:rPr>
            </w:pPr>
            <w:r w:rsidRPr="00C0310A">
              <w:rPr>
                <w:rFonts w:ascii="Times New Roman" w:hAnsi="Times New Roman" w:cs="Times New Roman"/>
                <w:sz w:val="28"/>
                <w:szCs w:val="28"/>
              </w:rPr>
              <w:t>1</w:t>
            </w:r>
            <w:r w:rsidR="00F478AD">
              <w:rPr>
                <w:rFonts w:ascii="Times New Roman" w:hAnsi="Times New Roman" w:cs="Times New Roman"/>
                <w:sz w:val="28"/>
                <w:szCs w:val="28"/>
                <w:lang w:val="ru-RU"/>
              </w:rPr>
              <w:t>13</w:t>
            </w:r>
          </w:p>
        </w:tc>
      </w:tr>
      <w:tr w:rsidR="00C0310A" w:rsidRPr="00C0310A" w14:paraId="4C8A45F3" w14:textId="77777777" w:rsidTr="00DC7ACF">
        <w:trPr>
          <w:trHeight w:val="305"/>
          <w:jc w:val="center"/>
        </w:trPr>
        <w:tc>
          <w:tcPr>
            <w:tcW w:w="236" w:type="dxa"/>
          </w:tcPr>
          <w:p w14:paraId="1C224CEA"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893" w:type="dxa"/>
          </w:tcPr>
          <w:p w14:paraId="6AED7B28"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7811" w:type="dxa"/>
            <w:hideMark/>
          </w:tcPr>
          <w:p w14:paraId="339A98AE" w14:textId="4DECFD40" w:rsidR="00C43486" w:rsidRPr="00DB12F1" w:rsidRDefault="00D40ADE" w:rsidP="00DB12F1">
            <w:pPr>
              <w:pStyle w:val="af1"/>
              <w:spacing w:after="0" w:line="240" w:lineRule="auto"/>
              <w:ind w:left="0"/>
              <w:jc w:val="both"/>
              <w:rPr>
                <w:rFonts w:ascii="Times New Roman" w:hAnsi="Times New Roman" w:cs="Times New Roman"/>
                <w:sz w:val="28"/>
                <w:szCs w:val="28"/>
              </w:rPr>
            </w:pPr>
            <w:r w:rsidRPr="00DB12F1">
              <w:rPr>
                <w:rFonts w:ascii="Times New Roman" w:hAnsi="Times New Roman" w:cs="Times New Roman"/>
                <w:b/>
                <w:bCs/>
                <w:iCs/>
                <w:sz w:val="28"/>
                <w:szCs w:val="28"/>
              </w:rPr>
              <w:t>CONCLUSION</w:t>
            </w:r>
            <w:r w:rsidR="00C43486" w:rsidRPr="00DB12F1">
              <w:rPr>
                <w:rFonts w:ascii="Times New Roman" w:hAnsi="Times New Roman" w:cs="Times New Roman"/>
                <w:sz w:val="28"/>
                <w:szCs w:val="28"/>
              </w:rPr>
              <w:t>………………………………………………</w:t>
            </w:r>
            <w:r w:rsidRPr="00DB12F1">
              <w:rPr>
                <w:rFonts w:ascii="Times New Roman" w:hAnsi="Times New Roman" w:cs="Times New Roman"/>
                <w:sz w:val="28"/>
                <w:szCs w:val="28"/>
              </w:rPr>
              <w:t>…</w:t>
            </w:r>
            <w:r w:rsidR="00D35203">
              <w:rPr>
                <w:rFonts w:ascii="Times New Roman" w:hAnsi="Times New Roman" w:cs="Times New Roman"/>
                <w:sz w:val="28"/>
                <w:szCs w:val="28"/>
              </w:rPr>
              <w:t>….</w:t>
            </w:r>
          </w:p>
        </w:tc>
        <w:tc>
          <w:tcPr>
            <w:tcW w:w="702" w:type="dxa"/>
            <w:hideMark/>
          </w:tcPr>
          <w:p w14:paraId="4CE01B75" w14:textId="33319041" w:rsidR="00C43486" w:rsidRPr="00F478AD" w:rsidRDefault="004A728B" w:rsidP="00DB12F1">
            <w:pPr>
              <w:spacing w:after="0" w:line="240" w:lineRule="auto"/>
              <w:jc w:val="center"/>
              <w:rPr>
                <w:rFonts w:ascii="Times New Roman" w:hAnsi="Times New Roman" w:cs="Times New Roman"/>
                <w:sz w:val="28"/>
                <w:szCs w:val="28"/>
                <w:lang w:val="ru-RU"/>
              </w:rPr>
            </w:pPr>
            <w:r w:rsidRPr="00C0310A">
              <w:rPr>
                <w:rFonts w:ascii="Times New Roman" w:hAnsi="Times New Roman" w:cs="Times New Roman"/>
                <w:sz w:val="28"/>
                <w:szCs w:val="28"/>
              </w:rPr>
              <w:t>1</w:t>
            </w:r>
            <w:r w:rsidR="00F478AD">
              <w:rPr>
                <w:rFonts w:ascii="Times New Roman" w:hAnsi="Times New Roman" w:cs="Times New Roman"/>
                <w:sz w:val="28"/>
                <w:szCs w:val="28"/>
                <w:lang w:val="ru-RU"/>
              </w:rPr>
              <w:t>19</w:t>
            </w:r>
          </w:p>
        </w:tc>
      </w:tr>
      <w:tr w:rsidR="00C0310A" w:rsidRPr="00C0310A" w14:paraId="5D35029D" w14:textId="77777777" w:rsidTr="00DC7ACF">
        <w:trPr>
          <w:trHeight w:val="328"/>
          <w:jc w:val="center"/>
        </w:trPr>
        <w:tc>
          <w:tcPr>
            <w:tcW w:w="236" w:type="dxa"/>
          </w:tcPr>
          <w:p w14:paraId="6FAA4B13"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893" w:type="dxa"/>
          </w:tcPr>
          <w:p w14:paraId="730F02E6" w14:textId="77777777" w:rsidR="00C43486" w:rsidRPr="00DB12F1" w:rsidRDefault="00C43486" w:rsidP="00DB12F1">
            <w:pPr>
              <w:spacing w:after="0" w:line="240" w:lineRule="auto"/>
              <w:jc w:val="both"/>
              <w:rPr>
                <w:rFonts w:ascii="Times New Roman" w:hAnsi="Times New Roman" w:cs="Times New Roman"/>
                <w:sz w:val="28"/>
                <w:szCs w:val="28"/>
              </w:rPr>
            </w:pPr>
          </w:p>
        </w:tc>
        <w:tc>
          <w:tcPr>
            <w:tcW w:w="7811" w:type="dxa"/>
            <w:hideMark/>
          </w:tcPr>
          <w:p w14:paraId="21EF1A15" w14:textId="55F33561" w:rsidR="00C43486" w:rsidRPr="00DB12F1" w:rsidRDefault="00D2394E" w:rsidP="00DB12F1">
            <w:pPr>
              <w:pStyle w:val="af1"/>
              <w:spacing w:after="0" w:line="240" w:lineRule="auto"/>
              <w:ind w:left="0"/>
              <w:jc w:val="both"/>
              <w:rPr>
                <w:rFonts w:ascii="Times New Roman" w:hAnsi="Times New Roman" w:cs="Times New Roman"/>
                <w:sz w:val="28"/>
                <w:szCs w:val="28"/>
              </w:rPr>
            </w:pPr>
            <w:r w:rsidRPr="00DB12F1">
              <w:rPr>
                <w:rFonts w:ascii="Times New Roman" w:hAnsi="Times New Roman" w:cs="Times New Roman"/>
                <w:b/>
                <w:bCs/>
                <w:sz w:val="28"/>
                <w:szCs w:val="28"/>
              </w:rPr>
              <w:t>REFERENCES</w:t>
            </w:r>
            <w:r w:rsidRPr="00DB12F1">
              <w:rPr>
                <w:rFonts w:ascii="Times New Roman" w:hAnsi="Times New Roman" w:cs="Times New Roman"/>
                <w:sz w:val="28"/>
                <w:szCs w:val="28"/>
              </w:rPr>
              <w:t>………………………………………………</w:t>
            </w:r>
            <w:r w:rsidR="00C43486" w:rsidRPr="00DB12F1">
              <w:rPr>
                <w:rFonts w:ascii="Times New Roman" w:hAnsi="Times New Roman" w:cs="Times New Roman"/>
                <w:sz w:val="28"/>
                <w:szCs w:val="28"/>
              </w:rPr>
              <w:t>……</w:t>
            </w:r>
          </w:p>
        </w:tc>
        <w:tc>
          <w:tcPr>
            <w:tcW w:w="702" w:type="dxa"/>
            <w:hideMark/>
          </w:tcPr>
          <w:p w14:paraId="6CC85A17" w14:textId="411C7516" w:rsidR="00C43486" w:rsidRPr="00F478AD" w:rsidRDefault="004A728B" w:rsidP="00DB12F1">
            <w:pPr>
              <w:spacing w:after="0" w:line="240" w:lineRule="auto"/>
              <w:jc w:val="center"/>
              <w:rPr>
                <w:rFonts w:ascii="Times New Roman" w:hAnsi="Times New Roman" w:cs="Times New Roman"/>
                <w:sz w:val="28"/>
                <w:szCs w:val="28"/>
                <w:lang w:val="ru-RU"/>
              </w:rPr>
            </w:pPr>
            <w:r w:rsidRPr="00C0310A">
              <w:rPr>
                <w:rFonts w:ascii="Times New Roman" w:hAnsi="Times New Roman" w:cs="Times New Roman"/>
                <w:sz w:val="28"/>
                <w:szCs w:val="28"/>
              </w:rPr>
              <w:t>1</w:t>
            </w:r>
            <w:r w:rsidR="00F478AD">
              <w:rPr>
                <w:rFonts w:ascii="Times New Roman" w:hAnsi="Times New Roman" w:cs="Times New Roman"/>
                <w:sz w:val="28"/>
                <w:szCs w:val="28"/>
                <w:lang w:val="ru-RU"/>
              </w:rPr>
              <w:t>22</w:t>
            </w:r>
          </w:p>
        </w:tc>
      </w:tr>
      <w:tr w:rsidR="00C0310A" w:rsidRPr="00C0310A" w14:paraId="4594E5C2" w14:textId="77777777" w:rsidTr="00DC7ACF">
        <w:trPr>
          <w:trHeight w:val="328"/>
          <w:jc w:val="center"/>
        </w:trPr>
        <w:tc>
          <w:tcPr>
            <w:tcW w:w="236" w:type="dxa"/>
          </w:tcPr>
          <w:p w14:paraId="3058563B" w14:textId="77777777" w:rsidR="0041382B" w:rsidRPr="00DB12F1" w:rsidRDefault="0041382B" w:rsidP="00DB12F1">
            <w:pPr>
              <w:spacing w:after="0" w:line="240" w:lineRule="auto"/>
              <w:jc w:val="both"/>
              <w:rPr>
                <w:rFonts w:ascii="Times New Roman" w:hAnsi="Times New Roman" w:cs="Times New Roman"/>
                <w:sz w:val="28"/>
                <w:szCs w:val="28"/>
              </w:rPr>
            </w:pPr>
          </w:p>
        </w:tc>
        <w:tc>
          <w:tcPr>
            <w:tcW w:w="893" w:type="dxa"/>
          </w:tcPr>
          <w:p w14:paraId="47F0DCB1" w14:textId="77777777" w:rsidR="0041382B" w:rsidRPr="00DB12F1" w:rsidRDefault="0041382B" w:rsidP="00DB12F1">
            <w:pPr>
              <w:spacing w:after="0" w:line="240" w:lineRule="auto"/>
              <w:jc w:val="both"/>
              <w:rPr>
                <w:rFonts w:ascii="Times New Roman" w:hAnsi="Times New Roman" w:cs="Times New Roman"/>
                <w:sz w:val="28"/>
                <w:szCs w:val="28"/>
              </w:rPr>
            </w:pPr>
          </w:p>
        </w:tc>
        <w:tc>
          <w:tcPr>
            <w:tcW w:w="7811" w:type="dxa"/>
          </w:tcPr>
          <w:p w14:paraId="7E4F422C" w14:textId="6E53A460" w:rsidR="0041382B" w:rsidRPr="00DB12F1" w:rsidRDefault="0041382B" w:rsidP="00DB12F1">
            <w:pPr>
              <w:pStyle w:val="af1"/>
              <w:spacing w:after="0" w:line="240" w:lineRule="auto"/>
              <w:ind w:left="0"/>
              <w:jc w:val="both"/>
              <w:rPr>
                <w:rFonts w:ascii="Times New Roman" w:hAnsi="Times New Roman" w:cs="Times New Roman"/>
                <w:sz w:val="28"/>
                <w:szCs w:val="28"/>
              </w:rPr>
            </w:pPr>
            <w:r w:rsidRPr="00DB12F1">
              <w:rPr>
                <w:rFonts w:ascii="Times New Roman" w:hAnsi="Times New Roman" w:cs="Times New Roman"/>
                <w:b/>
                <w:bCs/>
                <w:iCs/>
                <w:sz w:val="28"/>
                <w:szCs w:val="28"/>
              </w:rPr>
              <w:t>APPENDIXES</w:t>
            </w:r>
            <w:r w:rsidR="003C3BD2" w:rsidRPr="00DB12F1">
              <w:rPr>
                <w:rFonts w:ascii="Times New Roman" w:hAnsi="Times New Roman" w:cs="Times New Roman"/>
                <w:iCs/>
                <w:sz w:val="28"/>
                <w:szCs w:val="28"/>
              </w:rPr>
              <w:t>…………………………………………………</w:t>
            </w:r>
            <w:proofErr w:type="gramStart"/>
            <w:r w:rsidR="003C3BD2" w:rsidRPr="00DB12F1">
              <w:rPr>
                <w:rFonts w:ascii="Times New Roman" w:hAnsi="Times New Roman" w:cs="Times New Roman"/>
                <w:iCs/>
                <w:sz w:val="28"/>
                <w:szCs w:val="28"/>
              </w:rPr>
              <w:t>…..</w:t>
            </w:r>
            <w:proofErr w:type="gramEnd"/>
          </w:p>
        </w:tc>
        <w:tc>
          <w:tcPr>
            <w:tcW w:w="702" w:type="dxa"/>
          </w:tcPr>
          <w:p w14:paraId="41AA83F3" w14:textId="4EF89FB0" w:rsidR="0041382B" w:rsidRPr="00F478AD" w:rsidRDefault="00890BAF" w:rsidP="00DB12F1">
            <w:pPr>
              <w:spacing w:after="0" w:line="240" w:lineRule="auto"/>
              <w:rPr>
                <w:rFonts w:ascii="Times New Roman" w:hAnsi="Times New Roman" w:cs="Times New Roman"/>
                <w:sz w:val="28"/>
                <w:szCs w:val="28"/>
                <w:lang w:val="ru-RU"/>
              </w:rPr>
            </w:pPr>
            <w:r w:rsidRPr="00C0310A">
              <w:rPr>
                <w:rFonts w:ascii="Times New Roman" w:hAnsi="Times New Roman" w:cs="Times New Roman"/>
                <w:sz w:val="28"/>
                <w:szCs w:val="28"/>
              </w:rPr>
              <w:t>1</w:t>
            </w:r>
            <w:r w:rsidR="00F478AD">
              <w:rPr>
                <w:rFonts w:ascii="Times New Roman" w:hAnsi="Times New Roman" w:cs="Times New Roman"/>
                <w:sz w:val="28"/>
                <w:szCs w:val="28"/>
                <w:lang w:val="ru-RU"/>
              </w:rPr>
              <w:t>32</w:t>
            </w:r>
          </w:p>
        </w:tc>
      </w:tr>
      <w:bookmarkEnd w:id="2"/>
    </w:tbl>
    <w:p w14:paraId="7E0DFD67" w14:textId="77777777" w:rsidR="00B22427" w:rsidRDefault="00B22427" w:rsidP="00692AFC">
      <w:pPr>
        <w:spacing w:line="360" w:lineRule="auto"/>
        <w:jc w:val="center"/>
        <w:rPr>
          <w:rFonts w:ascii="Times New Roman" w:hAnsi="Times New Roman" w:cs="Times New Roman"/>
          <w:b/>
          <w:bCs/>
          <w:sz w:val="24"/>
          <w:szCs w:val="24"/>
          <w:lang w:val="en-US"/>
        </w:rPr>
      </w:pPr>
    </w:p>
    <w:p w14:paraId="022B1EA7" w14:textId="77777777" w:rsidR="00A31C06" w:rsidRDefault="00A31C06" w:rsidP="00DB12F1">
      <w:pPr>
        <w:spacing w:line="360" w:lineRule="auto"/>
        <w:jc w:val="center"/>
        <w:rPr>
          <w:rFonts w:ascii="Times New Roman" w:hAnsi="Times New Roman" w:cs="Times New Roman"/>
          <w:b/>
          <w:bCs/>
          <w:sz w:val="28"/>
          <w:szCs w:val="28"/>
          <w:lang w:val="en-US"/>
        </w:rPr>
      </w:pPr>
    </w:p>
    <w:p w14:paraId="18C64956" w14:textId="77777777" w:rsidR="00D35203" w:rsidRDefault="00D35203" w:rsidP="00DB12F1">
      <w:pPr>
        <w:spacing w:line="360" w:lineRule="auto"/>
        <w:jc w:val="center"/>
        <w:rPr>
          <w:rFonts w:ascii="Times New Roman" w:hAnsi="Times New Roman" w:cs="Times New Roman"/>
          <w:b/>
          <w:bCs/>
          <w:sz w:val="28"/>
          <w:szCs w:val="28"/>
          <w:lang w:val="en-US"/>
        </w:rPr>
      </w:pPr>
    </w:p>
    <w:p w14:paraId="0EBC4E7A" w14:textId="77777777" w:rsidR="00D35203" w:rsidRDefault="00D35203" w:rsidP="00DB12F1">
      <w:pPr>
        <w:spacing w:line="360" w:lineRule="auto"/>
        <w:jc w:val="center"/>
        <w:rPr>
          <w:rFonts w:ascii="Times New Roman" w:hAnsi="Times New Roman" w:cs="Times New Roman"/>
          <w:b/>
          <w:bCs/>
          <w:sz w:val="28"/>
          <w:szCs w:val="28"/>
          <w:lang w:val="en-US"/>
        </w:rPr>
      </w:pPr>
    </w:p>
    <w:p w14:paraId="56F5BE1A" w14:textId="77777777" w:rsidR="00D35203" w:rsidRDefault="00D35203" w:rsidP="00DB12F1">
      <w:pPr>
        <w:spacing w:line="360" w:lineRule="auto"/>
        <w:jc w:val="center"/>
        <w:rPr>
          <w:rFonts w:ascii="Times New Roman" w:hAnsi="Times New Roman" w:cs="Times New Roman"/>
          <w:b/>
          <w:bCs/>
          <w:sz w:val="28"/>
          <w:szCs w:val="28"/>
          <w:lang w:val="en-US"/>
        </w:rPr>
      </w:pPr>
    </w:p>
    <w:p w14:paraId="630CEFB3" w14:textId="77777777" w:rsidR="00D35203" w:rsidRDefault="00D35203" w:rsidP="00DB12F1">
      <w:pPr>
        <w:spacing w:line="360" w:lineRule="auto"/>
        <w:jc w:val="center"/>
        <w:rPr>
          <w:rFonts w:ascii="Times New Roman" w:hAnsi="Times New Roman" w:cs="Times New Roman"/>
          <w:b/>
          <w:bCs/>
          <w:sz w:val="28"/>
          <w:szCs w:val="28"/>
          <w:lang w:val="en-US"/>
        </w:rPr>
      </w:pPr>
    </w:p>
    <w:p w14:paraId="7F3B937F" w14:textId="77777777" w:rsidR="00D35203" w:rsidRDefault="00D35203" w:rsidP="00DB12F1">
      <w:pPr>
        <w:spacing w:line="360" w:lineRule="auto"/>
        <w:jc w:val="center"/>
        <w:rPr>
          <w:rFonts w:ascii="Times New Roman" w:hAnsi="Times New Roman" w:cs="Times New Roman"/>
          <w:b/>
          <w:bCs/>
          <w:sz w:val="28"/>
          <w:szCs w:val="28"/>
          <w:lang w:val="en-US"/>
        </w:rPr>
      </w:pPr>
    </w:p>
    <w:p w14:paraId="461D5B23" w14:textId="77777777" w:rsidR="00D35203" w:rsidRDefault="00D35203" w:rsidP="00DB12F1">
      <w:pPr>
        <w:spacing w:line="360" w:lineRule="auto"/>
        <w:jc w:val="center"/>
        <w:rPr>
          <w:rFonts w:ascii="Times New Roman" w:hAnsi="Times New Roman" w:cs="Times New Roman"/>
          <w:b/>
          <w:bCs/>
          <w:sz w:val="28"/>
          <w:szCs w:val="28"/>
          <w:lang w:val="en-US"/>
        </w:rPr>
      </w:pPr>
    </w:p>
    <w:p w14:paraId="411286A4" w14:textId="77777777" w:rsidR="00D35203" w:rsidRDefault="00D35203" w:rsidP="00DB12F1">
      <w:pPr>
        <w:spacing w:line="360" w:lineRule="auto"/>
        <w:jc w:val="center"/>
        <w:rPr>
          <w:rFonts w:ascii="Times New Roman" w:hAnsi="Times New Roman" w:cs="Times New Roman"/>
          <w:b/>
          <w:bCs/>
          <w:sz w:val="28"/>
          <w:szCs w:val="28"/>
          <w:lang w:val="en-US"/>
        </w:rPr>
      </w:pPr>
    </w:p>
    <w:p w14:paraId="469B8FAD" w14:textId="77777777" w:rsidR="00D35203" w:rsidRDefault="00D35203" w:rsidP="00DB12F1">
      <w:pPr>
        <w:spacing w:line="360" w:lineRule="auto"/>
        <w:jc w:val="center"/>
        <w:rPr>
          <w:rFonts w:ascii="Times New Roman" w:hAnsi="Times New Roman" w:cs="Times New Roman"/>
          <w:b/>
          <w:bCs/>
          <w:sz w:val="28"/>
          <w:szCs w:val="28"/>
          <w:lang w:val="en-US"/>
        </w:rPr>
      </w:pPr>
    </w:p>
    <w:p w14:paraId="3642C4FC" w14:textId="77777777" w:rsidR="00D35203" w:rsidRDefault="00D35203" w:rsidP="00DB12F1">
      <w:pPr>
        <w:spacing w:line="360" w:lineRule="auto"/>
        <w:jc w:val="center"/>
        <w:rPr>
          <w:rFonts w:ascii="Times New Roman" w:hAnsi="Times New Roman" w:cs="Times New Roman"/>
          <w:b/>
          <w:bCs/>
          <w:sz w:val="28"/>
          <w:szCs w:val="28"/>
          <w:lang w:val="en-US"/>
        </w:rPr>
      </w:pPr>
    </w:p>
    <w:p w14:paraId="2142D0C2" w14:textId="77777777" w:rsidR="00D35203" w:rsidRDefault="00D35203" w:rsidP="00DB12F1">
      <w:pPr>
        <w:spacing w:line="360" w:lineRule="auto"/>
        <w:jc w:val="center"/>
        <w:rPr>
          <w:rFonts w:ascii="Times New Roman" w:hAnsi="Times New Roman" w:cs="Times New Roman"/>
          <w:b/>
          <w:bCs/>
          <w:sz w:val="28"/>
          <w:szCs w:val="28"/>
          <w:lang w:val="en-US"/>
        </w:rPr>
      </w:pPr>
    </w:p>
    <w:p w14:paraId="5208109E" w14:textId="77777777" w:rsidR="00D35203" w:rsidRDefault="00D35203" w:rsidP="00DB12F1">
      <w:pPr>
        <w:spacing w:line="360" w:lineRule="auto"/>
        <w:jc w:val="center"/>
        <w:rPr>
          <w:rFonts w:ascii="Times New Roman" w:hAnsi="Times New Roman" w:cs="Times New Roman"/>
          <w:b/>
          <w:bCs/>
          <w:sz w:val="28"/>
          <w:szCs w:val="28"/>
          <w:lang w:val="en-US"/>
        </w:rPr>
      </w:pPr>
    </w:p>
    <w:p w14:paraId="2ED758DA" w14:textId="77777777" w:rsidR="00D35203" w:rsidRDefault="00D35203" w:rsidP="00DB12F1">
      <w:pPr>
        <w:spacing w:line="360" w:lineRule="auto"/>
        <w:jc w:val="center"/>
        <w:rPr>
          <w:rFonts w:ascii="Times New Roman" w:hAnsi="Times New Roman" w:cs="Times New Roman"/>
          <w:b/>
          <w:bCs/>
          <w:sz w:val="28"/>
          <w:szCs w:val="28"/>
          <w:lang w:val="en-US"/>
        </w:rPr>
      </w:pPr>
    </w:p>
    <w:p w14:paraId="763A3F1E" w14:textId="77777777" w:rsidR="00193921" w:rsidRDefault="00193921" w:rsidP="00DB12F1">
      <w:pPr>
        <w:spacing w:line="360" w:lineRule="auto"/>
        <w:jc w:val="center"/>
        <w:rPr>
          <w:rFonts w:ascii="Times New Roman" w:hAnsi="Times New Roman" w:cs="Times New Roman"/>
          <w:b/>
          <w:bCs/>
          <w:sz w:val="28"/>
          <w:szCs w:val="28"/>
          <w:lang w:val="en-US"/>
        </w:rPr>
      </w:pPr>
    </w:p>
    <w:p w14:paraId="5D6A9DDD" w14:textId="77777777" w:rsidR="00193921" w:rsidRDefault="00193921" w:rsidP="00DB12F1">
      <w:pPr>
        <w:spacing w:line="360" w:lineRule="auto"/>
        <w:jc w:val="center"/>
        <w:rPr>
          <w:rFonts w:ascii="Times New Roman" w:hAnsi="Times New Roman" w:cs="Times New Roman"/>
          <w:b/>
          <w:bCs/>
          <w:sz w:val="28"/>
          <w:szCs w:val="28"/>
          <w:lang w:val="en-US"/>
        </w:rPr>
      </w:pPr>
    </w:p>
    <w:p w14:paraId="03352C22" w14:textId="77777777" w:rsidR="00193921" w:rsidRDefault="00193921" w:rsidP="00DB12F1">
      <w:pPr>
        <w:spacing w:line="360" w:lineRule="auto"/>
        <w:jc w:val="center"/>
        <w:rPr>
          <w:rFonts w:ascii="Times New Roman" w:hAnsi="Times New Roman" w:cs="Times New Roman"/>
          <w:b/>
          <w:bCs/>
          <w:sz w:val="28"/>
          <w:szCs w:val="28"/>
          <w:lang w:val="en-US"/>
        </w:rPr>
      </w:pPr>
    </w:p>
    <w:p w14:paraId="2CED199E" w14:textId="77777777" w:rsidR="00193921" w:rsidRDefault="00193921" w:rsidP="00DB12F1">
      <w:pPr>
        <w:spacing w:line="360" w:lineRule="auto"/>
        <w:jc w:val="center"/>
        <w:rPr>
          <w:rFonts w:ascii="Times New Roman" w:hAnsi="Times New Roman" w:cs="Times New Roman"/>
          <w:b/>
          <w:bCs/>
          <w:sz w:val="28"/>
          <w:szCs w:val="28"/>
          <w:lang w:val="ru-RU"/>
        </w:rPr>
      </w:pPr>
    </w:p>
    <w:p w14:paraId="4849A03B" w14:textId="77777777" w:rsidR="00F478AD" w:rsidRPr="00F478AD" w:rsidRDefault="00F478AD" w:rsidP="00DB12F1">
      <w:pPr>
        <w:spacing w:line="360" w:lineRule="auto"/>
        <w:jc w:val="center"/>
        <w:rPr>
          <w:rFonts w:ascii="Times New Roman" w:hAnsi="Times New Roman" w:cs="Times New Roman"/>
          <w:b/>
          <w:bCs/>
          <w:sz w:val="28"/>
          <w:szCs w:val="28"/>
          <w:lang w:val="ru-RU"/>
        </w:rPr>
      </w:pPr>
    </w:p>
    <w:p w14:paraId="302B434D" w14:textId="77777777" w:rsidR="00193921" w:rsidRDefault="00193921" w:rsidP="00193921">
      <w:pPr>
        <w:spacing w:line="360" w:lineRule="auto"/>
        <w:rPr>
          <w:rFonts w:ascii="Times New Roman" w:hAnsi="Times New Roman" w:cs="Times New Roman"/>
          <w:b/>
          <w:bCs/>
          <w:sz w:val="28"/>
          <w:szCs w:val="28"/>
          <w:lang w:val="en-US"/>
        </w:rPr>
      </w:pPr>
    </w:p>
    <w:p w14:paraId="19AF0D3A" w14:textId="77777777" w:rsidR="00C14693" w:rsidRDefault="00C14693" w:rsidP="00193921">
      <w:pPr>
        <w:spacing w:line="360" w:lineRule="auto"/>
        <w:rPr>
          <w:rFonts w:ascii="Times New Roman" w:hAnsi="Times New Roman" w:cs="Times New Roman"/>
          <w:b/>
          <w:bCs/>
          <w:sz w:val="28"/>
          <w:szCs w:val="28"/>
          <w:lang w:val="en-US"/>
        </w:rPr>
      </w:pPr>
    </w:p>
    <w:p w14:paraId="02AAAAA4" w14:textId="77777777" w:rsidR="00410C56" w:rsidRDefault="00410C56" w:rsidP="00193921">
      <w:pPr>
        <w:spacing w:line="240" w:lineRule="auto"/>
        <w:jc w:val="center"/>
        <w:rPr>
          <w:rFonts w:ascii="Times New Roman" w:hAnsi="Times New Roman" w:cs="Times New Roman"/>
          <w:b/>
          <w:bCs/>
          <w:sz w:val="28"/>
          <w:szCs w:val="28"/>
          <w:lang w:val="en-US"/>
        </w:rPr>
      </w:pPr>
    </w:p>
    <w:p w14:paraId="5E536C47" w14:textId="46B757A8" w:rsidR="00C454C6" w:rsidRDefault="00C454C6" w:rsidP="00193921">
      <w:pPr>
        <w:spacing w:line="240" w:lineRule="auto"/>
        <w:jc w:val="center"/>
        <w:rPr>
          <w:rFonts w:ascii="Times New Roman" w:hAnsi="Times New Roman" w:cs="Times New Roman"/>
          <w:b/>
          <w:bCs/>
          <w:sz w:val="28"/>
          <w:szCs w:val="28"/>
          <w:lang w:val="en-US"/>
        </w:rPr>
      </w:pPr>
      <w:r w:rsidRPr="00DB12F1">
        <w:rPr>
          <w:rFonts w:ascii="Times New Roman" w:hAnsi="Times New Roman" w:cs="Times New Roman"/>
          <w:b/>
          <w:bCs/>
          <w:sz w:val="28"/>
          <w:szCs w:val="28"/>
          <w:lang w:val="ru-RU"/>
        </w:rPr>
        <w:lastRenderedPageBreak/>
        <w:t>NORMATIVE REFERENCES</w:t>
      </w:r>
    </w:p>
    <w:p w14:paraId="5CF24C29" w14:textId="77777777" w:rsidR="000005EB" w:rsidRPr="000005EB" w:rsidRDefault="000005EB" w:rsidP="00193921">
      <w:pPr>
        <w:spacing w:line="240" w:lineRule="auto"/>
        <w:jc w:val="center"/>
        <w:rPr>
          <w:rFonts w:ascii="Times New Roman" w:hAnsi="Times New Roman" w:cs="Times New Roman"/>
          <w:b/>
          <w:bCs/>
          <w:sz w:val="28"/>
          <w:szCs w:val="28"/>
          <w:lang w:val="en-US"/>
        </w:rPr>
      </w:pPr>
    </w:p>
    <w:p w14:paraId="67944D29" w14:textId="130386D0" w:rsidR="00DB12F1" w:rsidRPr="00DB12F1" w:rsidRDefault="00DB12F1" w:rsidP="00414767">
      <w:pPr>
        <w:spacing w:after="0" w:line="240" w:lineRule="auto"/>
        <w:ind w:firstLine="709"/>
        <w:rPr>
          <w:rFonts w:ascii="Times New Roman" w:hAnsi="Times New Roman" w:cs="Times New Roman"/>
          <w:sz w:val="28"/>
          <w:szCs w:val="28"/>
          <w:lang w:val="en-US"/>
        </w:rPr>
      </w:pPr>
      <w:r w:rsidRPr="00DB12F1">
        <w:rPr>
          <w:rFonts w:ascii="Times New Roman" w:hAnsi="Times New Roman" w:cs="Times New Roman"/>
          <w:sz w:val="28"/>
          <w:szCs w:val="28"/>
          <w:lang w:val="en-US"/>
        </w:rPr>
        <w:t>The dissertation was written according to the following standardised references</w:t>
      </w:r>
      <w:r w:rsidR="00414767">
        <w:rPr>
          <w:rFonts w:ascii="Times New Roman" w:hAnsi="Times New Roman" w:cs="Times New Roman"/>
          <w:sz w:val="28"/>
          <w:szCs w:val="28"/>
          <w:lang w:val="en-US"/>
        </w:rPr>
        <w:t>.</w:t>
      </w:r>
      <w:r w:rsidRPr="00DB12F1">
        <w:rPr>
          <w:rFonts w:ascii="Times New Roman" w:hAnsi="Times New Roman" w:cs="Times New Roman"/>
          <w:sz w:val="28"/>
          <w:szCs w:val="28"/>
          <w:lang w:val="en-US"/>
        </w:rPr>
        <w:t xml:space="preserve"> </w:t>
      </w:r>
    </w:p>
    <w:p w14:paraId="631121CF" w14:textId="688C2F26" w:rsidR="00C454C6" w:rsidRPr="00DB12F1" w:rsidRDefault="00DB12F1" w:rsidP="00414767">
      <w:pPr>
        <w:spacing w:after="0" w:line="240" w:lineRule="auto"/>
        <w:ind w:firstLine="709"/>
        <w:rPr>
          <w:rFonts w:ascii="Times New Roman" w:hAnsi="Times New Roman" w:cs="Times New Roman"/>
          <w:b/>
          <w:bCs/>
          <w:sz w:val="28"/>
          <w:szCs w:val="28"/>
          <w:lang w:val="en-US"/>
        </w:rPr>
      </w:pPr>
      <w:r w:rsidRPr="00DB12F1">
        <w:rPr>
          <w:rFonts w:ascii="Times New Roman" w:hAnsi="Times New Roman" w:cs="Times New Roman"/>
          <w:sz w:val="28"/>
          <w:szCs w:val="28"/>
        </w:rPr>
        <w:t xml:space="preserve">MEMCT </w:t>
      </w:r>
      <w:r w:rsidR="00692AFC" w:rsidRPr="00DB12F1">
        <w:rPr>
          <w:rFonts w:ascii="Times New Roman" w:hAnsi="Times New Roman" w:cs="Times New Roman"/>
          <w:sz w:val="28"/>
          <w:szCs w:val="28"/>
        </w:rPr>
        <w:t>7.32–20</w:t>
      </w:r>
      <w:r w:rsidRPr="00DB12F1">
        <w:rPr>
          <w:rFonts w:ascii="Times New Roman" w:hAnsi="Times New Roman" w:cs="Times New Roman"/>
          <w:sz w:val="28"/>
          <w:szCs w:val="28"/>
        </w:rPr>
        <w:t>01</w:t>
      </w:r>
      <w:r w:rsidR="00692AFC" w:rsidRPr="00DB12F1">
        <w:rPr>
          <w:rFonts w:ascii="Times New Roman" w:hAnsi="Times New Roman" w:cs="Times New Roman"/>
          <w:sz w:val="28"/>
          <w:szCs w:val="28"/>
        </w:rPr>
        <w:t>— “</w:t>
      </w:r>
      <w:r w:rsidRPr="00DB12F1">
        <w:rPr>
          <w:rFonts w:ascii="Times New Roman" w:hAnsi="Times New Roman" w:cs="Times New Roman"/>
          <w:sz w:val="28"/>
          <w:szCs w:val="28"/>
        </w:rPr>
        <w:t xml:space="preserve">Provisions on scientific research. Rules for structure and preparation </w:t>
      </w:r>
      <w:r w:rsidR="00692AFC" w:rsidRPr="00DB12F1">
        <w:rPr>
          <w:rFonts w:ascii="Times New Roman" w:hAnsi="Times New Roman" w:cs="Times New Roman"/>
          <w:sz w:val="28"/>
          <w:szCs w:val="28"/>
        </w:rPr>
        <w:br/>
      </w:r>
      <w:r w:rsidR="00414767">
        <w:rPr>
          <w:rFonts w:ascii="Times New Roman" w:hAnsi="Times New Roman" w:cs="Times New Roman"/>
          <w:sz w:val="28"/>
          <w:szCs w:val="28"/>
        </w:rPr>
        <w:t xml:space="preserve">           </w:t>
      </w:r>
      <w:r w:rsidRPr="00DB12F1">
        <w:rPr>
          <w:rFonts w:ascii="Times New Roman" w:hAnsi="Times New Roman" w:cs="Times New Roman"/>
          <w:sz w:val="28"/>
          <w:szCs w:val="28"/>
        </w:rPr>
        <w:t>MEMCT 7.1</w:t>
      </w:r>
      <w:r w:rsidR="00692AFC" w:rsidRPr="00DB12F1">
        <w:rPr>
          <w:rFonts w:ascii="Times New Roman" w:hAnsi="Times New Roman" w:cs="Times New Roman"/>
          <w:sz w:val="28"/>
          <w:szCs w:val="28"/>
        </w:rPr>
        <w:t xml:space="preserve">–2003 — Bibliographic Record. Bibliographic Description. General </w:t>
      </w:r>
      <w:r w:rsidRPr="00DB12F1">
        <w:rPr>
          <w:rFonts w:ascii="Times New Roman" w:hAnsi="Times New Roman" w:cs="Times New Roman"/>
          <w:sz w:val="28"/>
          <w:szCs w:val="28"/>
        </w:rPr>
        <w:t xml:space="preserve">requirements and preparation; </w:t>
      </w:r>
    </w:p>
    <w:p w14:paraId="0B526D03" w14:textId="77777777" w:rsidR="00C454C6" w:rsidRPr="00DB12F1" w:rsidRDefault="00C454C6" w:rsidP="00193921">
      <w:pPr>
        <w:spacing w:after="0" w:line="240" w:lineRule="auto"/>
        <w:jc w:val="both"/>
        <w:rPr>
          <w:rFonts w:ascii="Times New Roman" w:hAnsi="Times New Roman" w:cs="Times New Roman"/>
          <w:b/>
          <w:bCs/>
          <w:sz w:val="28"/>
          <w:szCs w:val="28"/>
          <w:lang w:val="en-US"/>
        </w:rPr>
      </w:pPr>
    </w:p>
    <w:p w14:paraId="7658D157" w14:textId="77777777" w:rsidR="00C454C6" w:rsidRPr="00C454C6" w:rsidRDefault="00C454C6" w:rsidP="00B41857">
      <w:pPr>
        <w:spacing w:line="360" w:lineRule="auto"/>
        <w:jc w:val="both"/>
        <w:rPr>
          <w:rFonts w:ascii="Times New Roman" w:hAnsi="Times New Roman" w:cs="Times New Roman"/>
          <w:b/>
          <w:bCs/>
          <w:sz w:val="24"/>
          <w:szCs w:val="24"/>
          <w:lang w:val="en-US"/>
        </w:rPr>
      </w:pPr>
    </w:p>
    <w:p w14:paraId="3E67B04A" w14:textId="77777777" w:rsidR="00C454C6" w:rsidRPr="00C454C6" w:rsidRDefault="00C454C6" w:rsidP="00B41857">
      <w:pPr>
        <w:spacing w:line="360" w:lineRule="auto"/>
        <w:jc w:val="both"/>
        <w:rPr>
          <w:rFonts w:ascii="Times New Roman" w:hAnsi="Times New Roman" w:cs="Times New Roman"/>
          <w:b/>
          <w:bCs/>
          <w:sz w:val="24"/>
          <w:szCs w:val="24"/>
          <w:lang w:val="en-US"/>
        </w:rPr>
      </w:pPr>
    </w:p>
    <w:p w14:paraId="5E9176D5" w14:textId="77777777" w:rsidR="00C454C6" w:rsidRPr="00C454C6" w:rsidRDefault="00C454C6" w:rsidP="00B41857">
      <w:pPr>
        <w:spacing w:line="360" w:lineRule="auto"/>
        <w:jc w:val="both"/>
        <w:rPr>
          <w:rFonts w:ascii="Times New Roman" w:hAnsi="Times New Roman" w:cs="Times New Roman"/>
          <w:b/>
          <w:bCs/>
          <w:sz w:val="24"/>
          <w:szCs w:val="24"/>
          <w:lang w:val="en-US"/>
        </w:rPr>
      </w:pPr>
    </w:p>
    <w:p w14:paraId="4FDBB6A4" w14:textId="77777777" w:rsidR="00C454C6" w:rsidRPr="00C454C6" w:rsidRDefault="00C454C6" w:rsidP="00B41857">
      <w:pPr>
        <w:spacing w:line="360" w:lineRule="auto"/>
        <w:jc w:val="both"/>
        <w:rPr>
          <w:rFonts w:ascii="Times New Roman" w:hAnsi="Times New Roman" w:cs="Times New Roman"/>
          <w:b/>
          <w:bCs/>
          <w:sz w:val="24"/>
          <w:szCs w:val="24"/>
          <w:lang w:val="en-US"/>
        </w:rPr>
      </w:pPr>
    </w:p>
    <w:p w14:paraId="3B165EC6" w14:textId="77777777" w:rsidR="00C454C6" w:rsidRPr="00C454C6" w:rsidRDefault="00C454C6" w:rsidP="00B41857">
      <w:pPr>
        <w:spacing w:line="360" w:lineRule="auto"/>
        <w:jc w:val="both"/>
        <w:rPr>
          <w:rFonts w:ascii="Times New Roman" w:hAnsi="Times New Roman" w:cs="Times New Roman"/>
          <w:b/>
          <w:bCs/>
          <w:sz w:val="24"/>
          <w:szCs w:val="24"/>
          <w:lang w:val="en-US"/>
        </w:rPr>
      </w:pPr>
    </w:p>
    <w:p w14:paraId="59BA0306" w14:textId="77777777" w:rsidR="00C454C6" w:rsidRDefault="00C454C6" w:rsidP="00B41857">
      <w:pPr>
        <w:spacing w:line="360" w:lineRule="auto"/>
        <w:jc w:val="both"/>
        <w:rPr>
          <w:rFonts w:ascii="Times New Roman" w:hAnsi="Times New Roman" w:cs="Times New Roman"/>
          <w:b/>
          <w:bCs/>
          <w:sz w:val="24"/>
          <w:szCs w:val="24"/>
          <w:lang w:val="en-US"/>
        </w:rPr>
      </w:pPr>
    </w:p>
    <w:p w14:paraId="7882CFBD" w14:textId="77777777" w:rsidR="00692AFC" w:rsidRDefault="00692AFC" w:rsidP="00B41857">
      <w:pPr>
        <w:spacing w:line="360" w:lineRule="auto"/>
        <w:jc w:val="both"/>
        <w:rPr>
          <w:rFonts w:ascii="Times New Roman" w:hAnsi="Times New Roman" w:cs="Times New Roman"/>
          <w:b/>
          <w:bCs/>
          <w:sz w:val="24"/>
          <w:szCs w:val="24"/>
          <w:lang w:val="en-US"/>
        </w:rPr>
      </w:pPr>
    </w:p>
    <w:p w14:paraId="2893A285" w14:textId="77777777" w:rsidR="00DB12F1" w:rsidRDefault="00DB12F1" w:rsidP="00B41857">
      <w:pPr>
        <w:spacing w:line="360" w:lineRule="auto"/>
        <w:jc w:val="both"/>
        <w:rPr>
          <w:rFonts w:ascii="Times New Roman" w:hAnsi="Times New Roman" w:cs="Times New Roman"/>
          <w:b/>
          <w:bCs/>
          <w:sz w:val="24"/>
          <w:szCs w:val="24"/>
          <w:lang w:val="en-US"/>
        </w:rPr>
      </w:pPr>
    </w:p>
    <w:p w14:paraId="07D45C63" w14:textId="77777777" w:rsidR="00DB12F1" w:rsidRDefault="00DB12F1" w:rsidP="00B41857">
      <w:pPr>
        <w:spacing w:line="360" w:lineRule="auto"/>
        <w:jc w:val="both"/>
        <w:rPr>
          <w:rFonts w:ascii="Times New Roman" w:hAnsi="Times New Roman" w:cs="Times New Roman"/>
          <w:b/>
          <w:bCs/>
          <w:sz w:val="24"/>
          <w:szCs w:val="24"/>
          <w:lang w:val="en-US"/>
        </w:rPr>
      </w:pPr>
    </w:p>
    <w:p w14:paraId="1A3417B6" w14:textId="77777777" w:rsidR="00DB12F1" w:rsidRDefault="00DB12F1" w:rsidP="00B41857">
      <w:pPr>
        <w:spacing w:line="360" w:lineRule="auto"/>
        <w:jc w:val="both"/>
        <w:rPr>
          <w:rFonts w:ascii="Times New Roman" w:hAnsi="Times New Roman" w:cs="Times New Roman"/>
          <w:b/>
          <w:bCs/>
          <w:sz w:val="24"/>
          <w:szCs w:val="24"/>
          <w:lang w:val="en-US"/>
        </w:rPr>
      </w:pPr>
    </w:p>
    <w:p w14:paraId="19F00C57" w14:textId="77777777" w:rsidR="00DB12F1" w:rsidRDefault="00DB12F1" w:rsidP="00B41857">
      <w:pPr>
        <w:spacing w:line="360" w:lineRule="auto"/>
        <w:jc w:val="both"/>
        <w:rPr>
          <w:rFonts w:ascii="Times New Roman" w:hAnsi="Times New Roman" w:cs="Times New Roman"/>
          <w:b/>
          <w:bCs/>
          <w:sz w:val="24"/>
          <w:szCs w:val="24"/>
          <w:lang w:val="en-US"/>
        </w:rPr>
      </w:pPr>
    </w:p>
    <w:p w14:paraId="512BBC86" w14:textId="77777777" w:rsidR="00DB12F1" w:rsidRDefault="00DB12F1" w:rsidP="00B41857">
      <w:pPr>
        <w:spacing w:line="360" w:lineRule="auto"/>
        <w:jc w:val="both"/>
        <w:rPr>
          <w:rFonts w:ascii="Times New Roman" w:hAnsi="Times New Roman" w:cs="Times New Roman"/>
          <w:b/>
          <w:bCs/>
          <w:sz w:val="24"/>
          <w:szCs w:val="24"/>
          <w:lang w:val="en-US"/>
        </w:rPr>
      </w:pPr>
    </w:p>
    <w:p w14:paraId="21E159C0" w14:textId="77777777" w:rsidR="00DB12F1" w:rsidRDefault="00DB12F1" w:rsidP="00B41857">
      <w:pPr>
        <w:spacing w:line="360" w:lineRule="auto"/>
        <w:jc w:val="both"/>
        <w:rPr>
          <w:rFonts w:ascii="Times New Roman" w:hAnsi="Times New Roman" w:cs="Times New Roman"/>
          <w:b/>
          <w:bCs/>
          <w:sz w:val="24"/>
          <w:szCs w:val="24"/>
          <w:lang w:val="en-US"/>
        </w:rPr>
      </w:pPr>
    </w:p>
    <w:p w14:paraId="033E7C09" w14:textId="77777777" w:rsidR="00DB12F1" w:rsidRDefault="00DB12F1" w:rsidP="00B41857">
      <w:pPr>
        <w:spacing w:line="360" w:lineRule="auto"/>
        <w:jc w:val="both"/>
        <w:rPr>
          <w:rFonts w:ascii="Times New Roman" w:hAnsi="Times New Roman" w:cs="Times New Roman"/>
          <w:b/>
          <w:bCs/>
          <w:sz w:val="24"/>
          <w:szCs w:val="24"/>
          <w:lang w:val="en-US"/>
        </w:rPr>
      </w:pPr>
    </w:p>
    <w:p w14:paraId="37761FC0" w14:textId="77777777" w:rsidR="00DB12F1" w:rsidRDefault="00DB12F1" w:rsidP="00B41857">
      <w:pPr>
        <w:spacing w:line="360" w:lineRule="auto"/>
        <w:jc w:val="both"/>
        <w:rPr>
          <w:rFonts w:ascii="Times New Roman" w:hAnsi="Times New Roman" w:cs="Times New Roman"/>
          <w:b/>
          <w:bCs/>
          <w:sz w:val="24"/>
          <w:szCs w:val="24"/>
          <w:lang w:val="en-US"/>
        </w:rPr>
      </w:pPr>
    </w:p>
    <w:p w14:paraId="07A5F63B" w14:textId="77777777" w:rsidR="00DB12F1" w:rsidRDefault="00DB12F1" w:rsidP="00B41857">
      <w:pPr>
        <w:spacing w:line="360" w:lineRule="auto"/>
        <w:jc w:val="both"/>
        <w:rPr>
          <w:rFonts w:ascii="Times New Roman" w:hAnsi="Times New Roman" w:cs="Times New Roman"/>
          <w:b/>
          <w:bCs/>
          <w:sz w:val="24"/>
          <w:szCs w:val="24"/>
          <w:lang w:val="en-US"/>
        </w:rPr>
      </w:pPr>
    </w:p>
    <w:p w14:paraId="36AD2158" w14:textId="77777777" w:rsidR="00DB12F1" w:rsidRDefault="00DB12F1" w:rsidP="00B41857">
      <w:pPr>
        <w:spacing w:line="360" w:lineRule="auto"/>
        <w:jc w:val="both"/>
        <w:rPr>
          <w:rFonts w:ascii="Times New Roman" w:hAnsi="Times New Roman" w:cs="Times New Roman"/>
          <w:b/>
          <w:bCs/>
          <w:sz w:val="24"/>
          <w:szCs w:val="24"/>
          <w:lang w:val="en-US"/>
        </w:rPr>
      </w:pPr>
    </w:p>
    <w:p w14:paraId="3F88F48A" w14:textId="77777777" w:rsidR="00692AFC" w:rsidRDefault="00692AFC" w:rsidP="00B41857">
      <w:pPr>
        <w:spacing w:line="360" w:lineRule="auto"/>
        <w:jc w:val="both"/>
        <w:rPr>
          <w:rFonts w:ascii="Times New Roman" w:hAnsi="Times New Roman" w:cs="Times New Roman"/>
          <w:b/>
          <w:bCs/>
          <w:sz w:val="24"/>
          <w:szCs w:val="24"/>
          <w:lang w:val="en-US"/>
        </w:rPr>
      </w:pPr>
    </w:p>
    <w:p w14:paraId="55410765" w14:textId="77777777" w:rsidR="00193921" w:rsidRDefault="00193921" w:rsidP="00B41857">
      <w:pPr>
        <w:spacing w:line="360" w:lineRule="auto"/>
        <w:jc w:val="both"/>
        <w:rPr>
          <w:rFonts w:ascii="Times New Roman" w:hAnsi="Times New Roman" w:cs="Times New Roman"/>
          <w:b/>
          <w:bCs/>
          <w:sz w:val="24"/>
          <w:szCs w:val="24"/>
          <w:lang w:val="en-US"/>
        </w:rPr>
      </w:pPr>
    </w:p>
    <w:p w14:paraId="5B7F88FE" w14:textId="77777777" w:rsidR="00410C56" w:rsidRPr="00C454C6" w:rsidRDefault="00410C56" w:rsidP="00B41857">
      <w:pPr>
        <w:spacing w:line="360" w:lineRule="auto"/>
        <w:jc w:val="both"/>
        <w:rPr>
          <w:rFonts w:ascii="Times New Roman" w:hAnsi="Times New Roman" w:cs="Times New Roman"/>
          <w:b/>
          <w:bCs/>
          <w:sz w:val="24"/>
          <w:szCs w:val="24"/>
          <w:lang w:val="en-US"/>
        </w:rPr>
      </w:pPr>
    </w:p>
    <w:p w14:paraId="56B44362" w14:textId="594C287C" w:rsidR="00226539" w:rsidRDefault="00853685" w:rsidP="00193921">
      <w:pPr>
        <w:spacing w:line="240" w:lineRule="auto"/>
        <w:jc w:val="center"/>
        <w:rPr>
          <w:rFonts w:ascii="Times New Roman" w:hAnsi="Times New Roman" w:cs="Times New Roman"/>
          <w:b/>
          <w:bCs/>
          <w:sz w:val="28"/>
          <w:szCs w:val="28"/>
        </w:rPr>
      </w:pPr>
      <w:r w:rsidRPr="00DB12F1">
        <w:rPr>
          <w:rFonts w:ascii="Times New Roman" w:hAnsi="Times New Roman" w:cs="Times New Roman"/>
          <w:b/>
          <w:bCs/>
          <w:sz w:val="28"/>
          <w:szCs w:val="28"/>
        </w:rPr>
        <w:lastRenderedPageBreak/>
        <w:t>NOTATIONS AND ABBREVIATIONS</w:t>
      </w:r>
    </w:p>
    <w:p w14:paraId="6B08185B" w14:textId="77777777" w:rsidR="00DB12F1" w:rsidRPr="00DB12F1" w:rsidRDefault="00DB12F1" w:rsidP="00193921">
      <w:pPr>
        <w:spacing w:line="240" w:lineRule="auto"/>
        <w:jc w:val="center"/>
        <w:rPr>
          <w:rFonts w:ascii="Times New Roman" w:hAnsi="Times New Roman" w:cs="Times New Roman"/>
          <w:b/>
          <w:bCs/>
          <w:sz w:val="28"/>
          <w:szCs w:val="28"/>
        </w:rPr>
      </w:pPr>
    </w:p>
    <w:p w14:paraId="6BC51D2F" w14:textId="2D3A92A6" w:rsidR="00A429BF" w:rsidRPr="00DB12F1"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 xml:space="preserve">ACE2 - Angiotensin Converting Enzyme 2 (human) </w:t>
      </w:r>
    </w:p>
    <w:p w14:paraId="268051E5" w14:textId="5EC9577A" w:rsidR="00A429BF" w:rsidRPr="00DB12F1"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iCs/>
          <w:sz w:val="28"/>
          <w:szCs w:val="28"/>
        </w:rPr>
        <w:t xml:space="preserve">BAL - Bronchoalveolar Lavage  </w:t>
      </w:r>
    </w:p>
    <w:p w14:paraId="1BB3DF95" w14:textId="16B92E80" w:rsidR="00A429BF" w:rsidRPr="00DB12F1"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 xml:space="preserve">BP-Base Pairs </w:t>
      </w:r>
    </w:p>
    <w:p w14:paraId="7CBEA879" w14:textId="2236410D" w:rsidR="00A429BF" w:rsidRPr="00DB12F1"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 xml:space="preserve">CC- Cytopathic Capacity </w:t>
      </w:r>
    </w:p>
    <w:p w14:paraId="32B026FD" w14:textId="03D2D6EA" w:rsidR="00226539" w:rsidRPr="00DB12F1" w:rsidRDefault="00853685"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 xml:space="preserve">COVID-19 – Coronavirus </w:t>
      </w:r>
      <w:r w:rsidR="00D13575" w:rsidRPr="00DB12F1">
        <w:rPr>
          <w:rFonts w:ascii="Times New Roman" w:hAnsi="Times New Roman" w:cs="Times New Roman"/>
          <w:sz w:val="28"/>
          <w:szCs w:val="28"/>
        </w:rPr>
        <w:t>Disease (</w:t>
      </w:r>
      <w:r w:rsidRPr="00DB12F1">
        <w:rPr>
          <w:rFonts w:ascii="Times New Roman" w:hAnsi="Times New Roman" w:cs="Times New Roman"/>
          <w:sz w:val="28"/>
          <w:szCs w:val="28"/>
        </w:rPr>
        <w:t xml:space="preserve">December </w:t>
      </w:r>
      <w:r w:rsidR="00D13575" w:rsidRPr="00DB12F1">
        <w:rPr>
          <w:rFonts w:ascii="Times New Roman" w:hAnsi="Times New Roman" w:cs="Times New Roman"/>
          <w:sz w:val="28"/>
          <w:szCs w:val="28"/>
        </w:rPr>
        <w:t xml:space="preserve">2019, </w:t>
      </w:r>
      <w:r w:rsidRPr="00DB12F1">
        <w:rPr>
          <w:rFonts w:ascii="Times New Roman" w:hAnsi="Times New Roman" w:cs="Times New Roman"/>
          <w:sz w:val="28"/>
          <w:szCs w:val="28"/>
        </w:rPr>
        <w:t>Wuhan</w:t>
      </w:r>
      <w:r w:rsidR="00D13575" w:rsidRPr="00DB12F1">
        <w:rPr>
          <w:rFonts w:ascii="Times New Roman" w:hAnsi="Times New Roman" w:cs="Times New Roman"/>
          <w:sz w:val="28"/>
          <w:szCs w:val="28"/>
        </w:rPr>
        <w:t xml:space="preserve">, </w:t>
      </w:r>
      <w:r w:rsidRPr="00DB12F1">
        <w:rPr>
          <w:rFonts w:ascii="Times New Roman" w:hAnsi="Times New Roman" w:cs="Times New Roman"/>
          <w:sz w:val="28"/>
          <w:szCs w:val="28"/>
        </w:rPr>
        <w:t>China</w:t>
      </w:r>
      <w:r w:rsidR="00D13575" w:rsidRPr="00DB12F1">
        <w:rPr>
          <w:rFonts w:ascii="Times New Roman" w:hAnsi="Times New Roman" w:cs="Times New Roman"/>
          <w:sz w:val="28"/>
          <w:szCs w:val="28"/>
        </w:rPr>
        <w:t xml:space="preserve">) </w:t>
      </w:r>
    </w:p>
    <w:p w14:paraId="4568669B" w14:textId="51352272" w:rsidR="00A429BF" w:rsidRPr="00DB12F1"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CPE – Cytopathic Effect</w:t>
      </w:r>
    </w:p>
    <w:p w14:paraId="5151CBB0" w14:textId="647F5190" w:rsidR="00A429BF" w:rsidRPr="00DB12F1"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CE – Cytopathic Effect Inhibition</w:t>
      </w:r>
    </w:p>
    <w:p w14:paraId="566F88B8" w14:textId="7817F88D" w:rsidR="00A429BF" w:rsidRPr="00DB12F1"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cDNA – Complementary Deoxyribonucleic Acid</w:t>
      </w:r>
    </w:p>
    <w:p w14:paraId="44B53FBC" w14:textId="5C376492" w:rsidR="00A429BF" w:rsidRPr="00DB12F1"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 xml:space="preserve">HIV- Human immunodeficiency </w:t>
      </w:r>
      <w:r w:rsidR="00D63721" w:rsidRPr="00DB12F1">
        <w:rPr>
          <w:rFonts w:ascii="Times New Roman" w:hAnsi="Times New Roman" w:cs="Times New Roman"/>
          <w:sz w:val="28"/>
          <w:szCs w:val="28"/>
        </w:rPr>
        <w:t>virus</w:t>
      </w:r>
    </w:p>
    <w:p w14:paraId="3CA88CBC" w14:textId="77777777" w:rsidR="00A429BF" w:rsidRPr="00DB12F1"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 xml:space="preserve">IC – Inhibition Concentration </w:t>
      </w:r>
    </w:p>
    <w:p w14:paraId="4A676862" w14:textId="7C1C4380" w:rsidR="00A429BF" w:rsidRPr="00DB12F1"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 xml:space="preserve">vRNA - viral ribonucleic acid  </w:t>
      </w:r>
    </w:p>
    <w:p w14:paraId="13332E87" w14:textId="77777777" w:rsidR="00A429BF" w:rsidRPr="00DB12F1"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 xml:space="preserve">NSP /SP - Non-Structural Proteins/Structural Proteins  </w:t>
      </w:r>
    </w:p>
    <w:p w14:paraId="02C76760" w14:textId="391ABC7F" w:rsidR="00A429BF" w:rsidRPr="00DB12F1"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 xml:space="preserve">MERS – Middle East Respiratory Syndrome (coronavirus) </w:t>
      </w:r>
    </w:p>
    <w:p w14:paraId="0A02F7CC" w14:textId="77777777" w:rsidR="00A429BF" w:rsidRPr="00DB12F1"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 xml:space="preserve">MOI - Multiplicity </w:t>
      </w:r>
      <w:proofErr w:type="gramStart"/>
      <w:r w:rsidRPr="00DB12F1">
        <w:rPr>
          <w:rFonts w:ascii="Times New Roman" w:hAnsi="Times New Roman" w:cs="Times New Roman"/>
          <w:sz w:val="28"/>
          <w:szCs w:val="28"/>
        </w:rPr>
        <w:t>Of</w:t>
      </w:r>
      <w:proofErr w:type="gramEnd"/>
      <w:r w:rsidRPr="00DB12F1">
        <w:rPr>
          <w:rFonts w:ascii="Times New Roman" w:hAnsi="Times New Roman" w:cs="Times New Roman"/>
          <w:sz w:val="28"/>
          <w:szCs w:val="28"/>
        </w:rPr>
        <w:t xml:space="preserve"> Infection  </w:t>
      </w:r>
    </w:p>
    <w:p w14:paraId="6E63C85D" w14:textId="36D5CCB8" w:rsidR="00A429BF" w:rsidRPr="00DB12F1"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MTT-(4,5-Dimethylthiazol-2-Yl)-2,5-Diphenyltetrazolium Bromide</w:t>
      </w:r>
    </w:p>
    <w:p w14:paraId="751327AF" w14:textId="505ADC80" w:rsidR="00A429BF" w:rsidRPr="00DB12F1"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 xml:space="preserve">ORF – Open Reading Frame </w:t>
      </w:r>
    </w:p>
    <w:p w14:paraId="4C9FDB0B" w14:textId="28BC6215" w:rsidR="00A429BF" w:rsidRPr="00DB12F1"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 xml:space="preserve">RBD-Receptor Binding Domain </w:t>
      </w:r>
    </w:p>
    <w:p w14:paraId="2BD96C62" w14:textId="341F57DA" w:rsidR="00226539" w:rsidRPr="00DB12F1" w:rsidRDefault="00853685"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RdRP- RNA-dependent RNA-</w:t>
      </w:r>
      <w:r w:rsidR="00D13575" w:rsidRPr="00DB12F1">
        <w:rPr>
          <w:rFonts w:ascii="Times New Roman" w:hAnsi="Times New Roman" w:cs="Times New Roman"/>
          <w:sz w:val="28"/>
          <w:szCs w:val="28"/>
        </w:rPr>
        <w:t>P</w:t>
      </w:r>
      <w:r w:rsidRPr="00DB12F1">
        <w:rPr>
          <w:rFonts w:ascii="Times New Roman" w:hAnsi="Times New Roman" w:cs="Times New Roman"/>
          <w:sz w:val="28"/>
          <w:szCs w:val="28"/>
        </w:rPr>
        <w:t xml:space="preserve">olymerase </w:t>
      </w:r>
    </w:p>
    <w:p w14:paraId="7801C3E0" w14:textId="66FB5260" w:rsidR="00F47744" w:rsidRPr="00DB12F1" w:rsidRDefault="00F47744"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RT- Reverse Transcriptase</w:t>
      </w:r>
    </w:p>
    <w:p w14:paraId="06557421" w14:textId="2854C7D7" w:rsidR="00A429BF" w:rsidRPr="00DB12F1"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 xml:space="preserve">PCR-Polymerase Chain Reaction </w:t>
      </w:r>
    </w:p>
    <w:p w14:paraId="112A3F31" w14:textId="1776428B" w:rsidR="00A429BF" w:rsidRPr="00DB12F1"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PFU - Plaque-Forming Unit </w:t>
      </w:r>
    </w:p>
    <w:p w14:paraId="2EE8A971" w14:textId="3C24918C" w:rsidR="00A429BF" w:rsidRPr="00DB12F1"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 xml:space="preserve">PP- Primers Pairs  </w:t>
      </w:r>
    </w:p>
    <w:p w14:paraId="58E88C57" w14:textId="45AAC295" w:rsidR="00A429BF" w:rsidRPr="00DB12F1" w:rsidRDefault="004B7B95"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SARS-CoV-2</w:t>
      </w:r>
      <w:r w:rsidR="00A429BF" w:rsidRPr="00DB12F1">
        <w:rPr>
          <w:rFonts w:ascii="Times New Roman" w:hAnsi="Times New Roman" w:cs="Times New Roman"/>
          <w:sz w:val="28"/>
          <w:szCs w:val="28"/>
        </w:rPr>
        <w:t xml:space="preserve">- Severe Acute Respiratory Syndrome-Corona Virus 2 </w:t>
      </w:r>
    </w:p>
    <w:p w14:paraId="08C768CD" w14:textId="650C3AEA" w:rsidR="00A429BF" w:rsidRPr="00DB12F1" w:rsidRDefault="00A429BF" w:rsidP="00193921">
      <w:pPr>
        <w:spacing w:line="240" w:lineRule="auto"/>
        <w:jc w:val="both"/>
        <w:rPr>
          <w:rFonts w:ascii="Times New Roman" w:hAnsi="Times New Roman" w:cs="Times New Roman"/>
          <w:b/>
          <w:bCs/>
          <w:sz w:val="28"/>
          <w:szCs w:val="28"/>
        </w:rPr>
      </w:pPr>
      <w:r w:rsidRPr="00DB12F1">
        <w:rPr>
          <w:rFonts w:ascii="Times New Roman" w:hAnsi="Times New Roman" w:cs="Times New Roman"/>
          <w:sz w:val="28"/>
          <w:szCs w:val="28"/>
        </w:rPr>
        <w:t>TAF – Tenofovir Alafenamide</w:t>
      </w:r>
      <w:r w:rsidRPr="00DB12F1">
        <w:rPr>
          <w:rFonts w:ascii="Times New Roman" w:hAnsi="Times New Roman" w:cs="Times New Roman"/>
          <w:b/>
          <w:bCs/>
          <w:sz w:val="28"/>
          <w:szCs w:val="28"/>
        </w:rPr>
        <w:t> </w:t>
      </w:r>
    </w:p>
    <w:p w14:paraId="34C3BEE7" w14:textId="77777777" w:rsidR="009F38F8" w:rsidRPr="00DB12F1" w:rsidRDefault="009F38F8"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TCID₅₀ (Tissue Culture Infectious Dose 50%)</w:t>
      </w:r>
    </w:p>
    <w:p w14:paraId="2A37DD3F" w14:textId="635685C7" w:rsidR="00226539" w:rsidRPr="00DB12F1"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TDF – Tenofovir Disoproxil</w:t>
      </w:r>
    </w:p>
    <w:bookmarkEnd w:id="0"/>
    <w:p w14:paraId="249C9B95" w14:textId="77777777" w:rsidR="00A429BF" w:rsidRPr="00DB12F1"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 xml:space="preserve">Vero – the subline of green monkey kidney tissue </w:t>
      </w:r>
    </w:p>
    <w:p w14:paraId="5C46093B" w14:textId="4B438B3D" w:rsidR="00C43486" w:rsidRPr="00A31C06" w:rsidRDefault="00A429BF" w:rsidP="00193921">
      <w:pPr>
        <w:spacing w:line="240" w:lineRule="auto"/>
        <w:jc w:val="both"/>
        <w:rPr>
          <w:rFonts w:ascii="Times New Roman" w:hAnsi="Times New Roman" w:cs="Times New Roman"/>
          <w:sz w:val="28"/>
          <w:szCs w:val="28"/>
        </w:rPr>
      </w:pPr>
      <w:r w:rsidRPr="00DB12F1">
        <w:rPr>
          <w:rFonts w:ascii="Times New Roman" w:hAnsi="Times New Roman" w:cs="Times New Roman"/>
          <w:sz w:val="28"/>
          <w:szCs w:val="28"/>
        </w:rPr>
        <w:t>WT – Wildtype</w:t>
      </w:r>
    </w:p>
    <w:p w14:paraId="7DEF7611" w14:textId="77777777" w:rsidR="00226539" w:rsidRPr="00193921" w:rsidRDefault="00853685" w:rsidP="00193921">
      <w:pPr>
        <w:spacing w:after="0" w:line="240" w:lineRule="auto"/>
        <w:jc w:val="center"/>
        <w:rPr>
          <w:rFonts w:ascii="Times New Roman" w:hAnsi="Times New Roman" w:cs="Times New Roman"/>
          <w:b/>
          <w:bCs/>
          <w:sz w:val="28"/>
          <w:szCs w:val="28"/>
        </w:rPr>
      </w:pPr>
      <w:r w:rsidRPr="00193921">
        <w:rPr>
          <w:rFonts w:ascii="Times New Roman" w:hAnsi="Times New Roman" w:cs="Times New Roman"/>
          <w:b/>
          <w:bCs/>
          <w:sz w:val="28"/>
          <w:szCs w:val="28"/>
        </w:rPr>
        <w:lastRenderedPageBreak/>
        <w:t>INTRODUCTION</w:t>
      </w:r>
    </w:p>
    <w:p w14:paraId="22827873" w14:textId="77777777" w:rsidR="005A7726" w:rsidRPr="00193921" w:rsidRDefault="005A7726" w:rsidP="00193921">
      <w:pPr>
        <w:spacing w:after="0" w:line="240" w:lineRule="auto"/>
        <w:rPr>
          <w:rFonts w:ascii="Times New Roman" w:hAnsi="Times New Roman" w:cs="Times New Roman"/>
          <w:b/>
          <w:bCs/>
          <w:sz w:val="28"/>
          <w:szCs w:val="28"/>
        </w:rPr>
      </w:pPr>
    </w:p>
    <w:p w14:paraId="669170F8" w14:textId="18620EE0" w:rsidR="00226539" w:rsidRPr="00193921" w:rsidRDefault="00853685" w:rsidP="004313D4">
      <w:pPr>
        <w:spacing w:after="0" w:line="240" w:lineRule="auto"/>
        <w:ind w:firstLine="709"/>
        <w:jc w:val="both"/>
        <w:rPr>
          <w:rFonts w:ascii="Times New Roman" w:hAnsi="Times New Roman" w:cs="Times New Roman"/>
          <w:b/>
          <w:bCs/>
          <w:sz w:val="28"/>
          <w:szCs w:val="28"/>
        </w:rPr>
      </w:pPr>
      <w:r w:rsidRPr="00193921">
        <w:rPr>
          <w:rFonts w:ascii="Times New Roman" w:hAnsi="Times New Roman" w:cs="Times New Roman"/>
          <w:b/>
          <w:bCs/>
          <w:sz w:val="28"/>
          <w:szCs w:val="28"/>
        </w:rPr>
        <w:t xml:space="preserve">General description of the research: </w:t>
      </w:r>
      <w:r w:rsidRPr="00193921">
        <w:rPr>
          <w:rFonts w:ascii="Times New Roman" w:hAnsi="Times New Roman" w:cs="Times New Roman"/>
          <w:sz w:val="28"/>
          <w:szCs w:val="28"/>
        </w:rPr>
        <w:t xml:space="preserve">The dissertation </w:t>
      </w:r>
      <w:r w:rsidR="00852704" w:rsidRPr="00193921">
        <w:rPr>
          <w:rFonts w:ascii="Times New Roman" w:hAnsi="Times New Roman" w:cs="Times New Roman"/>
          <w:sz w:val="28"/>
          <w:szCs w:val="28"/>
        </w:rPr>
        <w:t>focuses on the biological and molecular genetic properties of current SARS-CoV-2 strains isolated within the territory of the Republic of Kazakhstan</w:t>
      </w:r>
      <w:r w:rsidR="00AC6F67" w:rsidRPr="00193921">
        <w:rPr>
          <w:rFonts w:ascii="Times New Roman" w:hAnsi="Times New Roman" w:cs="Times New Roman"/>
          <w:sz w:val="28"/>
          <w:szCs w:val="28"/>
        </w:rPr>
        <w:t>. It utilises</w:t>
      </w:r>
      <w:r w:rsidR="00852704" w:rsidRPr="00193921">
        <w:rPr>
          <w:rFonts w:ascii="Times New Roman" w:hAnsi="Times New Roman" w:cs="Times New Roman"/>
          <w:sz w:val="28"/>
          <w:szCs w:val="28"/>
        </w:rPr>
        <w:t xml:space="preserve"> RT-</w:t>
      </w:r>
      <w:r w:rsidR="00005751" w:rsidRPr="00193921">
        <w:rPr>
          <w:rFonts w:ascii="Times New Roman" w:hAnsi="Times New Roman" w:cs="Times New Roman"/>
          <w:sz w:val="28"/>
          <w:szCs w:val="28"/>
        </w:rPr>
        <w:t>q</w:t>
      </w:r>
      <w:r w:rsidR="00852704" w:rsidRPr="00193921">
        <w:rPr>
          <w:rFonts w:ascii="Times New Roman" w:hAnsi="Times New Roman" w:cs="Times New Roman"/>
          <w:sz w:val="28"/>
          <w:szCs w:val="28"/>
        </w:rPr>
        <w:t xml:space="preserve">PCR, cell viability, viral </w:t>
      </w:r>
      <w:r w:rsidR="009D22FA" w:rsidRPr="00193921">
        <w:rPr>
          <w:rFonts w:ascii="Times New Roman" w:hAnsi="Times New Roman" w:cs="Times New Roman"/>
          <w:sz w:val="28"/>
          <w:szCs w:val="28"/>
        </w:rPr>
        <w:t>titer</w:t>
      </w:r>
      <w:r w:rsidR="00852704" w:rsidRPr="00193921">
        <w:rPr>
          <w:rFonts w:ascii="Times New Roman" w:hAnsi="Times New Roman" w:cs="Times New Roman"/>
          <w:sz w:val="28"/>
          <w:szCs w:val="28"/>
        </w:rPr>
        <w:t xml:space="preserve"> production, and COVID-19 express test techniques, along with appropriate primers, to detect the </w:t>
      </w:r>
      <w:r w:rsidRPr="00193921">
        <w:rPr>
          <w:rFonts w:ascii="Times New Roman" w:hAnsi="Times New Roman" w:cs="Times New Roman"/>
          <w:sz w:val="28"/>
          <w:szCs w:val="28"/>
        </w:rPr>
        <w:t xml:space="preserve">NSP12 gene product. An in vitro study of the antiviral activity of drugs against </w:t>
      </w:r>
      <w:r w:rsidR="00EA6A81">
        <w:rPr>
          <w:rFonts w:ascii="Times New Roman" w:hAnsi="Times New Roman" w:cs="Times New Roman"/>
          <w:sz w:val="28"/>
          <w:szCs w:val="28"/>
        </w:rPr>
        <w:t>SARS-CoV-2 was conducted using Vero E6 cells</w:t>
      </w:r>
      <w:r w:rsidR="00852704" w:rsidRPr="00193921">
        <w:rPr>
          <w:rFonts w:ascii="Times New Roman" w:hAnsi="Times New Roman" w:cs="Times New Roman"/>
          <w:sz w:val="28"/>
          <w:szCs w:val="28"/>
        </w:rPr>
        <w:t xml:space="preserve"> derived from</w:t>
      </w:r>
      <w:r w:rsidRPr="00193921">
        <w:rPr>
          <w:rFonts w:ascii="Times New Roman" w:hAnsi="Times New Roman" w:cs="Times New Roman"/>
          <w:sz w:val="28"/>
          <w:szCs w:val="28"/>
        </w:rPr>
        <w:t xml:space="preserve"> </w:t>
      </w:r>
      <w:r w:rsidRPr="00193921">
        <w:rPr>
          <w:rFonts w:ascii="Times New Roman" w:hAnsi="Times New Roman" w:cs="Times New Roman"/>
          <w:i/>
          <w:iCs/>
          <w:sz w:val="28"/>
          <w:szCs w:val="28"/>
        </w:rPr>
        <w:t>green monkey kidney tissue</w:t>
      </w:r>
      <w:r w:rsidRPr="00193921">
        <w:rPr>
          <w:rFonts w:ascii="Times New Roman" w:hAnsi="Times New Roman" w:cs="Times New Roman"/>
          <w:b/>
          <w:bCs/>
          <w:i/>
          <w:iCs/>
          <w:sz w:val="28"/>
          <w:szCs w:val="28"/>
        </w:rPr>
        <w:t>.</w:t>
      </w:r>
      <w:r w:rsidRPr="00193921">
        <w:rPr>
          <w:rFonts w:ascii="Times New Roman" w:hAnsi="Times New Roman" w:cs="Times New Roman"/>
          <w:b/>
          <w:bCs/>
          <w:sz w:val="28"/>
          <w:szCs w:val="28"/>
        </w:rPr>
        <w:t xml:space="preserve"> </w:t>
      </w:r>
    </w:p>
    <w:p w14:paraId="74A7D19A" w14:textId="77777777" w:rsidR="00226539" w:rsidRPr="00193921" w:rsidRDefault="00853685" w:rsidP="004313D4">
      <w:pPr>
        <w:spacing w:after="0" w:line="240" w:lineRule="auto"/>
        <w:ind w:firstLine="709"/>
        <w:jc w:val="both"/>
        <w:rPr>
          <w:rFonts w:ascii="Times New Roman" w:hAnsi="Times New Roman" w:cs="Times New Roman"/>
          <w:b/>
          <w:bCs/>
          <w:sz w:val="28"/>
          <w:szCs w:val="28"/>
        </w:rPr>
      </w:pPr>
      <w:r w:rsidRPr="00193921">
        <w:rPr>
          <w:rFonts w:ascii="Times New Roman" w:hAnsi="Times New Roman" w:cs="Times New Roman"/>
          <w:b/>
          <w:bCs/>
          <w:sz w:val="28"/>
          <w:szCs w:val="28"/>
        </w:rPr>
        <w:t xml:space="preserve">Relevance of the research thesis  </w:t>
      </w:r>
    </w:p>
    <w:p w14:paraId="3EECFC27" w14:textId="7A43AD5F" w:rsidR="000A71EF" w:rsidRPr="00193921" w:rsidRDefault="00853685" w:rsidP="00193921">
      <w:pPr>
        <w:spacing w:after="0" w:line="240" w:lineRule="auto"/>
        <w:jc w:val="both"/>
        <w:rPr>
          <w:rFonts w:ascii="Times New Roman" w:hAnsi="Times New Roman" w:cs="Times New Roman"/>
          <w:sz w:val="28"/>
          <w:szCs w:val="28"/>
        </w:rPr>
      </w:pPr>
      <w:r w:rsidRPr="00193921">
        <w:rPr>
          <w:rFonts w:ascii="Times New Roman" w:hAnsi="Times New Roman" w:cs="Times New Roman"/>
          <w:sz w:val="28"/>
          <w:szCs w:val="28"/>
        </w:rPr>
        <w:t xml:space="preserve">The </w:t>
      </w:r>
      <w:r w:rsidR="00852704" w:rsidRPr="00193921">
        <w:rPr>
          <w:rFonts w:ascii="Times New Roman" w:hAnsi="Times New Roman" w:cs="Times New Roman"/>
          <w:sz w:val="28"/>
          <w:szCs w:val="28"/>
        </w:rPr>
        <w:t>COVID-19 pandemic in 2020 highlighted</w:t>
      </w:r>
      <w:r w:rsidRPr="00193921">
        <w:rPr>
          <w:rFonts w:ascii="Times New Roman" w:hAnsi="Times New Roman" w:cs="Times New Roman"/>
          <w:sz w:val="28"/>
          <w:szCs w:val="28"/>
        </w:rPr>
        <w:t xml:space="preserve"> the extreme vulnerability of healthcare systems worldwide. First and foremost, the speed and intensity of </w:t>
      </w:r>
      <w:r w:rsidR="009D22FA" w:rsidRPr="00193921">
        <w:rPr>
          <w:rFonts w:ascii="Times New Roman" w:hAnsi="Times New Roman" w:cs="Times New Roman"/>
          <w:sz w:val="28"/>
          <w:szCs w:val="28"/>
        </w:rPr>
        <w:t>the viral infection's spread</w:t>
      </w:r>
      <w:r w:rsidR="00852704" w:rsidRPr="00193921">
        <w:rPr>
          <w:rFonts w:ascii="Times New Roman" w:hAnsi="Times New Roman" w:cs="Times New Roman"/>
          <w:sz w:val="28"/>
          <w:szCs w:val="28"/>
        </w:rPr>
        <w:t xml:space="preserve"> were a profound </w:t>
      </w:r>
      <w:r w:rsidR="00EA6A81">
        <w:rPr>
          <w:rFonts w:ascii="Times New Roman" w:hAnsi="Times New Roman" w:cs="Times New Roman"/>
          <w:sz w:val="28"/>
          <w:szCs w:val="28"/>
        </w:rPr>
        <w:t>concern</w:t>
      </w:r>
      <w:r w:rsidR="004703C3">
        <w:rPr>
          <w:rFonts w:ascii="Times New Roman" w:hAnsi="Times New Roman" w:cs="Times New Roman"/>
          <w:sz w:val="28"/>
          <w:szCs w:val="28"/>
        </w:rPr>
        <w:t>, given the</w:t>
      </w:r>
      <w:r w:rsidR="00EA6A81">
        <w:rPr>
          <w:rFonts w:ascii="Times New Roman" w:hAnsi="Times New Roman" w:cs="Times New Roman"/>
          <w:sz w:val="28"/>
          <w:szCs w:val="28"/>
        </w:rPr>
        <w:t xml:space="preserve"> high viral loads</w:t>
      </w:r>
      <w:r w:rsidR="00852704" w:rsidRPr="00193921">
        <w:rPr>
          <w:rFonts w:ascii="Times New Roman" w:hAnsi="Times New Roman" w:cs="Times New Roman"/>
          <w:sz w:val="28"/>
          <w:szCs w:val="28"/>
        </w:rPr>
        <w:t xml:space="preserve"> that most of the </w:t>
      </w:r>
      <w:r w:rsidRPr="00193921">
        <w:rPr>
          <w:rFonts w:ascii="Times New Roman" w:hAnsi="Times New Roman" w:cs="Times New Roman"/>
          <w:sz w:val="28"/>
          <w:szCs w:val="28"/>
        </w:rPr>
        <w:t xml:space="preserve">population could not withstand. Secondly, </w:t>
      </w:r>
      <w:r w:rsidR="0043116B" w:rsidRPr="00193921">
        <w:rPr>
          <w:rFonts w:ascii="Times New Roman" w:hAnsi="Times New Roman" w:cs="Times New Roman"/>
          <w:sz w:val="28"/>
          <w:szCs w:val="28"/>
        </w:rPr>
        <w:t>hospitalisation</w:t>
      </w:r>
      <w:r w:rsidRPr="00193921">
        <w:rPr>
          <w:rFonts w:ascii="Times New Roman" w:hAnsi="Times New Roman" w:cs="Times New Roman"/>
          <w:sz w:val="28"/>
          <w:szCs w:val="28"/>
        </w:rPr>
        <w:t xml:space="preserve"> issues</w:t>
      </w:r>
      <w:r w:rsidR="00DB7F00" w:rsidRPr="00193921">
        <w:rPr>
          <w:rFonts w:ascii="Times New Roman" w:hAnsi="Times New Roman" w:cs="Times New Roman"/>
          <w:sz w:val="28"/>
          <w:szCs w:val="28"/>
        </w:rPr>
        <w:t>,</w:t>
      </w:r>
      <w:r w:rsidRPr="00193921">
        <w:rPr>
          <w:rFonts w:ascii="Times New Roman" w:hAnsi="Times New Roman" w:cs="Times New Roman"/>
          <w:sz w:val="28"/>
          <w:szCs w:val="28"/>
        </w:rPr>
        <w:t xml:space="preserve"> </w:t>
      </w:r>
      <w:r w:rsidR="0043116B" w:rsidRPr="00193921">
        <w:rPr>
          <w:rFonts w:ascii="Times New Roman" w:hAnsi="Times New Roman" w:cs="Times New Roman"/>
          <w:sz w:val="28"/>
          <w:szCs w:val="28"/>
        </w:rPr>
        <w:t xml:space="preserve">insufficient </w:t>
      </w:r>
      <w:r w:rsidR="00DB7F00" w:rsidRPr="00193921">
        <w:rPr>
          <w:rFonts w:ascii="Times New Roman" w:hAnsi="Times New Roman" w:cs="Times New Roman"/>
          <w:sz w:val="28"/>
          <w:szCs w:val="28"/>
        </w:rPr>
        <w:t>beds</w:t>
      </w:r>
      <w:r w:rsidR="0043116B" w:rsidRPr="00193921">
        <w:rPr>
          <w:rFonts w:ascii="Times New Roman" w:hAnsi="Times New Roman" w:cs="Times New Roman"/>
          <w:sz w:val="28"/>
          <w:szCs w:val="28"/>
        </w:rPr>
        <w:t xml:space="preserve"> and drug capacities were </w:t>
      </w:r>
      <w:r w:rsidR="00E20E0F" w:rsidRPr="00193921">
        <w:rPr>
          <w:rFonts w:ascii="Times New Roman" w:hAnsi="Times New Roman" w:cs="Times New Roman"/>
          <w:sz w:val="28"/>
          <w:szCs w:val="28"/>
        </w:rPr>
        <w:t>inadequate</w:t>
      </w:r>
      <w:r w:rsidRPr="00193921">
        <w:rPr>
          <w:rFonts w:ascii="Times New Roman" w:hAnsi="Times New Roman" w:cs="Times New Roman"/>
          <w:sz w:val="28"/>
          <w:szCs w:val="28"/>
        </w:rPr>
        <w:t xml:space="preserve"> for effective containment. Thirdly, the severe cases of immune response caused significant health damage, predominantly to the lungs, and due to this feature, it was called</w:t>
      </w:r>
      <w:r w:rsidR="009D22FA" w:rsidRPr="00193921">
        <w:rPr>
          <w:rFonts w:ascii="Times New Roman" w:hAnsi="Times New Roman" w:cs="Times New Roman"/>
          <w:sz w:val="28"/>
          <w:szCs w:val="28"/>
        </w:rPr>
        <w:t xml:space="preserve"> </w:t>
      </w:r>
      <w:r w:rsidRPr="00193921">
        <w:rPr>
          <w:rFonts w:ascii="Times New Roman" w:hAnsi="Times New Roman" w:cs="Times New Roman"/>
          <w:sz w:val="28"/>
          <w:szCs w:val="28"/>
        </w:rPr>
        <w:t xml:space="preserve">severe acute respiratory syndrome. </w:t>
      </w:r>
    </w:p>
    <w:p w14:paraId="6AECCB6F" w14:textId="1F8913C1" w:rsidR="00354AA3" w:rsidRPr="00193921" w:rsidRDefault="00853685" w:rsidP="00193921">
      <w:pPr>
        <w:spacing w:after="0" w:line="240" w:lineRule="auto"/>
        <w:jc w:val="both"/>
        <w:rPr>
          <w:rFonts w:ascii="Times New Roman" w:hAnsi="Times New Roman" w:cs="Times New Roman"/>
          <w:sz w:val="28"/>
          <w:szCs w:val="28"/>
        </w:rPr>
      </w:pPr>
      <w:r w:rsidRPr="00193921">
        <w:rPr>
          <w:rFonts w:ascii="Times New Roman" w:hAnsi="Times New Roman" w:cs="Times New Roman"/>
          <w:sz w:val="28"/>
          <w:szCs w:val="28"/>
        </w:rPr>
        <w:t xml:space="preserve"> </w:t>
      </w:r>
      <w:r w:rsidR="004313D4">
        <w:rPr>
          <w:rFonts w:ascii="Times New Roman" w:hAnsi="Times New Roman" w:cs="Times New Roman"/>
          <w:sz w:val="28"/>
          <w:szCs w:val="28"/>
        </w:rPr>
        <w:tab/>
      </w:r>
      <w:r w:rsidRPr="00193921">
        <w:rPr>
          <w:rFonts w:ascii="Times New Roman" w:hAnsi="Times New Roman" w:cs="Times New Roman"/>
          <w:b/>
          <w:bCs/>
          <w:sz w:val="28"/>
          <w:szCs w:val="28"/>
        </w:rPr>
        <w:t xml:space="preserve">The research aims to </w:t>
      </w:r>
      <w:r w:rsidR="00661C1A" w:rsidRPr="00193921">
        <w:rPr>
          <w:rFonts w:ascii="Times New Roman" w:hAnsi="Times New Roman" w:cs="Times New Roman"/>
          <w:b/>
          <w:bCs/>
          <w:sz w:val="28"/>
          <w:szCs w:val="28"/>
        </w:rPr>
        <w:t>investigate</w:t>
      </w:r>
      <w:r w:rsidR="00852704" w:rsidRPr="00193921">
        <w:rPr>
          <w:rFonts w:ascii="Times New Roman" w:hAnsi="Times New Roman" w:cs="Times New Roman"/>
          <w:sz w:val="28"/>
          <w:szCs w:val="28"/>
        </w:rPr>
        <w:t xml:space="preserve"> the antiviral activity and </w:t>
      </w:r>
      <w:r w:rsidR="00EA6A81">
        <w:rPr>
          <w:rFonts w:ascii="Times New Roman" w:hAnsi="Times New Roman" w:cs="Times New Roman"/>
          <w:sz w:val="28"/>
          <w:szCs w:val="28"/>
        </w:rPr>
        <w:t xml:space="preserve">safe cytotoxic drug concentrations of modern drugs against SARS-CoV-2 in vitro by conducting </w:t>
      </w:r>
      <w:r w:rsidRPr="00193921">
        <w:rPr>
          <w:rFonts w:ascii="Times New Roman" w:hAnsi="Times New Roman" w:cs="Times New Roman"/>
          <w:sz w:val="28"/>
          <w:szCs w:val="28"/>
        </w:rPr>
        <w:t xml:space="preserve">molecular analysis of circulating </w:t>
      </w:r>
      <w:r w:rsidR="00E55074" w:rsidRPr="00193921">
        <w:rPr>
          <w:rFonts w:ascii="Times New Roman" w:hAnsi="Times New Roman" w:cs="Times New Roman"/>
          <w:sz w:val="28"/>
          <w:szCs w:val="28"/>
        </w:rPr>
        <w:t>strains</w:t>
      </w:r>
      <w:r w:rsidRPr="00193921">
        <w:rPr>
          <w:rFonts w:ascii="Times New Roman" w:hAnsi="Times New Roman" w:cs="Times New Roman"/>
          <w:sz w:val="28"/>
          <w:szCs w:val="28"/>
        </w:rPr>
        <w:t xml:space="preserve"> isolated </w:t>
      </w:r>
      <w:r w:rsidR="00C00347" w:rsidRPr="00193921">
        <w:rPr>
          <w:rFonts w:ascii="Times New Roman" w:hAnsi="Times New Roman" w:cs="Times New Roman"/>
          <w:sz w:val="28"/>
          <w:szCs w:val="28"/>
        </w:rPr>
        <w:t>during</w:t>
      </w:r>
      <w:r w:rsidRPr="00193921">
        <w:rPr>
          <w:rFonts w:ascii="Times New Roman" w:hAnsi="Times New Roman" w:cs="Times New Roman"/>
          <w:sz w:val="28"/>
          <w:szCs w:val="28"/>
        </w:rPr>
        <w:t xml:space="preserve"> the pandemic.</w:t>
      </w:r>
    </w:p>
    <w:p w14:paraId="515D57B9" w14:textId="6716A60A" w:rsidR="00226539" w:rsidRPr="00193921" w:rsidRDefault="00853685" w:rsidP="00D03294">
      <w:pPr>
        <w:spacing w:after="0" w:line="240" w:lineRule="auto"/>
        <w:ind w:left="709"/>
        <w:jc w:val="both"/>
        <w:rPr>
          <w:rFonts w:ascii="Times New Roman" w:hAnsi="Times New Roman" w:cs="Times New Roman"/>
          <w:b/>
          <w:bCs/>
          <w:sz w:val="28"/>
          <w:szCs w:val="28"/>
        </w:rPr>
      </w:pPr>
      <w:r w:rsidRPr="00193921">
        <w:rPr>
          <w:rFonts w:ascii="Times New Roman" w:hAnsi="Times New Roman" w:cs="Times New Roman"/>
          <w:b/>
          <w:bCs/>
          <w:sz w:val="28"/>
          <w:szCs w:val="28"/>
        </w:rPr>
        <w:t>The main tasks of the research to accomplish the purpose are as follows:</w:t>
      </w:r>
    </w:p>
    <w:p w14:paraId="17C4B460" w14:textId="50E8FC9D" w:rsidR="00226539" w:rsidRPr="00193921" w:rsidRDefault="000F00A4" w:rsidP="00193921">
      <w:pPr>
        <w:pStyle w:val="af1"/>
        <w:numPr>
          <w:ilvl w:val="0"/>
          <w:numId w:val="1"/>
        </w:numPr>
        <w:spacing w:after="0" w:line="240" w:lineRule="auto"/>
        <w:jc w:val="both"/>
        <w:rPr>
          <w:rFonts w:ascii="Times New Roman" w:hAnsi="Times New Roman" w:cs="Times New Roman"/>
          <w:sz w:val="28"/>
          <w:szCs w:val="28"/>
        </w:rPr>
      </w:pPr>
      <w:r w:rsidRPr="00193921">
        <w:rPr>
          <w:rFonts w:ascii="Times New Roman" w:hAnsi="Times New Roman" w:cs="Times New Roman"/>
          <w:sz w:val="28"/>
          <w:szCs w:val="28"/>
        </w:rPr>
        <w:t>Isolate eight strains gained from human BALF (Bronchoalveolar Lavage Fluid) from COVID-19 positive patients and measure their viral load</w:t>
      </w:r>
      <w:r w:rsidR="00EA3951" w:rsidRPr="00193921">
        <w:rPr>
          <w:rFonts w:ascii="Times New Roman" w:hAnsi="Times New Roman" w:cs="Times New Roman"/>
          <w:sz w:val="28"/>
          <w:szCs w:val="28"/>
        </w:rPr>
        <w:t xml:space="preserve">. </w:t>
      </w:r>
    </w:p>
    <w:p w14:paraId="7F8A5D19" w14:textId="790AAC42" w:rsidR="00900E79" w:rsidRPr="00193921" w:rsidRDefault="00900E79" w:rsidP="00193921">
      <w:pPr>
        <w:pStyle w:val="af1"/>
        <w:numPr>
          <w:ilvl w:val="0"/>
          <w:numId w:val="1"/>
        </w:numPr>
        <w:spacing w:after="0" w:line="240" w:lineRule="auto"/>
        <w:jc w:val="both"/>
        <w:rPr>
          <w:rFonts w:ascii="Times New Roman" w:hAnsi="Times New Roman" w:cs="Times New Roman"/>
          <w:sz w:val="28"/>
          <w:szCs w:val="28"/>
        </w:rPr>
      </w:pPr>
      <w:r w:rsidRPr="00193921">
        <w:rPr>
          <w:rFonts w:ascii="Times New Roman" w:hAnsi="Times New Roman" w:cs="Times New Roman"/>
          <w:sz w:val="28"/>
          <w:szCs w:val="28"/>
        </w:rPr>
        <w:t xml:space="preserve">To identify </w:t>
      </w:r>
      <w:bookmarkStart w:id="3" w:name="_Hlk199850225"/>
      <w:r w:rsidRPr="00193921">
        <w:rPr>
          <w:rFonts w:ascii="Times New Roman" w:hAnsi="Times New Roman" w:cs="Times New Roman"/>
          <w:sz w:val="28"/>
          <w:szCs w:val="28"/>
        </w:rPr>
        <w:t xml:space="preserve">the </w:t>
      </w:r>
      <w:r w:rsidR="000A71EF" w:rsidRPr="00193921">
        <w:rPr>
          <w:rFonts w:ascii="Times New Roman" w:hAnsi="Times New Roman" w:cs="Times New Roman"/>
          <w:sz w:val="28"/>
          <w:szCs w:val="28"/>
        </w:rPr>
        <w:t xml:space="preserve">NSP12’s “genetic conservatism” (primer pairs: 11-16) of the </w:t>
      </w:r>
      <w:r w:rsidRPr="00193921">
        <w:rPr>
          <w:rFonts w:ascii="Times New Roman" w:hAnsi="Times New Roman" w:cs="Times New Roman"/>
          <w:sz w:val="28"/>
          <w:szCs w:val="28"/>
        </w:rPr>
        <w:t>Alpha variant</w:t>
      </w:r>
      <w:r w:rsidR="003145E5" w:rsidRPr="00193921">
        <w:rPr>
          <w:rFonts w:ascii="Times New Roman" w:hAnsi="Times New Roman" w:cs="Times New Roman"/>
          <w:sz w:val="28"/>
          <w:szCs w:val="28"/>
        </w:rPr>
        <w:t>,</w:t>
      </w:r>
      <w:r w:rsidR="00FA55BA" w:rsidRPr="00193921">
        <w:rPr>
          <w:rFonts w:ascii="Times New Roman" w:hAnsi="Times New Roman" w:cs="Times New Roman"/>
          <w:sz w:val="28"/>
          <w:szCs w:val="28"/>
        </w:rPr>
        <w:t xml:space="preserve"> which was </w:t>
      </w:r>
      <w:r w:rsidR="003145E5" w:rsidRPr="00193921">
        <w:rPr>
          <w:rFonts w:ascii="Times New Roman" w:hAnsi="Times New Roman" w:cs="Times New Roman"/>
          <w:sz w:val="28"/>
          <w:szCs w:val="28"/>
        </w:rPr>
        <w:t>isolated</w:t>
      </w:r>
      <w:r w:rsidRPr="00193921">
        <w:rPr>
          <w:rFonts w:ascii="Times New Roman" w:hAnsi="Times New Roman" w:cs="Times New Roman"/>
          <w:sz w:val="28"/>
          <w:szCs w:val="28"/>
        </w:rPr>
        <w:t xml:space="preserve"> in Kazakhstan</w:t>
      </w:r>
      <w:r w:rsidR="000B06EE" w:rsidRPr="00193921">
        <w:rPr>
          <w:rFonts w:ascii="Times New Roman" w:hAnsi="Times New Roman" w:cs="Times New Roman"/>
          <w:sz w:val="28"/>
          <w:szCs w:val="28"/>
        </w:rPr>
        <w:t>,</w:t>
      </w:r>
      <w:r w:rsidRPr="00193921">
        <w:rPr>
          <w:rFonts w:ascii="Times New Roman" w:hAnsi="Times New Roman" w:cs="Times New Roman"/>
          <w:sz w:val="28"/>
          <w:szCs w:val="28"/>
        </w:rPr>
        <w:t xml:space="preserve"> by comparing it with the original Wuhan strain</w:t>
      </w:r>
      <w:r w:rsidR="00661C1A" w:rsidRPr="00193921">
        <w:rPr>
          <w:rFonts w:ascii="Times New Roman" w:hAnsi="Times New Roman" w:cs="Times New Roman"/>
          <w:sz w:val="28"/>
          <w:szCs w:val="28"/>
        </w:rPr>
        <w:t xml:space="preserve"> in the ORF1b region</w:t>
      </w:r>
      <w:bookmarkEnd w:id="3"/>
      <w:r w:rsidR="00CB295B" w:rsidRPr="00193921">
        <w:rPr>
          <w:rFonts w:ascii="Times New Roman" w:hAnsi="Times New Roman" w:cs="Times New Roman"/>
          <w:sz w:val="28"/>
          <w:szCs w:val="28"/>
        </w:rPr>
        <w:t>;</w:t>
      </w:r>
    </w:p>
    <w:p w14:paraId="2596D2DA" w14:textId="2A345B3A" w:rsidR="00226539" w:rsidRPr="00193921" w:rsidRDefault="00853685" w:rsidP="00193921">
      <w:pPr>
        <w:pStyle w:val="af1"/>
        <w:numPr>
          <w:ilvl w:val="0"/>
          <w:numId w:val="1"/>
        </w:numPr>
        <w:spacing w:after="0" w:line="240" w:lineRule="auto"/>
        <w:jc w:val="both"/>
        <w:rPr>
          <w:rFonts w:ascii="Times New Roman" w:hAnsi="Times New Roman" w:cs="Times New Roman"/>
          <w:sz w:val="28"/>
          <w:szCs w:val="28"/>
        </w:rPr>
      </w:pPr>
      <w:r w:rsidRPr="00193921">
        <w:rPr>
          <w:rFonts w:ascii="Times New Roman" w:hAnsi="Times New Roman" w:cs="Times New Roman"/>
          <w:sz w:val="28"/>
          <w:szCs w:val="28"/>
        </w:rPr>
        <w:t xml:space="preserve">To find the </w:t>
      </w:r>
      <w:r w:rsidR="000B06EE" w:rsidRPr="00193921">
        <w:rPr>
          <w:rFonts w:ascii="Times New Roman" w:hAnsi="Times New Roman" w:cs="Times New Roman"/>
          <w:sz w:val="28"/>
          <w:szCs w:val="28"/>
        </w:rPr>
        <w:t>cytotoxicity-safe</w:t>
      </w:r>
      <w:r w:rsidRPr="00193921">
        <w:rPr>
          <w:rFonts w:ascii="Times New Roman" w:hAnsi="Times New Roman" w:cs="Times New Roman"/>
          <w:sz w:val="28"/>
          <w:szCs w:val="28"/>
        </w:rPr>
        <w:t xml:space="preserve"> concentration of four antiviral drugs;</w:t>
      </w:r>
    </w:p>
    <w:p w14:paraId="4685A871" w14:textId="2A5EFD5C" w:rsidR="00C252CB" w:rsidRPr="00193921" w:rsidRDefault="00C252CB" w:rsidP="00193921">
      <w:pPr>
        <w:pStyle w:val="af1"/>
        <w:numPr>
          <w:ilvl w:val="0"/>
          <w:numId w:val="1"/>
        </w:numPr>
        <w:spacing w:after="0" w:line="240" w:lineRule="auto"/>
        <w:jc w:val="both"/>
        <w:rPr>
          <w:rFonts w:ascii="Times New Roman" w:hAnsi="Times New Roman" w:cs="Times New Roman"/>
          <w:sz w:val="28"/>
          <w:szCs w:val="28"/>
        </w:rPr>
      </w:pPr>
      <w:r w:rsidRPr="00193921">
        <w:rPr>
          <w:rFonts w:ascii="Times New Roman" w:hAnsi="Times New Roman" w:cs="Times New Roman"/>
          <w:sz w:val="28"/>
          <w:szCs w:val="28"/>
        </w:rPr>
        <w:t xml:space="preserve">To </w:t>
      </w:r>
      <w:r w:rsidR="00852704" w:rsidRPr="00193921">
        <w:rPr>
          <w:rFonts w:ascii="Times New Roman" w:hAnsi="Times New Roman" w:cs="Times New Roman"/>
          <w:sz w:val="28"/>
          <w:szCs w:val="28"/>
        </w:rPr>
        <w:t xml:space="preserve">identify the most effective and potent antiviral drug among three candidates: Ribavirin, Favipiravir (Fabiflu), and Tenofovir (Tenvir), as well as a corticosteroid with a safe concentration </w:t>
      </w:r>
      <w:r w:rsidR="00991680" w:rsidRPr="00193921">
        <w:rPr>
          <w:rFonts w:ascii="Times New Roman" w:hAnsi="Times New Roman" w:cs="Times New Roman"/>
          <w:sz w:val="28"/>
          <w:szCs w:val="28"/>
        </w:rPr>
        <w:t xml:space="preserve">that </w:t>
      </w:r>
      <w:r w:rsidR="00373CFA" w:rsidRPr="00193921">
        <w:rPr>
          <w:rFonts w:ascii="Times New Roman" w:hAnsi="Times New Roman" w:cs="Times New Roman"/>
          <w:sz w:val="28"/>
          <w:szCs w:val="28"/>
        </w:rPr>
        <w:t>minimises</w:t>
      </w:r>
      <w:r w:rsidR="00991680" w:rsidRPr="00193921">
        <w:rPr>
          <w:rFonts w:ascii="Times New Roman" w:hAnsi="Times New Roman" w:cs="Times New Roman"/>
          <w:sz w:val="28"/>
          <w:szCs w:val="28"/>
        </w:rPr>
        <w:t xml:space="preserve"> cell toxicity while maintaining</w:t>
      </w:r>
      <w:r w:rsidRPr="00193921">
        <w:rPr>
          <w:rFonts w:ascii="Times New Roman" w:hAnsi="Times New Roman" w:cs="Times New Roman"/>
          <w:sz w:val="28"/>
          <w:szCs w:val="28"/>
        </w:rPr>
        <w:t xml:space="preserve"> high cell viability. </w:t>
      </w:r>
    </w:p>
    <w:p w14:paraId="4154EE74" w14:textId="17AD844E" w:rsidR="00B6028C" w:rsidRPr="00193921" w:rsidRDefault="003145E5" w:rsidP="00193921">
      <w:pPr>
        <w:pStyle w:val="af1"/>
        <w:numPr>
          <w:ilvl w:val="0"/>
          <w:numId w:val="1"/>
        </w:numPr>
        <w:spacing w:after="0" w:line="240" w:lineRule="auto"/>
        <w:jc w:val="both"/>
        <w:rPr>
          <w:rFonts w:ascii="Times New Roman" w:hAnsi="Times New Roman" w:cs="Times New Roman"/>
          <w:sz w:val="28"/>
          <w:szCs w:val="28"/>
        </w:rPr>
      </w:pPr>
      <w:r w:rsidRPr="00193921">
        <w:rPr>
          <w:rFonts w:ascii="Times New Roman" w:hAnsi="Times New Roman" w:cs="Times New Roman"/>
          <w:sz w:val="28"/>
          <w:szCs w:val="28"/>
        </w:rPr>
        <w:t>To determine the inhibition coefficient IC</w:t>
      </w:r>
      <w:r w:rsidRPr="00193921">
        <w:rPr>
          <w:rFonts w:ascii="Times New Roman" w:hAnsi="Times New Roman" w:cs="Times New Roman"/>
          <w:sz w:val="28"/>
          <w:szCs w:val="28"/>
          <w:vertAlign w:val="subscript"/>
        </w:rPr>
        <w:t>10</w:t>
      </w:r>
      <w:r w:rsidRPr="00193921">
        <w:rPr>
          <w:rFonts w:ascii="Times New Roman" w:hAnsi="Times New Roman" w:cs="Times New Roman"/>
          <w:sz w:val="28"/>
          <w:szCs w:val="28"/>
        </w:rPr>
        <w:t xml:space="preserve"> →IC</w:t>
      </w:r>
      <w:r w:rsidRPr="00193921">
        <w:rPr>
          <w:rFonts w:ascii="Times New Roman" w:hAnsi="Times New Roman" w:cs="Times New Roman"/>
          <w:sz w:val="28"/>
          <w:szCs w:val="28"/>
          <w:vertAlign w:val="subscript"/>
        </w:rPr>
        <w:t>50</w:t>
      </w:r>
      <w:r w:rsidRPr="00193921">
        <w:rPr>
          <w:rFonts w:ascii="Times New Roman" w:hAnsi="Times New Roman" w:cs="Times New Roman"/>
          <w:sz w:val="28"/>
          <w:szCs w:val="28"/>
        </w:rPr>
        <w:t xml:space="preserve"> → IC</w:t>
      </w:r>
      <w:r w:rsidRPr="00193921">
        <w:rPr>
          <w:rFonts w:ascii="Times New Roman" w:hAnsi="Times New Roman" w:cs="Times New Roman"/>
          <w:sz w:val="28"/>
          <w:szCs w:val="28"/>
          <w:vertAlign w:val="subscript"/>
        </w:rPr>
        <w:t>100</w:t>
      </w:r>
      <w:r w:rsidRPr="00193921">
        <w:rPr>
          <w:rFonts w:ascii="Times New Roman" w:hAnsi="Times New Roman" w:cs="Times New Roman"/>
          <w:sz w:val="28"/>
          <w:szCs w:val="28"/>
        </w:rPr>
        <w:t xml:space="preserve"> -</w:t>
      </w:r>
      <w:r w:rsidR="00991680" w:rsidRPr="00193921">
        <w:rPr>
          <w:rFonts w:ascii="Times New Roman" w:hAnsi="Times New Roman" w:cs="Times New Roman"/>
          <w:sz w:val="28"/>
          <w:szCs w:val="28"/>
        </w:rPr>
        <w:t xml:space="preserve"> </w:t>
      </w:r>
      <w:r w:rsidRPr="00193921">
        <w:rPr>
          <w:rFonts w:ascii="Times New Roman" w:hAnsi="Times New Roman" w:cs="Times New Roman"/>
          <w:sz w:val="28"/>
          <w:szCs w:val="28"/>
        </w:rPr>
        <w:t>Range antiviral drug</w:t>
      </w:r>
      <w:r w:rsidR="00991680" w:rsidRPr="00193921">
        <w:rPr>
          <w:rFonts w:ascii="Times New Roman" w:hAnsi="Times New Roman" w:cs="Times New Roman"/>
          <w:sz w:val="28"/>
          <w:szCs w:val="28"/>
        </w:rPr>
        <w:t>-Tenofovir (TAF)</w:t>
      </w:r>
      <w:r w:rsidRPr="00193921">
        <w:rPr>
          <w:rFonts w:ascii="Times New Roman" w:hAnsi="Times New Roman" w:cs="Times New Roman"/>
          <w:sz w:val="28"/>
          <w:szCs w:val="28"/>
        </w:rPr>
        <w:t xml:space="preserve"> with acceptable SI (selectivity index);</w:t>
      </w:r>
      <w:r w:rsidR="00B6028C" w:rsidRPr="00193921">
        <w:rPr>
          <w:rFonts w:ascii="Times New Roman" w:eastAsia="Times New Roman" w:hAnsi="Times New Roman" w:cs="Times New Roman"/>
          <w:color w:val="8B8B8B"/>
          <w:sz w:val="28"/>
          <w:szCs w:val="28"/>
        </w:rPr>
        <w:t xml:space="preserve"> </w:t>
      </w:r>
      <w:r w:rsidR="00B6028C" w:rsidRPr="00193921">
        <w:rPr>
          <w:rFonts w:ascii="Times New Roman" w:hAnsi="Times New Roman" w:cs="Times New Roman"/>
          <w:sz w:val="28"/>
          <w:szCs w:val="28"/>
        </w:rPr>
        <w:t>- IC10: 5→ μg/mL</w:t>
      </w:r>
      <w:r w:rsidR="00106C52" w:rsidRPr="00193921">
        <w:rPr>
          <w:rFonts w:ascii="Times New Roman" w:hAnsi="Times New Roman" w:cs="Times New Roman"/>
          <w:sz w:val="28"/>
          <w:szCs w:val="28"/>
        </w:rPr>
        <w:t xml:space="preserve"> →</w:t>
      </w:r>
      <w:r w:rsidR="00B6028C" w:rsidRPr="00193921">
        <w:rPr>
          <w:rFonts w:ascii="Times New Roman" w:hAnsi="Times New Roman" w:cs="Times New Roman"/>
          <w:sz w:val="28"/>
          <w:szCs w:val="28"/>
        </w:rPr>
        <w:t xml:space="preserve"> IC50: 25 μg/mL</w:t>
      </w:r>
      <w:r w:rsidR="00106C52" w:rsidRPr="00193921">
        <w:rPr>
          <w:rFonts w:ascii="Times New Roman" w:hAnsi="Times New Roman" w:cs="Times New Roman"/>
          <w:sz w:val="28"/>
          <w:szCs w:val="28"/>
        </w:rPr>
        <w:t xml:space="preserve"> → </w:t>
      </w:r>
      <w:r w:rsidR="00B6028C" w:rsidRPr="00193921">
        <w:rPr>
          <w:rFonts w:ascii="Times New Roman" w:hAnsi="Times New Roman" w:cs="Times New Roman"/>
          <w:sz w:val="28"/>
          <w:szCs w:val="28"/>
        </w:rPr>
        <w:t>IC100: 50 μg/mL</w:t>
      </w:r>
      <w:r w:rsidR="00106C52" w:rsidRPr="00193921">
        <w:rPr>
          <w:rFonts w:ascii="Times New Roman" w:hAnsi="Times New Roman" w:cs="Times New Roman"/>
          <w:sz w:val="28"/>
          <w:szCs w:val="28"/>
        </w:rPr>
        <w:t>: Viral replication reduced from 10⁷ (log7) to 10⁵ (log5) corresponding inhibition = (10⁷ - 10⁵)/10⁷ = 0.99 → 99% inhibition</w:t>
      </w:r>
    </w:p>
    <w:p w14:paraId="5CEED928" w14:textId="4BBEB21C" w:rsidR="00C252CB" w:rsidRPr="00193921" w:rsidRDefault="0010518C" w:rsidP="00193921">
      <w:pPr>
        <w:pStyle w:val="af1"/>
        <w:numPr>
          <w:ilvl w:val="0"/>
          <w:numId w:val="1"/>
        </w:numPr>
        <w:spacing w:after="0" w:line="240" w:lineRule="auto"/>
        <w:jc w:val="both"/>
        <w:rPr>
          <w:rFonts w:ascii="Times New Roman" w:hAnsi="Times New Roman" w:cs="Times New Roman"/>
          <w:sz w:val="28"/>
          <w:szCs w:val="28"/>
        </w:rPr>
      </w:pPr>
      <w:r w:rsidRPr="00193921">
        <w:rPr>
          <w:rFonts w:ascii="Times New Roman" w:hAnsi="Times New Roman" w:cs="Times New Roman"/>
          <w:sz w:val="28"/>
          <w:szCs w:val="28"/>
        </w:rPr>
        <w:t>To engage the antiviral innate immunity</w:t>
      </w:r>
      <w:r w:rsidR="00657514" w:rsidRPr="00193921">
        <w:rPr>
          <w:rFonts w:ascii="Times New Roman" w:hAnsi="Times New Roman" w:cs="Times New Roman"/>
          <w:sz w:val="28"/>
          <w:szCs w:val="28"/>
        </w:rPr>
        <w:t xml:space="preserve"> response</w:t>
      </w:r>
      <w:r w:rsidRPr="00193921">
        <w:rPr>
          <w:rFonts w:ascii="Times New Roman" w:hAnsi="Times New Roman" w:cs="Times New Roman"/>
          <w:sz w:val="28"/>
          <w:szCs w:val="28"/>
        </w:rPr>
        <w:t xml:space="preserve"> by injecting recombinant mouse IL-33 into </w:t>
      </w:r>
      <w:r w:rsidR="000A211D" w:rsidRPr="00193921">
        <w:rPr>
          <w:rFonts w:ascii="Times New Roman" w:hAnsi="Times New Roman" w:cs="Times New Roman"/>
          <w:sz w:val="28"/>
          <w:szCs w:val="28"/>
        </w:rPr>
        <w:t>WT mice</w:t>
      </w:r>
      <w:r w:rsidR="004675BF" w:rsidRPr="00193921">
        <w:rPr>
          <w:rFonts w:ascii="Times New Roman" w:hAnsi="Times New Roman" w:cs="Times New Roman"/>
          <w:sz w:val="28"/>
          <w:szCs w:val="28"/>
        </w:rPr>
        <w:t>,</w:t>
      </w:r>
      <w:r w:rsidRPr="00193921">
        <w:rPr>
          <w:rFonts w:ascii="Times New Roman" w:hAnsi="Times New Roman" w:cs="Times New Roman"/>
          <w:sz w:val="28"/>
          <w:szCs w:val="28"/>
        </w:rPr>
        <w:t xml:space="preserve"> confirming the activation of CD90 and CD117 lymphoid</w:t>
      </w:r>
      <w:r w:rsidR="004675BF" w:rsidRPr="00193921">
        <w:rPr>
          <w:rFonts w:ascii="Times New Roman" w:hAnsi="Times New Roman" w:cs="Times New Roman"/>
          <w:sz w:val="28"/>
          <w:szCs w:val="28"/>
        </w:rPr>
        <w:t xml:space="preserve"> cells in the murine lungs</w:t>
      </w:r>
      <w:r w:rsidR="001A1542" w:rsidRPr="00193921">
        <w:rPr>
          <w:rFonts w:ascii="Times New Roman" w:hAnsi="Times New Roman" w:cs="Times New Roman"/>
          <w:sz w:val="28"/>
          <w:szCs w:val="28"/>
        </w:rPr>
        <w:t>.</w:t>
      </w:r>
    </w:p>
    <w:p w14:paraId="464EC381" w14:textId="2C09455D" w:rsidR="00226539" w:rsidRPr="00193921" w:rsidRDefault="00853685" w:rsidP="004313D4">
      <w:pPr>
        <w:spacing w:after="0" w:line="240" w:lineRule="auto"/>
        <w:ind w:left="6" w:firstLine="703"/>
        <w:jc w:val="both"/>
        <w:rPr>
          <w:rFonts w:ascii="Times New Roman" w:hAnsi="Times New Roman" w:cs="Times New Roman"/>
          <w:bCs/>
          <w:sz w:val="28"/>
          <w:szCs w:val="28"/>
        </w:rPr>
      </w:pPr>
      <w:r w:rsidRPr="00193921">
        <w:rPr>
          <w:rFonts w:ascii="Times New Roman" w:hAnsi="Times New Roman" w:cs="Times New Roman"/>
          <w:b/>
          <w:sz w:val="28"/>
          <w:szCs w:val="28"/>
        </w:rPr>
        <w:t>Research methods</w:t>
      </w:r>
      <w:r w:rsidRPr="0037076D">
        <w:rPr>
          <w:rFonts w:ascii="Times New Roman" w:hAnsi="Times New Roman" w:cs="Times New Roman"/>
          <w:bCs/>
          <w:sz w:val="28"/>
          <w:szCs w:val="28"/>
        </w:rPr>
        <w:t xml:space="preserve">: </w:t>
      </w:r>
      <w:r w:rsidR="0037076D" w:rsidRPr="0037076D">
        <w:rPr>
          <w:rFonts w:ascii="Times New Roman" w:hAnsi="Times New Roman" w:cs="Times New Roman"/>
          <w:bCs/>
          <w:sz w:val="28"/>
          <w:szCs w:val="28"/>
        </w:rPr>
        <w:t>t</w:t>
      </w:r>
      <w:r w:rsidRPr="00193921">
        <w:rPr>
          <w:rFonts w:ascii="Times New Roman" w:hAnsi="Times New Roman" w:cs="Times New Roman"/>
          <w:bCs/>
          <w:sz w:val="28"/>
          <w:szCs w:val="28"/>
        </w:rPr>
        <w:t>he study employed biomolecular, genetic, cellular-based</w:t>
      </w:r>
      <w:r w:rsidR="00ED2348" w:rsidRPr="00193921">
        <w:rPr>
          <w:rFonts w:ascii="Times New Roman" w:hAnsi="Times New Roman" w:cs="Times New Roman"/>
          <w:bCs/>
          <w:sz w:val="28"/>
          <w:szCs w:val="28"/>
        </w:rPr>
        <w:t>,</w:t>
      </w:r>
      <w:r w:rsidRPr="00193921">
        <w:rPr>
          <w:rFonts w:ascii="Times New Roman" w:hAnsi="Times New Roman" w:cs="Times New Roman"/>
          <w:bCs/>
          <w:sz w:val="28"/>
          <w:szCs w:val="28"/>
        </w:rPr>
        <w:t xml:space="preserve"> biotechnological, microbiological, and pharmaceutical processes.</w:t>
      </w:r>
      <w:r w:rsidR="00ED2348" w:rsidRPr="00193921">
        <w:rPr>
          <w:rFonts w:ascii="Times New Roman" w:hAnsi="Times New Roman" w:cs="Times New Roman"/>
          <w:bCs/>
          <w:sz w:val="28"/>
          <w:szCs w:val="28"/>
        </w:rPr>
        <w:t xml:space="preserve"> </w:t>
      </w:r>
      <w:r w:rsidR="00ED2348" w:rsidRPr="00193921">
        <w:rPr>
          <w:rFonts w:ascii="Times New Roman" w:hAnsi="Times New Roman" w:cs="Times New Roman"/>
          <w:b/>
          <w:sz w:val="28"/>
          <w:szCs w:val="28"/>
        </w:rPr>
        <w:t>No Artificial Intelligence (AI)</w:t>
      </w:r>
      <w:r w:rsidR="00ED2348" w:rsidRPr="00193921">
        <w:rPr>
          <w:rFonts w:ascii="Times New Roman" w:hAnsi="Times New Roman" w:cs="Times New Roman"/>
          <w:bCs/>
          <w:sz w:val="28"/>
          <w:szCs w:val="28"/>
        </w:rPr>
        <w:t xml:space="preserve"> was used in the research methods, neither in text nor in data processing.   </w:t>
      </w:r>
    </w:p>
    <w:p w14:paraId="5CD8298A" w14:textId="21C502A8" w:rsidR="00097005" w:rsidRPr="00193921" w:rsidRDefault="00853685" w:rsidP="004313D4">
      <w:pPr>
        <w:spacing w:after="0" w:line="240" w:lineRule="auto"/>
        <w:ind w:left="6" w:firstLine="703"/>
        <w:jc w:val="both"/>
        <w:rPr>
          <w:rFonts w:ascii="Times New Roman" w:hAnsi="Times New Roman" w:cs="Times New Roman"/>
          <w:sz w:val="28"/>
          <w:szCs w:val="28"/>
        </w:rPr>
      </w:pPr>
      <w:r w:rsidRPr="00193921">
        <w:rPr>
          <w:rFonts w:ascii="Times New Roman" w:hAnsi="Times New Roman" w:cs="Times New Roman"/>
          <w:b/>
          <w:sz w:val="28"/>
          <w:szCs w:val="28"/>
        </w:rPr>
        <w:lastRenderedPageBreak/>
        <w:t>The scientific novelty of the research:</w:t>
      </w:r>
      <w:r w:rsidRPr="00193921">
        <w:rPr>
          <w:rFonts w:ascii="Times New Roman" w:hAnsi="Times New Roman" w:cs="Times New Roman"/>
          <w:sz w:val="28"/>
          <w:szCs w:val="28"/>
        </w:rPr>
        <w:t xml:space="preserve"> </w:t>
      </w:r>
      <w:bookmarkStart w:id="4" w:name="_Hlk169779205"/>
      <w:r w:rsidR="00852704" w:rsidRPr="00193921">
        <w:rPr>
          <w:rFonts w:ascii="Times New Roman" w:hAnsi="Times New Roman" w:cs="Times New Roman"/>
          <w:sz w:val="28"/>
          <w:szCs w:val="28"/>
        </w:rPr>
        <w:t xml:space="preserve">A </w:t>
      </w:r>
      <w:r w:rsidR="00991680" w:rsidRPr="00193921">
        <w:rPr>
          <w:rFonts w:ascii="Times New Roman" w:hAnsi="Times New Roman" w:cs="Times New Roman"/>
          <w:sz w:val="28"/>
          <w:szCs w:val="28"/>
        </w:rPr>
        <w:t>three-stage</w:t>
      </w:r>
      <w:r w:rsidR="00852704" w:rsidRPr="00193921">
        <w:rPr>
          <w:rFonts w:ascii="Times New Roman" w:hAnsi="Times New Roman" w:cs="Times New Roman"/>
          <w:sz w:val="28"/>
          <w:szCs w:val="28"/>
        </w:rPr>
        <w:t xml:space="preserve"> dissertation study </w:t>
      </w:r>
      <w:r w:rsidR="00F47744" w:rsidRPr="00193921">
        <w:rPr>
          <w:rFonts w:ascii="Times New Roman" w:hAnsi="Times New Roman" w:cs="Times New Roman"/>
          <w:sz w:val="28"/>
          <w:szCs w:val="28"/>
        </w:rPr>
        <w:t>examining the effectiveness of the antiviral activity of the tableted drug against Kazakhstan’s SARS-CoV-2/human/KAZ/B1.1/2021, the Alpha variant strain isolated and characterised, and an MTT assay on the Wuhan strain using original Tenvir (TAF) stock from</w:t>
      </w:r>
      <w:r w:rsidR="00AD4391" w:rsidRPr="00193921">
        <w:rPr>
          <w:rFonts w:ascii="Times New Roman" w:hAnsi="Times New Roman" w:cs="Times New Roman"/>
          <w:sz w:val="28"/>
          <w:szCs w:val="28"/>
        </w:rPr>
        <w:t xml:space="preserve"> China</w:t>
      </w:r>
      <w:r w:rsidR="005E5635" w:rsidRPr="00193921">
        <w:rPr>
          <w:rFonts w:ascii="Times New Roman" w:hAnsi="Times New Roman" w:cs="Times New Roman"/>
          <w:sz w:val="28"/>
          <w:szCs w:val="28"/>
        </w:rPr>
        <w:t>.</w:t>
      </w:r>
      <w:r w:rsidRPr="00193921">
        <w:rPr>
          <w:rFonts w:ascii="Times New Roman" w:hAnsi="Times New Roman" w:cs="Times New Roman"/>
          <w:sz w:val="28"/>
          <w:szCs w:val="28"/>
        </w:rPr>
        <w:t xml:space="preserve"> </w:t>
      </w:r>
      <w:bookmarkEnd w:id="4"/>
      <w:r w:rsidR="005E5635" w:rsidRPr="00193921">
        <w:rPr>
          <w:rFonts w:ascii="Times New Roman" w:hAnsi="Times New Roman" w:cs="Times New Roman"/>
          <w:sz w:val="28"/>
          <w:szCs w:val="28"/>
        </w:rPr>
        <w:t xml:space="preserve"> </w:t>
      </w:r>
      <w:r w:rsidRPr="00193921">
        <w:rPr>
          <w:rFonts w:ascii="Times New Roman" w:hAnsi="Times New Roman" w:cs="Times New Roman"/>
          <w:sz w:val="28"/>
          <w:szCs w:val="28"/>
        </w:rPr>
        <w:t>Antiviral drug</w:t>
      </w:r>
      <w:r w:rsidR="00E55074" w:rsidRPr="00193921">
        <w:rPr>
          <w:rFonts w:ascii="Times New Roman" w:hAnsi="Times New Roman" w:cs="Times New Roman"/>
          <w:sz w:val="28"/>
          <w:szCs w:val="28"/>
        </w:rPr>
        <w:t xml:space="preserve"> </w:t>
      </w:r>
      <w:r w:rsidR="00852704" w:rsidRPr="00193921">
        <w:rPr>
          <w:rFonts w:ascii="Times New Roman" w:hAnsi="Times New Roman" w:cs="Times New Roman"/>
          <w:sz w:val="28"/>
          <w:szCs w:val="28"/>
        </w:rPr>
        <w:t xml:space="preserve">cytotoxicity and cell viability assays – </w:t>
      </w:r>
      <w:r w:rsidR="0043116B" w:rsidRPr="00193921">
        <w:rPr>
          <w:rFonts w:ascii="Times New Roman" w:hAnsi="Times New Roman" w:cs="Times New Roman"/>
          <w:sz w:val="28"/>
          <w:szCs w:val="28"/>
        </w:rPr>
        <w:t>Determining the optimal antiviral drug concentration (CC</w:t>
      </w:r>
      <w:r w:rsidR="0043116B" w:rsidRPr="00193921">
        <w:rPr>
          <w:rFonts w:ascii="Times New Roman" w:hAnsi="Times New Roman" w:cs="Times New Roman"/>
          <w:sz w:val="28"/>
          <w:szCs w:val="28"/>
          <w:vertAlign w:val="subscript"/>
        </w:rPr>
        <w:t>50</w:t>
      </w:r>
      <w:r w:rsidR="0043116B" w:rsidRPr="00193921">
        <w:rPr>
          <w:rFonts w:ascii="Times New Roman" w:hAnsi="Times New Roman" w:cs="Times New Roman"/>
          <w:sz w:val="28"/>
          <w:szCs w:val="28"/>
        </w:rPr>
        <w:t xml:space="preserve">) using two </w:t>
      </w:r>
      <w:r w:rsidR="00DA6D0A" w:rsidRPr="00193921">
        <w:rPr>
          <w:rFonts w:ascii="Times New Roman" w:hAnsi="Times New Roman" w:cs="Times New Roman"/>
          <w:sz w:val="28"/>
          <w:szCs w:val="28"/>
        </w:rPr>
        <w:t>colourimetric</w:t>
      </w:r>
      <w:r w:rsidR="00852704" w:rsidRPr="00193921">
        <w:rPr>
          <w:rFonts w:ascii="Times New Roman" w:hAnsi="Times New Roman" w:cs="Times New Roman"/>
          <w:sz w:val="28"/>
          <w:szCs w:val="28"/>
        </w:rPr>
        <w:t xml:space="preserve"> methods, CCK8 and MTT, in vitro in Kazakhstan</w:t>
      </w:r>
      <w:r w:rsidRPr="00193921">
        <w:rPr>
          <w:rFonts w:ascii="Times New Roman" w:hAnsi="Times New Roman" w:cs="Times New Roman"/>
          <w:sz w:val="28"/>
          <w:szCs w:val="28"/>
        </w:rPr>
        <w:t xml:space="preserve">. </w:t>
      </w:r>
      <w:r w:rsidR="00F47744" w:rsidRPr="00193921">
        <w:rPr>
          <w:rFonts w:ascii="Times New Roman" w:hAnsi="Times New Roman" w:cs="Times New Roman"/>
          <w:sz w:val="28"/>
          <w:szCs w:val="28"/>
        </w:rPr>
        <w:t xml:space="preserve">Three </w:t>
      </w:r>
      <w:r w:rsidR="000B06EE" w:rsidRPr="00193921">
        <w:rPr>
          <w:rFonts w:ascii="Times New Roman" w:hAnsi="Times New Roman" w:cs="Times New Roman"/>
          <w:sz w:val="28"/>
          <w:szCs w:val="28"/>
        </w:rPr>
        <w:t>tablet</w:t>
      </w:r>
      <w:r w:rsidR="00F47744" w:rsidRPr="00193921">
        <w:rPr>
          <w:rFonts w:ascii="Times New Roman" w:hAnsi="Times New Roman" w:cs="Times New Roman"/>
          <w:sz w:val="28"/>
          <w:szCs w:val="28"/>
        </w:rPr>
        <w:t xml:space="preserve"> </w:t>
      </w:r>
      <w:r w:rsidR="004703C3">
        <w:rPr>
          <w:rFonts w:ascii="Times New Roman" w:hAnsi="Times New Roman" w:cs="Times New Roman"/>
          <w:sz w:val="28"/>
          <w:szCs w:val="28"/>
        </w:rPr>
        <w:t>formulations of drugs demonstrated additional inhibitory activity</w:t>
      </w:r>
      <w:r w:rsidR="00F47744" w:rsidRPr="00193921">
        <w:rPr>
          <w:rFonts w:ascii="Times New Roman" w:hAnsi="Times New Roman" w:cs="Times New Roman"/>
          <w:sz w:val="28"/>
          <w:szCs w:val="28"/>
        </w:rPr>
        <w:t>: Tenofovir (TDF and TAF), with IC</w:t>
      </w:r>
      <w:r w:rsidR="00F47744" w:rsidRPr="00E51AAB">
        <w:rPr>
          <w:rFonts w:ascii="Times New Roman" w:hAnsi="Times New Roman" w:cs="Times New Roman"/>
          <w:sz w:val="28"/>
          <w:szCs w:val="28"/>
          <w:vertAlign w:val="subscript"/>
        </w:rPr>
        <w:t>10</w:t>
      </w:r>
      <w:r w:rsidR="00F47744" w:rsidRPr="00193921">
        <w:rPr>
          <w:rFonts w:ascii="Times New Roman" w:hAnsi="Times New Roman" w:cs="Times New Roman"/>
          <w:sz w:val="28"/>
          <w:szCs w:val="28"/>
        </w:rPr>
        <w:t xml:space="preserve"> = 0.174 µM, IC</w:t>
      </w:r>
      <w:r w:rsidR="00F47744" w:rsidRPr="00E51AAB">
        <w:rPr>
          <w:rFonts w:ascii="Times New Roman" w:hAnsi="Times New Roman" w:cs="Times New Roman"/>
          <w:sz w:val="28"/>
          <w:szCs w:val="28"/>
          <w:vertAlign w:val="subscript"/>
        </w:rPr>
        <w:t>50</w:t>
      </w:r>
      <w:r w:rsidR="00F47744" w:rsidRPr="00193921">
        <w:rPr>
          <w:rFonts w:ascii="Times New Roman" w:hAnsi="Times New Roman" w:cs="Times New Roman"/>
          <w:sz w:val="28"/>
          <w:szCs w:val="28"/>
        </w:rPr>
        <w:t xml:space="preserve"> = 1.74 µM, and IC</w:t>
      </w:r>
      <w:r w:rsidR="00F47744" w:rsidRPr="00E51AAB">
        <w:rPr>
          <w:rFonts w:ascii="Times New Roman" w:hAnsi="Times New Roman" w:cs="Times New Roman"/>
          <w:sz w:val="28"/>
          <w:szCs w:val="28"/>
          <w:vertAlign w:val="subscript"/>
        </w:rPr>
        <w:t>100</w:t>
      </w:r>
      <w:r w:rsidR="00F47744" w:rsidRPr="00193921">
        <w:rPr>
          <w:rFonts w:ascii="Times New Roman" w:hAnsi="Times New Roman" w:cs="Times New Roman"/>
          <w:sz w:val="28"/>
          <w:szCs w:val="28"/>
        </w:rPr>
        <w:t xml:space="preserve"> = 174 µM at a concentration of 50 µg/ml. Ribavirin: IC</w:t>
      </w:r>
      <w:r w:rsidR="00F47744" w:rsidRPr="00E51AAB">
        <w:rPr>
          <w:rFonts w:ascii="Times New Roman" w:hAnsi="Times New Roman" w:cs="Times New Roman"/>
          <w:sz w:val="28"/>
          <w:szCs w:val="28"/>
          <w:vertAlign w:val="subscript"/>
        </w:rPr>
        <w:t xml:space="preserve">10 </w:t>
      </w:r>
      <w:r w:rsidR="00F47744" w:rsidRPr="00193921">
        <w:rPr>
          <w:rFonts w:ascii="Times New Roman" w:hAnsi="Times New Roman" w:cs="Times New Roman"/>
          <w:sz w:val="28"/>
          <w:szCs w:val="28"/>
        </w:rPr>
        <w:t xml:space="preserve">= 2 µM, IC50 = </w:t>
      </w:r>
      <w:r w:rsidR="00394760" w:rsidRPr="00193921">
        <w:rPr>
          <w:rFonts w:ascii="Times New Roman" w:hAnsi="Times New Roman" w:cs="Times New Roman"/>
          <w:sz w:val="28"/>
          <w:szCs w:val="28"/>
        </w:rPr>
        <w:t>7</w:t>
      </w:r>
      <w:r w:rsidR="00F47744" w:rsidRPr="00193921">
        <w:rPr>
          <w:rFonts w:ascii="Times New Roman" w:hAnsi="Times New Roman" w:cs="Times New Roman"/>
          <w:sz w:val="28"/>
          <w:szCs w:val="28"/>
        </w:rPr>
        <w:t xml:space="preserve"> µM, and IC</w:t>
      </w:r>
      <w:r w:rsidR="00394760" w:rsidRPr="00E51AAB">
        <w:rPr>
          <w:rFonts w:ascii="Times New Roman" w:hAnsi="Times New Roman" w:cs="Times New Roman"/>
          <w:sz w:val="28"/>
          <w:szCs w:val="28"/>
          <w:vertAlign w:val="subscript"/>
        </w:rPr>
        <w:t>80-90</w:t>
      </w:r>
      <w:r w:rsidR="00F47744" w:rsidRPr="00E51AAB">
        <w:rPr>
          <w:rFonts w:ascii="Times New Roman" w:hAnsi="Times New Roman" w:cs="Times New Roman"/>
          <w:sz w:val="28"/>
          <w:szCs w:val="28"/>
          <w:vertAlign w:val="subscript"/>
        </w:rPr>
        <w:t xml:space="preserve"> </w:t>
      </w:r>
      <w:r w:rsidR="00F47744" w:rsidRPr="00193921">
        <w:rPr>
          <w:rFonts w:ascii="Times New Roman" w:hAnsi="Times New Roman" w:cs="Times New Roman"/>
          <w:sz w:val="28"/>
          <w:szCs w:val="28"/>
        </w:rPr>
        <w:t xml:space="preserve">= </w:t>
      </w:r>
      <w:r w:rsidR="00394760" w:rsidRPr="00193921">
        <w:rPr>
          <w:rFonts w:ascii="Times New Roman" w:hAnsi="Times New Roman" w:cs="Times New Roman"/>
          <w:sz w:val="28"/>
          <w:szCs w:val="28"/>
        </w:rPr>
        <w:t>205</w:t>
      </w:r>
      <w:r w:rsidR="00F47744" w:rsidRPr="00193921">
        <w:rPr>
          <w:rFonts w:ascii="Times New Roman" w:hAnsi="Times New Roman" w:cs="Times New Roman"/>
          <w:sz w:val="28"/>
          <w:szCs w:val="28"/>
        </w:rPr>
        <w:t xml:space="preserve"> µM</w:t>
      </w:r>
      <w:r w:rsidR="00607528" w:rsidRPr="00193921">
        <w:rPr>
          <w:rFonts w:ascii="Times New Roman" w:hAnsi="Times New Roman" w:cs="Times New Roman"/>
          <w:sz w:val="28"/>
          <w:szCs w:val="28"/>
        </w:rPr>
        <w:t xml:space="preserve"> of 50 µg/ml., Favipiravir: with IC</w:t>
      </w:r>
      <w:r w:rsidR="00607528" w:rsidRPr="00E51AAB">
        <w:rPr>
          <w:rFonts w:ascii="Times New Roman" w:hAnsi="Times New Roman" w:cs="Times New Roman"/>
          <w:sz w:val="28"/>
          <w:szCs w:val="28"/>
          <w:vertAlign w:val="subscript"/>
        </w:rPr>
        <w:t>10</w:t>
      </w:r>
      <w:r w:rsidR="00607528" w:rsidRPr="00193921">
        <w:rPr>
          <w:rFonts w:ascii="Times New Roman" w:hAnsi="Times New Roman" w:cs="Times New Roman"/>
          <w:sz w:val="28"/>
          <w:szCs w:val="28"/>
        </w:rPr>
        <w:t xml:space="preserve"> = 1.65 µM, IC</w:t>
      </w:r>
      <w:r w:rsidR="00607528" w:rsidRPr="00E51AAB">
        <w:rPr>
          <w:rFonts w:ascii="Times New Roman" w:hAnsi="Times New Roman" w:cs="Times New Roman"/>
          <w:sz w:val="28"/>
          <w:szCs w:val="28"/>
          <w:vertAlign w:val="subscript"/>
        </w:rPr>
        <w:t>37</w:t>
      </w:r>
      <w:r w:rsidR="00607528" w:rsidRPr="00193921">
        <w:rPr>
          <w:rFonts w:ascii="Times New Roman" w:hAnsi="Times New Roman" w:cs="Times New Roman"/>
          <w:sz w:val="28"/>
          <w:szCs w:val="28"/>
        </w:rPr>
        <w:t xml:space="preserve">=318µM, of 50 µg/ml. Dexamethasone showed no inhibitory properties at any concentration or volume.  </w:t>
      </w:r>
      <w:r w:rsidR="00CC0D24" w:rsidRPr="00193921">
        <w:rPr>
          <w:rFonts w:ascii="Times New Roman" w:hAnsi="Times New Roman" w:cs="Times New Roman"/>
          <w:sz w:val="28"/>
          <w:szCs w:val="28"/>
        </w:rPr>
        <w:t xml:space="preserve">Comparison of </w:t>
      </w:r>
      <w:r w:rsidR="0035644A" w:rsidRPr="00193921">
        <w:rPr>
          <w:rFonts w:ascii="Times New Roman" w:hAnsi="Times New Roman" w:cs="Times New Roman"/>
          <w:sz w:val="28"/>
          <w:szCs w:val="28"/>
        </w:rPr>
        <w:t>the efficacy and cytotoxicity (CC50/IC50) of three tableted antiviral drugs, identifying an antiviral drug with a positive selectivity index (SI value</w:t>
      </w:r>
      <w:r w:rsidR="00CC0D24" w:rsidRPr="00193921">
        <w:rPr>
          <w:rFonts w:ascii="Times New Roman" w:hAnsi="Times New Roman" w:cs="Times New Roman"/>
          <w:sz w:val="28"/>
          <w:szCs w:val="28"/>
        </w:rPr>
        <w:t>), and analysis of the CCK8 assay</w:t>
      </w:r>
      <w:r w:rsidRPr="00193921">
        <w:rPr>
          <w:rFonts w:ascii="Times New Roman" w:hAnsi="Times New Roman" w:cs="Times New Roman"/>
          <w:sz w:val="28"/>
          <w:szCs w:val="28"/>
        </w:rPr>
        <w:t xml:space="preserve"> test</w:t>
      </w:r>
      <w:r w:rsidR="00CC0D24" w:rsidRPr="00193921">
        <w:rPr>
          <w:rFonts w:ascii="Times New Roman" w:hAnsi="Times New Roman" w:cs="Times New Roman"/>
          <w:sz w:val="28"/>
          <w:szCs w:val="28"/>
        </w:rPr>
        <w:t>.</w:t>
      </w:r>
      <w:r w:rsidRPr="00193921">
        <w:rPr>
          <w:rFonts w:ascii="Times New Roman" w:hAnsi="Times New Roman" w:cs="Times New Roman"/>
          <w:sz w:val="28"/>
          <w:szCs w:val="28"/>
        </w:rPr>
        <w:t xml:space="preserve"> </w:t>
      </w:r>
      <w:r w:rsidR="00E55074" w:rsidRPr="00193921">
        <w:rPr>
          <w:rFonts w:ascii="Times New Roman" w:hAnsi="Times New Roman" w:cs="Times New Roman"/>
          <w:sz w:val="28"/>
          <w:szCs w:val="28"/>
        </w:rPr>
        <w:t xml:space="preserve">Antiviral activity of three tableted </w:t>
      </w:r>
      <w:r w:rsidR="00AD4391" w:rsidRPr="00193921">
        <w:rPr>
          <w:rFonts w:ascii="Times New Roman" w:hAnsi="Times New Roman" w:cs="Times New Roman"/>
          <w:sz w:val="28"/>
          <w:szCs w:val="28"/>
        </w:rPr>
        <w:t>pro</w:t>
      </w:r>
      <w:r w:rsidR="00E55074" w:rsidRPr="00193921">
        <w:rPr>
          <w:rFonts w:ascii="Times New Roman" w:hAnsi="Times New Roman" w:cs="Times New Roman"/>
          <w:sz w:val="28"/>
          <w:szCs w:val="28"/>
        </w:rPr>
        <w:t>drugs (active agents): Ribavirin, Tenofovir, and Favipiravir on Vero E6 cells line that is both susceptible and permissive for SARS-CoV2 virus – RdRP-inhibition, causing the lethal mutagenesis for viral replication with a significantly higher viral load MOI:2 or TID</w:t>
      </w:r>
      <w:r w:rsidR="00E55074" w:rsidRPr="00BC103B">
        <w:rPr>
          <w:rFonts w:ascii="Times New Roman" w:hAnsi="Times New Roman" w:cs="Times New Roman"/>
          <w:sz w:val="28"/>
          <w:szCs w:val="28"/>
          <w:vertAlign w:val="subscript"/>
        </w:rPr>
        <w:t>50</w:t>
      </w:r>
      <w:r w:rsidR="00E55074" w:rsidRPr="00193921">
        <w:rPr>
          <w:rFonts w:ascii="Times New Roman" w:hAnsi="Times New Roman" w:cs="Times New Roman"/>
          <w:sz w:val="28"/>
          <w:szCs w:val="28"/>
        </w:rPr>
        <w:t xml:space="preserve">=10, whereas MOI of 0.01is enough to cause cytopathic effect within </w:t>
      </w:r>
      <w:r w:rsidR="00AD29C8" w:rsidRPr="00193921">
        <w:rPr>
          <w:rFonts w:ascii="Times New Roman" w:hAnsi="Times New Roman" w:cs="Times New Roman"/>
          <w:sz w:val="28"/>
          <w:szCs w:val="28"/>
        </w:rPr>
        <w:t xml:space="preserve">24 </w:t>
      </w:r>
      <w:r w:rsidR="00E55074" w:rsidRPr="00193921">
        <w:rPr>
          <w:rFonts w:ascii="Times New Roman" w:hAnsi="Times New Roman" w:cs="Times New Roman"/>
          <w:sz w:val="28"/>
          <w:szCs w:val="28"/>
        </w:rPr>
        <w:t xml:space="preserve">hours (200 times increase virus load decrease potential). </w:t>
      </w:r>
      <w:r w:rsidRPr="00193921">
        <w:rPr>
          <w:rFonts w:ascii="Times New Roman" w:hAnsi="Times New Roman" w:cs="Times New Roman"/>
          <w:sz w:val="28"/>
          <w:szCs w:val="28"/>
        </w:rPr>
        <w:t xml:space="preserve">The molecular and genetic </w:t>
      </w:r>
      <w:r w:rsidR="0043116B" w:rsidRPr="00193921">
        <w:rPr>
          <w:rFonts w:ascii="Times New Roman" w:hAnsi="Times New Roman" w:cs="Times New Roman"/>
          <w:sz w:val="28"/>
          <w:szCs w:val="28"/>
        </w:rPr>
        <w:t>characterisation</w:t>
      </w:r>
      <w:r w:rsidRPr="00193921">
        <w:rPr>
          <w:rFonts w:ascii="Times New Roman" w:hAnsi="Times New Roman" w:cs="Times New Roman"/>
          <w:sz w:val="28"/>
          <w:szCs w:val="28"/>
        </w:rPr>
        <w:t xml:space="preserve"> of the RdRP (RNA dependent RNA polymerase) gene (NSP12- none structural proteins) and its ‘genetical conservatism’ of SARS-CoV-2/human/KAZ/B1.1/2021, Alpha variant strain in comparison with the original Wuhan strain; </w:t>
      </w:r>
      <w:r w:rsidR="00AD4391" w:rsidRPr="00193921">
        <w:rPr>
          <w:rFonts w:ascii="Times New Roman" w:hAnsi="Times New Roman" w:cs="Times New Roman"/>
          <w:sz w:val="28"/>
          <w:szCs w:val="28"/>
        </w:rPr>
        <w:t xml:space="preserve">The assumption of antiviral activity </w:t>
      </w:r>
      <w:r w:rsidRPr="00193921">
        <w:rPr>
          <w:rFonts w:ascii="Times New Roman" w:hAnsi="Times New Roman" w:cs="Times New Roman"/>
          <w:sz w:val="28"/>
          <w:szCs w:val="28"/>
        </w:rPr>
        <w:t>was confirmed using Tenvir TAF (</w:t>
      </w:r>
      <w:r w:rsidR="00AD29C8" w:rsidRPr="00193921">
        <w:rPr>
          <w:rFonts w:ascii="Times New Roman" w:hAnsi="Times New Roman" w:cs="Times New Roman"/>
          <w:sz w:val="28"/>
          <w:szCs w:val="28"/>
        </w:rPr>
        <w:t>pure Aldrich stock concentration)</w:t>
      </w:r>
      <w:r w:rsidRPr="00193921">
        <w:rPr>
          <w:rFonts w:ascii="Times New Roman" w:hAnsi="Times New Roman" w:cs="Times New Roman"/>
          <w:sz w:val="28"/>
          <w:szCs w:val="28"/>
        </w:rPr>
        <w:t xml:space="preserve"> with 10µg/ml solution from original concentration 25mg/ml). </w:t>
      </w:r>
      <w:r w:rsidR="00431429" w:rsidRPr="00193921">
        <w:rPr>
          <w:rFonts w:ascii="Times New Roman" w:hAnsi="Times New Roman" w:cs="Times New Roman"/>
          <w:sz w:val="28"/>
          <w:szCs w:val="28"/>
        </w:rPr>
        <w:t>All three antiviral drugs target the RdRP activity</w:t>
      </w:r>
      <w:r w:rsidR="002C099B" w:rsidRPr="00193921">
        <w:rPr>
          <w:rFonts w:ascii="Times New Roman" w:hAnsi="Times New Roman" w:cs="Times New Roman"/>
          <w:sz w:val="28"/>
          <w:szCs w:val="28"/>
        </w:rPr>
        <w:t>, making</w:t>
      </w:r>
      <w:r w:rsidR="00D0548C" w:rsidRPr="00193921">
        <w:rPr>
          <w:rFonts w:ascii="Times New Roman" w:hAnsi="Times New Roman" w:cs="Times New Roman"/>
          <w:sz w:val="28"/>
          <w:szCs w:val="28"/>
        </w:rPr>
        <w:t xml:space="preserve"> viral replication more challenging</w:t>
      </w:r>
      <w:r w:rsidR="00431429" w:rsidRPr="00193921">
        <w:rPr>
          <w:rFonts w:ascii="Times New Roman" w:hAnsi="Times New Roman" w:cs="Times New Roman"/>
          <w:sz w:val="28"/>
          <w:szCs w:val="28"/>
        </w:rPr>
        <w:t xml:space="preserve">.  </w:t>
      </w:r>
    </w:p>
    <w:p w14:paraId="1AC5F7C8" w14:textId="4949A31D" w:rsidR="00226539" w:rsidRPr="00193921" w:rsidRDefault="00853685" w:rsidP="00193921">
      <w:pPr>
        <w:spacing w:after="0" w:line="240" w:lineRule="auto"/>
        <w:jc w:val="both"/>
        <w:rPr>
          <w:rFonts w:ascii="Times New Roman" w:hAnsi="Times New Roman" w:cs="Times New Roman"/>
          <w:b/>
          <w:bCs/>
          <w:sz w:val="28"/>
          <w:szCs w:val="28"/>
        </w:rPr>
      </w:pPr>
      <w:r w:rsidRPr="00193921">
        <w:rPr>
          <w:rFonts w:ascii="Times New Roman" w:hAnsi="Times New Roman" w:cs="Times New Roman"/>
          <w:b/>
          <w:bCs/>
          <w:sz w:val="28"/>
          <w:szCs w:val="28"/>
        </w:rPr>
        <w:t>Subject of study</w:t>
      </w:r>
      <w:r w:rsidR="004313D4">
        <w:rPr>
          <w:rFonts w:ascii="Times New Roman" w:hAnsi="Times New Roman" w:cs="Times New Roman"/>
          <w:b/>
          <w:bCs/>
          <w:sz w:val="28"/>
          <w:szCs w:val="28"/>
        </w:rPr>
        <w:t>.</w:t>
      </w:r>
    </w:p>
    <w:p w14:paraId="56A329A4" w14:textId="266F7962" w:rsidR="00F85361" w:rsidRPr="00193921" w:rsidRDefault="00853685" w:rsidP="004313D4">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 xml:space="preserve">They are investigating the </w:t>
      </w:r>
      <w:r w:rsidR="00852704" w:rsidRPr="00193921">
        <w:rPr>
          <w:rFonts w:ascii="Times New Roman" w:hAnsi="Times New Roman" w:cs="Times New Roman"/>
          <w:sz w:val="28"/>
          <w:szCs w:val="28"/>
        </w:rPr>
        <w:t xml:space="preserve">antiviral activity of medicines against </w:t>
      </w:r>
      <w:r w:rsidR="004703C3">
        <w:rPr>
          <w:rFonts w:ascii="Times New Roman" w:hAnsi="Times New Roman" w:cs="Times New Roman"/>
          <w:sz w:val="28"/>
          <w:szCs w:val="28"/>
        </w:rPr>
        <w:t>SARS-CoV-2</w:t>
      </w:r>
      <w:r w:rsidR="00852704" w:rsidRPr="00193921">
        <w:rPr>
          <w:rFonts w:ascii="Times New Roman" w:hAnsi="Times New Roman" w:cs="Times New Roman"/>
          <w:sz w:val="28"/>
          <w:szCs w:val="28"/>
        </w:rPr>
        <w:t>, focusing on its genetic and molecular characteristics</w:t>
      </w:r>
      <w:r w:rsidRPr="00193921">
        <w:rPr>
          <w:rFonts w:ascii="Times New Roman" w:hAnsi="Times New Roman" w:cs="Times New Roman"/>
          <w:sz w:val="28"/>
          <w:szCs w:val="28"/>
        </w:rPr>
        <w:t xml:space="preserve"> and evaluating their efficacy. In addition to identifying the cytotoxic </w:t>
      </w:r>
      <w:r w:rsidR="00852704" w:rsidRPr="00193921">
        <w:rPr>
          <w:rFonts w:ascii="Times New Roman" w:hAnsi="Times New Roman" w:cs="Times New Roman"/>
          <w:sz w:val="28"/>
          <w:szCs w:val="28"/>
        </w:rPr>
        <w:t xml:space="preserve">concentrations of </w:t>
      </w:r>
      <w:r w:rsidR="00373CFA" w:rsidRPr="00193921">
        <w:rPr>
          <w:rFonts w:ascii="Times New Roman" w:hAnsi="Times New Roman" w:cs="Times New Roman"/>
          <w:sz w:val="28"/>
          <w:szCs w:val="28"/>
        </w:rPr>
        <w:t>the three antivirals</w:t>
      </w:r>
      <w:r w:rsidR="009D22FA" w:rsidRPr="00193921">
        <w:rPr>
          <w:rFonts w:ascii="Times New Roman" w:hAnsi="Times New Roman" w:cs="Times New Roman"/>
          <w:sz w:val="28"/>
          <w:szCs w:val="28"/>
        </w:rPr>
        <w:t xml:space="preserve"> —Tenofovir, Fabiflu, and Ribavirin —</w:t>
      </w:r>
      <w:r w:rsidR="001A1F4F" w:rsidRPr="00193921">
        <w:rPr>
          <w:rFonts w:ascii="Times New Roman" w:hAnsi="Times New Roman" w:cs="Times New Roman"/>
          <w:sz w:val="28"/>
          <w:szCs w:val="28"/>
        </w:rPr>
        <w:t>and</w:t>
      </w:r>
      <w:r w:rsidR="00373CFA" w:rsidRPr="00193921">
        <w:rPr>
          <w:rFonts w:ascii="Times New Roman" w:hAnsi="Times New Roman" w:cs="Times New Roman"/>
          <w:sz w:val="28"/>
          <w:szCs w:val="28"/>
        </w:rPr>
        <w:t xml:space="preserve"> the steroid drug Dexamethasone, the concentrations of these compounds </w:t>
      </w:r>
      <w:r w:rsidR="005E5635" w:rsidRPr="00193921">
        <w:rPr>
          <w:rFonts w:ascii="Times New Roman" w:hAnsi="Times New Roman" w:cs="Times New Roman"/>
          <w:sz w:val="28"/>
          <w:szCs w:val="28"/>
        </w:rPr>
        <w:t>were</w:t>
      </w:r>
      <w:r w:rsidRPr="00193921">
        <w:rPr>
          <w:rFonts w:ascii="Times New Roman" w:hAnsi="Times New Roman" w:cs="Times New Roman"/>
          <w:sz w:val="28"/>
          <w:szCs w:val="28"/>
        </w:rPr>
        <w:t xml:space="preserve"> also determined.    </w:t>
      </w:r>
    </w:p>
    <w:p w14:paraId="2DDFFA25" w14:textId="31DC4E16" w:rsidR="00D00337" w:rsidRPr="00193921" w:rsidRDefault="00853685" w:rsidP="001F086A">
      <w:pPr>
        <w:spacing w:after="0" w:line="240" w:lineRule="auto"/>
        <w:ind w:left="709"/>
        <w:jc w:val="both"/>
        <w:rPr>
          <w:rFonts w:ascii="Times New Roman" w:hAnsi="Times New Roman" w:cs="Times New Roman"/>
          <w:sz w:val="28"/>
          <w:szCs w:val="28"/>
        </w:rPr>
      </w:pPr>
      <w:r w:rsidRPr="00193921">
        <w:rPr>
          <w:rFonts w:ascii="Times New Roman" w:hAnsi="Times New Roman" w:cs="Times New Roman"/>
          <w:b/>
          <w:bCs/>
          <w:sz w:val="28"/>
          <w:szCs w:val="28"/>
        </w:rPr>
        <w:t xml:space="preserve">The </w:t>
      </w:r>
      <w:r w:rsidR="000A211D" w:rsidRPr="00193921">
        <w:rPr>
          <w:rFonts w:ascii="Times New Roman" w:hAnsi="Times New Roman" w:cs="Times New Roman"/>
          <w:b/>
          <w:bCs/>
          <w:sz w:val="28"/>
          <w:szCs w:val="28"/>
        </w:rPr>
        <w:t>theoretical and practical significance of the work is clearly demonstrated</w:t>
      </w:r>
      <w:r w:rsidR="009D22FA" w:rsidRPr="00193921">
        <w:rPr>
          <w:rFonts w:ascii="Times New Roman" w:hAnsi="Times New Roman" w:cs="Times New Roman"/>
          <w:sz w:val="28"/>
          <w:szCs w:val="28"/>
        </w:rPr>
        <w:t xml:space="preserve"> by</w:t>
      </w:r>
      <w:r w:rsidRPr="00193921">
        <w:rPr>
          <w:rFonts w:ascii="Times New Roman" w:hAnsi="Times New Roman" w:cs="Times New Roman"/>
          <w:sz w:val="28"/>
          <w:szCs w:val="28"/>
        </w:rPr>
        <w:t xml:space="preserve"> the </w:t>
      </w:r>
      <w:r w:rsidR="004703C3">
        <w:rPr>
          <w:rFonts w:ascii="Times New Roman" w:hAnsi="Times New Roman" w:cs="Times New Roman"/>
          <w:sz w:val="28"/>
          <w:szCs w:val="28"/>
        </w:rPr>
        <w:t>in vitro effectiveness of three disputed antivirals and one hormonal (steroid) drug</w:t>
      </w:r>
      <w:r w:rsidRPr="00193921">
        <w:rPr>
          <w:rFonts w:ascii="Times New Roman" w:hAnsi="Times New Roman" w:cs="Times New Roman"/>
          <w:i/>
          <w:iCs/>
          <w:sz w:val="28"/>
          <w:szCs w:val="28"/>
        </w:rPr>
        <w:t xml:space="preserve">. </w:t>
      </w:r>
      <w:r w:rsidRPr="00193921">
        <w:rPr>
          <w:rFonts w:ascii="Times New Roman" w:hAnsi="Times New Roman" w:cs="Times New Roman"/>
          <w:sz w:val="28"/>
          <w:szCs w:val="28"/>
        </w:rPr>
        <w:t xml:space="preserve">To understand which </w:t>
      </w:r>
      <w:r w:rsidR="00BC2D09" w:rsidRPr="00193921">
        <w:rPr>
          <w:rFonts w:ascii="Times New Roman" w:hAnsi="Times New Roman" w:cs="Times New Roman"/>
          <w:sz w:val="28"/>
          <w:szCs w:val="28"/>
        </w:rPr>
        <w:t xml:space="preserve">drug </w:t>
      </w:r>
      <w:r w:rsidR="004D29C3" w:rsidRPr="00193921">
        <w:rPr>
          <w:rFonts w:ascii="Times New Roman" w:hAnsi="Times New Roman" w:cs="Times New Roman"/>
          <w:sz w:val="28"/>
          <w:szCs w:val="28"/>
        </w:rPr>
        <w:t>demonstrates</w:t>
      </w:r>
      <w:r w:rsidR="00BC2D09" w:rsidRPr="00193921">
        <w:rPr>
          <w:rFonts w:ascii="Times New Roman" w:hAnsi="Times New Roman" w:cs="Times New Roman"/>
          <w:sz w:val="28"/>
          <w:szCs w:val="28"/>
        </w:rPr>
        <w:t xml:space="preserve"> </w:t>
      </w:r>
      <w:r w:rsidR="00373CFA" w:rsidRPr="00193921">
        <w:rPr>
          <w:rFonts w:ascii="Times New Roman" w:hAnsi="Times New Roman" w:cs="Times New Roman"/>
          <w:sz w:val="28"/>
          <w:szCs w:val="28"/>
        </w:rPr>
        <w:t xml:space="preserve">a sensible, i.e., pre-clinical, effect </w:t>
      </w:r>
      <w:r w:rsidR="00C3025F" w:rsidRPr="00193921">
        <w:rPr>
          <w:rFonts w:ascii="Times New Roman" w:hAnsi="Times New Roman" w:cs="Times New Roman"/>
          <w:sz w:val="28"/>
          <w:szCs w:val="28"/>
        </w:rPr>
        <w:t>on wild-type mice in China and to establish a</w:t>
      </w:r>
      <w:r w:rsidR="00373CFA" w:rsidRPr="00193921">
        <w:rPr>
          <w:rFonts w:ascii="Times New Roman" w:hAnsi="Times New Roman" w:cs="Times New Roman"/>
          <w:sz w:val="28"/>
          <w:szCs w:val="28"/>
        </w:rPr>
        <w:t xml:space="preserve"> safe dosage </w:t>
      </w:r>
      <w:r w:rsidR="0043116B" w:rsidRPr="00193921">
        <w:rPr>
          <w:rFonts w:ascii="Times New Roman" w:hAnsi="Times New Roman" w:cs="Times New Roman"/>
          <w:sz w:val="28"/>
          <w:szCs w:val="28"/>
        </w:rPr>
        <w:t>for</w:t>
      </w:r>
      <w:r w:rsidR="00792F2E" w:rsidRPr="00193921">
        <w:rPr>
          <w:rFonts w:ascii="Times New Roman" w:hAnsi="Times New Roman" w:cs="Times New Roman"/>
          <w:sz w:val="28"/>
          <w:szCs w:val="28"/>
        </w:rPr>
        <w:t xml:space="preserve"> viral load, </w:t>
      </w:r>
      <w:r w:rsidR="00CC0D24" w:rsidRPr="00193921">
        <w:rPr>
          <w:rFonts w:ascii="Times New Roman" w:hAnsi="Times New Roman" w:cs="Times New Roman"/>
          <w:sz w:val="28"/>
          <w:szCs w:val="28"/>
        </w:rPr>
        <w:t xml:space="preserve">the </w:t>
      </w:r>
      <w:r w:rsidR="0017072A" w:rsidRPr="00193921">
        <w:rPr>
          <w:rFonts w:ascii="Times New Roman" w:hAnsi="Times New Roman" w:cs="Times New Roman"/>
          <w:sz w:val="28"/>
          <w:szCs w:val="28"/>
        </w:rPr>
        <w:t>author</w:t>
      </w:r>
      <w:r w:rsidR="00792F2E" w:rsidRPr="00193921">
        <w:rPr>
          <w:rFonts w:ascii="Times New Roman" w:hAnsi="Times New Roman" w:cs="Times New Roman"/>
          <w:sz w:val="28"/>
          <w:szCs w:val="28"/>
        </w:rPr>
        <w:t xml:space="preserve"> aim</w:t>
      </w:r>
      <w:r w:rsidR="0017072A" w:rsidRPr="00193921">
        <w:rPr>
          <w:rFonts w:ascii="Times New Roman" w:hAnsi="Times New Roman" w:cs="Times New Roman"/>
          <w:sz w:val="28"/>
          <w:szCs w:val="28"/>
        </w:rPr>
        <w:t>s</w:t>
      </w:r>
      <w:r w:rsidR="00792F2E" w:rsidRPr="00193921">
        <w:rPr>
          <w:rFonts w:ascii="Times New Roman" w:hAnsi="Times New Roman" w:cs="Times New Roman"/>
          <w:sz w:val="28"/>
          <w:szCs w:val="28"/>
        </w:rPr>
        <w:t xml:space="preserve"> to enhance strategies for combating </w:t>
      </w:r>
      <w:r w:rsidR="00373CFA" w:rsidRPr="00193921">
        <w:rPr>
          <w:rFonts w:ascii="Times New Roman" w:hAnsi="Times New Roman" w:cs="Times New Roman"/>
          <w:sz w:val="28"/>
          <w:szCs w:val="28"/>
        </w:rPr>
        <w:t>SARS-CoV-2</w:t>
      </w:r>
      <w:r w:rsidRPr="00193921">
        <w:rPr>
          <w:rFonts w:ascii="Times New Roman" w:hAnsi="Times New Roman" w:cs="Times New Roman"/>
          <w:sz w:val="28"/>
          <w:szCs w:val="28"/>
        </w:rPr>
        <w:t xml:space="preserve"> viral infection. During the pandemic, Kazakhstan faced numerous different cases of COVID-19 </w:t>
      </w:r>
      <w:r w:rsidR="00FE04CE" w:rsidRPr="00193921">
        <w:rPr>
          <w:rFonts w:ascii="Times New Roman" w:hAnsi="Times New Roman" w:cs="Times New Roman"/>
          <w:sz w:val="28"/>
          <w:szCs w:val="28"/>
        </w:rPr>
        <w:t>progression and complications among infected patients with devastating post-coronavirus effects and even lethal outcomes due to a poor understanding of the biological nature of the SARS-CoV-2</w:t>
      </w:r>
      <w:r w:rsidRPr="00193921">
        <w:rPr>
          <w:rFonts w:ascii="Times New Roman" w:hAnsi="Times New Roman" w:cs="Times New Roman"/>
          <w:sz w:val="28"/>
          <w:szCs w:val="28"/>
        </w:rPr>
        <w:t xml:space="preserve"> virus. The primary objective of this dissertation work is to provide a </w:t>
      </w:r>
      <w:r w:rsidR="00373CFA" w:rsidRPr="00193921">
        <w:rPr>
          <w:rFonts w:ascii="Times New Roman" w:hAnsi="Times New Roman" w:cs="Times New Roman"/>
          <w:sz w:val="28"/>
          <w:szCs w:val="28"/>
        </w:rPr>
        <w:t xml:space="preserve">deeper understanding not only of COVID-19 treatment but also of </w:t>
      </w:r>
      <w:r w:rsidRPr="00193921">
        <w:rPr>
          <w:rFonts w:ascii="Times New Roman" w:hAnsi="Times New Roman" w:cs="Times New Roman"/>
          <w:sz w:val="28"/>
          <w:szCs w:val="28"/>
        </w:rPr>
        <w:t>similar viral infection cases in the future.</w:t>
      </w:r>
      <w:r w:rsidR="00D00337" w:rsidRPr="00193921">
        <w:rPr>
          <w:rFonts w:ascii="Times New Roman" w:hAnsi="Times New Roman" w:cs="Times New Roman"/>
          <w:sz w:val="28"/>
          <w:szCs w:val="28"/>
        </w:rPr>
        <w:t xml:space="preserve"> </w:t>
      </w:r>
      <w:r w:rsidRPr="00193921">
        <w:rPr>
          <w:rFonts w:ascii="Times New Roman" w:hAnsi="Times New Roman" w:cs="Times New Roman"/>
          <w:sz w:val="28"/>
          <w:szCs w:val="28"/>
        </w:rPr>
        <w:t xml:space="preserve">To </w:t>
      </w:r>
      <w:r w:rsidR="00373CFA" w:rsidRPr="00193921">
        <w:rPr>
          <w:rFonts w:ascii="Times New Roman" w:hAnsi="Times New Roman" w:cs="Times New Roman"/>
          <w:sz w:val="28"/>
          <w:szCs w:val="28"/>
        </w:rPr>
        <w:t xml:space="preserve">evaluate the in vitro effectiveness of three antiviral agents and one hormonal </w:t>
      </w:r>
      <w:r w:rsidR="00373CFA" w:rsidRPr="00193921">
        <w:rPr>
          <w:rFonts w:ascii="Times New Roman" w:hAnsi="Times New Roman" w:cs="Times New Roman"/>
          <w:sz w:val="28"/>
          <w:szCs w:val="28"/>
        </w:rPr>
        <w:lastRenderedPageBreak/>
        <w:t>(steroid) drug</w:t>
      </w:r>
      <w:r w:rsidRPr="00193921">
        <w:rPr>
          <w:rFonts w:ascii="Times New Roman" w:hAnsi="Times New Roman" w:cs="Times New Roman"/>
          <w:sz w:val="28"/>
          <w:szCs w:val="28"/>
        </w:rPr>
        <w:t>. To understand which of these drugs demonstrate not only practical, i.e., clinical</w:t>
      </w:r>
      <w:r w:rsidR="00373CFA" w:rsidRPr="00193921">
        <w:rPr>
          <w:rFonts w:ascii="Times New Roman" w:hAnsi="Times New Roman" w:cs="Times New Roman"/>
          <w:sz w:val="28"/>
          <w:szCs w:val="28"/>
        </w:rPr>
        <w:t>, effects but also to establish the safe</w:t>
      </w:r>
      <w:r w:rsidRPr="00193921">
        <w:rPr>
          <w:rFonts w:ascii="Times New Roman" w:hAnsi="Times New Roman" w:cs="Times New Roman"/>
          <w:sz w:val="28"/>
          <w:szCs w:val="28"/>
        </w:rPr>
        <w:t xml:space="preserve"> dosage in treatment strategies for COVID-19. The value of this work </w:t>
      </w:r>
      <w:r w:rsidR="00373CFA" w:rsidRPr="00193921">
        <w:rPr>
          <w:rFonts w:ascii="Times New Roman" w:hAnsi="Times New Roman" w:cs="Times New Roman"/>
          <w:sz w:val="28"/>
          <w:szCs w:val="28"/>
        </w:rPr>
        <w:t xml:space="preserve">lies in several additional aspects: 1. Tenvir, available in its two isoforms – TDF and TAF, has two origins: one is </w:t>
      </w:r>
      <w:r w:rsidR="00BE5EF5" w:rsidRPr="00193921">
        <w:rPr>
          <w:rFonts w:ascii="Times New Roman" w:hAnsi="Times New Roman" w:cs="Times New Roman"/>
          <w:sz w:val="28"/>
          <w:szCs w:val="28"/>
        </w:rPr>
        <w:t>tabletted</w:t>
      </w:r>
      <w:r w:rsidR="00373CFA" w:rsidRPr="00193921">
        <w:rPr>
          <w:rFonts w:ascii="Times New Roman" w:hAnsi="Times New Roman" w:cs="Times New Roman"/>
          <w:sz w:val="28"/>
          <w:szCs w:val="28"/>
        </w:rPr>
        <w:t xml:space="preserve"> (TDF), and the second is a laboratory standard stock (TAF)</w:t>
      </w:r>
      <w:r w:rsidRPr="00193921">
        <w:rPr>
          <w:rFonts w:ascii="Times New Roman" w:hAnsi="Times New Roman" w:cs="Times New Roman"/>
          <w:sz w:val="28"/>
          <w:szCs w:val="28"/>
        </w:rPr>
        <w:t xml:space="preserve">. Both </w:t>
      </w:r>
      <w:r w:rsidR="008501C5">
        <w:rPr>
          <w:rFonts w:ascii="Times New Roman" w:hAnsi="Times New Roman" w:cs="Times New Roman"/>
          <w:sz w:val="28"/>
          <w:szCs w:val="28"/>
        </w:rPr>
        <w:t>forms showed similar effectiveness; furthermore, the last in vitro test of Tenvir efficacy was conducted</w:t>
      </w:r>
      <w:r w:rsidRPr="00193921">
        <w:rPr>
          <w:rFonts w:ascii="Times New Roman" w:hAnsi="Times New Roman" w:cs="Times New Roman"/>
          <w:sz w:val="28"/>
          <w:szCs w:val="28"/>
        </w:rPr>
        <w:t xml:space="preserve"> in the 2000s. The antiviral effects were demonstrated on the Vero E6 cell model. Furthermore, the cytotoxic profiles of all four drugs were evaluated and confirmed. The non-structural protein sites on the viral genome were </w:t>
      </w:r>
      <w:r w:rsidR="005167E8" w:rsidRPr="00193921">
        <w:rPr>
          <w:rFonts w:ascii="Times New Roman" w:hAnsi="Times New Roman" w:cs="Times New Roman"/>
          <w:sz w:val="28"/>
          <w:szCs w:val="28"/>
        </w:rPr>
        <w:t>identified and quantified, and their biological ‘conservative’ nature was verified in the SARS-CoV-2/human/KAZ/B1.1/2021 Alpha variant strain</w:t>
      </w:r>
      <w:r w:rsidRPr="00193921">
        <w:rPr>
          <w:rFonts w:ascii="Times New Roman" w:hAnsi="Times New Roman" w:cs="Times New Roman"/>
          <w:sz w:val="28"/>
          <w:szCs w:val="28"/>
        </w:rPr>
        <w:t xml:space="preserve">. </w:t>
      </w:r>
    </w:p>
    <w:p w14:paraId="3C5F15DE" w14:textId="32178C19" w:rsidR="00226539" w:rsidRPr="00193921" w:rsidRDefault="00853685" w:rsidP="0018432A">
      <w:pPr>
        <w:spacing w:after="0" w:line="240" w:lineRule="auto"/>
        <w:ind w:firstLine="709"/>
        <w:jc w:val="both"/>
        <w:rPr>
          <w:rFonts w:ascii="Times New Roman" w:hAnsi="Times New Roman" w:cs="Times New Roman"/>
          <w:b/>
          <w:bCs/>
          <w:sz w:val="28"/>
          <w:szCs w:val="28"/>
        </w:rPr>
      </w:pPr>
      <w:r w:rsidRPr="00193921">
        <w:rPr>
          <w:rFonts w:ascii="Times New Roman" w:hAnsi="Times New Roman" w:cs="Times New Roman"/>
          <w:b/>
          <w:bCs/>
          <w:sz w:val="28"/>
          <w:szCs w:val="28"/>
        </w:rPr>
        <w:t xml:space="preserve">The main provisions for the </w:t>
      </w:r>
      <w:r w:rsidR="0043116B" w:rsidRPr="00193921">
        <w:rPr>
          <w:rFonts w:ascii="Times New Roman" w:hAnsi="Times New Roman" w:cs="Times New Roman"/>
          <w:b/>
          <w:bCs/>
          <w:sz w:val="28"/>
          <w:szCs w:val="28"/>
        </w:rPr>
        <w:t>defence</w:t>
      </w:r>
      <w:r w:rsidRPr="00193921">
        <w:rPr>
          <w:rFonts w:ascii="Times New Roman" w:hAnsi="Times New Roman" w:cs="Times New Roman"/>
          <w:b/>
          <w:bCs/>
          <w:sz w:val="28"/>
          <w:szCs w:val="28"/>
        </w:rPr>
        <w:t xml:space="preserve">: </w:t>
      </w:r>
    </w:p>
    <w:p w14:paraId="1823A895" w14:textId="22E777F8" w:rsidR="00226539" w:rsidRPr="0018432A" w:rsidRDefault="00853685" w:rsidP="001F086A">
      <w:pPr>
        <w:pStyle w:val="af1"/>
        <w:numPr>
          <w:ilvl w:val="0"/>
          <w:numId w:val="74"/>
        </w:numPr>
        <w:spacing w:after="0" w:line="240" w:lineRule="auto"/>
        <w:ind w:left="709" w:firstLine="0"/>
        <w:jc w:val="both"/>
        <w:rPr>
          <w:rFonts w:ascii="Times New Roman" w:hAnsi="Times New Roman" w:cs="Times New Roman"/>
          <w:sz w:val="28"/>
          <w:szCs w:val="28"/>
        </w:rPr>
      </w:pPr>
      <w:r w:rsidRPr="0018432A">
        <w:rPr>
          <w:rFonts w:ascii="Times New Roman" w:hAnsi="Times New Roman" w:cs="Times New Roman"/>
          <w:sz w:val="28"/>
          <w:szCs w:val="28"/>
        </w:rPr>
        <w:t>The SARS-CoV-2/human/KAZ/B1.1/2021</w:t>
      </w:r>
      <w:r w:rsidR="00902A44" w:rsidRPr="0018432A">
        <w:rPr>
          <w:rFonts w:ascii="Times New Roman" w:hAnsi="Times New Roman" w:cs="Times New Roman"/>
          <w:sz w:val="28"/>
          <w:szCs w:val="28"/>
        </w:rPr>
        <w:t>,</w:t>
      </w:r>
      <w:r w:rsidRPr="0018432A">
        <w:rPr>
          <w:rFonts w:ascii="Times New Roman" w:hAnsi="Times New Roman" w:cs="Times New Roman"/>
          <w:sz w:val="28"/>
          <w:szCs w:val="28"/>
        </w:rPr>
        <w:t xml:space="preserve"> Alpha variant strain – is an object of antiviral study</w:t>
      </w:r>
      <w:r w:rsidR="006905BB" w:rsidRPr="0018432A">
        <w:rPr>
          <w:rFonts w:ascii="Times New Roman" w:hAnsi="Times New Roman" w:cs="Times New Roman"/>
          <w:sz w:val="28"/>
          <w:szCs w:val="28"/>
        </w:rPr>
        <w:t xml:space="preserve"> that was gained through 8 selected isolates</w:t>
      </w:r>
      <w:r w:rsidRPr="0018432A">
        <w:rPr>
          <w:rFonts w:ascii="Times New Roman" w:hAnsi="Times New Roman" w:cs="Times New Roman"/>
          <w:sz w:val="28"/>
          <w:szCs w:val="28"/>
        </w:rPr>
        <w:t>, aiming at the entire - ORF1ab</w:t>
      </w:r>
      <w:r w:rsidR="00902A44" w:rsidRPr="0018432A">
        <w:rPr>
          <w:rFonts w:ascii="Times New Roman" w:hAnsi="Times New Roman" w:cs="Times New Roman"/>
          <w:sz w:val="28"/>
          <w:szCs w:val="28"/>
        </w:rPr>
        <w:t>, where ORF1a NSP1-1</w:t>
      </w:r>
      <w:r w:rsidR="00197631" w:rsidRPr="0018432A">
        <w:rPr>
          <w:rFonts w:ascii="Times New Roman" w:hAnsi="Times New Roman" w:cs="Times New Roman"/>
          <w:sz w:val="28"/>
          <w:szCs w:val="28"/>
        </w:rPr>
        <w:t>1(Protease section)</w:t>
      </w:r>
      <w:r w:rsidR="00902A44" w:rsidRPr="0018432A">
        <w:rPr>
          <w:rFonts w:ascii="Times New Roman" w:hAnsi="Times New Roman" w:cs="Times New Roman"/>
          <w:sz w:val="28"/>
          <w:szCs w:val="28"/>
        </w:rPr>
        <w:t xml:space="preserve"> and ORF1b NSP12-16</w:t>
      </w:r>
      <w:r w:rsidR="00197631" w:rsidRPr="0018432A">
        <w:rPr>
          <w:rFonts w:ascii="Times New Roman" w:hAnsi="Times New Roman" w:cs="Times New Roman"/>
          <w:sz w:val="28"/>
          <w:szCs w:val="28"/>
        </w:rPr>
        <w:t xml:space="preserve"> (viral RNA replication site)</w:t>
      </w:r>
      <w:r w:rsidR="00400B60" w:rsidRPr="0018432A">
        <w:rPr>
          <w:rFonts w:ascii="Times New Roman" w:hAnsi="Times New Roman" w:cs="Times New Roman"/>
          <w:sz w:val="28"/>
          <w:szCs w:val="28"/>
        </w:rPr>
        <w:t xml:space="preserve"> with </w:t>
      </w:r>
      <w:r w:rsidR="00EA4313" w:rsidRPr="0018432A">
        <w:rPr>
          <w:rFonts w:ascii="Times New Roman" w:hAnsi="Times New Roman" w:cs="Times New Roman"/>
          <w:sz w:val="28"/>
          <w:szCs w:val="28"/>
        </w:rPr>
        <w:t>the strain-specific</w:t>
      </w:r>
      <w:r w:rsidR="00400B60" w:rsidRPr="0018432A">
        <w:rPr>
          <w:rFonts w:ascii="Times New Roman" w:hAnsi="Times New Roman" w:cs="Times New Roman"/>
          <w:sz w:val="28"/>
          <w:szCs w:val="28"/>
        </w:rPr>
        <w:t xml:space="preserve"> </w:t>
      </w:r>
      <w:r w:rsidR="00EA4313" w:rsidRPr="0018432A">
        <w:rPr>
          <w:rFonts w:ascii="Times New Roman" w:hAnsi="Times New Roman" w:cs="Times New Roman"/>
          <w:sz w:val="28"/>
          <w:szCs w:val="28"/>
        </w:rPr>
        <w:t xml:space="preserve">mutation </w:t>
      </w:r>
      <w:r w:rsidRPr="0018432A">
        <w:rPr>
          <w:rFonts w:ascii="Times New Roman" w:hAnsi="Times New Roman" w:cs="Times New Roman"/>
          <w:sz w:val="28"/>
          <w:szCs w:val="28"/>
        </w:rPr>
        <w:t>that is responsible for the replication of viral genome RNA as well as for sub-genomic RNA</w:t>
      </w:r>
      <w:r w:rsidR="00902A44" w:rsidRPr="0018432A">
        <w:rPr>
          <w:rFonts w:ascii="Times New Roman" w:hAnsi="Times New Roman" w:cs="Times New Roman"/>
          <w:sz w:val="28"/>
          <w:szCs w:val="28"/>
        </w:rPr>
        <w:t xml:space="preserve"> that regulate the final assembly of virions. </w:t>
      </w:r>
    </w:p>
    <w:p w14:paraId="22D76426" w14:textId="06721FFF" w:rsidR="00E55074" w:rsidRPr="0018432A" w:rsidRDefault="00853685" w:rsidP="0018432A">
      <w:pPr>
        <w:pStyle w:val="af1"/>
        <w:numPr>
          <w:ilvl w:val="0"/>
          <w:numId w:val="74"/>
        </w:numPr>
        <w:spacing w:after="0" w:line="240" w:lineRule="auto"/>
        <w:ind w:firstLine="131"/>
        <w:jc w:val="both"/>
        <w:rPr>
          <w:rFonts w:ascii="Times New Roman" w:hAnsi="Times New Roman" w:cs="Times New Roman"/>
          <w:sz w:val="28"/>
          <w:szCs w:val="28"/>
        </w:rPr>
      </w:pPr>
      <w:r w:rsidRPr="0018432A">
        <w:rPr>
          <w:rFonts w:ascii="Times New Roman" w:hAnsi="Times New Roman" w:cs="Times New Roman"/>
          <w:sz w:val="28"/>
          <w:szCs w:val="28"/>
        </w:rPr>
        <w:t>The potent inhibition of the RdRP (RNA-dependent RNA Polymerase is detect</w:t>
      </w:r>
      <w:r w:rsidR="0030791E" w:rsidRPr="0018432A">
        <w:rPr>
          <w:rFonts w:ascii="Times New Roman" w:hAnsi="Times New Roman" w:cs="Times New Roman"/>
          <w:sz w:val="28"/>
          <w:szCs w:val="28"/>
        </w:rPr>
        <w:t>able</w:t>
      </w:r>
      <w:r w:rsidRPr="0018432A">
        <w:rPr>
          <w:rFonts w:ascii="Times New Roman" w:hAnsi="Times New Roman" w:cs="Times New Roman"/>
          <w:sz w:val="28"/>
          <w:szCs w:val="28"/>
        </w:rPr>
        <w:t xml:space="preserve"> through an MOI count of 2</w:t>
      </w:r>
      <w:r w:rsidR="0036569F" w:rsidRPr="0018432A">
        <w:rPr>
          <w:rFonts w:ascii="Times New Roman" w:hAnsi="Times New Roman" w:cs="Times New Roman"/>
          <w:sz w:val="28"/>
          <w:szCs w:val="28"/>
        </w:rPr>
        <w:t xml:space="preserve"> or lower</w:t>
      </w:r>
      <w:r w:rsidRPr="0018432A">
        <w:rPr>
          <w:rFonts w:ascii="Times New Roman" w:hAnsi="Times New Roman" w:cs="Times New Roman"/>
          <w:sz w:val="28"/>
          <w:szCs w:val="28"/>
        </w:rPr>
        <w:t xml:space="preserve"> </w:t>
      </w:r>
      <w:r w:rsidR="001745F9" w:rsidRPr="0018432A">
        <w:rPr>
          <w:rFonts w:ascii="Times New Roman" w:hAnsi="Times New Roman" w:cs="Times New Roman"/>
          <w:sz w:val="28"/>
          <w:szCs w:val="28"/>
        </w:rPr>
        <w:t xml:space="preserve">(two </w:t>
      </w:r>
      <w:r w:rsidRPr="0018432A">
        <w:rPr>
          <w:rFonts w:ascii="Times New Roman" w:hAnsi="Times New Roman" w:cs="Times New Roman"/>
          <w:sz w:val="28"/>
          <w:szCs w:val="28"/>
        </w:rPr>
        <w:t>viral particles for each host cell</w:t>
      </w:r>
      <w:r w:rsidR="001745F9" w:rsidRPr="0018432A">
        <w:rPr>
          <w:rFonts w:ascii="Times New Roman" w:hAnsi="Times New Roman" w:cs="Times New Roman"/>
          <w:sz w:val="28"/>
          <w:szCs w:val="28"/>
        </w:rPr>
        <w:t xml:space="preserve">) </w:t>
      </w:r>
      <w:r w:rsidRPr="0018432A">
        <w:rPr>
          <w:rFonts w:ascii="Times New Roman" w:hAnsi="Times New Roman" w:cs="Times New Roman"/>
          <w:sz w:val="28"/>
          <w:szCs w:val="28"/>
        </w:rPr>
        <w:t xml:space="preserve"> in a 12 wells-sampling by Tenofovir (tableted TDF</w:t>
      </w:r>
      <w:r w:rsidR="000A71EF" w:rsidRPr="0018432A">
        <w:rPr>
          <w:rFonts w:ascii="Times New Roman" w:hAnsi="Times New Roman" w:cs="Times New Roman"/>
          <w:sz w:val="28"/>
          <w:szCs w:val="28"/>
        </w:rPr>
        <w:t xml:space="preserve"> (stock concentration started from 300mg of prodrug concentration) </w:t>
      </w:r>
      <w:r w:rsidRPr="0018432A">
        <w:rPr>
          <w:rFonts w:ascii="Times New Roman" w:hAnsi="Times New Roman" w:cs="Times New Roman"/>
          <w:sz w:val="28"/>
          <w:szCs w:val="28"/>
        </w:rPr>
        <w:t xml:space="preserve"> against The SARS-CoV-2/human/KAZ/B1.1/2021</w:t>
      </w:r>
      <w:r w:rsidR="001745F9" w:rsidRPr="0018432A">
        <w:rPr>
          <w:rFonts w:ascii="Times New Roman" w:hAnsi="Times New Roman" w:cs="Times New Roman"/>
          <w:sz w:val="28"/>
          <w:szCs w:val="28"/>
        </w:rPr>
        <w:t>, Alpha variant)</w:t>
      </w:r>
      <w:r w:rsidRPr="0018432A">
        <w:rPr>
          <w:rFonts w:ascii="Times New Roman" w:hAnsi="Times New Roman" w:cs="Times New Roman"/>
          <w:sz w:val="28"/>
          <w:szCs w:val="28"/>
        </w:rPr>
        <w:t xml:space="preserve"> and TAF (lab stock) against original Wuhan strain)  The </w:t>
      </w:r>
      <w:r w:rsidR="001E5141" w:rsidRPr="0018432A">
        <w:rPr>
          <w:rFonts w:ascii="Times New Roman" w:hAnsi="Times New Roman" w:cs="Times New Roman"/>
          <w:sz w:val="28"/>
          <w:szCs w:val="28"/>
        </w:rPr>
        <w:t xml:space="preserve">tablet </w:t>
      </w:r>
      <w:r w:rsidRPr="0018432A">
        <w:rPr>
          <w:rFonts w:ascii="Times New Roman" w:hAnsi="Times New Roman" w:cs="Times New Roman"/>
          <w:sz w:val="28"/>
          <w:szCs w:val="28"/>
        </w:rPr>
        <w:t>safe concentration</w:t>
      </w:r>
      <w:r w:rsidR="001E5141" w:rsidRPr="0018432A">
        <w:rPr>
          <w:rFonts w:ascii="Times New Roman" w:hAnsi="Times New Roman" w:cs="Times New Roman"/>
          <w:sz w:val="28"/>
          <w:szCs w:val="28"/>
        </w:rPr>
        <w:t>s</w:t>
      </w:r>
      <w:r w:rsidRPr="0018432A">
        <w:rPr>
          <w:rFonts w:ascii="Times New Roman" w:hAnsi="Times New Roman" w:cs="Times New Roman"/>
          <w:sz w:val="28"/>
          <w:szCs w:val="28"/>
        </w:rPr>
        <w:t xml:space="preserve"> of Tenofovir</w:t>
      </w:r>
      <w:r w:rsidR="001E5141" w:rsidRPr="0018432A">
        <w:rPr>
          <w:rFonts w:ascii="Times New Roman" w:hAnsi="Times New Roman" w:cs="Times New Roman"/>
          <w:sz w:val="28"/>
          <w:szCs w:val="28"/>
        </w:rPr>
        <w:t>, Favipiravir,  Ribavirin</w:t>
      </w:r>
      <w:r w:rsidR="00B53BFD" w:rsidRPr="0018432A">
        <w:rPr>
          <w:rFonts w:ascii="Times New Roman" w:hAnsi="Times New Roman" w:cs="Times New Roman"/>
          <w:sz w:val="28"/>
          <w:szCs w:val="28"/>
        </w:rPr>
        <w:t>,</w:t>
      </w:r>
      <w:r w:rsidR="001E5141" w:rsidRPr="0018432A">
        <w:rPr>
          <w:rFonts w:ascii="Times New Roman" w:hAnsi="Times New Roman" w:cs="Times New Roman"/>
          <w:sz w:val="28"/>
          <w:szCs w:val="28"/>
        </w:rPr>
        <w:t xml:space="preserve"> and Dexamethasone must support cell viability</w:t>
      </w:r>
      <w:r w:rsidRPr="0018432A">
        <w:rPr>
          <w:rFonts w:ascii="Times New Roman" w:hAnsi="Times New Roman" w:cs="Times New Roman"/>
          <w:sz w:val="28"/>
          <w:szCs w:val="28"/>
        </w:rPr>
        <w:t xml:space="preserve"> with a noncytotoxic viral load value of—MOI</w:t>
      </w:r>
      <w:r w:rsidR="001E5141" w:rsidRPr="0018432A">
        <w:rPr>
          <w:rFonts w:ascii="Times New Roman" w:hAnsi="Times New Roman" w:cs="Times New Roman"/>
          <w:sz w:val="28"/>
          <w:szCs w:val="28"/>
        </w:rPr>
        <w:t xml:space="preserve"> 2 </w:t>
      </w:r>
      <w:r w:rsidR="0036569F" w:rsidRPr="0018432A">
        <w:rPr>
          <w:rFonts w:ascii="Times New Roman" w:hAnsi="Times New Roman" w:cs="Times New Roman"/>
          <w:sz w:val="28"/>
          <w:szCs w:val="28"/>
        </w:rPr>
        <w:t xml:space="preserve"> (</w:t>
      </w:r>
      <w:r w:rsidR="00400B60" w:rsidRPr="0018432A">
        <w:rPr>
          <w:rFonts w:ascii="Times New Roman" w:hAnsi="Times New Roman" w:cs="Times New Roman"/>
          <w:sz w:val="28"/>
          <w:szCs w:val="28"/>
        </w:rPr>
        <w:t>one</w:t>
      </w:r>
      <w:r w:rsidR="0036569F" w:rsidRPr="0018432A">
        <w:rPr>
          <w:rFonts w:ascii="Times New Roman" w:hAnsi="Times New Roman" w:cs="Times New Roman"/>
          <w:sz w:val="28"/>
          <w:szCs w:val="28"/>
        </w:rPr>
        <w:t xml:space="preserve"> host cell for </w:t>
      </w:r>
      <w:r w:rsidR="00400B60" w:rsidRPr="0018432A">
        <w:rPr>
          <w:rFonts w:ascii="Times New Roman" w:hAnsi="Times New Roman" w:cs="Times New Roman"/>
          <w:sz w:val="28"/>
          <w:szCs w:val="28"/>
        </w:rPr>
        <w:t>two</w:t>
      </w:r>
      <w:r w:rsidR="0036569F" w:rsidRPr="0018432A">
        <w:rPr>
          <w:rFonts w:ascii="Times New Roman" w:hAnsi="Times New Roman" w:cs="Times New Roman"/>
          <w:sz w:val="28"/>
          <w:szCs w:val="28"/>
        </w:rPr>
        <w:t xml:space="preserve"> intact viral particle or plaque forming unit (PFU/ml)) with </w:t>
      </w:r>
      <w:r w:rsidRPr="0018432A">
        <w:rPr>
          <w:rFonts w:ascii="Times New Roman" w:hAnsi="Times New Roman" w:cs="Times New Roman"/>
          <w:sz w:val="28"/>
          <w:szCs w:val="28"/>
        </w:rPr>
        <w:t xml:space="preserve"> 2</w:t>
      </w:r>
      <w:r w:rsidR="00400B60" w:rsidRPr="0018432A">
        <w:rPr>
          <w:rFonts w:ascii="Times New Roman" w:hAnsi="Times New Roman" w:cs="Times New Roman"/>
          <w:sz w:val="28"/>
          <w:szCs w:val="28"/>
        </w:rPr>
        <w:t>0</w:t>
      </w:r>
      <w:r w:rsidRPr="0018432A">
        <w:rPr>
          <w:rFonts w:ascii="Times New Roman" w:hAnsi="Times New Roman" w:cs="Times New Roman"/>
          <w:sz w:val="28"/>
          <w:szCs w:val="28"/>
        </w:rPr>
        <w:t xml:space="preserve">0µl of virus </w:t>
      </w:r>
      <w:r w:rsidR="0036569F" w:rsidRPr="0018432A">
        <w:rPr>
          <w:rFonts w:ascii="Times New Roman" w:hAnsi="Times New Roman" w:cs="Times New Roman"/>
          <w:sz w:val="28"/>
          <w:szCs w:val="28"/>
        </w:rPr>
        <w:t>volume</w:t>
      </w:r>
      <w:r w:rsidRPr="0018432A">
        <w:rPr>
          <w:rFonts w:ascii="Times New Roman" w:hAnsi="Times New Roman" w:cs="Times New Roman"/>
          <w:sz w:val="28"/>
          <w:szCs w:val="28"/>
        </w:rPr>
        <w:t>) per 10.000</w:t>
      </w:r>
      <w:r w:rsidR="001D4129" w:rsidRPr="0018432A">
        <w:rPr>
          <w:rFonts w:ascii="Times New Roman" w:hAnsi="Times New Roman" w:cs="Times New Roman"/>
          <w:sz w:val="28"/>
          <w:szCs w:val="28"/>
        </w:rPr>
        <w:t xml:space="preserve"> </w:t>
      </w:r>
      <w:r w:rsidR="008C0D7F" w:rsidRPr="0018432A">
        <w:rPr>
          <w:rFonts w:ascii="Times New Roman" w:hAnsi="Times New Roman" w:cs="Times New Roman"/>
          <w:sz w:val="28"/>
          <w:szCs w:val="28"/>
        </w:rPr>
        <w:t>-</w:t>
      </w:r>
      <w:r w:rsidR="001D4129" w:rsidRPr="0018432A">
        <w:rPr>
          <w:rFonts w:ascii="Times New Roman" w:hAnsi="Times New Roman" w:cs="Times New Roman"/>
          <w:sz w:val="28"/>
          <w:szCs w:val="28"/>
        </w:rPr>
        <w:t xml:space="preserve"> </w:t>
      </w:r>
      <w:r w:rsidR="008C0D7F" w:rsidRPr="0018432A">
        <w:rPr>
          <w:rFonts w:ascii="Times New Roman" w:hAnsi="Times New Roman" w:cs="Times New Roman"/>
          <w:sz w:val="28"/>
          <w:szCs w:val="28"/>
        </w:rPr>
        <w:t>20.000</w:t>
      </w:r>
      <w:r w:rsidRPr="0018432A">
        <w:rPr>
          <w:rFonts w:ascii="Times New Roman" w:hAnsi="Times New Roman" w:cs="Times New Roman"/>
          <w:sz w:val="28"/>
          <w:szCs w:val="28"/>
        </w:rPr>
        <w:t xml:space="preserve"> </w:t>
      </w:r>
      <w:r w:rsidR="00EA3951" w:rsidRPr="0018432A">
        <w:rPr>
          <w:rFonts w:ascii="Times New Roman" w:hAnsi="Times New Roman" w:cs="Times New Roman"/>
          <w:sz w:val="28"/>
          <w:szCs w:val="28"/>
        </w:rPr>
        <w:t xml:space="preserve">culture </w:t>
      </w:r>
      <w:r w:rsidRPr="0018432A">
        <w:rPr>
          <w:rFonts w:ascii="Times New Roman" w:hAnsi="Times New Roman" w:cs="Times New Roman"/>
          <w:sz w:val="28"/>
          <w:szCs w:val="28"/>
        </w:rPr>
        <w:t xml:space="preserve">cells. </w:t>
      </w:r>
    </w:p>
    <w:p w14:paraId="554B5F48" w14:textId="14D34FCE" w:rsidR="001A49E8" w:rsidRPr="0018432A" w:rsidRDefault="001A49E8" w:rsidP="0018432A">
      <w:pPr>
        <w:pStyle w:val="af1"/>
        <w:numPr>
          <w:ilvl w:val="0"/>
          <w:numId w:val="74"/>
        </w:numPr>
        <w:spacing w:after="0" w:line="240" w:lineRule="auto"/>
        <w:ind w:firstLine="131"/>
        <w:jc w:val="both"/>
        <w:rPr>
          <w:rFonts w:ascii="Times New Roman" w:hAnsi="Times New Roman" w:cs="Times New Roman"/>
          <w:sz w:val="28"/>
          <w:szCs w:val="28"/>
        </w:rPr>
      </w:pPr>
      <w:r w:rsidRPr="0018432A">
        <w:rPr>
          <w:rFonts w:ascii="Times New Roman" w:hAnsi="Times New Roman" w:cs="Times New Roman"/>
          <w:sz w:val="28"/>
          <w:szCs w:val="28"/>
        </w:rPr>
        <w:t>The cell</w:t>
      </w:r>
      <w:r w:rsidR="006905BB" w:rsidRPr="0018432A">
        <w:rPr>
          <w:rFonts w:ascii="Times New Roman" w:hAnsi="Times New Roman" w:cs="Times New Roman"/>
          <w:sz w:val="28"/>
          <w:szCs w:val="28"/>
        </w:rPr>
        <w:t xml:space="preserve"> viability</w:t>
      </w:r>
      <w:r w:rsidRPr="0018432A">
        <w:rPr>
          <w:rFonts w:ascii="Times New Roman" w:hAnsi="Times New Roman" w:cs="Times New Roman"/>
          <w:sz w:val="28"/>
          <w:szCs w:val="28"/>
        </w:rPr>
        <w:t xml:space="preserve"> counting techniques CCK8 and MTT </w:t>
      </w:r>
      <w:r w:rsidR="00373CFA" w:rsidRPr="0018432A">
        <w:rPr>
          <w:rFonts w:ascii="Times New Roman" w:hAnsi="Times New Roman" w:cs="Times New Roman"/>
          <w:sz w:val="28"/>
          <w:szCs w:val="28"/>
        </w:rPr>
        <w:t>demonstrate true cytotoxicity and antiviral assays on reliable Vero E6 cells with a high proliferation growth profile for four selected drugs: Tenofovir, Favipiravir, Ribavirin, and</w:t>
      </w:r>
      <w:r w:rsidRPr="0018432A">
        <w:rPr>
          <w:rFonts w:ascii="Times New Roman" w:hAnsi="Times New Roman" w:cs="Times New Roman"/>
          <w:sz w:val="28"/>
          <w:szCs w:val="28"/>
        </w:rPr>
        <w:t xml:space="preserve"> Dexamethasone. </w:t>
      </w:r>
    </w:p>
    <w:p w14:paraId="087D014B" w14:textId="745CA5FE" w:rsidR="004A732C" w:rsidRPr="0018432A" w:rsidRDefault="001D4129" w:rsidP="0018432A">
      <w:pPr>
        <w:pStyle w:val="af1"/>
        <w:numPr>
          <w:ilvl w:val="0"/>
          <w:numId w:val="74"/>
        </w:numPr>
        <w:spacing w:after="0" w:line="240" w:lineRule="auto"/>
        <w:ind w:firstLine="131"/>
        <w:jc w:val="both"/>
        <w:rPr>
          <w:rFonts w:ascii="Times New Roman" w:hAnsi="Times New Roman" w:cs="Times New Roman"/>
          <w:sz w:val="28"/>
          <w:szCs w:val="28"/>
        </w:rPr>
      </w:pPr>
      <w:r w:rsidRPr="0018432A">
        <w:rPr>
          <w:rFonts w:ascii="Times New Roman" w:hAnsi="Times New Roman" w:cs="Times New Roman"/>
          <w:sz w:val="28"/>
          <w:szCs w:val="28"/>
        </w:rPr>
        <w:t xml:space="preserve">WT-mice injected with recombinant mouse alarmin cytokine - IL33 showed the antiviral innate immune response, activating lymphoid cells: CD90 and CD117 in the lungs  </w:t>
      </w:r>
    </w:p>
    <w:p w14:paraId="2342BA27" w14:textId="03900B00" w:rsidR="00226539" w:rsidRPr="00193921" w:rsidRDefault="00853685" w:rsidP="0018432A">
      <w:pPr>
        <w:spacing w:after="0" w:line="240" w:lineRule="auto"/>
        <w:ind w:firstLine="708"/>
        <w:jc w:val="both"/>
        <w:rPr>
          <w:rFonts w:ascii="Times New Roman" w:hAnsi="Times New Roman" w:cs="Times New Roman"/>
          <w:b/>
          <w:bCs/>
          <w:sz w:val="28"/>
          <w:szCs w:val="28"/>
        </w:rPr>
      </w:pPr>
      <w:r w:rsidRPr="00193921">
        <w:rPr>
          <w:rFonts w:ascii="Times New Roman" w:hAnsi="Times New Roman" w:cs="Times New Roman"/>
          <w:b/>
          <w:bCs/>
          <w:sz w:val="28"/>
          <w:szCs w:val="28"/>
        </w:rPr>
        <w:t xml:space="preserve">The relevance of the plan based </w:t>
      </w:r>
      <w:r w:rsidR="005E0EBE" w:rsidRPr="00193921">
        <w:rPr>
          <w:rFonts w:ascii="Times New Roman" w:hAnsi="Times New Roman" w:cs="Times New Roman"/>
          <w:b/>
          <w:bCs/>
          <w:sz w:val="28"/>
          <w:szCs w:val="28"/>
        </w:rPr>
        <w:t xml:space="preserve">on </w:t>
      </w:r>
      <w:r w:rsidRPr="00193921">
        <w:rPr>
          <w:rFonts w:ascii="Times New Roman" w:hAnsi="Times New Roman" w:cs="Times New Roman"/>
          <w:b/>
          <w:bCs/>
          <w:sz w:val="28"/>
          <w:szCs w:val="28"/>
        </w:rPr>
        <w:t>scientific works</w:t>
      </w:r>
    </w:p>
    <w:p w14:paraId="51EC304D" w14:textId="7EECB8E7" w:rsidR="00226539" w:rsidRPr="00193921" w:rsidRDefault="00853685" w:rsidP="00193921">
      <w:pPr>
        <w:spacing w:after="0" w:line="240" w:lineRule="auto"/>
        <w:ind w:firstLine="708"/>
        <w:jc w:val="both"/>
        <w:rPr>
          <w:rFonts w:ascii="Times New Roman" w:hAnsi="Times New Roman" w:cs="Times New Roman"/>
          <w:bCs/>
          <w:sz w:val="28"/>
          <w:szCs w:val="28"/>
        </w:rPr>
      </w:pPr>
      <w:r w:rsidRPr="00193921">
        <w:rPr>
          <w:rFonts w:ascii="Times New Roman" w:hAnsi="Times New Roman" w:cs="Times New Roman"/>
          <w:sz w:val="28"/>
          <w:szCs w:val="28"/>
        </w:rPr>
        <w:t xml:space="preserve">This work was carried out as a PhD Thesis, ‘Studying the antiviral activity of drugs against the SARS-CoV-2 virus in vitro ’of Khaidarov Saken under the professional supervision of </w:t>
      </w:r>
      <w:proofErr w:type="spellStart"/>
      <w:r w:rsidRPr="00193921">
        <w:rPr>
          <w:rFonts w:ascii="Times New Roman" w:hAnsi="Times New Roman" w:cs="Times New Roman"/>
          <w:sz w:val="28"/>
          <w:szCs w:val="28"/>
        </w:rPr>
        <w:t>Burashev</w:t>
      </w:r>
      <w:proofErr w:type="spellEnd"/>
      <w:r w:rsidRPr="00193921">
        <w:rPr>
          <w:rFonts w:ascii="Times New Roman" w:hAnsi="Times New Roman" w:cs="Times New Roman"/>
          <w:sz w:val="28"/>
          <w:szCs w:val="28"/>
        </w:rPr>
        <w:t xml:space="preserve"> Yerbol</w:t>
      </w:r>
      <w:r w:rsidR="005E0EBE" w:rsidRPr="00193921">
        <w:rPr>
          <w:rFonts w:ascii="Times New Roman" w:hAnsi="Times New Roman" w:cs="Times New Roman"/>
          <w:sz w:val="28"/>
          <w:szCs w:val="28"/>
        </w:rPr>
        <w:t>,</w:t>
      </w:r>
      <w:r w:rsidRPr="00193921">
        <w:rPr>
          <w:rFonts w:ascii="Times New Roman" w:hAnsi="Times New Roman" w:cs="Times New Roman"/>
          <w:sz w:val="28"/>
          <w:szCs w:val="28"/>
        </w:rPr>
        <w:t xml:space="preserve"> who managed my research within the framework of the grant funding project on the topic:  AP09058338 “Study of anti-viral activity of drugs against S</w:t>
      </w:r>
      <w:r w:rsidR="00CC0D24" w:rsidRPr="00193921">
        <w:rPr>
          <w:rFonts w:ascii="Times New Roman" w:hAnsi="Times New Roman" w:cs="Times New Roman"/>
          <w:sz w:val="28"/>
          <w:szCs w:val="28"/>
        </w:rPr>
        <w:t>ARS</w:t>
      </w:r>
      <w:r w:rsidRPr="00193921">
        <w:rPr>
          <w:rFonts w:ascii="Times New Roman" w:hAnsi="Times New Roman" w:cs="Times New Roman"/>
          <w:sz w:val="28"/>
          <w:szCs w:val="28"/>
        </w:rPr>
        <w:t>-Co</w:t>
      </w:r>
      <w:r w:rsidR="00CC0D24" w:rsidRPr="00193921">
        <w:rPr>
          <w:rFonts w:ascii="Times New Roman" w:hAnsi="Times New Roman" w:cs="Times New Roman"/>
          <w:sz w:val="28"/>
          <w:szCs w:val="28"/>
        </w:rPr>
        <w:t>V</w:t>
      </w:r>
      <w:r w:rsidRPr="00193921">
        <w:rPr>
          <w:rFonts w:ascii="Times New Roman" w:hAnsi="Times New Roman" w:cs="Times New Roman"/>
          <w:sz w:val="28"/>
          <w:szCs w:val="28"/>
        </w:rPr>
        <w:t xml:space="preserve">-2 virus in vitro and conducting molecular-epidemiological analysis of circulating Covid-19 strains“ under targeted funding for 2021–2023 with the support of the Science Committee of the Ministry of Science and Higher Education of the Republic of Kazakhstan. Special gratitude </w:t>
      </w:r>
      <w:r w:rsidR="00CC0D24" w:rsidRPr="00193921">
        <w:rPr>
          <w:rFonts w:ascii="Times New Roman" w:hAnsi="Times New Roman" w:cs="Times New Roman"/>
          <w:sz w:val="28"/>
          <w:szCs w:val="28"/>
        </w:rPr>
        <w:t xml:space="preserve">is extended to the </w:t>
      </w:r>
      <w:r w:rsidR="00CC0D24" w:rsidRPr="00193921">
        <w:rPr>
          <w:rFonts w:ascii="Times New Roman" w:hAnsi="Times New Roman" w:cs="Times New Roman"/>
          <w:sz w:val="28"/>
          <w:szCs w:val="28"/>
        </w:rPr>
        <w:lastRenderedPageBreak/>
        <w:t xml:space="preserve">Department of Pathobiology and Veterinary Science and the </w:t>
      </w:r>
      <w:r w:rsidR="005E0EBE" w:rsidRPr="00193921">
        <w:rPr>
          <w:rFonts w:ascii="Times New Roman" w:hAnsi="Times New Roman" w:cs="Times New Roman"/>
          <w:sz w:val="28"/>
          <w:szCs w:val="28"/>
        </w:rPr>
        <w:t>Centre</w:t>
      </w:r>
      <w:r w:rsidR="00CC0D24" w:rsidRPr="00193921">
        <w:rPr>
          <w:rFonts w:ascii="Times New Roman" w:hAnsi="Times New Roman" w:cs="Times New Roman"/>
          <w:sz w:val="28"/>
          <w:szCs w:val="28"/>
        </w:rPr>
        <w:t xml:space="preserve"> of Excellence for Vaccine Research at the University of Connecticut (UCONN), Storrs, Connecticut, USA, which collaborated closely</w:t>
      </w:r>
      <w:r w:rsidRPr="00193921">
        <w:rPr>
          <w:rFonts w:ascii="Times New Roman" w:hAnsi="Times New Roman" w:cs="Times New Roman"/>
          <w:sz w:val="28"/>
          <w:szCs w:val="28"/>
        </w:rPr>
        <w:t xml:space="preserve"> with the </w:t>
      </w:r>
      <w:bookmarkStart w:id="5" w:name="_Hlk157874386"/>
      <w:r w:rsidRPr="00193921">
        <w:rPr>
          <w:rFonts w:ascii="Times New Roman" w:hAnsi="Times New Roman" w:cs="Times New Roman"/>
          <w:sz w:val="28"/>
          <w:szCs w:val="28"/>
        </w:rPr>
        <w:t>Research Institute for Biological Safety Problems (RIBSP), Gvardeyskiy, Kazakhstan</w:t>
      </w:r>
      <w:bookmarkStart w:id="6" w:name="_Hlk168330181"/>
      <w:bookmarkEnd w:id="5"/>
      <w:r w:rsidR="00CC0D24" w:rsidRPr="00193921">
        <w:rPr>
          <w:rFonts w:ascii="Times New Roman" w:hAnsi="Times New Roman" w:cs="Times New Roman"/>
          <w:sz w:val="28"/>
          <w:szCs w:val="28"/>
        </w:rPr>
        <w:t xml:space="preserve">. </w:t>
      </w:r>
      <w:r w:rsidR="00373CFA" w:rsidRPr="00193921">
        <w:rPr>
          <w:rFonts w:ascii="Times New Roman" w:hAnsi="Times New Roman" w:cs="Times New Roman"/>
          <w:sz w:val="28"/>
          <w:szCs w:val="28"/>
        </w:rPr>
        <w:t xml:space="preserve">Additionally, thanks to the Health Science </w:t>
      </w:r>
      <w:r w:rsidR="00BE5EF5" w:rsidRPr="00193921">
        <w:rPr>
          <w:rFonts w:ascii="Times New Roman" w:hAnsi="Times New Roman" w:cs="Times New Roman"/>
          <w:sz w:val="28"/>
          <w:szCs w:val="28"/>
        </w:rPr>
        <w:t>Centre</w:t>
      </w:r>
      <w:r w:rsidR="00373CFA" w:rsidRPr="00193921">
        <w:rPr>
          <w:rFonts w:ascii="Times New Roman" w:hAnsi="Times New Roman" w:cs="Times New Roman"/>
          <w:sz w:val="28"/>
          <w:szCs w:val="28"/>
        </w:rPr>
        <w:t xml:space="preserve"> (School of Medicine) of Shenzhen University, located </w:t>
      </w:r>
      <w:r w:rsidR="00CC0D24" w:rsidRPr="00193921">
        <w:rPr>
          <w:rFonts w:ascii="Times New Roman" w:hAnsi="Times New Roman" w:cs="Times New Roman"/>
          <w:sz w:val="28"/>
          <w:szCs w:val="28"/>
        </w:rPr>
        <w:t>in</w:t>
      </w:r>
      <w:r w:rsidR="00373CFA" w:rsidRPr="00193921">
        <w:rPr>
          <w:rFonts w:ascii="Times New Roman" w:hAnsi="Times New Roman" w:cs="Times New Roman"/>
          <w:sz w:val="28"/>
          <w:szCs w:val="28"/>
        </w:rPr>
        <w:t xml:space="preserve"> Nanshan District, Shenzhen, during </w:t>
      </w:r>
      <w:r w:rsidR="00A110C2" w:rsidRPr="00193921">
        <w:rPr>
          <w:rFonts w:ascii="Times New Roman" w:hAnsi="Times New Roman" w:cs="Times New Roman"/>
          <w:sz w:val="28"/>
          <w:szCs w:val="28"/>
        </w:rPr>
        <w:t>the</w:t>
      </w:r>
      <w:r w:rsidR="00373CFA" w:rsidRPr="00193921">
        <w:rPr>
          <w:rFonts w:ascii="Times New Roman" w:hAnsi="Times New Roman" w:cs="Times New Roman"/>
          <w:sz w:val="28"/>
          <w:szCs w:val="28"/>
        </w:rPr>
        <w:t xml:space="preserve"> </w:t>
      </w:r>
      <w:r w:rsidR="00FE1F28" w:rsidRPr="00193921">
        <w:rPr>
          <w:rFonts w:ascii="Times New Roman" w:hAnsi="Times New Roman" w:cs="Times New Roman"/>
          <w:sz w:val="28"/>
          <w:szCs w:val="28"/>
        </w:rPr>
        <w:t>2024 3-month PhD mobile program internship</w:t>
      </w:r>
      <w:r w:rsidR="00373CFA" w:rsidRPr="00193921">
        <w:rPr>
          <w:rFonts w:ascii="Times New Roman" w:hAnsi="Times New Roman" w:cs="Times New Roman"/>
          <w:sz w:val="28"/>
          <w:szCs w:val="28"/>
        </w:rPr>
        <w:t xml:space="preserve">, </w:t>
      </w:r>
      <w:r w:rsidR="00A110C2" w:rsidRPr="00193921">
        <w:rPr>
          <w:rFonts w:ascii="Times New Roman" w:hAnsi="Times New Roman" w:cs="Times New Roman"/>
          <w:sz w:val="28"/>
          <w:szCs w:val="28"/>
        </w:rPr>
        <w:t>experiments on TAF and mice were conducted, and the PhD study direction was continued</w:t>
      </w:r>
      <w:r w:rsidRPr="00193921">
        <w:rPr>
          <w:rFonts w:ascii="Times New Roman" w:hAnsi="Times New Roman" w:cs="Times New Roman"/>
          <w:bCs/>
          <w:sz w:val="28"/>
          <w:szCs w:val="28"/>
        </w:rPr>
        <w:t xml:space="preserve">. </w:t>
      </w:r>
      <w:bookmarkEnd w:id="6"/>
    </w:p>
    <w:p w14:paraId="26B2ECCA" w14:textId="77777777" w:rsidR="0018432A" w:rsidRDefault="00853685" w:rsidP="0018432A">
      <w:pPr>
        <w:spacing w:after="0" w:line="240" w:lineRule="auto"/>
        <w:ind w:firstLine="708"/>
        <w:jc w:val="both"/>
        <w:rPr>
          <w:rFonts w:ascii="Times New Roman" w:hAnsi="Times New Roman" w:cs="Times New Roman"/>
          <w:sz w:val="28"/>
          <w:szCs w:val="28"/>
        </w:rPr>
      </w:pPr>
      <w:r w:rsidRPr="00193921">
        <w:rPr>
          <w:rFonts w:ascii="Times New Roman" w:hAnsi="Times New Roman" w:cs="Times New Roman"/>
          <w:b/>
          <w:bCs/>
          <w:sz w:val="28"/>
          <w:szCs w:val="28"/>
        </w:rPr>
        <w:t>The author's contribution to the results described in the dissertation</w:t>
      </w:r>
      <w:r w:rsidR="0018432A">
        <w:rPr>
          <w:rFonts w:ascii="Times New Roman" w:hAnsi="Times New Roman" w:cs="Times New Roman"/>
          <w:b/>
          <w:bCs/>
          <w:sz w:val="28"/>
          <w:szCs w:val="28"/>
        </w:rPr>
        <w:t>.</w:t>
      </w:r>
      <w:r w:rsidRPr="00193921">
        <w:rPr>
          <w:rFonts w:ascii="Times New Roman" w:hAnsi="Times New Roman" w:cs="Times New Roman"/>
          <w:sz w:val="28"/>
          <w:szCs w:val="28"/>
        </w:rPr>
        <w:t xml:space="preserve"> </w:t>
      </w:r>
    </w:p>
    <w:p w14:paraId="3E78477A" w14:textId="3E18C8EA" w:rsidR="00226539" w:rsidRPr="00193921" w:rsidRDefault="00853685" w:rsidP="0018432A">
      <w:pPr>
        <w:spacing w:after="0" w:line="240" w:lineRule="auto"/>
        <w:ind w:firstLine="708"/>
        <w:jc w:val="both"/>
        <w:rPr>
          <w:rFonts w:ascii="Times New Roman" w:hAnsi="Times New Roman" w:cs="Times New Roman"/>
          <w:sz w:val="28"/>
          <w:szCs w:val="28"/>
        </w:rPr>
      </w:pPr>
      <w:r w:rsidRPr="00193921">
        <w:rPr>
          <w:rFonts w:ascii="Times New Roman" w:hAnsi="Times New Roman" w:cs="Times New Roman"/>
          <w:sz w:val="28"/>
          <w:szCs w:val="28"/>
        </w:rPr>
        <w:t xml:space="preserve">The author </w:t>
      </w:r>
      <w:r w:rsidR="00373CFA" w:rsidRPr="00193921">
        <w:rPr>
          <w:rFonts w:ascii="Times New Roman" w:hAnsi="Times New Roman" w:cs="Times New Roman"/>
          <w:sz w:val="28"/>
          <w:szCs w:val="28"/>
        </w:rPr>
        <w:t xml:space="preserve">independently </w:t>
      </w:r>
      <w:r w:rsidR="0018432A">
        <w:rPr>
          <w:rFonts w:ascii="Times New Roman" w:hAnsi="Times New Roman" w:cs="Times New Roman"/>
          <w:sz w:val="28"/>
          <w:szCs w:val="28"/>
        </w:rPr>
        <w:t xml:space="preserve">analysed literature </w:t>
      </w:r>
      <w:r w:rsidR="00C14693">
        <w:rPr>
          <w:rFonts w:ascii="Times New Roman" w:hAnsi="Times New Roman" w:cs="Times New Roman"/>
          <w:sz w:val="28"/>
          <w:szCs w:val="28"/>
        </w:rPr>
        <w:t>on the research problem, set research goals and objectives, conducted experimental research, analysed the results, performed statistical analysis</w:t>
      </w:r>
      <w:r w:rsidR="00373CFA" w:rsidRPr="00193921">
        <w:rPr>
          <w:rFonts w:ascii="Times New Roman" w:hAnsi="Times New Roman" w:cs="Times New Roman"/>
          <w:sz w:val="28"/>
          <w:szCs w:val="28"/>
        </w:rPr>
        <w:t>, and wrote</w:t>
      </w:r>
      <w:r w:rsidRPr="00193921">
        <w:rPr>
          <w:rFonts w:ascii="Times New Roman" w:hAnsi="Times New Roman" w:cs="Times New Roman"/>
          <w:sz w:val="28"/>
          <w:szCs w:val="28"/>
        </w:rPr>
        <w:t xml:space="preserve"> the dissertation.</w:t>
      </w:r>
    </w:p>
    <w:p w14:paraId="73ED8CA1" w14:textId="6DEDF0A5" w:rsidR="00F85361" w:rsidRPr="00193921" w:rsidRDefault="00853685" w:rsidP="0018432A">
      <w:pPr>
        <w:spacing w:after="0" w:line="240" w:lineRule="auto"/>
        <w:ind w:firstLine="708"/>
        <w:jc w:val="both"/>
        <w:rPr>
          <w:rFonts w:ascii="Times New Roman" w:hAnsi="Times New Roman" w:cs="Times New Roman"/>
          <w:b/>
          <w:bCs/>
          <w:sz w:val="28"/>
          <w:szCs w:val="28"/>
        </w:rPr>
      </w:pPr>
      <w:r w:rsidRPr="00193921">
        <w:rPr>
          <w:rFonts w:ascii="Times New Roman" w:hAnsi="Times New Roman" w:cs="Times New Roman"/>
          <w:b/>
          <w:bCs/>
          <w:sz w:val="28"/>
          <w:szCs w:val="28"/>
        </w:rPr>
        <w:t xml:space="preserve">Research </w:t>
      </w:r>
      <w:r w:rsidR="00373CFA" w:rsidRPr="00193921">
        <w:rPr>
          <w:rFonts w:ascii="Times New Roman" w:hAnsi="Times New Roman" w:cs="Times New Roman"/>
          <w:b/>
          <w:bCs/>
          <w:sz w:val="28"/>
          <w:szCs w:val="28"/>
        </w:rPr>
        <w:t>approval:</w:t>
      </w:r>
      <w:r w:rsidR="00373CFA" w:rsidRPr="00193921">
        <w:rPr>
          <w:rFonts w:ascii="Times New Roman" w:hAnsi="Times New Roman" w:cs="Times New Roman"/>
          <w:sz w:val="28"/>
          <w:szCs w:val="28"/>
        </w:rPr>
        <w:t xml:space="preserve"> The research results and the main principles of the dissertation were presented and discussed at the following international scientific conferences and symposia: </w:t>
      </w:r>
      <w:r w:rsidR="00F774EF" w:rsidRPr="00193921">
        <w:rPr>
          <w:rFonts w:ascii="Times New Roman" w:hAnsi="Times New Roman" w:cs="Times New Roman"/>
          <w:sz w:val="28"/>
          <w:szCs w:val="28"/>
        </w:rPr>
        <w:t>«Modern Scientific Technology» (February 9-10, 2023), Stockholm, Sweden; and the</w:t>
      </w:r>
      <w:r w:rsidR="00373CFA" w:rsidRPr="00193921">
        <w:rPr>
          <w:rFonts w:ascii="Times New Roman" w:hAnsi="Times New Roman" w:cs="Times New Roman"/>
          <w:sz w:val="28"/>
          <w:szCs w:val="28"/>
        </w:rPr>
        <w:t xml:space="preserve"> 3rd International Conference on Virology and Infectious Diseases, including</w:t>
      </w:r>
      <w:r w:rsidRPr="00193921">
        <w:rPr>
          <w:rFonts w:ascii="Times New Roman" w:hAnsi="Times New Roman" w:cs="Times New Roman"/>
          <w:sz w:val="28"/>
          <w:szCs w:val="28"/>
        </w:rPr>
        <w:t xml:space="preserve"> COVID-19, </w:t>
      </w:r>
      <w:r w:rsidR="00C3025F" w:rsidRPr="00193921">
        <w:rPr>
          <w:rFonts w:ascii="Times New Roman" w:hAnsi="Times New Roman" w:cs="Times New Roman"/>
          <w:sz w:val="28"/>
          <w:szCs w:val="28"/>
        </w:rPr>
        <w:t xml:space="preserve">held on October 24-25, 2022, in </w:t>
      </w:r>
      <w:r w:rsidRPr="00193921">
        <w:rPr>
          <w:rFonts w:ascii="Times New Roman" w:hAnsi="Times New Roman" w:cs="Times New Roman"/>
          <w:sz w:val="28"/>
          <w:szCs w:val="28"/>
        </w:rPr>
        <w:t>Dubai, UAE</w:t>
      </w:r>
      <w:r w:rsidR="00F85361" w:rsidRPr="00193921">
        <w:rPr>
          <w:rFonts w:ascii="Times New Roman" w:hAnsi="Times New Roman" w:cs="Times New Roman"/>
          <w:sz w:val="28"/>
          <w:szCs w:val="28"/>
        </w:rPr>
        <w:t xml:space="preserve">. </w:t>
      </w:r>
      <w:r w:rsidRPr="00193921">
        <w:rPr>
          <w:rFonts w:ascii="Times New Roman" w:hAnsi="Times New Roman" w:cs="Times New Roman"/>
          <w:sz w:val="28"/>
          <w:szCs w:val="28"/>
        </w:rPr>
        <w:t xml:space="preserve">Proceedings of the 1st International </w:t>
      </w:r>
      <w:r w:rsidR="00F85361" w:rsidRPr="00193921">
        <w:rPr>
          <w:rFonts w:ascii="Times New Roman" w:hAnsi="Times New Roman" w:cs="Times New Roman"/>
          <w:sz w:val="28"/>
          <w:szCs w:val="28"/>
        </w:rPr>
        <w:t>Scientific Conference</w:t>
      </w:r>
      <w:r w:rsidRPr="00193921">
        <w:rPr>
          <w:rFonts w:ascii="Times New Roman" w:hAnsi="Times New Roman" w:cs="Times New Roman"/>
          <w:sz w:val="28"/>
          <w:szCs w:val="28"/>
        </w:rPr>
        <w:t xml:space="preserve">, 26-27 January 2023, Warsaw, </w:t>
      </w:r>
      <w:r w:rsidR="00F85361" w:rsidRPr="00193921">
        <w:rPr>
          <w:rFonts w:ascii="Times New Roman" w:hAnsi="Times New Roman" w:cs="Times New Roman"/>
          <w:sz w:val="28"/>
          <w:szCs w:val="28"/>
        </w:rPr>
        <w:t>Poland</w:t>
      </w:r>
      <w:r w:rsidR="00ED2348" w:rsidRPr="00193921">
        <w:rPr>
          <w:rFonts w:ascii="Times New Roman" w:hAnsi="Times New Roman" w:cs="Times New Roman"/>
          <w:sz w:val="28"/>
          <w:szCs w:val="28"/>
        </w:rPr>
        <w:t>,</w:t>
      </w:r>
      <w:r w:rsidR="00F85361" w:rsidRPr="00193921">
        <w:rPr>
          <w:rFonts w:ascii="Times New Roman" w:hAnsi="Times New Roman" w:cs="Times New Roman"/>
          <w:sz w:val="28"/>
          <w:szCs w:val="28"/>
        </w:rPr>
        <w:t xml:space="preserve"> II</w:t>
      </w:r>
      <w:r w:rsidRPr="00193921">
        <w:rPr>
          <w:rFonts w:ascii="Times New Roman" w:hAnsi="Times New Roman" w:cs="Times New Roman"/>
          <w:sz w:val="28"/>
          <w:szCs w:val="28"/>
        </w:rPr>
        <w:t xml:space="preserve"> International Forum "Asfen Forum, new generation-2024" on June 6-7, 2024, in Almaty, Kazakhstan</w:t>
      </w:r>
    </w:p>
    <w:p w14:paraId="1C50F9E4" w14:textId="6EE46FA1" w:rsidR="00226539" w:rsidRPr="00193921" w:rsidRDefault="00853685" w:rsidP="0018432A">
      <w:pPr>
        <w:spacing w:after="0" w:line="240" w:lineRule="auto"/>
        <w:ind w:firstLine="708"/>
        <w:jc w:val="both"/>
        <w:rPr>
          <w:rFonts w:ascii="Times New Roman" w:hAnsi="Times New Roman" w:cs="Times New Roman"/>
          <w:sz w:val="28"/>
          <w:szCs w:val="28"/>
        </w:rPr>
      </w:pPr>
      <w:r w:rsidRPr="00193921">
        <w:rPr>
          <w:rFonts w:ascii="Times New Roman" w:hAnsi="Times New Roman" w:cs="Times New Roman"/>
          <w:b/>
          <w:bCs/>
          <w:sz w:val="28"/>
          <w:szCs w:val="28"/>
        </w:rPr>
        <w:t xml:space="preserve">Publications: </w:t>
      </w:r>
      <w:r w:rsidRPr="00193921">
        <w:rPr>
          <w:rFonts w:ascii="Times New Roman" w:hAnsi="Times New Roman" w:cs="Times New Roman"/>
          <w:sz w:val="28"/>
          <w:szCs w:val="28"/>
        </w:rPr>
        <w:t xml:space="preserve">The main result of the dissertation consists of </w:t>
      </w:r>
      <w:r w:rsidR="0075196B" w:rsidRPr="00193921">
        <w:rPr>
          <w:rFonts w:ascii="Times New Roman" w:hAnsi="Times New Roman" w:cs="Times New Roman"/>
          <w:sz w:val="28"/>
          <w:szCs w:val="28"/>
        </w:rPr>
        <w:t>1</w:t>
      </w:r>
      <w:r w:rsidR="00DA6D0A" w:rsidRPr="00193921">
        <w:rPr>
          <w:rFonts w:ascii="Times New Roman" w:hAnsi="Times New Roman" w:cs="Times New Roman"/>
          <w:sz w:val="28"/>
          <w:szCs w:val="28"/>
        </w:rPr>
        <w:t>2</w:t>
      </w:r>
      <w:r w:rsidR="00F774EF" w:rsidRPr="00193921">
        <w:rPr>
          <w:rFonts w:ascii="Times New Roman" w:hAnsi="Times New Roman" w:cs="Times New Roman"/>
          <w:sz w:val="28"/>
          <w:szCs w:val="28"/>
        </w:rPr>
        <w:t xml:space="preserve"> published works, including </w:t>
      </w:r>
      <w:r w:rsidR="00DA6D0A" w:rsidRPr="00193921">
        <w:rPr>
          <w:rFonts w:ascii="Times New Roman" w:hAnsi="Times New Roman" w:cs="Times New Roman"/>
          <w:sz w:val="28"/>
          <w:szCs w:val="28"/>
        </w:rPr>
        <w:t>2</w:t>
      </w:r>
      <w:r w:rsidR="00F774EF" w:rsidRPr="00193921">
        <w:rPr>
          <w:rFonts w:ascii="Times New Roman" w:hAnsi="Times New Roman" w:cs="Times New Roman"/>
          <w:sz w:val="28"/>
          <w:szCs w:val="28"/>
        </w:rPr>
        <w:t xml:space="preserve"> article</w:t>
      </w:r>
      <w:r w:rsidR="0075196B" w:rsidRPr="00193921">
        <w:rPr>
          <w:rFonts w:ascii="Times New Roman" w:hAnsi="Times New Roman" w:cs="Times New Roman"/>
          <w:sz w:val="28"/>
          <w:szCs w:val="28"/>
        </w:rPr>
        <w:t>s</w:t>
      </w:r>
      <w:r w:rsidR="00F774EF" w:rsidRPr="00193921">
        <w:rPr>
          <w:rFonts w:ascii="Times New Roman" w:hAnsi="Times New Roman" w:cs="Times New Roman"/>
          <w:sz w:val="28"/>
          <w:szCs w:val="28"/>
        </w:rPr>
        <w:t xml:space="preserve"> in peer-reviewed international scientific journals indexed in the Web of Science or Scopus databases, </w:t>
      </w:r>
      <w:r w:rsidR="00DA6D0A" w:rsidRPr="00193921">
        <w:rPr>
          <w:rFonts w:ascii="Times New Roman" w:hAnsi="Times New Roman" w:cs="Times New Roman"/>
          <w:sz w:val="28"/>
          <w:szCs w:val="28"/>
        </w:rPr>
        <w:t>5</w:t>
      </w:r>
      <w:r w:rsidR="00F774EF" w:rsidRPr="00193921">
        <w:rPr>
          <w:rFonts w:ascii="Times New Roman" w:hAnsi="Times New Roman" w:cs="Times New Roman"/>
          <w:sz w:val="28"/>
          <w:szCs w:val="28"/>
        </w:rPr>
        <w:t xml:space="preserve"> articles listed in</w:t>
      </w:r>
      <w:r w:rsidRPr="00193921">
        <w:rPr>
          <w:rFonts w:ascii="Times New Roman" w:hAnsi="Times New Roman" w:cs="Times New Roman"/>
          <w:sz w:val="28"/>
          <w:szCs w:val="28"/>
        </w:rPr>
        <w:t xml:space="preserve"> the Committee for Control in the Sphere of Education and Science of the Republic of Kazakhstan, and </w:t>
      </w:r>
      <w:r w:rsidR="008E18BE" w:rsidRPr="00193921">
        <w:rPr>
          <w:rFonts w:ascii="Times New Roman" w:hAnsi="Times New Roman" w:cs="Times New Roman"/>
          <w:sz w:val="28"/>
          <w:szCs w:val="28"/>
        </w:rPr>
        <w:t>5</w:t>
      </w:r>
      <w:r w:rsidRPr="00193921">
        <w:rPr>
          <w:rFonts w:ascii="Times New Roman" w:hAnsi="Times New Roman" w:cs="Times New Roman"/>
          <w:sz w:val="28"/>
          <w:szCs w:val="28"/>
        </w:rPr>
        <w:t xml:space="preserve"> </w:t>
      </w:r>
      <w:r w:rsidR="008E18BE" w:rsidRPr="00193921">
        <w:rPr>
          <w:rFonts w:ascii="Times New Roman" w:hAnsi="Times New Roman" w:cs="Times New Roman"/>
          <w:sz w:val="28"/>
          <w:szCs w:val="28"/>
        </w:rPr>
        <w:t>theses</w:t>
      </w:r>
      <w:r w:rsidRPr="00193921">
        <w:rPr>
          <w:rFonts w:ascii="Times New Roman" w:hAnsi="Times New Roman" w:cs="Times New Roman"/>
          <w:sz w:val="28"/>
          <w:szCs w:val="28"/>
        </w:rPr>
        <w:t xml:space="preserve"> published at international conferences. </w:t>
      </w:r>
    </w:p>
    <w:p w14:paraId="3FF502D2" w14:textId="446CA80F" w:rsidR="00BC4052" w:rsidRPr="00193921" w:rsidRDefault="00853685" w:rsidP="0018432A">
      <w:pPr>
        <w:spacing w:after="0" w:line="240" w:lineRule="auto"/>
        <w:ind w:firstLine="708"/>
        <w:jc w:val="both"/>
        <w:rPr>
          <w:rFonts w:ascii="Times New Roman" w:hAnsi="Times New Roman" w:cs="Times New Roman"/>
          <w:sz w:val="28"/>
          <w:szCs w:val="28"/>
        </w:rPr>
      </w:pPr>
      <w:r w:rsidRPr="00193921">
        <w:rPr>
          <w:rFonts w:ascii="Times New Roman" w:hAnsi="Times New Roman" w:cs="Times New Roman"/>
          <w:b/>
          <w:bCs/>
          <w:sz w:val="28"/>
          <w:szCs w:val="28"/>
        </w:rPr>
        <w:t xml:space="preserve">Dissertation structure: </w:t>
      </w:r>
      <w:r w:rsidRPr="00193921">
        <w:rPr>
          <w:rFonts w:ascii="Times New Roman" w:hAnsi="Times New Roman" w:cs="Times New Roman"/>
          <w:sz w:val="28"/>
          <w:szCs w:val="28"/>
        </w:rPr>
        <w:t>The dissertation comprises 1</w:t>
      </w:r>
      <w:r w:rsidR="00F371A4" w:rsidRPr="00C463B8">
        <w:rPr>
          <w:rFonts w:ascii="Times New Roman" w:hAnsi="Times New Roman" w:cs="Times New Roman"/>
          <w:sz w:val="28"/>
          <w:szCs w:val="28"/>
          <w:lang w:val="en-US"/>
        </w:rPr>
        <w:t>40</w:t>
      </w:r>
      <w:r w:rsidRPr="00193921">
        <w:rPr>
          <w:rFonts w:ascii="Times New Roman" w:hAnsi="Times New Roman" w:cs="Times New Roman"/>
          <w:sz w:val="28"/>
          <w:szCs w:val="28"/>
        </w:rPr>
        <w:t xml:space="preserve"> pages of </w:t>
      </w:r>
      <w:r w:rsidR="00373CFA" w:rsidRPr="00193921">
        <w:rPr>
          <w:rFonts w:ascii="Times New Roman" w:hAnsi="Times New Roman" w:cs="Times New Roman"/>
          <w:sz w:val="28"/>
          <w:szCs w:val="28"/>
        </w:rPr>
        <w:t xml:space="preserve">computer-generated text, symbols, and abbreviations, </w:t>
      </w:r>
      <w:r w:rsidR="00C3025F" w:rsidRPr="00193921">
        <w:rPr>
          <w:rFonts w:ascii="Times New Roman" w:hAnsi="Times New Roman" w:cs="Times New Roman"/>
          <w:sz w:val="28"/>
          <w:szCs w:val="28"/>
        </w:rPr>
        <w:t xml:space="preserve">as well as </w:t>
      </w:r>
      <w:r w:rsidR="00373CFA" w:rsidRPr="00193921">
        <w:rPr>
          <w:rFonts w:ascii="Times New Roman" w:hAnsi="Times New Roman" w:cs="Times New Roman"/>
          <w:sz w:val="28"/>
          <w:szCs w:val="28"/>
        </w:rPr>
        <w:t>an introduction, a literature review, research materials and methods, research results and their discussion, a conclusion, and a list of used literature</w:t>
      </w:r>
      <w:r w:rsidR="00C3025F" w:rsidRPr="00193921">
        <w:rPr>
          <w:rFonts w:ascii="Times New Roman" w:hAnsi="Times New Roman" w:cs="Times New Roman"/>
          <w:sz w:val="28"/>
          <w:szCs w:val="28"/>
        </w:rPr>
        <w:t>, totalling 1</w:t>
      </w:r>
      <w:r w:rsidR="00B75453" w:rsidRPr="00B75453">
        <w:rPr>
          <w:rFonts w:ascii="Times New Roman" w:hAnsi="Times New Roman" w:cs="Times New Roman"/>
          <w:sz w:val="28"/>
          <w:szCs w:val="28"/>
          <w:lang w:val="en-US"/>
        </w:rPr>
        <w:t>31</w:t>
      </w:r>
      <w:r w:rsidR="00C3025F" w:rsidRPr="00193921">
        <w:rPr>
          <w:rFonts w:ascii="Times New Roman" w:hAnsi="Times New Roman" w:cs="Times New Roman"/>
          <w:sz w:val="28"/>
          <w:szCs w:val="28"/>
        </w:rPr>
        <w:t xml:space="preserve"> entries</w:t>
      </w:r>
      <w:r w:rsidRPr="00193921">
        <w:rPr>
          <w:rFonts w:ascii="Times New Roman" w:hAnsi="Times New Roman" w:cs="Times New Roman"/>
          <w:sz w:val="28"/>
          <w:szCs w:val="28"/>
        </w:rPr>
        <w:t xml:space="preserve">. The work </w:t>
      </w:r>
      <w:r w:rsidR="009D18D5">
        <w:rPr>
          <w:rFonts w:ascii="Times New Roman" w:hAnsi="Times New Roman" w:cs="Times New Roman"/>
          <w:sz w:val="28"/>
          <w:szCs w:val="28"/>
        </w:rPr>
        <w:t>includes 9 tables, 9 mathematical formulas, 48 figures, 5 appendices, and 1</w:t>
      </w:r>
      <w:r w:rsidR="00D5382B" w:rsidRPr="00193921">
        <w:rPr>
          <w:rFonts w:ascii="Times New Roman" w:hAnsi="Times New Roman" w:cs="Times New Roman"/>
          <w:sz w:val="28"/>
          <w:szCs w:val="28"/>
        </w:rPr>
        <w:t xml:space="preserve"> monograph. </w:t>
      </w:r>
      <w:r w:rsidRPr="00193921">
        <w:rPr>
          <w:rFonts w:ascii="Times New Roman" w:hAnsi="Times New Roman" w:cs="Times New Roman"/>
          <w:sz w:val="28"/>
          <w:szCs w:val="28"/>
        </w:rPr>
        <w:t xml:space="preserve">  </w:t>
      </w:r>
    </w:p>
    <w:p w14:paraId="560FEB8D" w14:textId="7B1DED24" w:rsidR="00CC0D24" w:rsidRPr="00193921" w:rsidRDefault="00671464" w:rsidP="0018432A">
      <w:pPr>
        <w:spacing w:after="0" w:line="240" w:lineRule="auto"/>
        <w:ind w:firstLine="708"/>
        <w:jc w:val="both"/>
        <w:rPr>
          <w:rFonts w:ascii="Times New Roman" w:hAnsi="Times New Roman" w:cs="Times New Roman"/>
          <w:sz w:val="28"/>
          <w:szCs w:val="28"/>
        </w:rPr>
      </w:pPr>
      <w:r w:rsidRPr="00193921">
        <w:rPr>
          <w:rFonts w:ascii="Times New Roman" w:hAnsi="Times New Roman" w:cs="Times New Roman"/>
          <w:b/>
          <w:bCs/>
          <w:sz w:val="28"/>
          <w:szCs w:val="28"/>
        </w:rPr>
        <w:t xml:space="preserve">Artificial intelligence (AI) usage: </w:t>
      </w:r>
      <w:r w:rsidRPr="00193921">
        <w:rPr>
          <w:rFonts w:ascii="Times New Roman" w:hAnsi="Times New Roman" w:cs="Times New Roman"/>
          <w:sz w:val="28"/>
          <w:szCs w:val="28"/>
        </w:rPr>
        <w:t xml:space="preserve">In this dissertation, the author did </w:t>
      </w:r>
      <w:r w:rsidRPr="00193921">
        <w:rPr>
          <w:rFonts w:ascii="Times New Roman" w:hAnsi="Times New Roman" w:cs="Times New Roman"/>
          <w:b/>
          <w:bCs/>
          <w:sz w:val="28"/>
          <w:szCs w:val="28"/>
        </w:rPr>
        <w:t>not</w:t>
      </w:r>
      <w:r w:rsidRPr="00193921">
        <w:rPr>
          <w:rFonts w:ascii="Times New Roman" w:hAnsi="Times New Roman" w:cs="Times New Roman"/>
          <w:sz w:val="28"/>
          <w:szCs w:val="28"/>
        </w:rPr>
        <w:t xml:space="preserve"> </w:t>
      </w:r>
      <w:r w:rsidR="009D18D5">
        <w:rPr>
          <w:rFonts w:ascii="Times New Roman" w:hAnsi="Times New Roman" w:cs="Times New Roman"/>
          <w:sz w:val="28"/>
          <w:szCs w:val="28"/>
        </w:rPr>
        <w:t xml:space="preserve">use </w:t>
      </w:r>
      <w:r w:rsidR="0021436A">
        <w:rPr>
          <w:rFonts w:ascii="Times New Roman" w:hAnsi="Times New Roman" w:cs="Times New Roman"/>
          <w:sz w:val="28"/>
          <w:szCs w:val="28"/>
        </w:rPr>
        <w:t>any AI, either for text generation</w:t>
      </w:r>
      <w:r w:rsidR="008044C1">
        <w:rPr>
          <w:rFonts w:ascii="Times New Roman" w:hAnsi="Times New Roman" w:cs="Times New Roman"/>
          <w:sz w:val="28"/>
          <w:szCs w:val="28"/>
        </w:rPr>
        <w:t>, statistics,</w:t>
      </w:r>
      <w:r w:rsidRPr="00193921">
        <w:rPr>
          <w:rFonts w:ascii="Times New Roman" w:hAnsi="Times New Roman" w:cs="Times New Roman"/>
          <w:sz w:val="28"/>
          <w:szCs w:val="28"/>
        </w:rPr>
        <w:t xml:space="preserve"> or other data processing.  All data and entries were made by the author himself, singlehandedly and responsibly. </w:t>
      </w:r>
    </w:p>
    <w:p w14:paraId="26B260FA" w14:textId="77777777" w:rsidR="001D4129" w:rsidRPr="00193921" w:rsidRDefault="001D4129" w:rsidP="00193921">
      <w:pPr>
        <w:spacing w:after="0" w:line="240" w:lineRule="auto"/>
        <w:ind w:firstLineChars="709" w:firstLine="1985"/>
        <w:jc w:val="both"/>
        <w:rPr>
          <w:rFonts w:ascii="Times New Roman" w:hAnsi="Times New Roman" w:cs="Times New Roman"/>
          <w:sz w:val="28"/>
          <w:szCs w:val="28"/>
        </w:rPr>
      </w:pPr>
    </w:p>
    <w:p w14:paraId="7B98E800" w14:textId="77777777" w:rsidR="00C87959" w:rsidRPr="00193921" w:rsidRDefault="00C87959" w:rsidP="00193921">
      <w:pPr>
        <w:spacing w:after="0" w:line="240" w:lineRule="auto"/>
        <w:ind w:firstLineChars="709" w:firstLine="1985"/>
        <w:jc w:val="both"/>
        <w:rPr>
          <w:rFonts w:ascii="Times New Roman" w:hAnsi="Times New Roman" w:cs="Times New Roman"/>
          <w:sz w:val="28"/>
          <w:szCs w:val="28"/>
        </w:rPr>
      </w:pPr>
    </w:p>
    <w:p w14:paraId="5B254EC7" w14:textId="77777777" w:rsidR="00ED2348" w:rsidRPr="00193921" w:rsidRDefault="00ED2348" w:rsidP="00193921">
      <w:pPr>
        <w:spacing w:after="0" w:line="240" w:lineRule="auto"/>
        <w:ind w:firstLineChars="709" w:firstLine="1985"/>
        <w:jc w:val="both"/>
        <w:rPr>
          <w:rFonts w:ascii="Times New Roman" w:hAnsi="Times New Roman" w:cs="Times New Roman"/>
          <w:sz w:val="28"/>
          <w:szCs w:val="28"/>
        </w:rPr>
      </w:pPr>
    </w:p>
    <w:p w14:paraId="1D6A9379" w14:textId="77777777" w:rsidR="00ED2348" w:rsidRPr="00193921" w:rsidRDefault="00ED2348" w:rsidP="00193921">
      <w:pPr>
        <w:spacing w:after="0" w:line="240" w:lineRule="auto"/>
        <w:ind w:firstLineChars="709" w:firstLine="1985"/>
        <w:jc w:val="both"/>
        <w:rPr>
          <w:rFonts w:ascii="Times New Roman" w:hAnsi="Times New Roman" w:cs="Times New Roman"/>
          <w:sz w:val="28"/>
          <w:szCs w:val="28"/>
        </w:rPr>
      </w:pPr>
    </w:p>
    <w:p w14:paraId="7E81F037" w14:textId="77777777" w:rsidR="00ED2348" w:rsidRPr="00193921" w:rsidRDefault="00ED2348" w:rsidP="00193921">
      <w:pPr>
        <w:spacing w:after="0" w:line="240" w:lineRule="auto"/>
        <w:ind w:firstLineChars="709" w:firstLine="1985"/>
        <w:jc w:val="both"/>
        <w:rPr>
          <w:rFonts w:ascii="Times New Roman" w:hAnsi="Times New Roman" w:cs="Times New Roman"/>
          <w:sz w:val="28"/>
          <w:szCs w:val="28"/>
        </w:rPr>
      </w:pPr>
    </w:p>
    <w:p w14:paraId="6A885A94" w14:textId="77777777" w:rsidR="00ED2348" w:rsidRPr="00193921" w:rsidRDefault="00ED2348" w:rsidP="00193921">
      <w:pPr>
        <w:spacing w:after="0" w:line="240" w:lineRule="auto"/>
        <w:ind w:firstLineChars="709" w:firstLine="1985"/>
        <w:jc w:val="both"/>
        <w:rPr>
          <w:rFonts w:ascii="Times New Roman" w:hAnsi="Times New Roman" w:cs="Times New Roman"/>
          <w:sz w:val="28"/>
          <w:szCs w:val="28"/>
        </w:rPr>
      </w:pPr>
    </w:p>
    <w:p w14:paraId="22F1B83F" w14:textId="77777777" w:rsidR="00ED2348" w:rsidRPr="006531C9" w:rsidRDefault="00ED2348" w:rsidP="000B4B42">
      <w:pPr>
        <w:spacing w:line="360" w:lineRule="auto"/>
        <w:ind w:firstLineChars="709" w:firstLine="1702"/>
        <w:jc w:val="both"/>
        <w:rPr>
          <w:rFonts w:ascii="Times New Roman" w:hAnsi="Times New Roman" w:cs="Times New Roman"/>
          <w:sz w:val="24"/>
          <w:szCs w:val="24"/>
        </w:rPr>
      </w:pPr>
    </w:p>
    <w:p w14:paraId="68FCA37F" w14:textId="77777777" w:rsidR="00ED2348" w:rsidRPr="006531C9" w:rsidRDefault="00ED2348" w:rsidP="000B4B42">
      <w:pPr>
        <w:spacing w:line="360" w:lineRule="auto"/>
        <w:ind w:firstLineChars="709" w:firstLine="1702"/>
        <w:jc w:val="both"/>
        <w:rPr>
          <w:rFonts w:ascii="Times New Roman" w:hAnsi="Times New Roman" w:cs="Times New Roman"/>
          <w:sz w:val="24"/>
          <w:szCs w:val="24"/>
        </w:rPr>
      </w:pPr>
    </w:p>
    <w:p w14:paraId="6DDE9358" w14:textId="77777777" w:rsidR="00CB7C62" w:rsidRPr="006531C9" w:rsidRDefault="00CB7C62" w:rsidP="0018432A">
      <w:pPr>
        <w:spacing w:line="360" w:lineRule="auto"/>
        <w:jc w:val="both"/>
        <w:rPr>
          <w:rFonts w:ascii="Times New Roman" w:hAnsi="Times New Roman" w:cs="Times New Roman"/>
          <w:sz w:val="24"/>
          <w:szCs w:val="24"/>
        </w:rPr>
      </w:pPr>
    </w:p>
    <w:p w14:paraId="122B3E3B" w14:textId="54669E57" w:rsidR="0086299F" w:rsidRDefault="00193921" w:rsidP="00193921">
      <w:pPr>
        <w:pStyle w:val="af1"/>
        <w:numPr>
          <w:ilvl w:val="0"/>
          <w:numId w:val="71"/>
        </w:numPr>
        <w:spacing w:line="240" w:lineRule="auto"/>
        <w:ind w:hanging="11"/>
        <w:jc w:val="both"/>
        <w:rPr>
          <w:rFonts w:ascii="Times New Roman" w:hAnsi="Times New Roman" w:cs="Times New Roman"/>
          <w:b/>
          <w:bCs/>
          <w:sz w:val="28"/>
          <w:szCs w:val="28"/>
        </w:rPr>
      </w:pPr>
      <w:r w:rsidRPr="00193921">
        <w:rPr>
          <w:rFonts w:ascii="Times New Roman" w:hAnsi="Times New Roman" w:cs="Times New Roman"/>
          <w:b/>
          <w:bCs/>
          <w:sz w:val="28"/>
          <w:szCs w:val="28"/>
        </w:rPr>
        <w:lastRenderedPageBreak/>
        <w:t xml:space="preserve">LITERATURE REVIEW </w:t>
      </w:r>
    </w:p>
    <w:p w14:paraId="220B16F5" w14:textId="77777777" w:rsidR="00407559" w:rsidRPr="00193921" w:rsidRDefault="00407559" w:rsidP="002100A3">
      <w:pPr>
        <w:pStyle w:val="af1"/>
        <w:spacing w:line="240" w:lineRule="auto"/>
        <w:jc w:val="both"/>
        <w:rPr>
          <w:rFonts w:ascii="Times New Roman" w:hAnsi="Times New Roman" w:cs="Times New Roman"/>
          <w:b/>
          <w:bCs/>
          <w:sz w:val="28"/>
          <w:szCs w:val="28"/>
        </w:rPr>
      </w:pPr>
    </w:p>
    <w:p w14:paraId="40223429" w14:textId="0D644163" w:rsidR="00C14693" w:rsidRDefault="00C14693" w:rsidP="00C14693">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 xml:space="preserve">1.1 </w:t>
      </w:r>
      <w:r w:rsidRPr="00C14693">
        <w:rPr>
          <w:rFonts w:ascii="Times New Roman" w:hAnsi="Times New Roman" w:cs="Times New Roman"/>
          <w:b/>
          <w:bCs/>
          <w:sz w:val="28"/>
          <w:szCs w:val="28"/>
        </w:rPr>
        <w:t>The biology of coronaviruses</w:t>
      </w:r>
      <w:r>
        <w:rPr>
          <w:rFonts w:ascii="Times New Roman" w:hAnsi="Times New Roman" w:cs="Times New Roman"/>
          <w:b/>
          <w:bCs/>
          <w:sz w:val="28"/>
          <w:szCs w:val="28"/>
        </w:rPr>
        <w:t xml:space="preserve"> </w:t>
      </w:r>
    </w:p>
    <w:p w14:paraId="4514EB56" w14:textId="1747FF84" w:rsidR="003A2659" w:rsidRDefault="003A2659" w:rsidP="003A2659">
      <w:pPr>
        <w:spacing w:after="0" w:line="240" w:lineRule="auto"/>
        <w:ind w:firstLine="851"/>
        <w:jc w:val="both"/>
        <w:rPr>
          <w:rFonts w:ascii="Times New Roman" w:hAnsi="Times New Roman" w:cs="Times New Roman"/>
          <w:sz w:val="28"/>
          <w:szCs w:val="28"/>
        </w:rPr>
      </w:pPr>
      <w:r w:rsidRPr="003A2659">
        <w:rPr>
          <w:rFonts w:ascii="Times New Roman" w:hAnsi="Times New Roman" w:cs="Times New Roman"/>
          <w:sz w:val="28"/>
          <w:szCs w:val="28"/>
        </w:rPr>
        <w:t xml:space="preserve">Coronaviruses (CoVs) are a large family of RNA viruses that have caused notable outbreaks in humans over the past five decades. While most coronaviruses lead to mild respiratory illnesses, three novel strains emerging since 2002 have resulted in severe diseases and global health crises. In the pre-2000s era, human coronaviruses such as HCoV-229E and HCoV-OC43, identified in the 1960s–1970s, and later HCoV-NL63 and HCoV-HKU1 in the 1980s–1990s, were primarily linked to common cold symptoms, accounting for roughly 15–30% of annual cases but posing no </w:t>
      </w:r>
      <w:r>
        <w:rPr>
          <w:rFonts w:ascii="Times New Roman" w:hAnsi="Times New Roman" w:cs="Times New Roman"/>
          <w:sz w:val="28"/>
          <w:szCs w:val="28"/>
        </w:rPr>
        <w:t>significant</w:t>
      </w:r>
      <w:r w:rsidRPr="003A2659">
        <w:rPr>
          <w:rFonts w:ascii="Times New Roman" w:hAnsi="Times New Roman" w:cs="Times New Roman"/>
          <w:sz w:val="28"/>
          <w:szCs w:val="28"/>
        </w:rPr>
        <w:t xml:space="preserve"> public health concern. This perception changed with the 2002–2003 SARS-CoV-1 outbreak, which originated in Guangdong, China, likely from bats via civet cats, leading to 8,098 confirmed cases and 774 deaths (a 9.6% fatality rate) across 26 countries. The epidemic was contained through aggressive public health interventions, marking the first modern warning of the pandemic potential of zoonotic coronaviruses and stimulating research into coronavirus biology and preparedness. A decade later, MERS-CoV emerged in 2012 in Saudi Arabia, transmitted from dromedary camels with bats as the reservoir. Despite a high fatality rate of 34.4% (936 deaths among 2,605 cases as of 2023), MERS remained </w:t>
      </w:r>
      <w:r>
        <w:rPr>
          <w:rFonts w:ascii="Times New Roman" w:hAnsi="Times New Roman" w:cs="Times New Roman"/>
          <w:sz w:val="28"/>
          <w:szCs w:val="28"/>
        </w:rPr>
        <w:t>primarily</w:t>
      </w:r>
      <w:r w:rsidRPr="003A2659">
        <w:rPr>
          <w:rFonts w:ascii="Times New Roman" w:hAnsi="Times New Roman" w:cs="Times New Roman"/>
          <w:sz w:val="28"/>
          <w:szCs w:val="28"/>
        </w:rPr>
        <w:t xml:space="preserve"> regional due to limited human-to-human transmission, illustrating how varying transmissibility and virulence shape the global impact of emerging coronaviruses [1–2].</w:t>
      </w:r>
    </w:p>
    <w:p w14:paraId="3404BACA" w14:textId="77777777" w:rsidR="003A2659" w:rsidRDefault="003A2659" w:rsidP="003A2659">
      <w:pPr>
        <w:spacing w:after="0" w:line="240" w:lineRule="auto"/>
        <w:ind w:firstLine="709"/>
        <w:jc w:val="both"/>
        <w:rPr>
          <w:rFonts w:ascii="Times New Roman" w:hAnsi="Times New Roman" w:cs="Times New Roman"/>
          <w:sz w:val="28"/>
          <w:szCs w:val="28"/>
        </w:rPr>
      </w:pPr>
      <w:r w:rsidRPr="003A2659">
        <w:rPr>
          <w:rFonts w:ascii="Times New Roman" w:hAnsi="Times New Roman" w:cs="Times New Roman"/>
          <w:sz w:val="28"/>
          <w:szCs w:val="28"/>
        </w:rPr>
        <w:t>SARS-CoV-1 reinforced the global need to monitor zoonotic viruses in animal reservoirs, a lesson that became critical with the emergence of SARS-CoV-2 in late 2019. Likely originating in bats and possibly transmitted through an intermediate host such as pangolins, SARS-CoV-2 emerged in Wuhan, China, and rapidly spread worldwide. By 2023, the virus had caused over 700 million confirmed cases and approximately 7 million deaths globally. The disease ranged from mild respiratory illness to severe, multisystem complications—including the persistent condition known as Long COVID—placing immense strain on healthcare systems [1]. Beyond health effects, the pandemic triggered profound socioeconomic disruptions: lockdowns, travel restrictions, and global recessions reshaped modern societies and economies. Continuous viral evolution, driven by rapid antigenic drift, produced variants of concern such as Alpha, Delta, and Omicron, capable of evading prior immunity and necessitating updated vaccines. In response, the scientific community achieved unprecedented advances, most notably in mRNA vaccine technology and genomic surveillance, marking a transformative moment in global health preparedness.</w:t>
      </w:r>
    </w:p>
    <w:p w14:paraId="32B9FF61" w14:textId="30DB69D2" w:rsidR="000C5B5C" w:rsidRDefault="003A2659" w:rsidP="003A2659">
      <w:pPr>
        <w:spacing w:after="0" w:line="240" w:lineRule="auto"/>
        <w:ind w:firstLine="709"/>
        <w:jc w:val="both"/>
        <w:rPr>
          <w:rFonts w:ascii="Times New Roman" w:hAnsi="Times New Roman" w:cs="Times New Roman"/>
          <w:sz w:val="28"/>
          <w:szCs w:val="28"/>
        </w:rPr>
      </w:pPr>
      <w:r w:rsidRPr="003A2659">
        <w:rPr>
          <w:rFonts w:ascii="Times New Roman" w:hAnsi="Times New Roman" w:cs="Times New Roman"/>
          <w:sz w:val="28"/>
          <w:szCs w:val="28"/>
        </w:rPr>
        <w:t xml:space="preserve">All major coronavirus outbreaks—SARS, MERS, and COVID-19—originated </w:t>
      </w:r>
      <w:r>
        <w:rPr>
          <w:rFonts w:ascii="Times New Roman" w:hAnsi="Times New Roman" w:cs="Times New Roman"/>
          <w:sz w:val="28"/>
          <w:szCs w:val="28"/>
        </w:rPr>
        <w:t>in animals</w:t>
      </w:r>
      <w:r w:rsidRPr="003A2659">
        <w:rPr>
          <w:rFonts w:ascii="Times New Roman" w:hAnsi="Times New Roman" w:cs="Times New Roman"/>
          <w:sz w:val="28"/>
          <w:szCs w:val="28"/>
        </w:rPr>
        <w:t>, highlighting the persistent risk of zoonotic spillover. These events underscore how disruptions at the human–animal interface, including wildlife trade, habitat encroachment, and intensive farming practices, can facilitate the emergence of novel pathogens with pandemic potential [1].</w:t>
      </w:r>
      <w:r w:rsidR="00ED520B" w:rsidRPr="00193921">
        <w:rPr>
          <w:rFonts w:ascii="Times New Roman" w:hAnsi="Times New Roman" w:cs="Times New Roman"/>
          <w:sz w:val="28"/>
          <w:szCs w:val="28"/>
        </w:rPr>
        <w:t xml:space="preserve"> </w:t>
      </w:r>
      <w:r w:rsidR="008D2366" w:rsidRPr="00193921">
        <w:rPr>
          <w:rFonts w:ascii="Times New Roman" w:hAnsi="Times New Roman" w:cs="Times New Roman"/>
          <w:sz w:val="28"/>
          <w:szCs w:val="28"/>
        </w:rPr>
        <w:tab/>
      </w:r>
      <w:r w:rsidR="00ED520B" w:rsidRPr="00193921">
        <w:rPr>
          <w:rFonts w:ascii="Times New Roman" w:hAnsi="Times New Roman" w:cs="Times New Roman"/>
          <w:sz w:val="28"/>
          <w:szCs w:val="28"/>
        </w:rPr>
        <w:t xml:space="preserve">Pandemic </w:t>
      </w:r>
      <w:r w:rsidR="00B17602">
        <w:rPr>
          <w:rFonts w:ascii="Times New Roman" w:hAnsi="Times New Roman" w:cs="Times New Roman"/>
          <w:sz w:val="28"/>
          <w:szCs w:val="28"/>
        </w:rPr>
        <w:t>p</w:t>
      </w:r>
      <w:r w:rsidR="00ED520B" w:rsidRPr="00193921">
        <w:rPr>
          <w:rFonts w:ascii="Times New Roman" w:hAnsi="Times New Roman" w:cs="Times New Roman"/>
          <w:sz w:val="28"/>
          <w:szCs w:val="28"/>
        </w:rPr>
        <w:t>reparedness: SARS-CoV-1 and MERS-CoV exposed gaps in global health infrastructure, but SARS-CoV-2 revealed systemic vulnerabilities</w:t>
      </w:r>
      <w:r w:rsidR="00373CFA" w:rsidRPr="00193921">
        <w:rPr>
          <w:rFonts w:ascii="Times New Roman" w:hAnsi="Times New Roman" w:cs="Times New Roman"/>
          <w:sz w:val="28"/>
          <w:szCs w:val="28"/>
        </w:rPr>
        <w:t>, such as vaccine inequity and misinformation</w:t>
      </w:r>
      <w:r w:rsidR="00ED520B" w:rsidRPr="00193921">
        <w:rPr>
          <w:rFonts w:ascii="Times New Roman" w:hAnsi="Times New Roman" w:cs="Times New Roman"/>
          <w:sz w:val="28"/>
          <w:szCs w:val="28"/>
        </w:rPr>
        <w:t xml:space="preserve">. </w:t>
      </w:r>
      <w:r w:rsidR="00373CFA" w:rsidRPr="00193921">
        <w:rPr>
          <w:rFonts w:ascii="Times New Roman" w:hAnsi="Times New Roman" w:cs="Times New Roman"/>
          <w:sz w:val="28"/>
          <w:szCs w:val="28"/>
        </w:rPr>
        <w:t xml:space="preserve">Long-term </w:t>
      </w:r>
      <w:r w:rsidR="00B17602">
        <w:rPr>
          <w:rFonts w:ascii="Times New Roman" w:hAnsi="Times New Roman" w:cs="Times New Roman"/>
          <w:sz w:val="28"/>
          <w:szCs w:val="28"/>
        </w:rPr>
        <w:t>h</w:t>
      </w:r>
      <w:r w:rsidR="00373CFA" w:rsidRPr="00193921">
        <w:rPr>
          <w:rFonts w:ascii="Times New Roman" w:hAnsi="Times New Roman" w:cs="Times New Roman"/>
          <w:sz w:val="28"/>
          <w:szCs w:val="28"/>
        </w:rPr>
        <w:t xml:space="preserve">ealth </w:t>
      </w:r>
      <w:r w:rsidR="00B17602">
        <w:rPr>
          <w:rFonts w:ascii="Times New Roman" w:hAnsi="Times New Roman" w:cs="Times New Roman"/>
          <w:sz w:val="28"/>
          <w:szCs w:val="28"/>
        </w:rPr>
        <w:t>e</w:t>
      </w:r>
      <w:r w:rsidR="00373CFA" w:rsidRPr="00193921">
        <w:rPr>
          <w:rFonts w:ascii="Times New Roman" w:hAnsi="Times New Roman" w:cs="Times New Roman"/>
          <w:sz w:val="28"/>
          <w:szCs w:val="28"/>
        </w:rPr>
        <w:t xml:space="preserve">ffects: </w:t>
      </w:r>
      <w:r w:rsidR="00B17602">
        <w:rPr>
          <w:rFonts w:ascii="Times New Roman" w:hAnsi="Times New Roman" w:cs="Times New Roman"/>
          <w:sz w:val="28"/>
          <w:szCs w:val="28"/>
        </w:rPr>
        <w:t>p</w:t>
      </w:r>
      <w:r w:rsidR="00373CFA" w:rsidRPr="00193921">
        <w:rPr>
          <w:rFonts w:ascii="Times New Roman" w:hAnsi="Times New Roman" w:cs="Times New Roman"/>
          <w:sz w:val="28"/>
          <w:szCs w:val="28"/>
        </w:rPr>
        <w:t xml:space="preserve">ost-viral syndromes, such as </w:t>
      </w:r>
      <w:r w:rsidR="00C3025F" w:rsidRPr="00193921">
        <w:rPr>
          <w:rFonts w:ascii="Times New Roman" w:hAnsi="Times New Roman" w:cs="Times New Roman"/>
          <w:sz w:val="28"/>
          <w:szCs w:val="28"/>
        </w:rPr>
        <w:t xml:space="preserve">those associated with </w:t>
      </w:r>
      <w:r w:rsidR="00373CFA" w:rsidRPr="00193921">
        <w:rPr>
          <w:rFonts w:ascii="Times New Roman" w:hAnsi="Times New Roman" w:cs="Times New Roman"/>
          <w:sz w:val="28"/>
          <w:szCs w:val="28"/>
        </w:rPr>
        <w:t>COVID-</w:t>
      </w:r>
      <w:r w:rsidR="00373CFA" w:rsidRPr="00193921">
        <w:rPr>
          <w:rFonts w:ascii="Times New Roman" w:hAnsi="Times New Roman" w:cs="Times New Roman"/>
          <w:sz w:val="28"/>
          <w:szCs w:val="28"/>
        </w:rPr>
        <w:lastRenderedPageBreak/>
        <w:t>19,</w:t>
      </w:r>
      <w:r w:rsidR="00ED520B" w:rsidRPr="00193921">
        <w:rPr>
          <w:rFonts w:ascii="Times New Roman" w:hAnsi="Times New Roman" w:cs="Times New Roman"/>
          <w:sz w:val="28"/>
          <w:szCs w:val="28"/>
        </w:rPr>
        <w:t xml:space="preserve"> have become a significant focus of research and </w:t>
      </w:r>
      <w:r w:rsidR="002844CD" w:rsidRPr="00193921">
        <w:rPr>
          <w:rFonts w:ascii="Times New Roman" w:hAnsi="Times New Roman" w:cs="Times New Roman"/>
          <w:sz w:val="28"/>
          <w:szCs w:val="28"/>
        </w:rPr>
        <w:t>healthcare. Technological</w:t>
      </w:r>
      <w:r w:rsidR="00ED520B" w:rsidRPr="00193921">
        <w:rPr>
          <w:rFonts w:ascii="Times New Roman" w:hAnsi="Times New Roman" w:cs="Times New Roman"/>
          <w:sz w:val="28"/>
          <w:szCs w:val="28"/>
        </w:rPr>
        <w:t xml:space="preserve"> Advances: mRNA vaccines, antiviral therapies (e.g., Paxlovid), and AI-driven surveillance emerged as critical tools [</w:t>
      </w:r>
      <w:r w:rsidR="002D282D" w:rsidRPr="00193921">
        <w:rPr>
          <w:rFonts w:ascii="Times New Roman" w:hAnsi="Times New Roman" w:cs="Times New Roman"/>
          <w:sz w:val="28"/>
          <w:szCs w:val="28"/>
        </w:rPr>
        <w:t>3</w:t>
      </w:r>
      <w:r w:rsidR="00ED520B" w:rsidRPr="00193921">
        <w:rPr>
          <w:rFonts w:ascii="Times New Roman" w:hAnsi="Times New Roman" w:cs="Times New Roman"/>
          <w:sz w:val="28"/>
          <w:szCs w:val="28"/>
        </w:rPr>
        <w:t xml:space="preserve">]. </w:t>
      </w:r>
      <w:r w:rsidR="00076FF8" w:rsidRPr="00193921">
        <w:rPr>
          <w:rFonts w:ascii="Times New Roman" w:hAnsi="Times New Roman" w:cs="Times New Roman"/>
          <w:sz w:val="28"/>
          <w:szCs w:val="28"/>
        </w:rPr>
        <w:t>Essential</w:t>
      </w:r>
      <w:r w:rsidR="00ED520B" w:rsidRPr="00193921">
        <w:rPr>
          <w:rFonts w:ascii="Times New Roman" w:hAnsi="Times New Roman" w:cs="Times New Roman"/>
          <w:sz w:val="28"/>
          <w:szCs w:val="28"/>
        </w:rPr>
        <w:t xml:space="preserve">: </w:t>
      </w:r>
      <w:r w:rsidR="00B17602">
        <w:rPr>
          <w:rFonts w:ascii="Times New Roman" w:hAnsi="Times New Roman" w:cs="Times New Roman"/>
          <w:sz w:val="28"/>
          <w:szCs w:val="28"/>
        </w:rPr>
        <w:t>s</w:t>
      </w:r>
      <w:r w:rsidR="00ED520B" w:rsidRPr="00193921">
        <w:rPr>
          <w:rFonts w:ascii="Times New Roman" w:hAnsi="Times New Roman" w:cs="Times New Roman"/>
          <w:sz w:val="28"/>
          <w:szCs w:val="28"/>
        </w:rPr>
        <w:t xml:space="preserve">urveillance: </w:t>
      </w:r>
      <w:r w:rsidR="00B17602">
        <w:rPr>
          <w:rFonts w:ascii="Times New Roman" w:hAnsi="Times New Roman" w:cs="Times New Roman"/>
          <w:sz w:val="28"/>
          <w:szCs w:val="28"/>
        </w:rPr>
        <w:t>s</w:t>
      </w:r>
      <w:r w:rsidR="00ED520B" w:rsidRPr="00193921">
        <w:rPr>
          <w:rFonts w:ascii="Times New Roman" w:hAnsi="Times New Roman" w:cs="Times New Roman"/>
          <w:sz w:val="28"/>
          <w:szCs w:val="28"/>
        </w:rPr>
        <w:t xml:space="preserve">trengthen early detection of zoonotic viruses in wildlife and livestock. Equity: Ensure fair access to vaccines and treatments globally. Adaptability: </w:t>
      </w:r>
      <w:r w:rsidR="000C5B5C">
        <w:rPr>
          <w:rFonts w:ascii="Times New Roman" w:hAnsi="Times New Roman" w:cs="Times New Roman"/>
          <w:sz w:val="28"/>
          <w:szCs w:val="28"/>
        </w:rPr>
        <w:t>p</w:t>
      </w:r>
      <w:r w:rsidR="00ED520B" w:rsidRPr="00193921">
        <w:rPr>
          <w:rFonts w:ascii="Times New Roman" w:hAnsi="Times New Roman" w:cs="Times New Roman"/>
          <w:sz w:val="28"/>
          <w:szCs w:val="28"/>
        </w:rPr>
        <w:t xml:space="preserve">repare for viral evolution (antigenic drift) and future spillover events. </w:t>
      </w:r>
    </w:p>
    <w:p w14:paraId="7407A6A6" w14:textId="410688C7" w:rsidR="00ED0EEA" w:rsidRPr="00193921" w:rsidRDefault="000C5B5C" w:rsidP="000C5B5C">
      <w:pPr>
        <w:spacing w:after="0" w:line="240" w:lineRule="auto"/>
        <w:ind w:firstLine="357"/>
        <w:jc w:val="both"/>
        <w:rPr>
          <w:rFonts w:ascii="Times New Roman" w:hAnsi="Times New Roman" w:cs="Times New Roman"/>
          <w:sz w:val="28"/>
          <w:szCs w:val="28"/>
          <w:lang w:val="en-US"/>
        </w:rPr>
      </w:pPr>
      <w:r w:rsidRPr="000C5B5C">
        <w:rPr>
          <w:rFonts w:ascii="Times New Roman" w:hAnsi="Times New Roman" w:cs="Times New Roman"/>
          <w:sz w:val="28"/>
          <w:szCs w:val="28"/>
        </w:rPr>
        <w:t>Over the past five decades, coronaviruses have profoundly influenced medicine, epidemiology, and society. While SARS-CoV-2 remains the most consequential, the broader history of coronaviruses highlights the ongoing need for vigilance and resilient communication systems to counter misinformation and protect global health in an interconnected world [4].</w:t>
      </w:r>
      <w:r>
        <w:rPr>
          <w:rFonts w:ascii="Times New Roman" w:hAnsi="Times New Roman" w:cs="Times New Roman"/>
          <w:sz w:val="28"/>
          <w:szCs w:val="28"/>
        </w:rPr>
        <w:t xml:space="preserve"> </w:t>
      </w:r>
      <w:r w:rsidR="00853685" w:rsidRPr="00193921">
        <w:rPr>
          <w:rFonts w:ascii="Times New Roman" w:hAnsi="Times New Roman" w:cs="Times New Roman"/>
          <w:sz w:val="28"/>
          <w:szCs w:val="28"/>
        </w:rPr>
        <w:t xml:space="preserve">SARS-CoV-2 (Severe Acute Respiratory Syndrome Coronavirus 2) </w:t>
      </w:r>
      <w:r w:rsidR="00222591">
        <w:rPr>
          <w:rFonts w:ascii="Times New Roman" w:hAnsi="Times New Roman" w:cs="Times New Roman"/>
          <w:sz w:val="28"/>
          <w:szCs w:val="28"/>
        </w:rPr>
        <w:t>causes</w:t>
      </w:r>
      <w:r w:rsidR="00853685" w:rsidRPr="00193921">
        <w:rPr>
          <w:rFonts w:ascii="Times New Roman" w:hAnsi="Times New Roman" w:cs="Times New Roman"/>
          <w:sz w:val="28"/>
          <w:szCs w:val="28"/>
        </w:rPr>
        <w:t xml:space="preserve"> COVID-19, a global pandemic that began in late 2019. Here are some key points about the virus: Classification </w:t>
      </w:r>
      <w:r w:rsidR="00373CFA" w:rsidRPr="00193921">
        <w:rPr>
          <w:rFonts w:ascii="Times New Roman" w:hAnsi="Times New Roman" w:cs="Times New Roman"/>
          <w:sz w:val="28"/>
          <w:szCs w:val="28"/>
        </w:rPr>
        <w:t>and Structure. SARS-CoV-2</w:t>
      </w:r>
      <w:r w:rsidR="00853685" w:rsidRPr="00193921">
        <w:rPr>
          <w:rFonts w:ascii="Times New Roman" w:hAnsi="Times New Roman" w:cs="Times New Roman"/>
          <w:sz w:val="28"/>
          <w:szCs w:val="28"/>
        </w:rPr>
        <w:t xml:space="preserve"> is a coronavirus, part of the </w:t>
      </w:r>
      <w:r w:rsidR="00853685" w:rsidRPr="00193921">
        <w:rPr>
          <w:rFonts w:ascii="Times New Roman" w:hAnsi="Times New Roman" w:cs="Times New Roman"/>
          <w:i/>
          <w:iCs/>
          <w:sz w:val="28"/>
          <w:szCs w:val="28"/>
        </w:rPr>
        <w:t>Coronaviridae</w:t>
      </w:r>
      <w:r w:rsidR="00853685" w:rsidRPr="00193921">
        <w:rPr>
          <w:rFonts w:ascii="Times New Roman" w:hAnsi="Times New Roman" w:cs="Times New Roman"/>
          <w:sz w:val="28"/>
          <w:szCs w:val="28"/>
        </w:rPr>
        <w:t xml:space="preserve"> family. It is an enveloped, single-stranded RNA virus. The virus has spike (S) proteins on its surface that allow it to bind to and enter human cells via the ACE2 receptor. Transmission primarily </w:t>
      </w:r>
      <w:r w:rsidR="00373CFA" w:rsidRPr="00193921">
        <w:rPr>
          <w:rFonts w:ascii="Times New Roman" w:hAnsi="Times New Roman" w:cs="Times New Roman"/>
          <w:sz w:val="28"/>
          <w:szCs w:val="28"/>
        </w:rPr>
        <w:t>occurs through respiratory droplets and aerosols, such as those released during coughing, sneezing, and talking</w:t>
      </w:r>
      <w:r w:rsidR="00853685" w:rsidRPr="00193921">
        <w:rPr>
          <w:rFonts w:ascii="Times New Roman" w:hAnsi="Times New Roman" w:cs="Times New Roman"/>
          <w:sz w:val="28"/>
          <w:szCs w:val="28"/>
        </w:rPr>
        <w:t xml:space="preserve">. </w:t>
      </w:r>
      <w:r w:rsidR="00B01FA9" w:rsidRPr="00193921">
        <w:rPr>
          <w:rFonts w:ascii="Times New Roman" w:hAnsi="Times New Roman" w:cs="Times New Roman"/>
          <w:sz w:val="28"/>
          <w:szCs w:val="28"/>
        </w:rPr>
        <w:t>It can</w:t>
      </w:r>
      <w:r w:rsidR="00853685" w:rsidRPr="00193921">
        <w:rPr>
          <w:rFonts w:ascii="Times New Roman" w:hAnsi="Times New Roman" w:cs="Times New Roman"/>
          <w:sz w:val="28"/>
          <w:szCs w:val="28"/>
        </w:rPr>
        <w:t xml:space="preserve"> also spread via contaminated surfaces (fomites), though less commonly. Airborne transmission is possible in enclosed or poorly ventilated spaces. Virulence refers to the degree of pathogenicity or the ability of a virus to cause disease</w:t>
      </w:r>
      <w:r w:rsidR="002D282D" w:rsidRPr="00193921">
        <w:rPr>
          <w:rFonts w:ascii="Times New Roman" w:hAnsi="Times New Roman" w:cs="Times New Roman"/>
          <w:sz w:val="28"/>
          <w:szCs w:val="28"/>
        </w:rPr>
        <w:t xml:space="preserve"> [5]</w:t>
      </w:r>
      <w:r w:rsidR="00853685" w:rsidRPr="00193921">
        <w:rPr>
          <w:rFonts w:ascii="Times New Roman" w:hAnsi="Times New Roman" w:cs="Times New Roman"/>
          <w:sz w:val="28"/>
          <w:szCs w:val="28"/>
        </w:rPr>
        <w:t xml:space="preserve">. </w:t>
      </w:r>
    </w:p>
    <w:p w14:paraId="1622ABCD" w14:textId="50C933A4" w:rsidR="00E57E57" w:rsidRDefault="00853685" w:rsidP="00193921">
      <w:pPr>
        <w:spacing w:after="0" w:line="240" w:lineRule="auto"/>
        <w:ind w:firstLine="357"/>
        <w:jc w:val="both"/>
        <w:rPr>
          <w:rFonts w:ascii="Times New Roman" w:hAnsi="Times New Roman" w:cs="Times New Roman"/>
          <w:sz w:val="28"/>
          <w:szCs w:val="28"/>
        </w:rPr>
      </w:pPr>
      <w:r w:rsidRPr="00193921">
        <w:rPr>
          <w:rFonts w:ascii="Times New Roman" w:hAnsi="Times New Roman" w:cs="Times New Roman"/>
          <w:sz w:val="28"/>
          <w:szCs w:val="28"/>
        </w:rPr>
        <w:t>SARS-CoV-2 has demonstrated varying levels of virulence</w:t>
      </w:r>
      <w:r w:rsidR="00222591">
        <w:rPr>
          <w:rFonts w:ascii="Times New Roman" w:hAnsi="Times New Roman" w:cs="Times New Roman"/>
          <w:sz w:val="28"/>
          <w:szCs w:val="28"/>
        </w:rPr>
        <w:t xml:space="preserve">, depending on viral strain, host factors, and the </w:t>
      </w:r>
      <w:r w:rsidRPr="00193921">
        <w:rPr>
          <w:rFonts w:ascii="Times New Roman" w:hAnsi="Times New Roman" w:cs="Times New Roman"/>
          <w:sz w:val="28"/>
          <w:szCs w:val="28"/>
        </w:rPr>
        <w:t xml:space="preserve">immune response. Here are key aspects of its virulence: factors </w:t>
      </w:r>
      <w:r w:rsidR="00373CFA" w:rsidRPr="00193921">
        <w:rPr>
          <w:rFonts w:ascii="Times New Roman" w:hAnsi="Times New Roman" w:cs="Times New Roman"/>
          <w:sz w:val="28"/>
          <w:szCs w:val="28"/>
        </w:rPr>
        <w:t>include the spike (S) protein and</w:t>
      </w:r>
      <w:r w:rsidRPr="00193921">
        <w:rPr>
          <w:rFonts w:ascii="Times New Roman" w:hAnsi="Times New Roman" w:cs="Times New Roman"/>
          <w:sz w:val="28"/>
          <w:szCs w:val="28"/>
        </w:rPr>
        <w:t xml:space="preserve"> </w:t>
      </w:r>
      <w:r w:rsidR="002E13F1">
        <w:rPr>
          <w:rFonts w:ascii="Times New Roman" w:hAnsi="Times New Roman" w:cs="Times New Roman"/>
          <w:sz w:val="28"/>
          <w:szCs w:val="28"/>
        </w:rPr>
        <w:t>the ACE2 receptor</w:t>
      </w:r>
      <w:r w:rsidRPr="00193921">
        <w:rPr>
          <w:rFonts w:ascii="Times New Roman" w:hAnsi="Times New Roman" w:cs="Times New Roman"/>
          <w:sz w:val="28"/>
          <w:szCs w:val="28"/>
        </w:rPr>
        <w:t xml:space="preserve">. SARS-CoV-2 enters human cells via the ACE2 receptor, which is highly expressed in the lungs, heart, kidneys, and intestines. The spike (S) protein has a high binding affinity to ACE2, enhancing infectivity. Mutations in the S protein (e.g., in Delta and Omicron variants) have increased transmissibility and immune evasion. SARS-CoV-2 has mechanisms </w:t>
      </w:r>
      <w:r w:rsidR="00373CFA" w:rsidRPr="00193921">
        <w:rPr>
          <w:rFonts w:ascii="Times New Roman" w:hAnsi="Times New Roman" w:cs="Times New Roman"/>
          <w:sz w:val="28"/>
          <w:szCs w:val="28"/>
        </w:rPr>
        <w:t>that suppress early immune responses, primarily by inhibiting interferon production, which allows</w:t>
      </w:r>
      <w:r w:rsidRPr="00193921">
        <w:rPr>
          <w:rFonts w:ascii="Times New Roman" w:hAnsi="Times New Roman" w:cs="Times New Roman"/>
          <w:sz w:val="28"/>
          <w:szCs w:val="28"/>
        </w:rPr>
        <w:t xml:space="preserve"> it to replicate efficiently before the immune system detects it</w:t>
      </w:r>
      <w:r w:rsidR="002D282D" w:rsidRPr="00193921">
        <w:rPr>
          <w:rFonts w:ascii="Times New Roman" w:hAnsi="Times New Roman" w:cs="Times New Roman"/>
          <w:sz w:val="28"/>
          <w:szCs w:val="28"/>
        </w:rPr>
        <w:t xml:space="preserve"> [6]</w:t>
      </w:r>
      <w:r w:rsidRPr="00193921">
        <w:rPr>
          <w:rFonts w:ascii="Times New Roman" w:hAnsi="Times New Roman" w:cs="Times New Roman"/>
          <w:sz w:val="28"/>
          <w:szCs w:val="28"/>
        </w:rPr>
        <w:t>.</w:t>
      </w:r>
    </w:p>
    <w:p w14:paraId="6B546859" w14:textId="3896A475" w:rsidR="00C17FD0" w:rsidRPr="00193921" w:rsidRDefault="00853685" w:rsidP="00193921">
      <w:pPr>
        <w:spacing w:after="0" w:line="240" w:lineRule="auto"/>
        <w:ind w:firstLine="357"/>
        <w:jc w:val="both"/>
        <w:rPr>
          <w:rFonts w:ascii="Times New Roman" w:hAnsi="Times New Roman" w:cs="Times New Roman"/>
          <w:sz w:val="28"/>
          <w:szCs w:val="28"/>
        </w:rPr>
      </w:pPr>
      <w:r w:rsidRPr="00193921">
        <w:rPr>
          <w:rFonts w:ascii="Times New Roman" w:hAnsi="Times New Roman" w:cs="Times New Roman"/>
          <w:sz w:val="28"/>
          <w:szCs w:val="28"/>
        </w:rPr>
        <w:t xml:space="preserve"> Some variants (e.g., Delta) replicate </w:t>
      </w:r>
      <w:r w:rsidR="00C3025F" w:rsidRPr="00193921">
        <w:rPr>
          <w:rFonts w:ascii="Times New Roman" w:hAnsi="Times New Roman" w:cs="Times New Roman"/>
          <w:sz w:val="28"/>
          <w:szCs w:val="28"/>
        </w:rPr>
        <w:t xml:space="preserve">more rapidly, resulting in higher viral loads and more severe disease, including an inflammatory response and a </w:t>
      </w:r>
      <w:r w:rsidR="00373CFA" w:rsidRPr="00193921">
        <w:rPr>
          <w:rFonts w:ascii="Times New Roman" w:hAnsi="Times New Roman" w:cs="Times New Roman"/>
          <w:sz w:val="28"/>
          <w:szCs w:val="28"/>
        </w:rPr>
        <w:t>cytokine storm</w:t>
      </w:r>
      <w:r w:rsidRPr="00193921">
        <w:rPr>
          <w:rFonts w:ascii="Times New Roman" w:hAnsi="Times New Roman" w:cs="Times New Roman"/>
          <w:sz w:val="28"/>
          <w:szCs w:val="28"/>
        </w:rPr>
        <w:t>. In severe cases, an overactive immune response</w:t>
      </w:r>
      <w:r w:rsidR="00373CFA" w:rsidRPr="00193921">
        <w:rPr>
          <w:rFonts w:ascii="Times New Roman" w:hAnsi="Times New Roman" w:cs="Times New Roman"/>
          <w:sz w:val="28"/>
          <w:szCs w:val="28"/>
        </w:rPr>
        <w:t>, known as a cytokine storm,</w:t>
      </w:r>
      <w:r w:rsidRPr="00193921">
        <w:rPr>
          <w:rFonts w:ascii="Times New Roman" w:hAnsi="Times New Roman" w:cs="Times New Roman"/>
          <w:sz w:val="28"/>
          <w:szCs w:val="28"/>
        </w:rPr>
        <w:t xml:space="preserve"> leads to widespread inflammation, tissue damage, and organ failure. This excessive inflammation is responsible for severe complications like acute respiratory distress syndrome (ARDS) and multi-organ failure. </w:t>
      </w:r>
      <w:r w:rsidR="009F75E9" w:rsidRPr="00193921">
        <w:rPr>
          <w:rFonts w:ascii="Times New Roman" w:hAnsi="Times New Roman" w:cs="Times New Roman"/>
          <w:sz w:val="28"/>
          <w:szCs w:val="28"/>
        </w:rPr>
        <w:t>CPE (Cytopathic Effect): Visible morphological changes in host cells caused by viral infection. These changes</w:t>
      </w:r>
      <w:r w:rsidR="003256EE">
        <w:rPr>
          <w:rFonts w:ascii="Times New Roman" w:hAnsi="Times New Roman" w:cs="Times New Roman"/>
          <w:sz w:val="28"/>
          <w:szCs w:val="28"/>
        </w:rPr>
        <w:t>, including cell rounding, detachment, syncytia formation, or lysis,</w:t>
      </w:r>
      <w:r w:rsidR="009F75E9" w:rsidRPr="00193921">
        <w:rPr>
          <w:rFonts w:ascii="Times New Roman" w:hAnsi="Times New Roman" w:cs="Times New Roman"/>
          <w:sz w:val="28"/>
          <w:szCs w:val="28"/>
        </w:rPr>
        <w:t xml:space="preserve"> are used to diagnose </w:t>
      </w:r>
      <w:r w:rsidR="002E13F1">
        <w:rPr>
          <w:rFonts w:ascii="Times New Roman" w:hAnsi="Times New Roman" w:cs="Times New Roman"/>
          <w:sz w:val="28"/>
          <w:szCs w:val="28"/>
        </w:rPr>
        <w:t>viral infection</w:t>
      </w:r>
      <w:r w:rsidR="0043116B" w:rsidRPr="00193921">
        <w:rPr>
          <w:rFonts w:ascii="Times New Roman" w:hAnsi="Times New Roman" w:cs="Times New Roman"/>
          <w:sz w:val="28"/>
          <w:szCs w:val="28"/>
        </w:rPr>
        <w:t xml:space="preserve"> </w:t>
      </w:r>
      <w:r w:rsidR="009F75E9" w:rsidRPr="00193921">
        <w:rPr>
          <w:rFonts w:ascii="Times New Roman" w:hAnsi="Times New Roman" w:cs="Times New Roman"/>
          <w:sz w:val="28"/>
          <w:szCs w:val="28"/>
        </w:rPr>
        <w:t>in cell cultures</w:t>
      </w:r>
      <w:r w:rsidR="002D282D" w:rsidRPr="00193921">
        <w:rPr>
          <w:rFonts w:ascii="Times New Roman" w:hAnsi="Times New Roman" w:cs="Times New Roman"/>
          <w:sz w:val="28"/>
          <w:szCs w:val="28"/>
        </w:rPr>
        <w:t xml:space="preserve"> [7]</w:t>
      </w:r>
      <w:r w:rsidR="009F75E9" w:rsidRPr="00193921">
        <w:rPr>
          <w:rFonts w:ascii="Times New Roman" w:hAnsi="Times New Roman" w:cs="Times New Roman"/>
          <w:sz w:val="28"/>
          <w:szCs w:val="28"/>
        </w:rPr>
        <w:t>.</w:t>
      </w:r>
    </w:p>
    <w:p w14:paraId="2FF72B75" w14:textId="467CDBE0" w:rsidR="00ED0EEA" w:rsidRPr="0011070B" w:rsidRDefault="0044601B" w:rsidP="0011070B">
      <w:pPr>
        <w:spacing w:after="0" w:line="240" w:lineRule="auto"/>
        <w:ind w:firstLine="360"/>
        <w:jc w:val="both"/>
        <w:rPr>
          <w:rFonts w:ascii="Times New Roman" w:hAnsi="Times New Roman" w:cs="Times New Roman"/>
          <w:sz w:val="28"/>
          <w:szCs w:val="28"/>
        </w:rPr>
      </w:pPr>
      <w:r w:rsidRPr="00193921">
        <w:rPr>
          <w:rFonts w:ascii="Times New Roman" w:hAnsi="Times New Roman" w:cs="Times New Roman"/>
          <w:sz w:val="28"/>
          <w:szCs w:val="28"/>
        </w:rPr>
        <w:t xml:space="preserve"> </w:t>
      </w:r>
      <w:r w:rsidR="00853685" w:rsidRPr="00193921">
        <w:rPr>
          <w:rFonts w:ascii="Times New Roman" w:hAnsi="Times New Roman" w:cs="Times New Roman"/>
          <w:sz w:val="28"/>
          <w:szCs w:val="28"/>
        </w:rPr>
        <w:t xml:space="preserve">The virulence </w:t>
      </w:r>
      <w:r w:rsidR="00373CFA" w:rsidRPr="00193921">
        <w:rPr>
          <w:rFonts w:ascii="Times New Roman" w:hAnsi="Times New Roman" w:cs="Times New Roman"/>
          <w:sz w:val="28"/>
          <w:szCs w:val="28"/>
        </w:rPr>
        <w:t xml:space="preserve">is more clearly evident </w:t>
      </w:r>
      <w:r w:rsidR="00076FF8" w:rsidRPr="00193921">
        <w:rPr>
          <w:rFonts w:ascii="Times New Roman" w:hAnsi="Times New Roman" w:cs="Times New Roman"/>
          <w:sz w:val="28"/>
          <w:szCs w:val="28"/>
        </w:rPr>
        <w:t xml:space="preserve">in </w:t>
      </w:r>
      <w:r w:rsidR="007629DF" w:rsidRPr="00193921">
        <w:rPr>
          <w:rFonts w:ascii="Times New Roman" w:hAnsi="Times New Roman" w:cs="Times New Roman"/>
          <w:sz w:val="28"/>
          <w:szCs w:val="28"/>
        </w:rPr>
        <w:t>“</w:t>
      </w:r>
      <w:r w:rsidR="00853685" w:rsidRPr="00193921">
        <w:rPr>
          <w:rFonts w:ascii="Times New Roman" w:hAnsi="Times New Roman" w:cs="Times New Roman"/>
          <w:sz w:val="28"/>
          <w:szCs w:val="28"/>
        </w:rPr>
        <w:t>Table 1</w:t>
      </w:r>
      <w:r w:rsidR="007629DF" w:rsidRPr="00193921">
        <w:rPr>
          <w:rFonts w:ascii="Times New Roman" w:hAnsi="Times New Roman" w:cs="Times New Roman"/>
          <w:sz w:val="28"/>
          <w:szCs w:val="28"/>
        </w:rPr>
        <w:t>”</w:t>
      </w:r>
      <w:r w:rsidR="00853685" w:rsidRPr="00193921">
        <w:rPr>
          <w:rFonts w:ascii="Times New Roman" w:hAnsi="Times New Roman" w:cs="Times New Roman"/>
          <w:sz w:val="28"/>
          <w:szCs w:val="28"/>
        </w:rPr>
        <w:t xml:space="preserve">. </w:t>
      </w:r>
      <w:r w:rsidR="006B3E45" w:rsidRPr="00193921">
        <w:rPr>
          <w:rFonts w:ascii="Times New Roman" w:hAnsi="Times New Roman" w:cs="Times New Roman"/>
          <w:sz w:val="28"/>
          <w:szCs w:val="28"/>
        </w:rPr>
        <w:t xml:space="preserve">Four variants were isolated </w:t>
      </w:r>
      <w:r w:rsidR="003256EE">
        <w:rPr>
          <w:rFonts w:ascii="Times New Roman" w:hAnsi="Times New Roman" w:cs="Times New Roman"/>
          <w:sz w:val="28"/>
          <w:szCs w:val="28"/>
        </w:rPr>
        <w:t xml:space="preserve">at the onset of the pandemic in Kazakhstan, and all four </w:t>
      </w:r>
      <w:r w:rsidR="00076FF8" w:rsidRPr="00193921">
        <w:rPr>
          <w:rFonts w:ascii="Times New Roman" w:hAnsi="Times New Roman" w:cs="Times New Roman"/>
          <w:sz w:val="28"/>
          <w:szCs w:val="28"/>
        </w:rPr>
        <w:t xml:space="preserve">are shown in </w:t>
      </w:r>
      <w:r w:rsidR="00E378C1" w:rsidRPr="00193921">
        <w:rPr>
          <w:rFonts w:ascii="Times New Roman" w:hAnsi="Times New Roman" w:cs="Times New Roman"/>
          <w:sz w:val="28"/>
          <w:szCs w:val="28"/>
        </w:rPr>
        <w:t>“</w:t>
      </w:r>
      <w:r w:rsidR="00076FF8" w:rsidRPr="00193921">
        <w:rPr>
          <w:rFonts w:ascii="Times New Roman" w:hAnsi="Times New Roman" w:cs="Times New Roman"/>
          <w:sz w:val="28"/>
          <w:szCs w:val="28"/>
        </w:rPr>
        <w:t>Table 1</w:t>
      </w:r>
      <w:r w:rsidR="00E378C1" w:rsidRPr="00193921">
        <w:rPr>
          <w:rFonts w:ascii="Times New Roman" w:hAnsi="Times New Roman" w:cs="Times New Roman"/>
          <w:sz w:val="28"/>
          <w:szCs w:val="28"/>
        </w:rPr>
        <w:t>”</w:t>
      </w:r>
      <w:r w:rsidR="00076FF8" w:rsidRPr="00193921">
        <w:rPr>
          <w:rFonts w:ascii="Times New Roman" w:hAnsi="Times New Roman" w:cs="Times New Roman"/>
          <w:sz w:val="28"/>
          <w:szCs w:val="28"/>
        </w:rPr>
        <w:t xml:space="preserve">. </w:t>
      </w:r>
    </w:p>
    <w:p w14:paraId="14878703" w14:textId="77777777" w:rsidR="006B0E6A" w:rsidRDefault="006B0E6A" w:rsidP="009F6489">
      <w:pPr>
        <w:spacing w:after="0" w:line="240" w:lineRule="auto"/>
        <w:ind w:firstLine="357"/>
        <w:jc w:val="both"/>
        <w:rPr>
          <w:rFonts w:ascii="Times New Roman" w:hAnsi="Times New Roman" w:cs="Times New Roman"/>
          <w:sz w:val="28"/>
          <w:szCs w:val="28"/>
        </w:rPr>
      </w:pPr>
    </w:p>
    <w:p w14:paraId="4B30BBDC" w14:textId="77777777" w:rsidR="006B0E6A" w:rsidRDefault="006B0E6A" w:rsidP="009F6489">
      <w:pPr>
        <w:spacing w:after="0" w:line="240" w:lineRule="auto"/>
        <w:ind w:firstLine="357"/>
        <w:jc w:val="both"/>
        <w:rPr>
          <w:rFonts w:ascii="Times New Roman" w:hAnsi="Times New Roman" w:cs="Times New Roman"/>
          <w:sz w:val="28"/>
          <w:szCs w:val="28"/>
        </w:rPr>
      </w:pPr>
    </w:p>
    <w:p w14:paraId="77C3DBE1" w14:textId="77777777" w:rsidR="0018432A" w:rsidRDefault="0018432A" w:rsidP="009F6489">
      <w:pPr>
        <w:spacing w:after="0" w:line="240" w:lineRule="auto"/>
        <w:ind w:firstLine="357"/>
        <w:jc w:val="both"/>
        <w:rPr>
          <w:rFonts w:ascii="Times New Roman" w:hAnsi="Times New Roman" w:cs="Times New Roman"/>
          <w:sz w:val="28"/>
          <w:szCs w:val="28"/>
        </w:rPr>
      </w:pPr>
    </w:p>
    <w:p w14:paraId="718714C2" w14:textId="77777777" w:rsidR="0018432A" w:rsidRDefault="0018432A" w:rsidP="009F6489">
      <w:pPr>
        <w:spacing w:after="0" w:line="240" w:lineRule="auto"/>
        <w:ind w:firstLine="357"/>
        <w:jc w:val="both"/>
        <w:rPr>
          <w:rFonts w:ascii="Times New Roman" w:hAnsi="Times New Roman" w:cs="Times New Roman"/>
          <w:sz w:val="28"/>
          <w:szCs w:val="28"/>
        </w:rPr>
      </w:pPr>
    </w:p>
    <w:p w14:paraId="40E02EA7" w14:textId="4982EF6B" w:rsidR="0018432A" w:rsidRPr="0018432A" w:rsidRDefault="00853685" w:rsidP="006005C8">
      <w:pPr>
        <w:spacing w:after="0" w:line="240" w:lineRule="auto"/>
        <w:ind w:firstLine="709"/>
        <w:jc w:val="both"/>
        <w:rPr>
          <w:rFonts w:ascii="Times New Roman" w:hAnsi="Times New Roman" w:cs="Times New Roman"/>
          <w:b/>
          <w:bCs/>
          <w:sz w:val="28"/>
          <w:szCs w:val="28"/>
          <w:lang w:val="en-US"/>
        </w:rPr>
      </w:pPr>
      <w:r w:rsidRPr="00193921">
        <w:rPr>
          <w:rFonts w:ascii="Times New Roman" w:hAnsi="Times New Roman" w:cs="Times New Roman"/>
          <w:sz w:val="28"/>
          <w:szCs w:val="28"/>
        </w:rPr>
        <w:lastRenderedPageBreak/>
        <w:t>Table 1</w:t>
      </w:r>
      <w:r w:rsidR="00EB1F5E" w:rsidRPr="00193921">
        <w:rPr>
          <w:rFonts w:ascii="Times New Roman" w:hAnsi="Times New Roman" w:cs="Times New Roman"/>
          <w:sz w:val="28"/>
          <w:szCs w:val="28"/>
        </w:rPr>
        <w:t>—</w:t>
      </w:r>
      <w:r w:rsidRPr="00193921">
        <w:rPr>
          <w:rFonts w:ascii="Times New Roman" w:hAnsi="Times New Roman" w:cs="Times New Roman"/>
          <w:sz w:val="28"/>
          <w:szCs w:val="28"/>
        </w:rPr>
        <w:t>Different SARS-CoV-2 variants and their varying levels of virulence</w:t>
      </w:r>
      <w:r w:rsidRPr="00193921">
        <w:rPr>
          <w:rFonts w:ascii="Times New Roman" w:hAnsi="Times New Roman" w:cs="Times New Roman"/>
          <w:sz w:val="28"/>
          <w:szCs w:val="28"/>
        </w:rPr>
        <w:br/>
      </w:r>
      <w:r w:rsidR="006B3E45" w:rsidRPr="00193921">
        <w:rPr>
          <w:rFonts w:ascii="Times New Roman" w:hAnsi="Times New Roman" w:cs="Times New Roman"/>
          <w:sz w:val="28"/>
          <w:szCs w:val="28"/>
        </w:rPr>
        <w:t xml:space="preserve"> </w:t>
      </w:r>
      <w:r w:rsidR="00E73B21" w:rsidRPr="00193921">
        <w:rPr>
          <w:rFonts w:ascii="Times New Roman" w:hAnsi="Times New Roman" w:cs="Times New Roman"/>
          <w:sz w:val="28"/>
          <w:szCs w:val="28"/>
        </w:rPr>
        <w:tab/>
      </w:r>
    </w:p>
    <w:tbl>
      <w:tblPr>
        <w:tblStyle w:val="af0"/>
        <w:tblW w:w="0" w:type="auto"/>
        <w:jc w:val="center"/>
        <w:tblLook w:val="04A0" w:firstRow="1" w:lastRow="0" w:firstColumn="1" w:lastColumn="0" w:noHBand="0" w:noVBand="1"/>
      </w:tblPr>
      <w:tblGrid>
        <w:gridCol w:w="4814"/>
        <w:gridCol w:w="4814"/>
      </w:tblGrid>
      <w:tr w:rsidR="0018432A" w:rsidRPr="0018432A" w14:paraId="5AE83AFC" w14:textId="77777777" w:rsidTr="0018432A">
        <w:trPr>
          <w:jc w:val="center"/>
        </w:trPr>
        <w:tc>
          <w:tcPr>
            <w:tcW w:w="4814" w:type="dxa"/>
          </w:tcPr>
          <w:p w14:paraId="6189C6DE" w14:textId="02B6A8AD" w:rsidR="0018432A" w:rsidRPr="0018432A" w:rsidRDefault="0018432A" w:rsidP="0018432A">
            <w:pPr>
              <w:spacing w:after="0" w:line="240" w:lineRule="auto"/>
              <w:jc w:val="center"/>
              <w:rPr>
                <w:rFonts w:ascii="Times New Roman" w:hAnsi="Times New Roman" w:cs="Times New Roman"/>
                <w:b/>
                <w:bCs/>
                <w:sz w:val="28"/>
                <w:szCs w:val="28"/>
              </w:rPr>
            </w:pPr>
            <w:r w:rsidRPr="0018432A">
              <w:rPr>
                <w:rFonts w:ascii="Times New Roman" w:hAnsi="Times New Roman" w:cs="Times New Roman"/>
                <w:b/>
                <w:bCs/>
                <w:sz w:val="28"/>
                <w:szCs w:val="28"/>
              </w:rPr>
              <w:t>Variant</w:t>
            </w:r>
          </w:p>
        </w:tc>
        <w:tc>
          <w:tcPr>
            <w:tcW w:w="4814" w:type="dxa"/>
          </w:tcPr>
          <w:p w14:paraId="7D9F14A7" w14:textId="3471B2AA" w:rsidR="0018432A" w:rsidRPr="0018432A" w:rsidRDefault="0018432A" w:rsidP="0018432A">
            <w:pPr>
              <w:spacing w:after="0" w:line="240" w:lineRule="auto"/>
              <w:jc w:val="center"/>
              <w:rPr>
                <w:rFonts w:ascii="Times New Roman" w:hAnsi="Times New Roman" w:cs="Times New Roman"/>
                <w:b/>
                <w:bCs/>
                <w:sz w:val="28"/>
                <w:szCs w:val="28"/>
              </w:rPr>
            </w:pPr>
            <w:r w:rsidRPr="0018432A">
              <w:rPr>
                <w:rFonts w:ascii="Times New Roman" w:hAnsi="Times New Roman" w:cs="Times New Roman"/>
                <w:b/>
                <w:bCs/>
                <w:sz w:val="28"/>
                <w:szCs w:val="28"/>
              </w:rPr>
              <w:t>Virulence Characteristics</w:t>
            </w:r>
          </w:p>
        </w:tc>
      </w:tr>
      <w:tr w:rsidR="0018432A" w:rsidRPr="0018432A" w14:paraId="7415E8DB" w14:textId="77777777" w:rsidTr="0018432A">
        <w:trPr>
          <w:jc w:val="center"/>
        </w:trPr>
        <w:tc>
          <w:tcPr>
            <w:tcW w:w="4814" w:type="dxa"/>
          </w:tcPr>
          <w:p w14:paraId="1A2BBA2E" w14:textId="08DFF7FC" w:rsidR="0018432A" w:rsidRPr="0018432A" w:rsidRDefault="0018432A" w:rsidP="0018432A">
            <w:pPr>
              <w:spacing w:after="0" w:line="240" w:lineRule="auto"/>
              <w:jc w:val="center"/>
              <w:rPr>
                <w:rFonts w:ascii="Times New Roman" w:hAnsi="Times New Roman" w:cs="Times New Roman"/>
                <w:sz w:val="28"/>
                <w:szCs w:val="28"/>
              </w:rPr>
            </w:pPr>
            <w:r w:rsidRPr="0018432A">
              <w:rPr>
                <w:rFonts w:ascii="Times New Roman" w:hAnsi="Times New Roman" w:cs="Times New Roman"/>
                <w:sz w:val="28"/>
                <w:szCs w:val="28"/>
              </w:rPr>
              <w:t>Alpha (B.1.1.7, 2020)</w:t>
            </w:r>
          </w:p>
        </w:tc>
        <w:tc>
          <w:tcPr>
            <w:tcW w:w="4814" w:type="dxa"/>
          </w:tcPr>
          <w:p w14:paraId="1A922804" w14:textId="4F58E92A" w:rsidR="0018432A" w:rsidRPr="0018432A" w:rsidRDefault="0018432A" w:rsidP="0018432A">
            <w:pPr>
              <w:spacing w:after="0" w:line="240" w:lineRule="auto"/>
              <w:jc w:val="center"/>
              <w:rPr>
                <w:rFonts w:ascii="Times New Roman" w:hAnsi="Times New Roman" w:cs="Times New Roman"/>
                <w:sz w:val="28"/>
                <w:szCs w:val="28"/>
              </w:rPr>
            </w:pPr>
            <w:r w:rsidRPr="0018432A">
              <w:rPr>
                <w:rFonts w:ascii="Times New Roman" w:hAnsi="Times New Roman" w:cs="Times New Roman"/>
                <w:sz w:val="28"/>
                <w:szCs w:val="28"/>
              </w:rPr>
              <w:t>Increased transmissibility, slightly higher virulence.</w:t>
            </w:r>
          </w:p>
        </w:tc>
      </w:tr>
      <w:tr w:rsidR="0018432A" w:rsidRPr="0018432A" w14:paraId="3E69AA2F" w14:textId="77777777" w:rsidTr="0018432A">
        <w:trPr>
          <w:jc w:val="center"/>
        </w:trPr>
        <w:tc>
          <w:tcPr>
            <w:tcW w:w="4814" w:type="dxa"/>
          </w:tcPr>
          <w:p w14:paraId="07931DBC" w14:textId="12E51181" w:rsidR="0018432A" w:rsidRPr="0018432A" w:rsidRDefault="0018432A" w:rsidP="0018432A">
            <w:pPr>
              <w:spacing w:after="0" w:line="240" w:lineRule="auto"/>
              <w:jc w:val="center"/>
              <w:rPr>
                <w:rFonts w:ascii="Times New Roman" w:hAnsi="Times New Roman" w:cs="Times New Roman"/>
                <w:sz w:val="28"/>
                <w:szCs w:val="28"/>
              </w:rPr>
            </w:pPr>
            <w:r w:rsidRPr="0018432A">
              <w:rPr>
                <w:rFonts w:ascii="Times New Roman" w:hAnsi="Times New Roman" w:cs="Times New Roman"/>
                <w:sz w:val="28"/>
                <w:szCs w:val="28"/>
              </w:rPr>
              <w:t>Delta (B.1.617.2, 2021)</w:t>
            </w:r>
          </w:p>
        </w:tc>
        <w:tc>
          <w:tcPr>
            <w:tcW w:w="4814" w:type="dxa"/>
          </w:tcPr>
          <w:p w14:paraId="31E878A9" w14:textId="20F5CE85" w:rsidR="0018432A" w:rsidRPr="0018432A" w:rsidRDefault="0018432A" w:rsidP="0018432A">
            <w:pPr>
              <w:spacing w:after="0" w:line="240" w:lineRule="auto"/>
              <w:jc w:val="center"/>
              <w:rPr>
                <w:rFonts w:ascii="Times New Roman" w:hAnsi="Times New Roman" w:cs="Times New Roman"/>
                <w:sz w:val="28"/>
                <w:szCs w:val="28"/>
              </w:rPr>
            </w:pPr>
            <w:r w:rsidRPr="0018432A">
              <w:rPr>
                <w:rFonts w:ascii="Times New Roman" w:hAnsi="Times New Roman" w:cs="Times New Roman"/>
                <w:sz w:val="28"/>
                <w:szCs w:val="28"/>
              </w:rPr>
              <w:t>High viral load is associated with more severe disease and increased hospitalisation rates.</w:t>
            </w:r>
          </w:p>
        </w:tc>
      </w:tr>
      <w:tr w:rsidR="0018432A" w:rsidRPr="0018432A" w14:paraId="6A2BDC92" w14:textId="77777777" w:rsidTr="0018432A">
        <w:trPr>
          <w:jc w:val="center"/>
        </w:trPr>
        <w:tc>
          <w:tcPr>
            <w:tcW w:w="4814" w:type="dxa"/>
          </w:tcPr>
          <w:p w14:paraId="76B2AF27" w14:textId="593FFD2E" w:rsidR="0018432A" w:rsidRPr="0018432A" w:rsidRDefault="0018432A" w:rsidP="0018432A">
            <w:pPr>
              <w:spacing w:after="0" w:line="240" w:lineRule="auto"/>
              <w:jc w:val="center"/>
              <w:rPr>
                <w:rFonts w:ascii="Times New Roman" w:hAnsi="Times New Roman" w:cs="Times New Roman"/>
                <w:sz w:val="28"/>
                <w:szCs w:val="28"/>
              </w:rPr>
            </w:pPr>
            <w:r w:rsidRPr="0018432A">
              <w:rPr>
                <w:rFonts w:ascii="Times New Roman" w:hAnsi="Times New Roman" w:cs="Times New Roman"/>
                <w:sz w:val="28"/>
                <w:szCs w:val="28"/>
              </w:rPr>
              <w:t>Omicron (B.1.1.529, 2021-Present)</w:t>
            </w:r>
          </w:p>
        </w:tc>
        <w:tc>
          <w:tcPr>
            <w:tcW w:w="4814" w:type="dxa"/>
          </w:tcPr>
          <w:p w14:paraId="3FF66274" w14:textId="5CE6170D" w:rsidR="0018432A" w:rsidRPr="0018432A" w:rsidRDefault="0018432A" w:rsidP="0018432A">
            <w:pPr>
              <w:spacing w:after="0" w:line="240" w:lineRule="auto"/>
              <w:jc w:val="center"/>
              <w:rPr>
                <w:rFonts w:ascii="Times New Roman" w:hAnsi="Times New Roman" w:cs="Times New Roman"/>
                <w:sz w:val="28"/>
                <w:szCs w:val="28"/>
              </w:rPr>
            </w:pPr>
            <w:r w:rsidRPr="0018432A">
              <w:rPr>
                <w:rFonts w:ascii="Times New Roman" w:hAnsi="Times New Roman" w:cs="Times New Roman"/>
                <w:sz w:val="28"/>
                <w:szCs w:val="28"/>
              </w:rPr>
              <w:t>High transmission, lower virulence, milder disease, but immune evasion.</w:t>
            </w:r>
          </w:p>
        </w:tc>
      </w:tr>
    </w:tbl>
    <w:p w14:paraId="598DB550" w14:textId="77777777" w:rsidR="0018432A" w:rsidRDefault="0018432A" w:rsidP="0018432A">
      <w:pPr>
        <w:spacing w:after="0" w:line="240" w:lineRule="auto"/>
        <w:jc w:val="both"/>
        <w:rPr>
          <w:rFonts w:ascii="Times New Roman" w:hAnsi="Times New Roman" w:cs="Times New Roman"/>
          <w:sz w:val="28"/>
          <w:szCs w:val="28"/>
        </w:rPr>
      </w:pPr>
    </w:p>
    <w:p w14:paraId="313E7BE9" w14:textId="663459C0" w:rsidR="00EA60E5" w:rsidRPr="00193921" w:rsidRDefault="00E73B21" w:rsidP="0018432A">
      <w:pPr>
        <w:spacing w:after="0" w:line="240" w:lineRule="auto"/>
        <w:ind w:firstLine="708"/>
        <w:jc w:val="both"/>
        <w:rPr>
          <w:rFonts w:ascii="Times New Roman" w:hAnsi="Times New Roman" w:cs="Times New Roman"/>
          <w:sz w:val="28"/>
          <w:szCs w:val="28"/>
        </w:rPr>
      </w:pPr>
      <w:r w:rsidRPr="00193921">
        <w:rPr>
          <w:rFonts w:ascii="Times New Roman" w:hAnsi="Times New Roman" w:cs="Times New Roman"/>
          <w:sz w:val="28"/>
          <w:szCs w:val="28"/>
        </w:rPr>
        <w:t>The Delta variant had a higher virulence, leading to severe lung damage and higher hospitalisation</w:t>
      </w:r>
      <w:r w:rsidR="00853685" w:rsidRPr="00193921">
        <w:rPr>
          <w:rFonts w:ascii="Times New Roman" w:hAnsi="Times New Roman" w:cs="Times New Roman"/>
          <w:sz w:val="28"/>
          <w:szCs w:val="28"/>
        </w:rPr>
        <w:t xml:space="preserve"> rates. Omicron and its subvariants tend to replicate more in the upper respiratory tract, </w:t>
      </w:r>
      <w:r w:rsidR="00222591">
        <w:rPr>
          <w:rFonts w:ascii="Times New Roman" w:hAnsi="Times New Roman" w:cs="Times New Roman"/>
          <w:sz w:val="28"/>
          <w:szCs w:val="28"/>
        </w:rPr>
        <w:t>reducing lung involvement and severity but increasing</w:t>
      </w:r>
      <w:r w:rsidR="00853685" w:rsidRPr="00193921">
        <w:rPr>
          <w:rFonts w:ascii="Times New Roman" w:hAnsi="Times New Roman" w:cs="Times New Roman"/>
          <w:sz w:val="28"/>
          <w:szCs w:val="28"/>
        </w:rPr>
        <w:t xml:space="preserve"> transmissibility</w:t>
      </w:r>
      <w:r w:rsidR="002D282D" w:rsidRPr="00193921">
        <w:rPr>
          <w:rFonts w:ascii="Times New Roman" w:hAnsi="Times New Roman" w:cs="Times New Roman"/>
          <w:sz w:val="28"/>
          <w:szCs w:val="28"/>
        </w:rPr>
        <w:t xml:space="preserve"> [8]</w:t>
      </w:r>
      <w:r w:rsidR="00853685" w:rsidRPr="00193921">
        <w:rPr>
          <w:rFonts w:ascii="Times New Roman" w:hAnsi="Times New Roman" w:cs="Times New Roman"/>
          <w:sz w:val="28"/>
          <w:szCs w:val="28"/>
        </w:rPr>
        <w:t xml:space="preserve">. Host Factors Affecting </w:t>
      </w:r>
      <w:r w:rsidR="004C080E" w:rsidRPr="00193921">
        <w:rPr>
          <w:rFonts w:ascii="Times New Roman" w:hAnsi="Times New Roman" w:cs="Times New Roman"/>
          <w:sz w:val="28"/>
          <w:szCs w:val="28"/>
        </w:rPr>
        <w:t>Virulence: Age -</w:t>
      </w:r>
      <w:r w:rsidR="00853685" w:rsidRPr="00193921">
        <w:rPr>
          <w:rFonts w:ascii="Times New Roman" w:hAnsi="Times New Roman" w:cs="Times New Roman"/>
          <w:sz w:val="28"/>
          <w:szCs w:val="28"/>
        </w:rPr>
        <w:t xml:space="preserve"> Older individuals </w:t>
      </w:r>
      <w:r w:rsidR="00F41390" w:rsidRPr="00193921">
        <w:rPr>
          <w:rFonts w:ascii="Times New Roman" w:hAnsi="Times New Roman" w:cs="Times New Roman"/>
          <w:sz w:val="28"/>
          <w:szCs w:val="28"/>
        </w:rPr>
        <w:t xml:space="preserve">are at a higher risk of developing </w:t>
      </w:r>
      <w:r w:rsidR="00853685" w:rsidRPr="00193921">
        <w:rPr>
          <w:rFonts w:ascii="Times New Roman" w:hAnsi="Times New Roman" w:cs="Times New Roman"/>
          <w:sz w:val="28"/>
          <w:szCs w:val="28"/>
        </w:rPr>
        <w:t>severe disease. Comorbidities</w:t>
      </w:r>
      <w:r w:rsidR="00F41390" w:rsidRPr="00193921">
        <w:rPr>
          <w:rFonts w:ascii="Times New Roman" w:hAnsi="Times New Roman" w:cs="Times New Roman"/>
          <w:sz w:val="28"/>
          <w:szCs w:val="28"/>
        </w:rPr>
        <w:t>, including diabetes, hypertension, obesity, and immunosuppression, increase the severity of the condition</w:t>
      </w:r>
      <w:r w:rsidR="00853685" w:rsidRPr="00193921">
        <w:rPr>
          <w:rFonts w:ascii="Times New Roman" w:hAnsi="Times New Roman" w:cs="Times New Roman"/>
          <w:sz w:val="28"/>
          <w:szCs w:val="28"/>
        </w:rPr>
        <w:t xml:space="preserve">. Vaccination Status: Vaccinated individuals generally have reduced disease severity. Genetics </w:t>
      </w:r>
      <w:r w:rsidR="00F41390" w:rsidRPr="00193921">
        <w:rPr>
          <w:rFonts w:ascii="Times New Roman" w:hAnsi="Times New Roman" w:cs="Times New Roman"/>
          <w:sz w:val="28"/>
          <w:szCs w:val="28"/>
        </w:rPr>
        <w:t>and Immune Response: Some individuals may have genetic predispositions that affect</w:t>
      </w:r>
      <w:r w:rsidR="00853685" w:rsidRPr="00193921">
        <w:rPr>
          <w:rFonts w:ascii="Times New Roman" w:hAnsi="Times New Roman" w:cs="Times New Roman"/>
          <w:sz w:val="28"/>
          <w:szCs w:val="28"/>
        </w:rPr>
        <w:t xml:space="preserve"> ACE2 expression or immune response</w:t>
      </w:r>
      <w:r w:rsidR="002D282D" w:rsidRPr="00193921">
        <w:rPr>
          <w:rFonts w:ascii="Times New Roman" w:hAnsi="Times New Roman" w:cs="Times New Roman"/>
          <w:sz w:val="28"/>
          <w:szCs w:val="28"/>
        </w:rPr>
        <w:t xml:space="preserve"> [9]</w:t>
      </w:r>
      <w:r w:rsidR="00853685" w:rsidRPr="00193921">
        <w:rPr>
          <w:rFonts w:ascii="Times New Roman" w:hAnsi="Times New Roman" w:cs="Times New Roman"/>
          <w:sz w:val="28"/>
          <w:szCs w:val="28"/>
        </w:rPr>
        <w:t xml:space="preserve">. </w:t>
      </w:r>
    </w:p>
    <w:p w14:paraId="3BDEA352" w14:textId="669955B5" w:rsidR="00ED0EEA" w:rsidRPr="00193921" w:rsidRDefault="00853685" w:rsidP="00193921">
      <w:pPr>
        <w:spacing w:after="0" w:line="240" w:lineRule="auto"/>
        <w:ind w:firstLine="708"/>
        <w:jc w:val="both"/>
        <w:rPr>
          <w:rFonts w:ascii="Times New Roman" w:hAnsi="Times New Roman" w:cs="Times New Roman"/>
          <w:sz w:val="28"/>
          <w:szCs w:val="28"/>
          <w:lang w:val="en-US"/>
        </w:rPr>
      </w:pPr>
      <w:r w:rsidRPr="00193921">
        <w:rPr>
          <w:rFonts w:ascii="Times New Roman" w:hAnsi="Times New Roman" w:cs="Times New Roman"/>
          <w:sz w:val="28"/>
          <w:szCs w:val="28"/>
        </w:rPr>
        <w:t xml:space="preserve">Clinical </w:t>
      </w:r>
      <w:r w:rsidR="00B17602">
        <w:rPr>
          <w:rFonts w:ascii="Times New Roman" w:hAnsi="Times New Roman" w:cs="Times New Roman"/>
          <w:sz w:val="28"/>
          <w:szCs w:val="28"/>
        </w:rPr>
        <w:t>o</w:t>
      </w:r>
      <w:r w:rsidRPr="00193921">
        <w:rPr>
          <w:rFonts w:ascii="Times New Roman" w:hAnsi="Times New Roman" w:cs="Times New Roman"/>
          <w:sz w:val="28"/>
          <w:szCs w:val="28"/>
        </w:rPr>
        <w:t xml:space="preserve">utcomes &amp; </w:t>
      </w:r>
      <w:r w:rsidR="00B17602">
        <w:rPr>
          <w:rFonts w:ascii="Times New Roman" w:hAnsi="Times New Roman" w:cs="Times New Roman"/>
          <w:sz w:val="28"/>
          <w:szCs w:val="28"/>
        </w:rPr>
        <w:t>s</w:t>
      </w:r>
      <w:r w:rsidRPr="00193921">
        <w:rPr>
          <w:rFonts w:ascii="Times New Roman" w:hAnsi="Times New Roman" w:cs="Times New Roman"/>
          <w:sz w:val="28"/>
          <w:szCs w:val="28"/>
        </w:rPr>
        <w:t xml:space="preserve">everity: mild cases (80%): Fever, cough, fatigue, sore throat, anosmia. </w:t>
      </w:r>
      <w:r w:rsidR="00ED0EEA" w:rsidRPr="00193921">
        <w:rPr>
          <w:rFonts w:ascii="Times New Roman" w:hAnsi="Times New Roman" w:cs="Times New Roman"/>
          <w:sz w:val="28"/>
          <w:szCs w:val="28"/>
        </w:rPr>
        <w:t>Moderate</w:t>
      </w:r>
      <w:r w:rsidRPr="00193921">
        <w:rPr>
          <w:rFonts w:ascii="Times New Roman" w:hAnsi="Times New Roman" w:cs="Times New Roman"/>
          <w:sz w:val="28"/>
          <w:szCs w:val="28"/>
        </w:rPr>
        <w:t xml:space="preserve"> cases (15%): Pneumonia, difficulty breathing, mild hypoxia. </w:t>
      </w:r>
      <w:r w:rsidR="00ED0EEA" w:rsidRPr="00193921">
        <w:rPr>
          <w:rFonts w:ascii="Times New Roman" w:hAnsi="Times New Roman" w:cs="Times New Roman"/>
          <w:sz w:val="28"/>
          <w:szCs w:val="28"/>
        </w:rPr>
        <w:t>Severe</w:t>
      </w:r>
      <w:r w:rsidRPr="00193921">
        <w:rPr>
          <w:rFonts w:ascii="Times New Roman" w:hAnsi="Times New Roman" w:cs="Times New Roman"/>
          <w:sz w:val="28"/>
          <w:szCs w:val="28"/>
        </w:rPr>
        <w:t xml:space="preserve"> cases (5%): ARDS, cytokine storm, organ failure, death</w:t>
      </w:r>
      <w:r w:rsidR="002D282D" w:rsidRPr="00193921">
        <w:rPr>
          <w:rFonts w:ascii="Times New Roman" w:hAnsi="Times New Roman" w:cs="Times New Roman"/>
          <w:sz w:val="28"/>
          <w:szCs w:val="28"/>
        </w:rPr>
        <w:t xml:space="preserve"> [10]</w:t>
      </w:r>
      <w:r w:rsidRPr="00193921">
        <w:rPr>
          <w:rFonts w:ascii="Times New Roman" w:hAnsi="Times New Roman" w:cs="Times New Roman"/>
          <w:sz w:val="28"/>
          <w:szCs w:val="28"/>
        </w:rPr>
        <w:t>. The overall case fatality rate (CFR) varies by variant and healthcare availability</w:t>
      </w:r>
      <w:r w:rsidR="00F41390" w:rsidRPr="00193921">
        <w:rPr>
          <w:rFonts w:ascii="Times New Roman" w:hAnsi="Times New Roman" w:cs="Times New Roman"/>
          <w:sz w:val="28"/>
          <w:szCs w:val="28"/>
        </w:rPr>
        <w:t xml:space="preserve"> but is lower than that of SARS-CoV-2 (2003) and MERS-CoV (2012), which had significantly</w:t>
      </w:r>
      <w:r w:rsidRPr="00193921">
        <w:rPr>
          <w:rFonts w:ascii="Times New Roman" w:hAnsi="Times New Roman" w:cs="Times New Roman"/>
          <w:sz w:val="28"/>
          <w:szCs w:val="28"/>
        </w:rPr>
        <w:t xml:space="preserve"> higher mortality rates [11].</w:t>
      </w:r>
      <w:r w:rsidR="00B01FA9" w:rsidRPr="00193921">
        <w:rPr>
          <w:rFonts w:ascii="Times New Roman" w:hAnsi="Times New Roman" w:cs="Times New Roman"/>
          <w:sz w:val="28"/>
          <w:szCs w:val="28"/>
        </w:rPr>
        <w:t xml:space="preserve"> </w:t>
      </w:r>
      <w:r w:rsidR="006B3E45" w:rsidRPr="00193921">
        <w:rPr>
          <w:rFonts w:ascii="Times New Roman" w:hAnsi="Times New Roman" w:cs="Times New Roman"/>
          <w:sz w:val="28"/>
          <w:szCs w:val="28"/>
        </w:rPr>
        <w:t>SARS-CoV-2 has demonstrated moderate virulence compared to other coronaviruses, with some variants</w:t>
      </w:r>
      <w:r w:rsidR="00F41390" w:rsidRPr="00193921">
        <w:rPr>
          <w:rFonts w:ascii="Times New Roman" w:hAnsi="Times New Roman" w:cs="Times New Roman"/>
          <w:sz w:val="28"/>
          <w:szCs w:val="28"/>
        </w:rPr>
        <w:t xml:space="preserve">, such as </w:t>
      </w:r>
      <w:r w:rsidR="00CD2B05" w:rsidRPr="00193921">
        <w:rPr>
          <w:rFonts w:ascii="Times New Roman" w:hAnsi="Times New Roman" w:cs="Times New Roman"/>
          <w:sz w:val="28"/>
          <w:szCs w:val="28"/>
        </w:rPr>
        <w:t>the Delta variant</w:t>
      </w:r>
      <w:r w:rsidR="00F41390" w:rsidRPr="00193921">
        <w:rPr>
          <w:rFonts w:ascii="Times New Roman" w:hAnsi="Times New Roman" w:cs="Times New Roman"/>
          <w:sz w:val="28"/>
          <w:szCs w:val="28"/>
        </w:rPr>
        <w:t>, being more severe. In contrast, Omicron exhibits lower virulence but higher transmission rates</w:t>
      </w:r>
      <w:r w:rsidR="006B3E45" w:rsidRPr="00193921">
        <w:rPr>
          <w:rFonts w:ascii="Times New Roman" w:hAnsi="Times New Roman" w:cs="Times New Roman"/>
          <w:sz w:val="28"/>
          <w:szCs w:val="28"/>
        </w:rPr>
        <w:t>. The virus's ability to evade immunity and mutate rapidly influences its pathogenicity and clinical impact</w:t>
      </w:r>
      <w:r w:rsidR="00391020" w:rsidRPr="00193921">
        <w:rPr>
          <w:rFonts w:ascii="Times New Roman" w:hAnsi="Times New Roman" w:cs="Times New Roman"/>
          <w:sz w:val="28"/>
          <w:szCs w:val="28"/>
        </w:rPr>
        <w:t xml:space="preserve"> [12]</w:t>
      </w:r>
      <w:r w:rsidR="006B3E45" w:rsidRPr="00193921">
        <w:rPr>
          <w:rFonts w:ascii="Times New Roman" w:hAnsi="Times New Roman" w:cs="Times New Roman"/>
          <w:sz w:val="28"/>
          <w:szCs w:val="28"/>
        </w:rPr>
        <w:t xml:space="preserve">. </w:t>
      </w:r>
    </w:p>
    <w:p w14:paraId="42495DB7" w14:textId="474BE6E4" w:rsidR="00C04404" w:rsidRPr="00193921" w:rsidRDefault="006B3E45"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The strain we worked with is the Omicron strain; nevertheless, it has a relatively high virulence</w:t>
      </w:r>
      <w:r w:rsidR="003256EE">
        <w:rPr>
          <w:rFonts w:ascii="Times New Roman" w:hAnsi="Times New Roman" w:cs="Times New Roman"/>
          <w:sz w:val="28"/>
          <w:szCs w:val="28"/>
        </w:rPr>
        <w:t>, with a rapid cytopathic effect (CPE) and</w:t>
      </w:r>
      <w:r w:rsidRPr="00193921">
        <w:rPr>
          <w:rFonts w:ascii="Times New Roman" w:hAnsi="Times New Roman" w:cs="Times New Roman"/>
          <w:sz w:val="28"/>
          <w:szCs w:val="28"/>
        </w:rPr>
        <w:t xml:space="preserve"> a relatively low viral load (MOI of 2 in Kazakhstan and MOI of 0,1 in China).   Viruses are endo-parasites that strongly depend on </w:t>
      </w:r>
      <w:r w:rsidR="00423A79" w:rsidRPr="00193921">
        <w:rPr>
          <w:rFonts w:ascii="Times New Roman" w:hAnsi="Times New Roman" w:cs="Times New Roman"/>
          <w:sz w:val="28"/>
          <w:szCs w:val="28"/>
        </w:rPr>
        <w:t xml:space="preserve">their host cell and its replication, transcription, and </w:t>
      </w:r>
      <w:r w:rsidRPr="00193921">
        <w:rPr>
          <w:rFonts w:ascii="Times New Roman" w:hAnsi="Times New Roman" w:cs="Times New Roman"/>
          <w:sz w:val="28"/>
          <w:szCs w:val="28"/>
        </w:rPr>
        <w:t xml:space="preserve">translation machinery. Viruses can infect both </w:t>
      </w:r>
      <w:r w:rsidR="00ED0EEA" w:rsidRPr="00193921">
        <w:rPr>
          <w:rFonts w:ascii="Times New Roman" w:hAnsi="Times New Roman" w:cs="Times New Roman"/>
          <w:sz w:val="28"/>
          <w:szCs w:val="28"/>
        </w:rPr>
        <w:t>eukaryotic and</w:t>
      </w:r>
      <w:r w:rsidRPr="00193921">
        <w:rPr>
          <w:rFonts w:ascii="Times New Roman" w:hAnsi="Times New Roman" w:cs="Times New Roman"/>
          <w:sz w:val="28"/>
          <w:szCs w:val="28"/>
        </w:rPr>
        <w:t xml:space="preserve"> </w:t>
      </w:r>
      <w:r w:rsidR="00BF5162" w:rsidRPr="00193921">
        <w:rPr>
          <w:rFonts w:ascii="Times New Roman" w:hAnsi="Times New Roman" w:cs="Times New Roman"/>
          <w:sz w:val="28"/>
          <w:szCs w:val="28"/>
        </w:rPr>
        <w:t>prokaryotic</w:t>
      </w:r>
      <w:r w:rsidRPr="00193921">
        <w:rPr>
          <w:rFonts w:ascii="Times New Roman" w:hAnsi="Times New Roman" w:cs="Times New Roman"/>
          <w:sz w:val="28"/>
          <w:szCs w:val="28"/>
        </w:rPr>
        <w:t xml:space="preserve"> organisms (</w:t>
      </w:r>
      <w:proofErr w:type="spellStart"/>
      <w:r w:rsidRPr="00193921">
        <w:rPr>
          <w:rFonts w:ascii="Times New Roman" w:hAnsi="Times New Roman" w:cs="Times New Roman"/>
          <w:sz w:val="28"/>
          <w:szCs w:val="28"/>
        </w:rPr>
        <w:t>phages</w:t>
      </w:r>
      <w:proofErr w:type="spellEnd"/>
      <w:r w:rsidRPr="00193921">
        <w:rPr>
          <w:rFonts w:ascii="Times New Roman" w:hAnsi="Times New Roman" w:cs="Times New Roman"/>
          <w:sz w:val="28"/>
          <w:szCs w:val="28"/>
        </w:rPr>
        <w:t xml:space="preserve">). It is </w:t>
      </w:r>
      <w:r w:rsidR="00423A79" w:rsidRPr="00193921">
        <w:rPr>
          <w:rFonts w:ascii="Times New Roman" w:hAnsi="Times New Roman" w:cs="Times New Roman"/>
          <w:sz w:val="28"/>
          <w:szCs w:val="28"/>
        </w:rPr>
        <w:t>challenging to classify them as true parasites or pseudoparasites</w:t>
      </w:r>
      <w:r w:rsidRPr="00193921">
        <w:rPr>
          <w:rFonts w:ascii="Times New Roman" w:hAnsi="Times New Roman" w:cs="Times New Roman"/>
          <w:sz w:val="28"/>
          <w:szCs w:val="28"/>
        </w:rPr>
        <w:t>. Viruses have compact genomes</w:t>
      </w:r>
      <w:r w:rsidR="003256EE">
        <w:rPr>
          <w:rFonts w:ascii="Times New Roman" w:hAnsi="Times New Roman" w:cs="Times New Roman"/>
          <w:sz w:val="28"/>
          <w:szCs w:val="28"/>
        </w:rPr>
        <w:t>, mostly enveloped by capsid proteins, and can be composed of either DNA or RNA, as they</w:t>
      </w:r>
      <w:r w:rsidRPr="00193921">
        <w:rPr>
          <w:rFonts w:ascii="Times New Roman" w:hAnsi="Times New Roman" w:cs="Times New Roman"/>
          <w:sz w:val="28"/>
          <w:szCs w:val="28"/>
        </w:rPr>
        <w:t xml:space="preserve"> encode various types of transcriptase. Coronaviruses are named for their corona-shaped appearance </w:t>
      </w:r>
      <w:r w:rsidR="00423A79" w:rsidRPr="00193921">
        <w:rPr>
          <w:rFonts w:ascii="Times New Roman" w:hAnsi="Times New Roman" w:cs="Times New Roman"/>
          <w:sz w:val="28"/>
          <w:szCs w:val="28"/>
        </w:rPr>
        <w:t>when viewed under</w:t>
      </w:r>
      <w:r w:rsidRPr="00193921">
        <w:rPr>
          <w:rFonts w:ascii="Times New Roman" w:hAnsi="Times New Roman" w:cs="Times New Roman"/>
          <w:sz w:val="28"/>
          <w:szCs w:val="28"/>
        </w:rPr>
        <w:t xml:space="preserve"> the electron </w:t>
      </w:r>
      <w:r w:rsidR="00B53BFD" w:rsidRPr="00193921">
        <w:rPr>
          <w:rFonts w:ascii="Times New Roman" w:hAnsi="Times New Roman" w:cs="Times New Roman"/>
          <w:sz w:val="28"/>
          <w:szCs w:val="28"/>
        </w:rPr>
        <w:t>microscope. Viruses</w:t>
      </w:r>
      <w:r w:rsidR="00853685" w:rsidRPr="00193921">
        <w:rPr>
          <w:rFonts w:ascii="Times New Roman" w:hAnsi="Times New Roman" w:cs="Times New Roman"/>
          <w:sz w:val="28"/>
          <w:szCs w:val="28"/>
        </w:rPr>
        <w:t xml:space="preserve">, are they alive? According to the latest characteristics of life biology, viruses </w:t>
      </w:r>
      <w:r w:rsidR="002E13F1">
        <w:rPr>
          <w:rFonts w:ascii="Times New Roman" w:hAnsi="Times New Roman" w:cs="Times New Roman"/>
          <w:sz w:val="28"/>
          <w:szCs w:val="28"/>
        </w:rPr>
        <w:t>meet only a fraction</w:t>
      </w:r>
      <w:r w:rsidR="003256EE">
        <w:rPr>
          <w:rFonts w:ascii="Times New Roman" w:hAnsi="Times New Roman" w:cs="Times New Roman"/>
          <w:sz w:val="28"/>
          <w:szCs w:val="28"/>
        </w:rPr>
        <w:t xml:space="preserve"> of </w:t>
      </w:r>
      <w:r w:rsidR="00265920">
        <w:rPr>
          <w:rFonts w:ascii="Times New Roman" w:hAnsi="Times New Roman" w:cs="Times New Roman"/>
          <w:sz w:val="28"/>
          <w:szCs w:val="28"/>
        </w:rPr>
        <w:t>the criteria for life— such as growth and development—because they</w:t>
      </w:r>
      <w:r w:rsidR="003256EE">
        <w:rPr>
          <w:rFonts w:ascii="Times New Roman" w:hAnsi="Times New Roman" w:cs="Times New Roman"/>
          <w:sz w:val="28"/>
          <w:szCs w:val="28"/>
        </w:rPr>
        <w:t xml:space="preserve"> do not grow or develop in the classical sense</w:t>
      </w:r>
      <w:r w:rsidR="00423A79" w:rsidRPr="00193921">
        <w:rPr>
          <w:rFonts w:ascii="Times New Roman" w:hAnsi="Times New Roman" w:cs="Times New Roman"/>
          <w:sz w:val="28"/>
          <w:szCs w:val="28"/>
        </w:rPr>
        <w:t xml:space="preserve"> of these words</w:t>
      </w:r>
      <w:r w:rsidR="00853685" w:rsidRPr="00193921">
        <w:rPr>
          <w:rFonts w:ascii="Times New Roman" w:hAnsi="Times New Roman" w:cs="Times New Roman"/>
          <w:sz w:val="28"/>
          <w:szCs w:val="28"/>
        </w:rPr>
        <w:t>. Only numbers increase</w:t>
      </w:r>
      <w:r w:rsidR="003256EE">
        <w:rPr>
          <w:rFonts w:ascii="Times New Roman" w:hAnsi="Times New Roman" w:cs="Times New Roman"/>
          <w:sz w:val="28"/>
          <w:szCs w:val="28"/>
        </w:rPr>
        <w:t xml:space="preserve">—the viral load in a host cell, which ultimately leads to its fatal membrane and </w:t>
      </w:r>
      <w:r w:rsidR="003256EE">
        <w:rPr>
          <w:rFonts w:ascii="Times New Roman" w:hAnsi="Times New Roman" w:cs="Times New Roman"/>
          <w:sz w:val="28"/>
          <w:szCs w:val="28"/>
        </w:rPr>
        <w:lastRenderedPageBreak/>
        <w:t>cytosol bursting</w:t>
      </w:r>
      <w:r w:rsidR="00853685" w:rsidRPr="00193921">
        <w:rPr>
          <w:rFonts w:ascii="Times New Roman" w:hAnsi="Times New Roman" w:cs="Times New Roman"/>
          <w:sz w:val="28"/>
          <w:szCs w:val="28"/>
        </w:rPr>
        <w:t xml:space="preserve">. Viruses possess neither </w:t>
      </w:r>
      <w:r w:rsidR="00853685" w:rsidRPr="00193921">
        <w:rPr>
          <w:rFonts w:ascii="Times New Roman" w:hAnsi="Times New Roman" w:cs="Times New Roman"/>
          <w:i/>
          <w:iCs/>
          <w:sz w:val="28"/>
          <w:szCs w:val="28"/>
        </w:rPr>
        <w:t>order</w:t>
      </w:r>
      <w:r w:rsidR="00853685" w:rsidRPr="00193921">
        <w:rPr>
          <w:rFonts w:ascii="Times New Roman" w:hAnsi="Times New Roman" w:cs="Times New Roman"/>
          <w:sz w:val="28"/>
          <w:szCs w:val="28"/>
        </w:rPr>
        <w:t xml:space="preserve"> because they cannot be </w:t>
      </w:r>
      <w:r w:rsidR="00BF5162" w:rsidRPr="00193921">
        <w:rPr>
          <w:rFonts w:ascii="Times New Roman" w:hAnsi="Times New Roman" w:cs="Times New Roman"/>
          <w:sz w:val="28"/>
          <w:szCs w:val="28"/>
        </w:rPr>
        <w:t>characterised as cellular organisms nor as energy processors</w:t>
      </w:r>
      <w:r w:rsidR="00853685" w:rsidRPr="00193921">
        <w:rPr>
          <w:rFonts w:ascii="Times New Roman" w:hAnsi="Times New Roman" w:cs="Times New Roman"/>
          <w:sz w:val="28"/>
          <w:szCs w:val="28"/>
        </w:rPr>
        <w:t xml:space="preserve">. </w:t>
      </w:r>
    </w:p>
    <w:p w14:paraId="08FD4A03" w14:textId="0F5A89E9" w:rsidR="00C04404" w:rsidRPr="00193921" w:rsidRDefault="00853685"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 xml:space="preserve">However, many virions are highly ordered; instead, they </w:t>
      </w:r>
      <w:r w:rsidR="00BF5162" w:rsidRPr="00193921">
        <w:rPr>
          <w:rFonts w:ascii="Times New Roman" w:hAnsi="Times New Roman" w:cs="Times New Roman"/>
          <w:sz w:val="28"/>
          <w:szCs w:val="28"/>
        </w:rPr>
        <w:t>utilise the ‘victim’ replication machinery to reproduce, expressing various enzymes on eukaryotic</w:t>
      </w:r>
      <w:r w:rsidRPr="00193921">
        <w:rPr>
          <w:rFonts w:ascii="Times New Roman" w:hAnsi="Times New Roman" w:cs="Times New Roman"/>
          <w:sz w:val="28"/>
          <w:szCs w:val="28"/>
        </w:rPr>
        <w:t xml:space="preserve"> ribosomes</w:t>
      </w:r>
      <w:r w:rsidR="00391020" w:rsidRPr="00193921">
        <w:rPr>
          <w:rFonts w:ascii="Times New Roman" w:hAnsi="Times New Roman" w:cs="Times New Roman"/>
          <w:sz w:val="28"/>
          <w:szCs w:val="28"/>
        </w:rPr>
        <w:t xml:space="preserve"> [12]</w:t>
      </w:r>
      <w:r w:rsidRPr="00193921">
        <w:rPr>
          <w:rFonts w:ascii="Times New Roman" w:hAnsi="Times New Roman" w:cs="Times New Roman"/>
          <w:sz w:val="28"/>
          <w:szCs w:val="28"/>
        </w:rPr>
        <w:t xml:space="preserve">. Viruses are so heavily dependent on host metabolism that they can survive only inside penetrated host cells. The size also plays a crucial role; most living organisms, even unicellular </w:t>
      </w:r>
      <w:r w:rsidR="00BF5162" w:rsidRPr="00193921">
        <w:rPr>
          <w:rFonts w:ascii="Times New Roman" w:hAnsi="Times New Roman" w:cs="Times New Roman"/>
          <w:sz w:val="28"/>
          <w:szCs w:val="28"/>
        </w:rPr>
        <w:t>ones like bacteria or protists, require space</w:t>
      </w:r>
      <w:r w:rsidR="003256EE">
        <w:rPr>
          <w:rFonts w:ascii="Times New Roman" w:hAnsi="Times New Roman" w:cs="Times New Roman"/>
          <w:sz w:val="28"/>
          <w:szCs w:val="28"/>
        </w:rPr>
        <w:t>—the biosphere</w:t>
      </w:r>
      <w:r w:rsidR="00D232F5">
        <w:rPr>
          <w:rFonts w:ascii="Times New Roman" w:hAnsi="Times New Roman" w:cs="Times New Roman"/>
          <w:sz w:val="28"/>
          <w:szCs w:val="28"/>
        </w:rPr>
        <w:t>—to inhabit; viruses, in sharp contrast, mainly depend on particular hosts and their interactions within</w:t>
      </w:r>
      <w:r w:rsidRPr="00193921">
        <w:rPr>
          <w:rFonts w:ascii="Times New Roman" w:hAnsi="Times New Roman" w:cs="Times New Roman"/>
          <w:sz w:val="28"/>
          <w:szCs w:val="28"/>
        </w:rPr>
        <w:t xml:space="preserve"> the biosphere. The only thing that relates viruses to living </w:t>
      </w:r>
      <w:r w:rsidR="00BF5162" w:rsidRPr="00193921">
        <w:rPr>
          <w:rFonts w:ascii="Times New Roman" w:hAnsi="Times New Roman" w:cs="Times New Roman"/>
          <w:sz w:val="28"/>
          <w:szCs w:val="28"/>
        </w:rPr>
        <w:t xml:space="preserve">organisms is their capacity for heredity and adaptation, as evidenced by their ability to regulate </w:t>
      </w:r>
      <w:r w:rsidRPr="00193921">
        <w:rPr>
          <w:rFonts w:ascii="Times New Roman" w:hAnsi="Times New Roman" w:cs="Times New Roman"/>
          <w:sz w:val="28"/>
          <w:szCs w:val="28"/>
        </w:rPr>
        <w:t>gene expression independently</w:t>
      </w:r>
      <w:r w:rsidR="006005C8">
        <w:rPr>
          <w:rFonts w:ascii="Times New Roman" w:hAnsi="Times New Roman" w:cs="Times New Roman"/>
          <w:sz w:val="28"/>
          <w:szCs w:val="28"/>
        </w:rPr>
        <w:t xml:space="preserve">. </w:t>
      </w:r>
      <w:r w:rsidRPr="00193921">
        <w:rPr>
          <w:rFonts w:ascii="Times New Roman" w:hAnsi="Times New Roman" w:cs="Times New Roman"/>
          <w:sz w:val="28"/>
          <w:szCs w:val="28"/>
        </w:rPr>
        <w:t>The viral genome can defend its critical regions of gene expression; these regions are called ORFs</w:t>
      </w:r>
      <w:r w:rsidR="003256EE">
        <w:rPr>
          <w:rFonts w:ascii="Times New Roman" w:hAnsi="Times New Roman" w:cs="Times New Roman"/>
          <w:sz w:val="28"/>
          <w:szCs w:val="28"/>
        </w:rPr>
        <w:t xml:space="preserve"> (open reading frames) and function</w:t>
      </w:r>
      <w:r w:rsidRPr="00193921">
        <w:rPr>
          <w:rFonts w:ascii="Times New Roman" w:hAnsi="Times New Roman" w:cs="Times New Roman"/>
          <w:sz w:val="28"/>
          <w:szCs w:val="28"/>
        </w:rPr>
        <w:t xml:space="preserve"> as enzyme–bioactive catalysis. </w:t>
      </w:r>
    </w:p>
    <w:p w14:paraId="4F75F41D" w14:textId="77777777" w:rsidR="0011070B" w:rsidRDefault="00853685"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 xml:space="preserve">The tiny size of viruses allows them not only </w:t>
      </w:r>
      <w:r w:rsidR="00FD089C" w:rsidRPr="00193921">
        <w:rPr>
          <w:rFonts w:ascii="Times New Roman" w:hAnsi="Times New Roman" w:cs="Times New Roman"/>
          <w:sz w:val="28"/>
          <w:szCs w:val="28"/>
        </w:rPr>
        <w:t>to infect most organisms effectively but also to develop a profound number of strategies to regulate the populations of bacteria, fungi, plants, and other organisms</w:t>
      </w:r>
      <w:r w:rsidRPr="00193921">
        <w:rPr>
          <w:rFonts w:ascii="Times New Roman" w:hAnsi="Times New Roman" w:cs="Times New Roman"/>
          <w:sz w:val="28"/>
          <w:szCs w:val="28"/>
        </w:rPr>
        <w:t xml:space="preserve">. Viruses also </w:t>
      </w:r>
      <w:r w:rsidR="00BF5162" w:rsidRPr="00193921">
        <w:rPr>
          <w:rFonts w:ascii="Times New Roman" w:hAnsi="Times New Roman" w:cs="Times New Roman"/>
          <w:sz w:val="28"/>
          <w:szCs w:val="28"/>
        </w:rPr>
        <w:t xml:space="preserve">cannot be considered true parasites because, although they cannot survive on their own, they usually kill their </w:t>
      </w:r>
      <w:r w:rsidR="007F5935">
        <w:rPr>
          <w:rFonts w:ascii="Times New Roman" w:hAnsi="Times New Roman" w:cs="Times New Roman"/>
          <w:sz w:val="28"/>
          <w:szCs w:val="28"/>
        </w:rPr>
        <w:t>hosts relatively quickly, as seen with Ebola and Marburg viruses, which kill their</w:t>
      </w:r>
      <w:r w:rsidRPr="00193921">
        <w:rPr>
          <w:rFonts w:ascii="Times New Roman" w:hAnsi="Times New Roman" w:cs="Times New Roman"/>
          <w:sz w:val="28"/>
          <w:szCs w:val="28"/>
        </w:rPr>
        <w:t xml:space="preserve"> hosts within several days</w:t>
      </w:r>
      <w:r w:rsidR="00391020" w:rsidRPr="00193921">
        <w:rPr>
          <w:rFonts w:ascii="Times New Roman" w:hAnsi="Times New Roman" w:cs="Times New Roman"/>
          <w:sz w:val="28"/>
          <w:szCs w:val="28"/>
        </w:rPr>
        <w:t xml:space="preserve"> [11]</w:t>
      </w:r>
      <w:r w:rsidRPr="00193921">
        <w:rPr>
          <w:rFonts w:ascii="Times New Roman" w:hAnsi="Times New Roman" w:cs="Times New Roman"/>
          <w:sz w:val="28"/>
          <w:szCs w:val="28"/>
        </w:rPr>
        <w:t xml:space="preserve">. </w:t>
      </w:r>
    </w:p>
    <w:p w14:paraId="03EB86D5" w14:textId="3CF99FD8" w:rsidR="00ED0EEA" w:rsidRPr="00193921" w:rsidRDefault="00853685" w:rsidP="00193921">
      <w:pPr>
        <w:spacing w:after="0" w:line="240" w:lineRule="auto"/>
        <w:ind w:firstLine="709"/>
        <w:jc w:val="both"/>
        <w:rPr>
          <w:rFonts w:ascii="Times New Roman" w:hAnsi="Times New Roman" w:cs="Times New Roman"/>
          <w:sz w:val="28"/>
          <w:szCs w:val="28"/>
          <w:lang w:val="en-US"/>
        </w:rPr>
      </w:pPr>
      <w:r w:rsidRPr="00193921">
        <w:rPr>
          <w:rFonts w:ascii="Times New Roman" w:hAnsi="Times New Roman" w:cs="Times New Roman"/>
          <w:sz w:val="28"/>
          <w:szCs w:val="28"/>
        </w:rPr>
        <w:t xml:space="preserve">This false parasite </w:t>
      </w:r>
      <w:r w:rsidR="00FD089C" w:rsidRPr="00193921">
        <w:rPr>
          <w:rFonts w:ascii="Times New Roman" w:hAnsi="Times New Roman" w:cs="Times New Roman"/>
          <w:sz w:val="28"/>
          <w:szCs w:val="28"/>
        </w:rPr>
        <w:t>behaviour</w:t>
      </w:r>
      <w:r w:rsidRPr="00193921">
        <w:rPr>
          <w:rFonts w:ascii="Times New Roman" w:hAnsi="Times New Roman" w:cs="Times New Roman"/>
          <w:sz w:val="28"/>
          <w:szCs w:val="28"/>
        </w:rPr>
        <w:t xml:space="preserve"> is their true weakness</w:t>
      </w:r>
      <w:r w:rsidR="007F5935">
        <w:rPr>
          <w:rFonts w:ascii="Times New Roman" w:hAnsi="Times New Roman" w:cs="Times New Roman"/>
          <w:sz w:val="28"/>
          <w:szCs w:val="28"/>
        </w:rPr>
        <w:t>: low virulence and the inability</w:t>
      </w:r>
      <w:r w:rsidRPr="00193921">
        <w:rPr>
          <w:rFonts w:ascii="Times New Roman" w:hAnsi="Times New Roman" w:cs="Times New Roman"/>
          <w:sz w:val="28"/>
          <w:szCs w:val="28"/>
        </w:rPr>
        <w:t xml:space="preserve"> to spread. The ideal pandemic viral </w:t>
      </w:r>
      <w:r w:rsidR="00BF5162" w:rsidRPr="00193921">
        <w:rPr>
          <w:rFonts w:ascii="Times New Roman" w:hAnsi="Times New Roman" w:cs="Times New Roman"/>
          <w:sz w:val="28"/>
          <w:szCs w:val="28"/>
        </w:rPr>
        <w:t xml:space="preserve">scale is one where a virus spreads not only quickly but also allows a host to spread contamination fluids into the air for as long as possible, and keeps the so-called patient zero unaware of </w:t>
      </w:r>
      <w:r w:rsidR="007F5935">
        <w:rPr>
          <w:rFonts w:ascii="Times New Roman" w:hAnsi="Times New Roman" w:cs="Times New Roman"/>
          <w:sz w:val="28"/>
          <w:szCs w:val="28"/>
        </w:rPr>
        <w:t xml:space="preserve">their role in </w:t>
      </w:r>
      <w:r w:rsidR="00BF5162" w:rsidRPr="00193921">
        <w:rPr>
          <w:rFonts w:ascii="Times New Roman" w:hAnsi="Times New Roman" w:cs="Times New Roman"/>
          <w:sz w:val="28"/>
          <w:szCs w:val="28"/>
        </w:rPr>
        <w:t xml:space="preserve">spreading until it is </w:t>
      </w:r>
      <w:r w:rsidRPr="00193921">
        <w:rPr>
          <w:rFonts w:ascii="Times New Roman" w:hAnsi="Times New Roman" w:cs="Times New Roman"/>
          <w:sz w:val="28"/>
          <w:szCs w:val="28"/>
        </w:rPr>
        <w:t xml:space="preserve">too late.  </w:t>
      </w:r>
      <w:bookmarkStart w:id="7" w:name="_Hlk169793992"/>
      <w:r w:rsidRPr="00193921">
        <w:rPr>
          <w:rFonts w:ascii="Times New Roman" w:hAnsi="Times New Roman" w:cs="Times New Roman"/>
          <w:sz w:val="28"/>
          <w:szCs w:val="28"/>
        </w:rPr>
        <w:t xml:space="preserve">The virus is one of the most primitive life forms biology knows (apart from viroids, </w:t>
      </w:r>
      <w:r w:rsidR="00050176" w:rsidRPr="00193921">
        <w:rPr>
          <w:rFonts w:ascii="Times New Roman" w:hAnsi="Times New Roman" w:cs="Times New Roman"/>
          <w:sz w:val="28"/>
          <w:szCs w:val="28"/>
        </w:rPr>
        <w:t xml:space="preserve">which are even more primitive): it has only membrane proteins that enable it to penetrate the host cell membrane, and </w:t>
      </w:r>
      <w:r w:rsidR="00C94D52" w:rsidRPr="00193921">
        <w:rPr>
          <w:rFonts w:ascii="Times New Roman" w:hAnsi="Times New Roman" w:cs="Times New Roman"/>
          <w:sz w:val="28"/>
          <w:szCs w:val="28"/>
        </w:rPr>
        <w:t xml:space="preserve">a nucleocapsid </w:t>
      </w:r>
      <w:r w:rsidR="007F5935">
        <w:rPr>
          <w:rFonts w:ascii="Times New Roman" w:hAnsi="Times New Roman" w:cs="Times New Roman"/>
          <w:sz w:val="28"/>
          <w:szCs w:val="28"/>
        </w:rPr>
        <w:t>that encloses the genetic material, which</w:t>
      </w:r>
      <w:r w:rsidR="00C94D52" w:rsidRPr="00193921">
        <w:rPr>
          <w:rFonts w:ascii="Times New Roman" w:hAnsi="Times New Roman" w:cs="Times New Roman"/>
          <w:sz w:val="28"/>
          <w:szCs w:val="28"/>
        </w:rPr>
        <w:t xml:space="preserve"> appears in either DNA or RNA form</w:t>
      </w:r>
      <w:r w:rsidRPr="00193921">
        <w:rPr>
          <w:rFonts w:ascii="Times New Roman" w:hAnsi="Times New Roman" w:cs="Times New Roman"/>
          <w:sz w:val="28"/>
          <w:szCs w:val="28"/>
        </w:rPr>
        <w:t>.</w:t>
      </w:r>
    </w:p>
    <w:p w14:paraId="7EF3F3DE" w14:textId="6FDF754B" w:rsidR="00265920" w:rsidRPr="00265920" w:rsidRDefault="00853685" w:rsidP="00265920">
      <w:pPr>
        <w:spacing w:after="0" w:line="240" w:lineRule="auto"/>
        <w:ind w:firstLine="709"/>
        <w:jc w:val="both"/>
        <w:rPr>
          <w:rFonts w:ascii="Times New Roman" w:hAnsi="Times New Roman" w:cs="Times New Roman"/>
          <w:sz w:val="28"/>
          <w:szCs w:val="28"/>
          <w:lang w:val="en-US"/>
        </w:rPr>
      </w:pPr>
      <w:r w:rsidRPr="00193921">
        <w:rPr>
          <w:rFonts w:ascii="Times New Roman" w:hAnsi="Times New Roman" w:cs="Times New Roman"/>
          <w:sz w:val="28"/>
          <w:szCs w:val="28"/>
        </w:rPr>
        <w:t xml:space="preserve"> When the genetic material of a virus is inserted into the cytosol of the victim cell, the viral RNA, for instance, starts to dock on ribosomes and begin to produce immediately so-called reverse-orientated complicated enzymes like RNA driven RNA polymerase-enzyme that interacts with host DNA replication-machinery and starts to reproduce first the genetic material in positive sense direction, the reason why COVID-19 virus, for instance, has a definition as single-stranded RNA positive sense virus (ssRNA</w:t>
      </w:r>
      <w:r w:rsidRPr="00193921">
        <w:rPr>
          <w:rFonts w:ascii="Times New Roman" w:hAnsi="Times New Roman" w:cs="Times New Roman"/>
          <w:sz w:val="28"/>
          <w:szCs w:val="28"/>
          <w:vertAlign w:val="superscript"/>
        </w:rPr>
        <w:t>+</w:t>
      </w:r>
      <w:r w:rsidRPr="00193921">
        <w:rPr>
          <w:rFonts w:ascii="Times New Roman" w:hAnsi="Times New Roman" w:cs="Times New Roman"/>
          <w:sz w:val="28"/>
          <w:szCs w:val="28"/>
        </w:rPr>
        <w:t xml:space="preserve">). </w:t>
      </w:r>
      <w:bookmarkEnd w:id="7"/>
      <w:r w:rsidRPr="00193921">
        <w:rPr>
          <w:rFonts w:ascii="Times New Roman" w:hAnsi="Times New Roman" w:cs="Times New Roman"/>
          <w:sz w:val="28"/>
          <w:szCs w:val="28"/>
        </w:rPr>
        <w:t>About two-thirds of the</w:t>
      </w:r>
      <w:r w:rsidR="00265920" w:rsidRPr="00265920">
        <w:rPr>
          <w:rFonts w:ascii="Times New Roman" w:hAnsi="Times New Roman" w:cs="Times New Roman"/>
          <w:sz w:val="28"/>
          <w:szCs w:val="28"/>
          <w:lang w:val="en-US"/>
        </w:rPr>
        <w:t xml:space="preserve"> </w:t>
      </w:r>
      <w:r w:rsidRPr="00193921">
        <w:rPr>
          <w:rFonts w:ascii="Times New Roman" w:hAnsi="Times New Roman" w:cs="Times New Roman"/>
          <w:sz w:val="28"/>
          <w:szCs w:val="28"/>
        </w:rPr>
        <w:t xml:space="preserve"> SARS-CoV type two virus genome is fully dedicated to enabling, protecting and sustaining the work of RdRP to ensure the viral survival through not only replicating the </w:t>
      </w:r>
      <w:r w:rsidR="00265920">
        <w:rPr>
          <w:rFonts w:ascii="Times New Roman" w:hAnsi="Times New Roman" w:cs="Times New Roman"/>
          <w:sz w:val="28"/>
          <w:szCs w:val="28"/>
        </w:rPr>
        <w:t>genetic</w:t>
      </w:r>
      <w:r w:rsidRPr="00193921">
        <w:rPr>
          <w:rFonts w:ascii="Times New Roman" w:hAnsi="Times New Roman" w:cs="Times New Roman"/>
          <w:sz w:val="28"/>
          <w:szCs w:val="28"/>
        </w:rPr>
        <w:t xml:space="preserve"> material but also producing main components of virions like spike protein – the host membrane ‘opener,’ membrane protein -even viruses must have information about </w:t>
      </w:r>
      <w:r w:rsidR="00265920">
        <w:rPr>
          <w:rFonts w:ascii="Times New Roman" w:hAnsi="Times New Roman" w:cs="Times New Roman"/>
          <w:sz w:val="28"/>
          <w:szCs w:val="28"/>
        </w:rPr>
        <w:t xml:space="preserve">the </w:t>
      </w:r>
      <w:r w:rsidRPr="00193921">
        <w:rPr>
          <w:rFonts w:ascii="Times New Roman" w:hAnsi="Times New Roman" w:cs="Times New Roman"/>
          <w:sz w:val="28"/>
          <w:szCs w:val="28"/>
        </w:rPr>
        <w:t>host membrane barrier in a cooperative form as Receptor binding domain - Angiotensin-converting enzyme 2 (RBD-ACE 2)</w:t>
      </w:r>
      <w:r w:rsidR="00391020" w:rsidRPr="00193921">
        <w:rPr>
          <w:rFonts w:ascii="Times New Roman" w:hAnsi="Times New Roman" w:cs="Times New Roman"/>
          <w:sz w:val="28"/>
          <w:szCs w:val="28"/>
        </w:rPr>
        <w:t xml:space="preserve"> [13-14]</w:t>
      </w:r>
      <w:r w:rsidRPr="00193921">
        <w:rPr>
          <w:rFonts w:ascii="Times New Roman" w:hAnsi="Times New Roman" w:cs="Times New Roman"/>
          <w:sz w:val="28"/>
          <w:szCs w:val="28"/>
        </w:rPr>
        <w:t>.</w:t>
      </w:r>
    </w:p>
    <w:p w14:paraId="0A5237FE" w14:textId="37381E6C" w:rsidR="00ED0EEA" w:rsidRPr="00193921" w:rsidRDefault="00853685" w:rsidP="00265920">
      <w:pPr>
        <w:spacing w:after="0" w:line="240" w:lineRule="auto"/>
        <w:ind w:firstLine="709"/>
        <w:jc w:val="both"/>
        <w:rPr>
          <w:rFonts w:ascii="Times New Roman" w:hAnsi="Times New Roman" w:cs="Times New Roman"/>
          <w:sz w:val="28"/>
          <w:szCs w:val="28"/>
          <w:lang w:val="en-US"/>
        </w:rPr>
      </w:pPr>
      <w:r w:rsidRPr="00193921">
        <w:rPr>
          <w:rFonts w:ascii="Times New Roman" w:hAnsi="Times New Roman" w:cs="Times New Roman"/>
          <w:sz w:val="28"/>
          <w:szCs w:val="28"/>
        </w:rPr>
        <w:t xml:space="preserve"> The region </w:t>
      </w:r>
      <w:r w:rsidR="009D18D5">
        <w:rPr>
          <w:rFonts w:ascii="Times New Roman" w:hAnsi="Times New Roman" w:cs="Times New Roman"/>
          <w:sz w:val="28"/>
          <w:szCs w:val="28"/>
        </w:rPr>
        <w:t>spanning approximately 70% of the 30,000 base pairs (bp) is called ORF1ab (open reading frame) and encodes 16 non-structural proteins, including</w:t>
      </w:r>
      <w:r w:rsidR="007F5935">
        <w:rPr>
          <w:rFonts w:ascii="Times New Roman" w:hAnsi="Times New Roman" w:cs="Times New Roman"/>
          <w:sz w:val="28"/>
          <w:szCs w:val="28"/>
        </w:rPr>
        <w:t xml:space="preserve"> </w:t>
      </w:r>
      <w:r w:rsidR="00BA4E03" w:rsidRPr="00193921">
        <w:rPr>
          <w:rFonts w:ascii="Times New Roman" w:hAnsi="Times New Roman" w:cs="Times New Roman"/>
          <w:sz w:val="28"/>
          <w:szCs w:val="28"/>
        </w:rPr>
        <w:t xml:space="preserve">NSP3, NSP5, and NSP12. The NSP5 is located in the ORF1a region, which facilitates its adaptation and docking on host ribosomes. </w:t>
      </w:r>
    </w:p>
    <w:p w14:paraId="109C72EC" w14:textId="6F766712" w:rsidR="008D199D" w:rsidRPr="00193921" w:rsidRDefault="00BA4E03" w:rsidP="00193921">
      <w:pPr>
        <w:spacing w:after="0" w:line="240" w:lineRule="auto"/>
        <w:ind w:firstLine="709"/>
        <w:jc w:val="both"/>
        <w:rPr>
          <w:rFonts w:ascii="Times New Roman" w:hAnsi="Times New Roman" w:cs="Times New Roman"/>
          <w:sz w:val="28"/>
          <w:szCs w:val="28"/>
          <w:lang w:val="en-US"/>
        </w:rPr>
      </w:pPr>
      <w:r w:rsidRPr="00193921">
        <w:rPr>
          <w:rFonts w:ascii="Times New Roman" w:hAnsi="Times New Roman" w:cs="Times New Roman"/>
          <w:sz w:val="28"/>
          <w:szCs w:val="28"/>
        </w:rPr>
        <w:lastRenderedPageBreak/>
        <w:t xml:space="preserve">The NSP12 is the most significant gene product of the COVID-19 virus and is responsible for </w:t>
      </w:r>
      <w:r w:rsidR="003256EE">
        <w:rPr>
          <w:rFonts w:ascii="Times New Roman" w:hAnsi="Times New Roman" w:cs="Times New Roman"/>
          <w:sz w:val="28"/>
          <w:szCs w:val="28"/>
        </w:rPr>
        <w:t>RdRP expression</w:t>
      </w:r>
      <w:r w:rsidRPr="00193921">
        <w:rPr>
          <w:rFonts w:ascii="Times New Roman" w:hAnsi="Times New Roman" w:cs="Times New Roman"/>
          <w:sz w:val="28"/>
          <w:szCs w:val="28"/>
        </w:rPr>
        <w:t xml:space="preserve">. The rest, for instance, NSP-1-4 and NSP6-11, are responsible for enzymatic </w:t>
      </w:r>
      <w:r w:rsidR="003256EE">
        <w:rPr>
          <w:rFonts w:ascii="Times New Roman" w:hAnsi="Times New Roman" w:cs="Times New Roman"/>
          <w:sz w:val="28"/>
          <w:szCs w:val="28"/>
        </w:rPr>
        <w:t>activities that support NSP5 during primary replication</w:t>
      </w:r>
      <w:r w:rsidRPr="00193921">
        <w:rPr>
          <w:rFonts w:ascii="Times New Roman" w:hAnsi="Times New Roman" w:cs="Times New Roman"/>
          <w:sz w:val="28"/>
          <w:szCs w:val="28"/>
        </w:rPr>
        <w:t xml:space="preserve">. The NSP13-16 also exhibits significant catalytic features that replicate the classical DNA replication process; instead of DNA, it uses RNA, and there is no need for leading or lagging strands, as seen during classical eukaryotic DNA replication [15].   </w:t>
      </w:r>
    </w:p>
    <w:p w14:paraId="472C1F82" w14:textId="77777777" w:rsidR="0011070B" w:rsidRDefault="00BA4E03"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 xml:space="preserve">Above all, NSP12 is the most significant gene product of the viral genome. They encode the most essential enzyme </w:t>
      </w:r>
      <w:r w:rsidR="003256EE">
        <w:rPr>
          <w:rFonts w:ascii="Times New Roman" w:hAnsi="Times New Roman" w:cs="Times New Roman"/>
          <w:sz w:val="28"/>
          <w:szCs w:val="28"/>
        </w:rPr>
        <w:t>during the primary infection period</w:t>
      </w:r>
      <w:r w:rsidR="007F5935">
        <w:rPr>
          <w:rFonts w:ascii="Times New Roman" w:hAnsi="Times New Roman" w:cs="Times New Roman"/>
          <w:sz w:val="28"/>
          <w:szCs w:val="28"/>
        </w:rPr>
        <w:t>—</w:t>
      </w:r>
      <w:r w:rsidR="003256EE">
        <w:rPr>
          <w:rFonts w:ascii="Times New Roman" w:hAnsi="Times New Roman" w:cs="Times New Roman"/>
          <w:sz w:val="28"/>
          <w:szCs w:val="28"/>
        </w:rPr>
        <w:t>the RNA-directed RNA polymerase</w:t>
      </w:r>
      <w:r w:rsidRPr="00193921">
        <w:rPr>
          <w:rFonts w:ascii="Times New Roman" w:hAnsi="Times New Roman" w:cs="Times New Roman"/>
          <w:sz w:val="28"/>
          <w:szCs w:val="28"/>
        </w:rPr>
        <w:t xml:space="preserve">. NSP12 is so crucial that NSP13 and NSP11 </w:t>
      </w:r>
      <w:r w:rsidR="00ED0EEA" w:rsidRPr="00193921">
        <w:rPr>
          <w:rFonts w:ascii="Times New Roman" w:hAnsi="Times New Roman" w:cs="Times New Roman"/>
          <w:sz w:val="28"/>
          <w:szCs w:val="28"/>
        </w:rPr>
        <w:t>fulfil the catalytic functions necessary for</w:t>
      </w:r>
      <w:r w:rsidRPr="00193921">
        <w:rPr>
          <w:rFonts w:ascii="Times New Roman" w:hAnsi="Times New Roman" w:cs="Times New Roman"/>
          <w:sz w:val="28"/>
          <w:szCs w:val="28"/>
        </w:rPr>
        <w:t xml:space="preserve"> NSP12's efficient functioning. Some antiviral drugs, such as Remdesivir, disable RdRP from docking onto RNA subunits and, therefore, prevent the viral genome from replicating. Other antiviral drugs cause a phenomenon known as lethal mutagenesis in RNA metabolism, resulting in impaired viral survival or reduced viral load, which ultimately affects their functions and numbers. RNA-dependent RNA polymerase provides the viral genome with genetic variations through favourable point mutations. </w:t>
      </w:r>
    </w:p>
    <w:p w14:paraId="563EA981" w14:textId="77777777" w:rsidR="0011070B" w:rsidRDefault="00BA4E03"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The viral survival entirely depends on RdRP, and its importance is paramount. In multiple investigations conducted in the early 2000s and in 2020, in China and the USA, it was confirmed that</w:t>
      </w:r>
      <w:r w:rsidR="007F5935">
        <w:rPr>
          <w:rFonts w:ascii="Times New Roman" w:hAnsi="Times New Roman" w:cs="Times New Roman"/>
          <w:sz w:val="28"/>
          <w:szCs w:val="28"/>
        </w:rPr>
        <w:t>, despite the high mutation potential of the SARS-CoV virus, few mutations occur from strain to strain, independent of its geographical origin and the ORF1ab region of the genome</w:t>
      </w:r>
      <w:r w:rsidRPr="00193921">
        <w:rPr>
          <w:rFonts w:ascii="Times New Roman" w:hAnsi="Times New Roman" w:cs="Times New Roman"/>
          <w:sz w:val="28"/>
          <w:szCs w:val="28"/>
        </w:rPr>
        <w:t xml:space="preserve"> [16].  Severe acute respiratory syndrome-associated coronavirus 2 (SARS-CoV-2) is a life-threatening respiratory infectious condition caused by the SARS-CoV-2 virus, which belongs to the coronavirus family and genus Betacoronavirus—specifically, a single-stranded positive-sense RNA virus (ssRNA+). Variants of the SARS-CoV-2 coronavirus continue to emerge due to the virus's ongoing transmission and evolution worldwide. Since the pandemic was first declared by the World Health Organisation (WHO) in March 2020 [1], the following variants have been identified: B.1.17 (alpha), B.1.351 (beta), P.1 (gamma), B.1.617.2 (delta), and B.1.1.529 (omicron) [18]. Kazakhstan reported the first human </w:t>
      </w:r>
      <w:r w:rsidR="003256EE">
        <w:rPr>
          <w:rFonts w:ascii="Times New Roman" w:hAnsi="Times New Roman" w:cs="Times New Roman"/>
          <w:sz w:val="28"/>
          <w:szCs w:val="28"/>
        </w:rPr>
        <w:t xml:space="preserve">case of COVID-19 </w:t>
      </w:r>
      <w:r w:rsidRPr="00193921">
        <w:rPr>
          <w:rFonts w:ascii="Times New Roman" w:hAnsi="Times New Roman" w:cs="Times New Roman"/>
          <w:sz w:val="28"/>
          <w:szCs w:val="28"/>
        </w:rPr>
        <w:t>in March 2020 [17].</w:t>
      </w:r>
    </w:p>
    <w:p w14:paraId="3476F431" w14:textId="543CF12A" w:rsidR="006C6FE4" w:rsidRPr="00193921" w:rsidRDefault="00BA4E03"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 xml:space="preserve"> According to the Johns Hopkins University database, as of January.  In October 2022, the Republic of Kazakhstan reported 1,484,400 confirmed cases, with 19,052 deaths [17]. The coronavirus, or SARS-CoV-2, belongs to the Coronaviridae family, which are enveloped, positive-sense, single-stranded RNA viruses [8]. The SARS-CoV-2 </w:t>
      </w:r>
      <w:r w:rsidR="003256EE">
        <w:rPr>
          <w:rFonts w:ascii="Times New Roman" w:hAnsi="Times New Roman" w:cs="Times New Roman"/>
          <w:sz w:val="28"/>
          <w:szCs w:val="28"/>
        </w:rPr>
        <w:t>genome comprises 14 open reading frames (ORFs), two-thirds of which encode 16</w:t>
      </w:r>
      <w:r w:rsidRPr="00193921">
        <w:rPr>
          <w:rFonts w:ascii="Times New Roman" w:hAnsi="Times New Roman" w:cs="Times New Roman"/>
          <w:sz w:val="28"/>
          <w:szCs w:val="28"/>
        </w:rPr>
        <w:t xml:space="preserve"> non-structural proteins (</w:t>
      </w:r>
      <w:r w:rsidR="002D176D">
        <w:rPr>
          <w:rFonts w:ascii="Times New Roman" w:hAnsi="Times New Roman" w:cs="Times New Roman"/>
          <w:sz w:val="28"/>
          <w:szCs w:val="28"/>
        </w:rPr>
        <w:t>NSP</w:t>
      </w:r>
      <w:r w:rsidRPr="00193921">
        <w:rPr>
          <w:rFonts w:ascii="Times New Roman" w:hAnsi="Times New Roman" w:cs="Times New Roman"/>
          <w:sz w:val="28"/>
          <w:szCs w:val="28"/>
        </w:rPr>
        <w:t xml:space="preserve"> 1–16) that make up the replicase complex [9,10]. </w:t>
      </w:r>
    </w:p>
    <w:p w14:paraId="782AF6C3" w14:textId="2304ED43" w:rsidR="00270DD6" w:rsidRPr="00193921" w:rsidRDefault="00BA4E03"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 xml:space="preserve">The rest encodes the nine accessory proteins (ORFs) and four structural proteins: spike (S), envelope (E), membrane (M), and nucleocapsid (N), of which Spike enables SARS-CoV entry into the cytosol of the target cell [9]. As with any virus of this type, the Spike protein is the most variable, and </w:t>
      </w:r>
      <w:r w:rsidR="003256EE">
        <w:rPr>
          <w:rFonts w:ascii="Times New Roman" w:hAnsi="Times New Roman" w:cs="Times New Roman"/>
          <w:sz w:val="28"/>
          <w:szCs w:val="28"/>
        </w:rPr>
        <w:t xml:space="preserve">because of this, </w:t>
      </w:r>
      <w:r w:rsidRPr="00193921">
        <w:rPr>
          <w:rFonts w:ascii="Times New Roman" w:hAnsi="Times New Roman" w:cs="Times New Roman"/>
          <w:sz w:val="28"/>
          <w:szCs w:val="28"/>
        </w:rPr>
        <w:t xml:space="preserve">SARS-CoV can penetrate the various cell membrane types of mammals [10].  There are approximately 30,000 nucleotides in RNA, encoding 11 proteins. Retroviruses have caused much harm over the years, and they're now a significant threat to human well-being. These types of viruses, belonging to the family Retroviridae, typically carry their genetic material as </w:t>
      </w:r>
      <w:r w:rsidRPr="00193921">
        <w:rPr>
          <w:rFonts w:ascii="Times New Roman" w:hAnsi="Times New Roman" w:cs="Times New Roman"/>
          <w:sz w:val="28"/>
          <w:szCs w:val="28"/>
        </w:rPr>
        <w:lastRenderedPageBreak/>
        <w:t xml:space="preserve">RNA. Thanks to an enzyme called reverse transcriptase (RT), they could use the host DNA. RT is responsible for copying genetic information from one virus particle to another. The most well-known viruses of that family are Lentivirus (human immunodeficiency virus (HIV)) and SARS-CoV-2 (COVID-19) [11]. </w:t>
      </w:r>
    </w:p>
    <w:p w14:paraId="36FCE291" w14:textId="1B917642" w:rsidR="006C6FE4" w:rsidRPr="00193921" w:rsidRDefault="00BA4E03"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 xml:space="preserve"> It is essential to </w:t>
      </w:r>
      <w:r w:rsidR="003256EE">
        <w:rPr>
          <w:rFonts w:ascii="Times New Roman" w:hAnsi="Times New Roman" w:cs="Times New Roman"/>
          <w:sz w:val="28"/>
          <w:szCs w:val="28"/>
        </w:rPr>
        <w:t xml:space="preserve">note that viral infections aim to replicate </w:t>
      </w:r>
      <w:r w:rsidR="00AB589A">
        <w:rPr>
          <w:rFonts w:ascii="Times New Roman" w:hAnsi="Times New Roman" w:cs="Times New Roman"/>
          <w:sz w:val="28"/>
          <w:szCs w:val="28"/>
        </w:rPr>
        <w:t>their genomes</w:t>
      </w:r>
      <w:r w:rsidR="003256EE">
        <w:rPr>
          <w:rFonts w:ascii="Times New Roman" w:hAnsi="Times New Roman" w:cs="Times New Roman"/>
          <w:sz w:val="28"/>
          <w:szCs w:val="28"/>
        </w:rPr>
        <w:t xml:space="preserve"> and assemble new viral particles to invade surrounding cells and tissues; these processes are often lethal</w:t>
      </w:r>
      <w:r w:rsidRPr="00193921">
        <w:rPr>
          <w:rFonts w:ascii="Times New Roman" w:hAnsi="Times New Roman" w:cs="Times New Roman"/>
          <w:sz w:val="28"/>
          <w:szCs w:val="28"/>
        </w:rPr>
        <w:t xml:space="preserve">, potentially harming a cell or even an entire tissue system, such as the lungs. Thus, it is challenging to classify any viral ‘organism’ as a parasite whose long-term survival correlates with the host’s well-being. </w:t>
      </w:r>
    </w:p>
    <w:p w14:paraId="44392AA6" w14:textId="77777777" w:rsidR="00FD2E80" w:rsidRDefault="00BA4E03"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 xml:space="preserve">The side effect’ of viral infections, such as inflammatory or less obvious clinically distinguishable signs, is the integration into the cell genome due to the enzymatic activity of viral RNA of various tissue types; this, in turn, causes multiple types of critical mutations in renewable tissues, which can sometimes result in devastating diseases like pneumonia, renal failure or other chronic, irreversible diseases. The negative impact of the global COVID-19 pandemic on the population is widespread and is only just beginning to be experienced. Therefore, the </w:t>
      </w:r>
      <w:r w:rsidR="003256EE">
        <w:rPr>
          <w:rFonts w:ascii="Times New Roman" w:hAnsi="Times New Roman" w:cs="Times New Roman"/>
          <w:sz w:val="28"/>
          <w:szCs w:val="28"/>
        </w:rPr>
        <w:t xml:space="preserve">potential harm of this type of virus is never completely neutralised, and underestimating its pandemic potential is the highest priority for any authority to avoid </w:t>
      </w:r>
      <w:r w:rsidRPr="00193921">
        <w:rPr>
          <w:rFonts w:ascii="Times New Roman" w:hAnsi="Times New Roman" w:cs="Times New Roman"/>
          <w:sz w:val="28"/>
          <w:szCs w:val="28"/>
        </w:rPr>
        <w:t xml:space="preserve">[12-16]. </w:t>
      </w:r>
    </w:p>
    <w:p w14:paraId="59FC9528" w14:textId="16AE9FE7" w:rsidR="00E65A96" w:rsidRPr="00193921" w:rsidRDefault="00BA4E03"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 xml:space="preserve"> SARS – stands for severe acute respiratory syndrome. Most of those diagnosed with SARS were healthy adults </w:t>
      </w:r>
      <w:r w:rsidR="003256EE">
        <w:rPr>
          <w:rFonts w:ascii="Times New Roman" w:hAnsi="Times New Roman" w:cs="Times New Roman"/>
          <w:sz w:val="28"/>
          <w:szCs w:val="28"/>
        </w:rPr>
        <w:t>aged 25 to</w:t>
      </w:r>
      <w:r w:rsidRPr="00193921">
        <w:rPr>
          <w:rFonts w:ascii="Times New Roman" w:hAnsi="Times New Roman" w:cs="Times New Roman"/>
          <w:sz w:val="28"/>
          <w:szCs w:val="28"/>
        </w:rPr>
        <w:t xml:space="preserve"> 70. Children under the age of 15 have been the victims of a few alleged SARS cases. SARS typically has an incubation period of 2 to 7 days, but can last </w:t>
      </w:r>
      <w:r w:rsidR="003256EE">
        <w:rPr>
          <w:rFonts w:ascii="Times New Roman" w:hAnsi="Times New Roman" w:cs="Times New Roman"/>
          <w:sz w:val="28"/>
          <w:szCs w:val="28"/>
        </w:rPr>
        <w:t>up to</w:t>
      </w:r>
      <w:r w:rsidRPr="00193921">
        <w:rPr>
          <w:rFonts w:ascii="Times New Roman" w:hAnsi="Times New Roman" w:cs="Times New Roman"/>
          <w:sz w:val="28"/>
          <w:szCs w:val="28"/>
        </w:rPr>
        <w:t xml:space="preserve"> 10.  People </w:t>
      </w:r>
      <w:r w:rsidR="003256EE">
        <w:rPr>
          <w:rFonts w:ascii="Times New Roman" w:hAnsi="Times New Roman" w:cs="Times New Roman"/>
          <w:sz w:val="28"/>
          <w:szCs w:val="28"/>
        </w:rPr>
        <w:t xml:space="preserve">with an illness meeting the current WHO case definition for probable or suspected </w:t>
      </w:r>
      <w:r w:rsidRPr="00193921">
        <w:rPr>
          <w:rFonts w:ascii="Times New Roman" w:hAnsi="Times New Roman" w:cs="Times New Roman"/>
          <w:sz w:val="28"/>
          <w:szCs w:val="28"/>
        </w:rPr>
        <w:t xml:space="preserve">SARS have a case fatality rate of around 3%. Since the COVID-19 pandemic emerged in 2020, the United Nations has considered this virus and related diseases a global challenge for healthcare systems worldwide. </w:t>
      </w:r>
    </w:p>
    <w:p w14:paraId="32397604" w14:textId="77777777" w:rsidR="009D18D5" w:rsidRPr="00B75453" w:rsidRDefault="00BA4E03" w:rsidP="00193921">
      <w:pPr>
        <w:spacing w:after="0" w:line="240" w:lineRule="auto"/>
        <w:ind w:firstLine="709"/>
        <w:jc w:val="both"/>
        <w:rPr>
          <w:rFonts w:ascii="Times New Roman" w:hAnsi="Times New Roman" w:cs="Times New Roman"/>
          <w:sz w:val="28"/>
          <w:szCs w:val="28"/>
          <w:lang w:val="en-US"/>
        </w:rPr>
      </w:pPr>
      <w:r w:rsidRPr="00193921">
        <w:rPr>
          <w:rFonts w:ascii="Times New Roman" w:hAnsi="Times New Roman" w:cs="Times New Roman"/>
          <w:sz w:val="28"/>
          <w:szCs w:val="28"/>
        </w:rPr>
        <w:t xml:space="preserve">The consequence of SARS-CoV-2 infection could lead to chronic illnesses, long-term health issues, and, to some extent, medical and mental impairment, which is why some scientific journals’ scope is fully dedicated to this problem.   In many countries, the hospitalisation rates reached critical levels, so many infected individuals were forced to stay at home and get treated far from inpatient wards. </w:t>
      </w:r>
    </w:p>
    <w:p w14:paraId="5878CBD3" w14:textId="5B56F673" w:rsidR="00E65A96" w:rsidRPr="00193921" w:rsidRDefault="00BA4E03"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 xml:space="preserve">Pneumonia is a direct and widely spread clinical consequence among COVID-19-positive patients and needs to be separated according to the severity of the illness progression and the extent of lung damage. The more damage occurred, the less oxygenation gained via lung breath, so many patients with acute lung damage were heavily dependent on artificial lung ventilation apparatus in intensive care. It was crucial to monitor whether </w:t>
      </w:r>
      <w:r w:rsidR="000A0238" w:rsidRPr="00193921">
        <w:rPr>
          <w:rFonts w:ascii="Times New Roman" w:hAnsi="Times New Roman" w:cs="Times New Roman"/>
          <w:sz w:val="28"/>
          <w:szCs w:val="28"/>
        </w:rPr>
        <w:t xml:space="preserve">pneumonia patients with COVID-19 infection were regularly assessed for bacterial infection and </w:t>
      </w:r>
      <w:r w:rsidRPr="00193921">
        <w:rPr>
          <w:rFonts w:ascii="Times New Roman" w:hAnsi="Times New Roman" w:cs="Times New Roman"/>
          <w:sz w:val="28"/>
          <w:szCs w:val="28"/>
        </w:rPr>
        <w:t>to detect bacterial co-infection. The antibiotic treatment strategy would have been implemented if a need arose to prevent pulmonary collapse [16</w:t>
      </w:r>
      <w:r w:rsidR="00842B8B" w:rsidRPr="00842B8B">
        <w:rPr>
          <w:rFonts w:ascii="Times New Roman" w:hAnsi="Times New Roman" w:cs="Times New Roman"/>
          <w:sz w:val="28"/>
          <w:szCs w:val="28"/>
          <w:lang w:val="en-US"/>
        </w:rPr>
        <w:t>-1</w:t>
      </w:r>
      <w:r w:rsidR="00842B8B" w:rsidRPr="00AB589A">
        <w:rPr>
          <w:rFonts w:ascii="Times New Roman" w:hAnsi="Times New Roman" w:cs="Times New Roman"/>
          <w:sz w:val="28"/>
          <w:szCs w:val="28"/>
          <w:lang w:val="en-US"/>
        </w:rPr>
        <w:t>7</w:t>
      </w:r>
      <w:r w:rsidRPr="00193921">
        <w:rPr>
          <w:rFonts w:ascii="Times New Roman" w:hAnsi="Times New Roman" w:cs="Times New Roman"/>
          <w:sz w:val="28"/>
          <w:szCs w:val="28"/>
        </w:rPr>
        <w:t xml:space="preserve">].  </w:t>
      </w:r>
    </w:p>
    <w:p w14:paraId="315B88AA" w14:textId="65BF05A8" w:rsidR="009957E0" w:rsidRPr="00193921" w:rsidRDefault="00BA4E03"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 xml:space="preserve">SARS-CoV-2 and its molecular feature mainly rely strongly on the viral Spike, which has an S1/S2 polybasic cleavage site that is proteolytically cleaved by cellular cathepsin L and the transmembrane protease serine 2 (TMPRSS2), and a receptor-binding domain (RBD) that mediates direct contact with a cellular receptor, angiotensin-converting enzyme 2 (ACE2) [18,19,20].  ORF1a and ORF1b are </w:t>
      </w:r>
      <w:r w:rsidRPr="00193921">
        <w:rPr>
          <w:rFonts w:ascii="Times New Roman" w:hAnsi="Times New Roman" w:cs="Times New Roman"/>
          <w:sz w:val="28"/>
          <w:szCs w:val="28"/>
        </w:rPr>
        <w:lastRenderedPageBreak/>
        <w:t xml:space="preserve">translated into viral replicase proteins as soon as the viral genome is inserted into the host cell's cytoplasm and cleaved into individual nascent proteins by both host and viral proteases. The RNA-dependent RNA polymerase (nsp12, which is derived from ORF1b) is formed by these [21]. The components of the replicase move the endoplasmic reticulum (ER) into double-membrane vesicles (DMVs) at this location, </w:t>
      </w:r>
      <w:r w:rsidR="0021436A">
        <w:rPr>
          <w:rFonts w:ascii="Times New Roman" w:hAnsi="Times New Roman" w:cs="Times New Roman"/>
          <w:sz w:val="28"/>
          <w:szCs w:val="28"/>
        </w:rPr>
        <w:t>facilitating viral replication of</w:t>
      </w:r>
      <w:r w:rsidR="003256EE">
        <w:rPr>
          <w:rFonts w:ascii="Times New Roman" w:hAnsi="Times New Roman" w:cs="Times New Roman"/>
          <w:sz w:val="28"/>
          <w:szCs w:val="28"/>
        </w:rPr>
        <w:t xml:space="preserve"> genomic and subgenomic RNAs (sgRNAs</w:t>
      </w:r>
      <w:r w:rsidRPr="00193921">
        <w:rPr>
          <w:rFonts w:ascii="Times New Roman" w:hAnsi="Times New Roman" w:cs="Times New Roman"/>
          <w:sz w:val="28"/>
          <w:szCs w:val="28"/>
        </w:rPr>
        <w:t xml:space="preserve">). The latter is turned into accessory or auxiliary proteins and viral structural proteins, making it easier for the virus to form particles [22,23]. In conclusion, the secondary part of the genome encodes the nine accessory proteins (ORFs) that ensure the viral mRNA genome is translated. It is worth </w:t>
      </w:r>
      <w:r w:rsidR="001E56B5" w:rsidRPr="00193921">
        <w:rPr>
          <w:rFonts w:ascii="Times New Roman" w:hAnsi="Times New Roman" w:cs="Times New Roman"/>
          <w:sz w:val="28"/>
          <w:szCs w:val="28"/>
        </w:rPr>
        <w:t xml:space="preserve">noting that the replicase for accessory protein production is significantly more </w:t>
      </w:r>
      <w:r w:rsidR="00AF71A8" w:rsidRPr="00193921">
        <w:rPr>
          <w:rFonts w:ascii="Times New Roman" w:hAnsi="Times New Roman" w:cs="Times New Roman"/>
          <w:sz w:val="28"/>
          <w:szCs w:val="28"/>
        </w:rPr>
        <w:t>critical</w:t>
      </w:r>
      <w:r w:rsidR="001E56B5" w:rsidRPr="00193921">
        <w:rPr>
          <w:rFonts w:ascii="Times New Roman" w:hAnsi="Times New Roman" w:cs="Times New Roman"/>
          <w:sz w:val="28"/>
          <w:szCs w:val="28"/>
        </w:rPr>
        <w:t xml:space="preserve"> than that for primary proteins</w:t>
      </w:r>
      <w:r w:rsidRPr="00193921">
        <w:rPr>
          <w:rFonts w:ascii="Times New Roman" w:hAnsi="Times New Roman" w:cs="Times New Roman"/>
          <w:sz w:val="28"/>
          <w:szCs w:val="28"/>
        </w:rPr>
        <w:t xml:space="preserve">. In addition, the four structural proteins are spike (S), envelope (E), membrane (M), and nucleocapsid (N), of which the spike protein enables SARS-CoV entry into the cytosol of the target cell [19]. ORF1a and ORF1b are translated into viral replicase proteins as soon as the viral genome is inserted into the cytoplasm of the host and cleaved into individual proteins (via the host and viral proteases, including PLpro). These form the RNA-dependent RNA polymerase (nsp12 derived from ORF1b) [19].  </w:t>
      </w:r>
    </w:p>
    <w:p w14:paraId="7FA705F4" w14:textId="4BEB858E" w:rsidR="000531CD" w:rsidRPr="00193921" w:rsidRDefault="00BA4E03"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 xml:space="preserve">The latter is turned into an accessory or auxiliary protein and viral structural proteins, making it easier for the virus to form particles [20-23], unlike HIV, which has a complicated capsid structure with sophisticated (negatively charged dNTPs- permeable) pores that are permeable for negatively charged dNTPs, which serve as building blocks for the formation of RNA-host-DNA-hybrid. </w:t>
      </w:r>
      <w:r w:rsidR="003256EE">
        <w:rPr>
          <w:rFonts w:ascii="Times New Roman" w:hAnsi="Times New Roman" w:cs="Times New Roman"/>
          <w:sz w:val="28"/>
          <w:szCs w:val="28"/>
        </w:rPr>
        <w:t xml:space="preserve">SARS-CoV does not possess such protection against host-cell enzymes </w:t>
      </w:r>
      <w:r w:rsidRPr="00193921">
        <w:rPr>
          <w:rFonts w:ascii="Times New Roman" w:hAnsi="Times New Roman" w:cs="Times New Roman"/>
          <w:sz w:val="28"/>
          <w:szCs w:val="28"/>
        </w:rPr>
        <w:t>[24].</w:t>
      </w:r>
    </w:p>
    <w:p w14:paraId="792EF64F" w14:textId="0FC9C401" w:rsidR="000531CD" w:rsidRPr="00193921" w:rsidRDefault="00BA4E03"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 xml:space="preserve"> The secondary part of the genome encodes the nine accessory proteins (ORFs), </w:t>
      </w:r>
      <w:r w:rsidR="00582DEF" w:rsidRPr="00193921">
        <w:rPr>
          <w:rFonts w:ascii="Times New Roman" w:hAnsi="Times New Roman" w:cs="Times New Roman"/>
          <w:sz w:val="28"/>
          <w:szCs w:val="28"/>
        </w:rPr>
        <w:t xml:space="preserve">enabling the viral mRNA </w:t>
      </w:r>
      <w:r w:rsidR="003256EE">
        <w:rPr>
          <w:rFonts w:ascii="Times New Roman" w:hAnsi="Times New Roman" w:cs="Times New Roman"/>
          <w:sz w:val="28"/>
          <w:szCs w:val="28"/>
        </w:rPr>
        <w:t>to be translated stepwise</w:t>
      </w:r>
      <w:r w:rsidRPr="00193921">
        <w:rPr>
          <w:rFonts w:ascii="Times New Roman" w:hAnsi="Times New Roman" w:cs="Times New Roman"/>
          <w:sz w:val="28"/>
          <w:szCs w:val="28"/>
        </w:rPr>
        <w:t xml:space="preserve">. Furthermore, the replicase </w:t>
      </w:r>
      <w:r w:rsidR="003256EE">
        <w:rPr>
          <w:rFonts w:ascii="Times New Roman" w:hAnsi="Times New Roman" w:cs="Times New Roman"/>
          <w:sz w:val="28"/>
          <w:szCs w:val="28"/>
        </w:rPr>
        <w:t xml:space="preserve">required to produce accessory proteins must be integrated into the host genome to allow a virus to reproduce </w:t>
      </w:r>
      <w:r w:rsidRPr="00193921">
        <w:rPr>
          <w:rFonts w:ascii="Times New Roman" w:hAnsi="Times New Roman" w:cs="Times New Roman"/>
          <w:sz w:val="28"/>
          <w:szCs w:val="28"/>
        </w:rPr>
        <w:t xml:space="preserve">[21,24]. The structure of the </w:t>
      </w:r>
      <w:r w:rsidR="00ED0EEA" w:rsidRPr="00193921">
        <w:rPr>
          <w:rFonts w:ascii="Times New Roman" w:hAnsi="Times New Roman" w:cs="Times New Roman"/>
          <w:sz w:val="28"/>
          <w:szCs w:val="28"/>
        </w:rPr>
        <w:t xml:space="preserve">SARS-CoV-2 virus genome and proteins resembles that of typical retroviruses, </w:t>
      </w:r>
      <w:r w:rsidR="003256EE">
        <w:rPr>
          <w:rFonts w:ascii="Times New Roman" w:hAnsi="Times New Roman" w:cs="Times New Roman"/>
          <w:sz w:val="28"/>
          <w:szCs w:val="28"/>
        </w:rPr>
        <w:t>which are spherical to pleomorphic and have</w:t>
      </w:r>
      <w:r w:rsidRPr="00193921">
        <w:rPr>
          <w:rFonts w:ascii="Times New Roman" w:hAnsi="Times New Roman" w:cs="Times New Roman"/>
          <w:sz w:val="28"/>
          <w:szCs w:val="28"/>
        </w:rPr>
        <w:t xml:space="preserve"> a diameter of 80-100 nm. </w:t>
      </w:r>
    </w:p>
    <w:p w14:paraId="25823908" w14:textId="1A0428AB" w:rsidR="009957E0" w:rsidRPr="00193921" w:rsidRDefault="00BA4E03"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Different genera of retroviral virions exhibit distinct morphologies, yet they share the same core components, including an outer shell, two copies of the genetic material, and viral proteins. The envelope consists of lipids</w:t>
      </w:r>
      <w:r w:rsidR="003256EE">
        <w:rPr>
          <w:rFonts w:ascii="Times New Roman" w:hAnsi="Times New Roman" w:cs="Times New Roman"/>
          <w:sz w:val="28"/>
          <w:szCs w:val="28"/>
        </w:rPr>
        <w:t xml:space="preserve"> derived from the host plasma membrane during budding</w:t>
      </w:r>
      <w:r w:rsidRPr="00193921">
        <w:rPr>
          <w:rFonts w:ascii="Times New Roman" w:hAnsi="Times New Roman" w:cs="Times New Roman"/>
          <w:sz w:val="28"/>
          <w:szCs w:val="28"/>
        </w:rPr>
        <w:t xml:space="preserve"> and glycoproteins, such as gp120 and gp41 in the case of HIV [25]. The outer lipid bilayer of the retroviral envelope protects it from the extracellular environment, promotes the penetration and exit of host cells through the endosomal membrane, and facilitates the </w:t>
      </w:r>
      <w:r w:rsidR="00582DEF" w:rsidRPr="00193921">
        <w:rPr>
          <w:rFonts w:ascii="Times New Roman" w:hAnsi="Times New Roman" w:cs="Times New Roman"/>
          <w:sz w:val="28"/>
          <w:szCs w:val="28"/>
        </w:rPr>
        <w:t>virus's entry</w:t>
      </w:r>
      <w:r w:rsidRPr="00193921">
        <w:rPr>
          <w:rFonts w:ascii="Times New Roman" w:hAnsi="Times New Roman" w:cs="Times New Roman"/>
          <w:sz w:val="28"/>
          <w:szCs w:val="28"/>
        </w:rPr>
        <w:t xml:space="preserve"> into host cells and its easy fusion with their membranes</w:t>
      </w:r>
      <w:r w:rsidR="001148EF" w:rsidRPr="00193921">
        <w:rPr>
          <w:rFonts w:ascii="Times New Roman" w:hAnsi="Times New Roman" w:cs="Times New Roman"/>
          <w:sz w:val="28"/>
          <w:szCs w:val="28"/>
        </w:rPr>
        <w:t>. These</w:t>
      </w:r>
      <w:r w:rsidRPr="00193921">
        <w:rPr>
          <w:rFonts w:ascii="Times New Roman" w:hAnsi="Times New Roman" w:cs="Times New Roman"/>
          <w:sz w:val="28"/>
          <w:szCs w:val="28"/>
        </w:rPr>
        <w:t xml:space="preserve"> are three distinct functions of the retroviral envelope. </w:t>
      </w:r>
    </w:p>
    <w:p w14:paraId="3D404A4B" w14:textId="50FB366E" w:rsidR="00E63E59" w:rsidRPr="00193921" w:rsidRDefault="00BA4E03"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The retrovirus has a single-component, linear, dimeric ssRNA (+) genome, measuring 8 to 10 kilobases in length, with a 5' envelope and a 3' poly-A tail. There are flanks for group-specific genes (gag</w:t>
      </w:r>
      <w:r w:rsidR="009D18D5">
        <w:rPr>
          <w:rFonts w:ascii="Times New Roman" w:hAnsi="Times New Roman" w:cs="Times New Roman"/>
          <w:sz w:val="28"/>
          <w:szCs w:val="28"/>
        </w:rPr>
        <w:t>, pol, pro), and the envelope gene (env),</w:t>
      </w:r>
      <w:r w:rsidRPr="00193921">
        <w:rPr>
          <w:rFonts w:ascii="Times New Roman" w:hAnsi="Times New Roman" w:cs="Times New Roman"/>
          <w:sz w:val="28"/>
          <w:szCs w:val="28"/>
        </w:rPr>
        <w:t xml:space="preserve"> between the R sites. The primers U3, R (PBS), and U5 binding sites form 5' long terminal repeats (LTRs). In the polypurine tract (PPT), the sections U3 and R form the 3' end. Reverse transcription uses a short repeating sequence at each genome end to ensure proper end-to-end transfer in the growing chain. On the other hand, U5 is a short </w:t>
      </w:r>
      <w:r w:rsidRPr="00193921">
        <w:rPr>
          <w:rFonts w:ascii="Times New Roman" w:hAnsi="Times New Roman" w:cs="Times New Roman"/>
          <w:sz w:val="28"/>
          <w:szCs w:val="28"/>
        </w:rPr>
        <w:lastRenderedPageBreak/>
        <w:t xml:space="preserve">exception sequence between PBS and R [26]. The 18 bases in PBS correspond to the 3' end of the tRNA primer. An untranslated leader region, the L region, indicates how genomic RNA is packaged. The proteins gag, protease, pol, and env form the core of the retroviral protein. Gag is the main structural protein of the retrovirus, which controls most of the virus assembly processes. Interactions with three Gag subdomains - the matrix (MA), the capsid (CA), and the nucleocapsid (NC) — influence many of these assembly steps. Although gag subdomains </w:t>
      </w:r>
      <w:r w:rsidR="003256EE">
        <w:rPr>
          <w:rFonts w:ascii="Times New Roman" w:hAnsi="Times New Roman" w:cs="Times New Roman"/>
          <w:sz w:val="28"/>
          <w:szCs w:val="28"/>
        </w:rPr>
        <w:t>differ structurally</w:t>
      </w:r>
      <w:r w:rsidRPr="00193921">
        <w:rPr>
          <w:rFonts w:ascii="Times New Roman" w:hAnsi="Times New Roman" w:cs="Times New Roman"/>
          <w:sz w:val="28"/>
          <w:szCs w:val="28"/>
        </w:rPr>
        <w:t xml:space="preserve">, their functions overlap during virus assembly [27,28]. </w:t>
      </w:r>
    </w:p>
    <w:p w14:paraId="548122B7" w14:textId="2D0894C6" w:rsidR="00D04134" w:rsidRPr="00193921" w:rsidRDefault="00BA4E03"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 xml:space="preserve">To sum up, Tenofovir, as a prodrug that forms TAF and TDF, effectively suppresses the protease activity of retroviruses and inhibits the primary protein synthesis, making the DNA or RNA fitness of this virus type unsustainable.  According to the WHO dashboard, more than 6.4 million people worldwide died from COVID-19 by August 18, 2022. The omicron strain has been diagnosed in over 590,000,000 people worldwide. A brand-new variant that </w:t>
      </w:r>
      <w:r w:rsidR="000A0238" w:rsidRPr="00193921">
        <w:rPr>
          <w:rFonts w:ascii="Times New Roman" w:hAnsi="Times New Roman" w:cs="Times New Roman"/>
          <w:sz w:val="28"/>
          <w:szCs w:val="28"/>
        </w:rPr>
        <w:t>emerged toward the end of November 2021 has become the most common strain worldwide, contributing</w:t>
      </w:r>
      <w:r w:rsidRPr="00193921">
        <w:rPr>
          <w:rFonts w:ascii="Times New Roman" w:hAnsi="Times New Roman" w:cs="Times New Roman"/>
          <w:sz w:val="28"/>
          <w:szCs w:val="28"/>
        </w:rPr>
        <w:t xml:space="preserve"> to the ongoing rise in several nations. In several high-income nations, vaccination is significantly reducing the number of cases and hospitalisations, but a lack of universal access to vaccines leaves many populations vulnerable. Even in vaccinated </w:t>
      </w:r>
      <w:r w:rsidR="000A0238" w:rsidRPr="00193921">
        <w:rPr>
          <w:rFonts w:ascii="Times New Roman" w:hAnsi="Times New Roman" w:cs="Times New Roman"/>
          <w:sz w:val="28"/>
          <w:szCs w:val="28"/>
        </w:rPr>
        <w:t>individuals, questions remain about the effectiveness and duration of current vaccines against Omicron and other new SARS-CoV-2 variants</w:t>
      </w:r>
      <w:r w:rsidRPr="00193921">
        <w:rPr>
          <w:rFonts w:ascii="Times New Roman" w:hAnsi="Times New Roman" w:cs="Times New Roman"/>
          <w:sz w:val="28"/>
          <w:szCs w:val="28"/>
        </w:rPr>
        <w:t xml:space="preserve">. </w:t>
      </w:r>
    </w:p>
    <w:p w14:paraId="12B17A94" w14:textId="465FC235" w:rsidR="002C66F2" w:rsidRPr="00193921" w:rsidRDefault="00BA4E03"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 xml:space="preserve">There is still a need for more </w:t>
      </w:r>
      <w:r w:rsidR="001148EF" w:rsidRPr="00193921">
        <w:rPr>
          <w:rFonts w:ascii="Times New Roman" w:hAnsi="Times New Roman" w:cs="Times New Roman"/>
          <w:sz w:val="28"/>
          <w:szCs w:val="28"/>
        </w:rPr>
        <w:t>effective COVID-19 treatments overall</w:t>
      </w:r>
      <w:r w:rsidRPr="00193921">
        <w:rPr>
          <w:rFonts w:ascii="Times New Roman" w:hAnsi="Times New Roman" w:cs="Times New Roman"/>
          <w:sz w:val="28"/>
          <w:szCs w:val="28"/>
        </w:rPr>
        <w:t xml:space="preserve">. The </w:t>
      </w:r>
      <w:r w:rsidR="001148EF" w:rsidRPr="00193921">
        <w:rPr>
          <w:rFonts w:ascii="Times New Roman" w:hAnsi="Times New Roman" w:cs="Times New Roman"/>
          <w:sz w:val="28"/>
          <w:szCs w:val="28"/>
        </w:rPr>
        <w:t xml:space="preserve">global spread of COVID-19, </w:t>
      </w:r>
      <w:r w:rsidR="007F5935">
        <w:rPr>
          <w:rFonts w:ascii="Times New Roman" w:hAnsi="Times New Roman" w:cs="Times New Roman"/>
          <w:sz w:val="28"/>
          <w:szCs w:val="28"/>
        </w:rPr>
        <w:t xml:space="preserve">along with the avalanche of research and misinformation, has highlighted the importance of </w:t>
      </w:r>
      <w:r w:rsidR="001148EF" w:rsidRPr="00193921">
        <w:rPr>
          <w:rFonts w:ascii="Times New Roman" w:hAnsi="Times New Roman" w:cs="Times New Roman"/>
          <w:sz w:val="28"/>
          <w:szCs w:val="28"/>
        </w:rPr>
        <w:t>reliable, easily accessible, and frequently updated guidelines for living with the virus,</w:t>
      </w:r>
      <w:r w:rsidRPr="00193921">
        <w:rPr>
          <w:rFonts w:ascii="Times New Roman" w:hAnsi="Times New Roman" w:cs="Times New Roman"/>
          <w:sz w:val="28"/>
          <w:szCs w:val="28"/>
        </w:rPr>
        <w:t xml:space="preserve"> so that new findings can be understood and clear recommendations for clinical practice can be provided [29]. Apart from the severe acute respiratory syndrome and acute respiratory distress syndrome (ARDS), causing severe health impairment,</w:t>
      </w:r>
    </w:p>
    <w:p w14:paraId="7264A015" w14:textId="7D1875CF" w:rsidR="005A1412" w:rsidRPr="00193921" w:rsidRDefault="00BA4E03"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 xml:space="preserve"> COVID-19 is also capable of causing post-COVID-19 health conditions like cognitive impairment. Other neurological and non-neurological deficits, such as fatigue and mental health symptoms, may overlap or cluster with cognitive deficits.  In conditions following COVID-19, fatigue or exhaustion manifests as severely depleted systemic energy levels unrelated to activities or exertion and unaffected by usual rest or sleep. </w:t>
      </w:r>
      <w:r w:rsidR="003256EE">
        <w:rPr>
          <w:rFonts w:ascii="Times New Roman" w:hAnsi="Times New Roman" w:cs="Times New Roman"/>
          <w:sz w:val="28"/>
          <w:szCs w:val="28"/>
        </w:rPr>
        <w:t>Fatigue negatively impacts the quality of one's life, physical and cognitive function, social participation, and employment</w:t>
      </w:r>
      <w:r w:rsidRPr="00193921">
        <w:rPr>
          <w:rFonts w:ascii="Times New Roman" w:hAnsi="Times New Roman" w:cs="Times New Roman"/>
          <w:sz w:val="28"/>
          <w:szCs w:val="28"/>
        </w:rPr>
        <w:t xml:space="preserve">. The core symptoms of depression following COVID-19 include a persistent low mood and sadness for at least two weeks and a markedly diminished interest in enjoyable activities. Depression can also cause problems sleeping, changes in appetite, fatigue, thoughts of self-harm or suicide, and feelings of worthlessness. Anxiety symptoms can include restlessness, racing or uncontrollable thoughts, difficulty concentrating, a sense of dread, difficulty sleeping, a lack of appetite, and irritability [29-30]. </w:t>
      </w:r>
    </w:p>
    <w:p w14:paraId="7EB9D2BB" w14:textId="03BEE92B" w:rsidR="005211D0" w:rsidRPr="00193921" w:rsidRDefault="00BA4E03"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 xml:space="preserve">The SARS-CoV-2 consists of a viral genome: fourteen open reading frames (ORFs), two-thirds of which encode sixteen non-structural proteins (nsps 1–16) that make up the replicase complex [30,31]. The rest encodes the nine accessory proteins (ORFs) and four structural proteins: spike (S), envelope (E), membrane (M), and </w:t>
      </w:r>
      <w:r w:rsidRPr="00193921">
        <w:rPr>
          <w:rFonts w:ascii="Times New Roman" w:hAnsi="Times New Roman" w:cs="Times New Roman"/>
          <w:sz w:val="28"/>
          <w:szCs w:val="28"/>
        </w:rPr>
        <w:lastRenderedPageBreak/>
        <w:t xml:space="preserve">nucleocapsid (N), of which Spike enables SARS-CoV entry into the cytosol of the target cell [22]. As with any virus of this type, the Spike protein is the most variable, and </w:t>
      </w:r>
      <w:r w:rsidR="003256EE">
        <w:rPr>
          <w:rFonts w:ascii="Times New Roman" w:hAnsi="Times New Roman" w:cs="Times New Roman"/>
          <w:sz w:val="28"/>
          <w:szCs w:val="28"/>
        </w:rPr>
        <w:t>because of this</w:t>
      </w:r>
      <w:r w:rsidRPr="00193921">
        <w:rPr>
          <w:rFonts w:ascii="Times New Roman" w:hAnsi="Times New Roman" w:cs="Times New Roman"/>
          <w:sz w:val="28"/>
          <w:szCs w:val="28"/>
        </w:rPr>
        <w:t xml:space="preserve">, SARS-CoV-2 can penetrate the various cell membrane types of mammals [33-34]. ORF1ab in SARS-CoV-2 is a critical open reading frame (ORF) that plays a central role in the virus's replication and transcription machinery. Here is a structured overview. Genomic Context: SARS-CoV-2 Genome - A single-stranded, positive-sense RNA virus with a genome of approximately 29,903 nucleotides. The 5' two-thirds genome contains ORF1a and ORF1ab, which encode large polyproteins. </w:t>
      </w:r>
    </w:p>
    <w:p w14:paraId="2B8BBE5C" w14:textId="77777777" w:rsidR="00DB7B04" w:rsidRPr="00B75453" w:rsidRDefault="00BA4E03" w:rsidP="00193921">
      <w:pPr>
        <w:spacing w:after="0" w:line="240" w:lineRule="auto"/>
        <w:ind w:firstLine="709"/>
        <w:jc w:val="both"/>
        <w:rPr>
          <w:rFonts w:ascii="Times New Roman" w:hAnsi="Times New Roman" w:cs="Times New Roman"/>
          <w:sz w:val="28"/>
          <w:szCs w:val="28"/>
          <w:lang w:val="en-US"/>
        </w:rPr>
      </w:pPr>
      <w:r w:rsidRPr="00193921">
        <w:rPr>
          <w:rFonts w:ascii="Times New Roman" w:hAnsi="Times New Roman" w:cs="Times New Roman"/>
          <w:sz w:val="28"/>
          <w:szCs w:val="28"/>
        </w:rPr>
        <w:t>Key Features of ORF1ab. Ribosomal Frameshift Mechanism: ORF1ab is expressed via a -1 ribosomal frameshift during translation of ORF1a. This occurs at a "slippery sequence" followed by an RNA pseudoknot</w:t>
      </w:r>
      <w:r w:rsidR="007F5935">
        <w:rPr>
          <w:rFonts w:ascii="Times New Roman" w:hAnsi="Times New Roman" w:cs="Times New Roman"/>
          <w:sz w:val="28"/>
          <w:szCs w:val="28"/>
        </w:rPr>
        <w:t>, causing the ribosome to shift the reading frame</w:t>
      </w:r>
      <w:r w:rsidRPr="00193921">
        <w:rPr>
          <w:rFonts w:ascii="Times New Roman" w:hAnsi="Times New Roman" w:cs="Times New Roman"/>
          <w:sz w:val="28"/>
          <w:szCs w:val="28"/>
        </w:rPr>
        <w:t xml:space="preserve"> and continue translation into ORF1b. Result: A longer polyprotein (pp1ab) is produced, combining ORF1a and ORF1b regions, whereas ORF1a alone produces a shorter polyprotein (pp1a). Polyprotein Processing: The pp1ab polyprotein is cleaved by viral proteases (3CLpro/Mpro and PLpro) into 16 non-structural proteins (NSP1–NSP16). </w:t>
      </w:r>
    </w:p>
    <w:p w14:paraId="366872F2" w14:textId="158F0946" w:rsidR="005211D0" w:rsidRPr="00193921" w:rsidRDefault="00BA4E03"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 xml:space="preserve">These NSPs form the replication-transcription complex (RTC), which is essential for viral RNA synthesis. Key Non-Structural Proteins (NSPs): NSP12 (RdRP): RNA-dependent RNA polymerase, a target for antivirals (e.g., Remdesivir). NSP13 (Helicase): Unwinds RNA during replication. NSP14: Proofreading exonuclease, reducing mutation rates. NSP15 (EndoRNAse) and NSP16 (2'-O-MTase): Modify RNA to evade host immune detection. Viral Replication: ORF1ab-derived proteins are indispensable for </w:t>
      </w:r>
      <w:r w:rsidR="007F5935">
        <w:rPr>
          <w:rFonts w:ascii="Times New Roman" w:hAnsi="Times New Roman" w:cs="Times New Roman"/>
          <w:sz w:val="28"/>
          <w:szCs w:val="28"/>
        </w:rPr>
        <w:t xml:space="preserve">viral genome replication </w:t>
      </w:r>
      <w:r w:rsidRPr="00193921">
        <w:rPr>
          <w:rFonts w:ascii="Times New Roman" w:hAnsi="Times New Roman" w:cs="Times New Roman"/>
          <w:sz w:val="28"/>
          <w:szCs w:val="28"/>
        </w:rPr>
        <w:t xml:space="preserve">and subverting host defences. Antiviral Targets: Enzymes </w:t>
      </w:r>
      <w:r w:rsidR="007F5935">
        <w:rPr>
          <w:rFonts w:ascii="Times New Roman" w:hAnsi="Times New Roman" w:cs="Times New Roman"/>
          <w:sz w:val="28"/>
          <w:szCs w:val="28"/>
        </w:rPr>
        <w:t xml:space="preserve">such as RdRP and proteases (e.g., </w:t>
      </w:r>
      <w:r w:rsidRPr="00193921">
        <w:rPr>
          <w:rFonts w:ascii="Times New Roman" w:hAnsi="Times New Roman" w:cs="Times New Roman"/>
          <w:sz w:val="28"/>
          <w:szCs w:val="28"/>
        </w:rPr>
        <w:t>3CLpro) are prime targets for drug development (e.g., Paxlovid inhibits 3CLpro).</w:t>
      </w:r>
    </w:p>
    <w:p w14:paraId="2EFD9B14" w14:textId="77777777" w:rsidR="005211D0" w:rsidRPr="00193921" w:rsidRDefault="00F56BA4"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 xml:space="preserve">The ORF1ab gene is highly conserved among coronaviruses, making it a </w:t>
      </w:r>
      <w:r w:rsidR="005211D0" w:rsidRPr="00193921">
        <w:rPr>
          <w:rFonts w:ascii="Times New Roman" w:hAnsi="Times New Roman" w:cs="Times New Roman"/>
          <w:sz w:val="28"/>
          <w:szCs w:val="28"/>
        </w:rPr>
        <w:t>valuable</w:t>
      </w:r>
      <w:r w:rsidRPr="00193921">
        <w:rPr>
          <w:rFonts w:ascii="Times New Roman" w:hAnsi="Times New Roman" w:cs="Times New Roman"/>
          <w:sz w:val="28"/>
          <w:szCs w:val="28"/>
        </w:rPr>
        <w:t xml:space="preserve"> target </w:t>
      </w:r>
      <w:r w:rsidR="00BA4E03" w:rsidRPr="00193921">
        <w:rPr>
          <w:rFonts w:ascii="Times New Roman" w:hAnsi="Times New Roman" w:cs="Times New Roman"/>
          <w:sz w:val="28"/>
          <w:szCs w:val="28"/>
        </w:rPr>
        <w:t>for diagnostics (e.g., PCR primers) and broad-spectrum therapeutics. Mutations in ORF1ab (e.g., P323L in NSP12) may influence viral fitness or drug resistance</w:t>
      </w:r>
      <w:r w:rsidRPr="00193921">
        <w:rPr>
          <w:rFonts w:ascii="Times New Roman" w:hAnsi="Times New Roman" w:cs="Times New Roman"/>
          <w:sz w:val="28"/>
          <w:szCs w:val="28"/>
        </w:rPr>
        <w:t>, but are less common than those in structural proteins, such as the Spike protein</w:t>
      </w:r>
      <w:r w:rsidR="00BA4E03" w:rsidRPr="00193921">
        <w:rPr>
          <w:rFonts w:ascii="Times New Roman" w:hAnsi="Times New Roman" w:cs="Times New Roman"/>
          <w:sz w:val="28"/>
          <w:szCs w:val="28"/>
        </w:rPr>
        <w:t xml:space="preserve">. Surveillance of ORF1ab helps track viral evolution and inform the development of countermeasures. Protease activity in SARS-CoV-2 is crucial for viral replication and pathogenesis. The virus encodes two key proteases that process its polyproteins into functional components. </w:t>
      </w:r>
    </w:p>
    <w:p w14:paraId="4E242D1C" w14:textId="33D1AF22" w:rsidR="00832447" w:rsidRPr="00193921" w:rsidRDefault="00BA4E03" w:rsidP="00193921">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The first is the main Protease (Mpro or 3CLpro).  It cleaves the large polyproteins (pp1a and pp1ab) translated from the viral RNA into non-structural proteins (nsps) required for replication and transcription. Specifically, it cleaves at 11 conserved sites, generating mature proteins</w:t>
      </w:r>
      <w:r w:rsidR="007F5935">
        <w:rPr>
          <w:rFonts w:ascii="Times New Roman" w:hAnsi="Times New Roman" w:cs="Times New Roman"/>
          <w:sz w:val="28"/>
          <w:szCs w:val="28"/>
        </w:rPr>
        <w:t>, including</w:t>
      </w:r>
      <w:r w:rsidR="003256EE">
        <w:rPr>
          <w:rFonts w:ascii="Times New Roman" w:hAnsi="Times New Roman" w:cs="Times New Roman"/>
          <w:sz w:val="28"/>
          <w:szCs w:val="28"/>
        </w:rPr>
        <w:t xml:space="preserve"> the RNA-dependent RNA polymerase (RdRP) and the </w:t>
      </w:r>
      <w:r w:rsidRPr="00193921">
        <w:rPr>
          <w:rFonts w:ascii="Times New Roman" w:hAnsi="Times New Roman" w:cs="Times New Roman"/>
          <w:sz w:val="28"/>
          <w:szCs w:val="28"/>
        </w:rPr>
        <w:t xml:space="preserve">helicase. Structure: A cysteine protease characterised by a catalytic dyad comprising Cys145 and His41. Functions as a homodimer, with each monomer containing three domains (I-III). The second protease, Papain-Like Protease (PLpro), </w:t>
      </w:r>
      <w:r w:rsidR="003256EE">
        <w:rPr>
          <w:rFonts w:ascii="Times New Roman" w:hAnsi="Times New Roman" w:cs="Times New Roman"/>
          <w:sz w:val="28"/>
          <w:szCs w:val="28"/>
        </w:rPr>
        <w:t>cleaves</w:t>
      </w:r>
      <w:r w:rsidRPr="00193921">
        <w:rPr>
          <w:rFonts w:ascii="Times New Roman" w:hAnsi="Times New Roman" w:cs="Times New Roman"/>
          <w:sz w:val="28"/>
          <w:szCs w:val="28"/>
        </w:rPr>
        <w:t xml:space="preserve"> the polyprotein at three sites</w:t>
      </w:r>
      <w:r w:rsidR="005D24F6">
        <w:rPr>
          <w:rFonts w:ascii="Times New Roman" w:hAnsi="Times New Roman" w:cs="Times New Roman"/>
          <w:sz w:val="28"/>
          <w:szCs w:val="28"/>
        </w:rPr>
        <w:t>, releasing</w:t>
      </w:r>
      <w:r w:rsidRPr="00193921">
        <w:rPr>
          <w:rFonts w:ascii="Times New Roman" w:hAnsi="Times New Roman" w:cs="Times New Roman"/>
          <w:sz w:val="28"/>
          <w:szCs w:val="28"/>
        </w:rPr>
        <w:t xml:space="preserve"> </w:t>
      </w:r>
      <w:r w:rsidR="005D24F6">
        <w:rPr>
          <w:rFonts w:ascii="Times New Roman" w:hAnsi="Times New Roman" w:cs="Times New Roman"/>
          <w:sz w:val="28"/>
          <w:szCs w:val="28"/>
        </w:rPr>
        <w:t>NSP</w:t>
      </w:r>
      <w:r w:rsidRPr="00193921">
        <w:rPr>
          <w:rFonts w:ascii="Times New Roman" w:hAnsi="Times New Roman" w:cs="Times New Roman"/>
          <w:sz w:val="28"/>
          <w:szCs w:val="28"/>
        </w:rPr>
        <w:t>s 1-3. Immune Evasion: Removes ubiquitin and interferon-stimulated gene 15 (ISG15) from host proteins, thereby dampening antiviral immune responses, including NF-</w:t>
      </w:r>
      <w:proofErr w:type="spellStart"/>
      <w:r w:rsidRPr="00193921">
        <w:rPr>
          <w:rFonts w:ascii="Times New Roman" w:hAnsi="Times New Roman" w:cs="Times New Roman"/>
          <w:sz w:val="28"/>
          <w:szCs w:val="28"/>
        </w:rPr>
        <w:t>κB</w:t>
      </w:r>
      <w:proofErr w:type="spellEnd"/>
      <w:r w:rsidRPr="00193921">
        <w:rPr>
          <w:rFonts w:ascii="Times New Roman" w:hAnsi="Times New Roman" w:cs="Times New Roman"/>
          <w:sz w:val="28"/>
          <w:szCs w:val="28"/>
        </w:rPr>
        <w:t xml:space="preserve"> and interferon signalling.</w:t>
      </w:r>
      <w:r w:rsidR="00B063D1" w:rsidRPr="00193921">
        <w:rPr>
          <w:rFonts w:ascii="Times New Roman" w:hAnsi="Times New Roman" w:cs="Times New Roman"/>
          <w:sz w:val="28"/>
          <w:szCs w:val="28"/>
        </w:rPr>
        <w:t xml:space="preserve"> [35-36]</w:t>
      </w:r>
      <w:r w:rsidRPr="00193921">
        <w:rPr>
          <w:rFonts w:ascii="Times New Roman" w:hAnsi="Times New Roman" w:cs="Times New Roman"/>
          <w:sz w:val="28"/>
          <w:szCs w:val="28"/>
        </w:rPr>
        <w:t xml:space="preserve"> Structure: A cysteine protease featuring a catalytic triad comprising </w:t>
      </w:r>
      <w:r w:rsidRPr="00193921">
        <w:rPr>
          <w:rFonts w:ascii="Times New Roman" w:hAnsi="Times New Roman" w:cs="Times New Roman"/>
          <w:sz w:val="28"/>
          <w:szCs w:val="28"/>
        </w:rPr>
        <w:lastRenderedPageBreak/>
        <w:t xml:space="preserve">Cys111, His272, and Asp286. Contains a ubiquitin-like domain for substrate recognition. Therapeutic Target: Less advanced than Mpro inhibitors, but investigational compounds (e.g., GRL-0617) aim to block PLpro’s dual role in viral processing and immune suppression. </w:t>
      </w:r>
    </w:p>
    <w:p w14:paraId="1360D1F3" w14:textId="2733FA13" w:rsidR="00F82AD6" w:rsidRDefault="00B063D1" w:rsidP="00CC26BE">
      <w:pPr>
        <w:spacing w:after="0" w:line="240" w:lineRule="auto"/>
        <w:ind w:firstLine="709"/>
        <w:jc w:val="both"/>
        <w:rPr>
          <w:rFonts w:ascii="Times New Roman" w:hAnsi="Times New Roman" w:cs="Times New Roman"/>
          <w:sz w:val="28"/>
          <w:szCs w:val="28"/>
        </w:rPr>
      </w:pPr>
      <w:r w:rsidRPr="00193921">
        <w:rPr>
          <w:rFonts w:ascii="Times New Roman" w:hAnsi="Times New Roman" w:cs="Times New Roman"/>
          <w:sz w:val="28"/>
          <w:szCs w:val="28"/>
        </w:rPr>
        <w:t>According to Figure 1u</w:t>
      </w:r>
      <w:r w:rsidR="00BA4E03" w:rsidRPr="00193921">
        <w:rPr>
          <w:rFonts w:ascii="Times New Roman" w:hAnsi="Times New Roman" w:cs="Times New Roman"/>
          <w:sz w:val="28"/>
          <w:szCs w:val="28"/>
        </w:rPr>
        <w:t>nderstanding the structure-function relationships of ORF1ab facilitates the design of inhibitors to disrupt viral replication [20-21]. Studies on frameshifting mechanisms could lead to novel antiviral strategies targeting this process. In summary, ORF1ab is a cornerstone of SARS-CoV-2 biology, driving viral replication and serving as a key focus for therapeutic and diagnostic innovation [19-20,33, 37].</w:t>
      </w:r>
    </w:p>
    <w:p w14:paraId="73571456" w14:textId="77777777" w:rsidR="0057791A" w:rsidRPr="00193921" w:rsidRDefault="0057791A" w:rsidP="00CC26BE">
      <w:pPr>
        <w:spacing w:after="0" w:line="240" w:lineRule="auto"/>
        <w:ind w:firstLine="709"/>
        <w:jc w:val="both"/>
        <w:rPr>
          <w:rFonts w:ascii="Times New Roman" w:hAnsi="Times New Roman" w:cs="Times New Roman"/>
          <w:sz w:val="28"/>
          <w:szCs w:val="28"/>
          <w:lang w:val="en-US"/>
        </w:rPr>
      </w:pPr>
    </w:p>
    <w:p w14:paraId="4F93E047" w14:textId="77777777" w:rsidR="00CC26BE" w:rsidRDefault="00853685" w:rsidP="00CC26BE">
      <w:pPr>
        <w:spacing w:after="0" w:line="360" w:lineRule="auto"/>
        <w:jc w:val="center"/>
        <w:rPr>
          <w:rFonts w:ascii="Times New Roman" w:hAnsi="Times New Roman" w:cs="Times New Roman"/>
          <w:sz w:val="28"/>
          <w:szCs w:val="28"/>
        </w:rPr>
      </w:pPr>
      <w:r w:rsidRPr="006531C9">
        <w:rPr>
          <w:rFonts w:ascii="Times New Roman" w:hAnsi="Times New Roman" w:cs="Times New Roman"/>
          <w:noProof/>
          <w:sz w:val="24"/>
          <w:szCs w:val="24"/>
        </w:rPr>
        <w:drawing>
          <wp:inline distT="0" distB="0" distL="0" distR="0" wp14:anchorId="4B229E1F" wp14:editId="0F79DFE4">
            <wp:extent cx="4543425" cy="2343051"/>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pic:cNvPicPr>
                  </pic:nvPicPr>
                  <pic:blipFill rotWithShape="1">
                    <a:blip r:embed="rId9"/>
                    <a:srcRect t="7065" r="-3025"/>
                    <a:stretch>
                      <a:fillRect/>
                    </a:stretch>
                  </pic:blipFill>
                  <pic:spPr bwMode="auto">
                    <a:xfrm>
                      <a:off x="0" y="0"/>
                      <a:ext cx="4575279" cy="2359478"/>
                    </a:xfrm>
                    <a:prstGeom prst="rect">
                      <a:avLst/>
                    </a:prstGeom>
                    <a:ln>
                      <a:noFill/>
                    </a:ln>
                    <a:extLst>
                      <a:ext uri="{53640926-AAD7-44D8-BBD7-CCE9431645EC}">
                        <a14:shadowObscured xmlns:a14="http://schemas.microsoft.com/office/drawing/2010/main"/>
                      </a:ext>
                    </a:extLst>
                  </pic:spPr>
                </pic:pic>
              </a:graphicData>
            </a:graphic>
          </wp:inline>
        </w:drawing>
      </w:r>
    </w:p>
    <w:p w14:paraId="4AACCEC9" w14:textId="7C23A6B5" w:rsidR="00E63E59" w:rsidRPr="00193921" w:rsidRDefault="00853685" w:rsidP="0040013E">
      <w:pPr>
        <w:spacing w:after="0" w:line="360" w:lineRule="auto"/>
        <w:jc w:val="center"/>
        <w:rPr>
          <w:rFonts w:ascii="Times New Roman" w:hAnsi="Times New Roman" w:cs="Times New Roman"/>
          <w:sz w:val="28"/>
          <w:szCs w:val="28"/>
        </w:rPr>
      </w:pPr>
      <w:r w:rsidRPr="00193921">
        <w:rPr>
          <w:rFonts w:ascii="Times New Roman" w:hAnsi="Times New Roman" w:cs="Times New Roman"/>
          <w:sz w:val="28"/>
          <w:szCs w:val="28"/>
        </w:rPr>
        <w:t xml:space="preserve">Figure 1 </w:t>
      </w:r>
      <w:r w:rsidR="004A4C06" w:rsidRPr="00193921">
        <w:rPr>
          <w:rFonts w:ascii="Times New Roman" w:hAnsi="Times New Roman" w:cs="Times New Roman"/>
          <w:sz w:val="28"/>
          <w:szCs w:val="28"/>
        </w:rPr>
        <w:t>—</w:t>
      </w:r>
      <w:r w:rsidRPr="00193921">
        <w:rPr>
          <w:rFonts w:ascii="Times New Roman" w:hAnsi="Times New Roman" w:cs="Times New Roman"/>
          <w:sz w:val="28"/>
          <w:szCs w:val="28"/>
        </w:rPr>
        <w:t xml:space="preserve"> The schematized viral genome of a</w:t>
      </w:r>
      <w:r w:rsidR="00E20FE0" w:rsidRPr="00193921">
        <w:rPr>
          <w:rFonts w:ascii="Times New Roman" w:hAnsi="Times New Roman" w:cs="Times New Roman"/>
          <w:sz w:val="28"/>
          <w:szCs w:val="28"/>
        </w:rPr>
        <w:t xml:space="preserve"> </w:t>
      </w:r>
      <w:r w:rsidR="00CE6C21">
        <w:rPr>
          <w:rFonts w:ascii="Times New Roman" w:hAnsi="Times New Roman" w:cs="Times New Roman"/>
          <w:sz w:val="28"/>
          <w:szCs w:val="28"/>
        </w:rPr>
        <w:t xml:space="preserve">SARS-CoV2 virus </w:t>
      </w:r>
      <w:r w:rsidR="00E20FE0" w:rsidRPr="00193921">
        <w:rPr>
          <w:rFonts w:ascii="Times New Roman" w:hAnsi="Times New Roman" w:cs="Times New Roman"/>
          <w:sz w:val="28"/>
          <w:szCs w:val="28"/>
        </w:rPr>
        <w:t>strain</w:t>
      </w:r>
      <w:r w:rsidR="00871E43">
        <w:rPr>
          <w:rFonts w:ascii="Times New Roman" w:hAnsi="Times New Roman" w:cs="Times New Roman"/>
          <w:sz w:val="28"/>
          <w:szCs w:val="28"/>
        </w:rPr>
        <w:t xml:space="preserve"> [37]</w:t>
      </w:r>
    </w:p>
    <w:p w14:paraId="1F2F1386" w14:textId="2ABFFAB4" w:rsidR="00226539" w:rsidRPr="00193921" w:rsidRDefault="00853685" w:rsidP="00193921">
      <w:pPr>
        <w:spacing w:after="0" w:line="240" w:lineRule="auto"/>
        <w:jc w:val="both"/>
        <w:rPr>
          <w:rFonts w:ascii="Times New Roman" w:hAnsi="Times New Roman" w:cs="Times New Roman"/>
          <w:sz w:val="28"/>
          <w:szCs w:val="28"/>
        </w:rPr>
      </w:pPr>
      <w:r w:rsidRPr="00193921">
        <w:rPr>
          <w:rFonts w:ascii="Times New Roman" w:hAnsi="Times New Roman" w:cs="Times New Roman"/>
          <w:sz w:val="28"/>
          <w:szCs w:val="28"/>
        </w:rPr>
        <w:t xml:space="preserve"> </w:t>
      </w:r>
      <w:r w:rsidR="00F56BA4" w:rsidRPr="00193921">
        <w:rPr>
          <w:rFonts w:ascii="Times New Roman" w:hAnsi="Times New Roman" w:cs="Times New Roman"/>
          <w:sz w:val="28"/>
          <w:szCs w:val="28"/>
        </w:rPr>
        <w:tab/>
      </w:r>
      <w:r w:rsidR="00454AEC" w:rsidRPr="00193921">
        <w:rPr>
          <w:rFonts w:ascii="Times New Roman" w:hAnsi="Times New Roman" w:cs="Times New Roman"/>
          <w:sz w:val="28"/>
          <w:szCs w:val="28"/>
        </w:rPr>
        <w:t xml:space="preserve">The polyprotein regions (pp) or so-called open reading frames (ORFs) are primarily </w:t>
      </w:r>
      <w:r w:rsidR="00454AEC">
        <w:rPr>
          <w:rFonts w:ascii="Times New Roman" w:hAnsi="Times New Roman" w:cs="Times New Roman"/>
          <w:sz w:val="28"/>
          <w:szCs w:val="28"/>
        </w:rPr>
        <w:t>encoded in the viral genome for replicase genes, from which fragments are designated non-structural proteins (NSPs)</w:t>
      </w:r>
      <w:r w:rsidR="00454AEC" w:rsidRPr="00193921">
        <w:rPr>
          <w:rFonts w:ascii="Times New Roman" w:hAnsi="Times New Roman" w:cs="Times New Roman"/>
          <w:sz w:val="28"/>
          <w:szCs w:val="28"/>
        </w:rPr>
        <w:t xml:space="preserve">. The most promising </w:t>
      </w:r>
      <w:r w:rsidR="00454AEC">
        <w:rPr>
          <w:rFonts w:ascii="Times New Roman" w:hAnsi="Times New Roman" w:cs="Times New Roman"/>
          <w:sz w:val="28"/>
          <w:szCs w:val="28"/>
        </w:rPr>
        <w:t>targets</w:t>
      </w:r>
      <w:r w:rsidR="00454AEC" w:rsidRPr="00193921">
        <w:rPr>
          <w:rFonts w:ascii="Times New Roman" w:hAnsi="Times New Roman" w:cs="Times New Roman"/>
          <w:sz w:val="28"/>
          <w:szCs w:val="28"/>
        </w:rPr>
        <w:t xml:space="preserve"> are nsp5 and nsp12, which are essential for viral </w:t>
      </w:r>
      <w:r w:rsidR="00454AEC">
        <w:rPr>
          <w:rFonts w:ascii="Times New Roman" w:hAnsi="Times New Roman" w:cs="Times New Roman"/>
          <w:sz w:val="28"/>
          <w:szCs w:val="28"/>
        </w:rPr>
        <w:t>replication. The</w:t>
      </w:r>
      <w:r w:rsidRPr="00193921">
        <w:rPr>
          <w:rFonts w:ascii="Times New Roman" w:hAnsi="Times New Roman" w:cs="Times New Roman"/>
          <w:sz w:val="28"/>
          <w:szCs w:val="28"/>
        </w:rPr>
        <w:t xml:space="preserve"> structural genes encode </w:t>
      </w:r>
      <w:r w:rsidR="00E20FE0" w:rsidRPr="00193921">
        <w:rPr>
          <w:rFonts w:ascii="Times New Roman" w:hAnsi="Times New Roman" w:cs="Times New Roman"/>
          <w:sz w:val="28"/>
          <w:szCs w:val="28"/>
        </w:rPr>
        <w:t xml:space="preserve">proteins for </w:t>
      </w:r>
      <w:r w:rsidR="00F56BA4" w:rsidRPr="00193921">
        <w:rPr>
          <w:rFonts w:ascii="Times New Roman" w:hAnsi="Times New Roman" w:cs="Times New Roman"/>
          <w:sz w:val="28"/>
          <w:szCs w:val="28"/>
        </w:rPr>
        <w:t>various purposes, including</w:t>
      </w:r>
      <w:r w:rsidR="00E20FE0" w:rsidRPr="00193921">
        <w:rPr>
          <w:rFonts w:ascii="Times New Roman" w:hAnsi="Times New Roman" w:cs="Times New Roman"/>
          <w:sz w:val="28"/>
          <w:szCs w:val="28"/>
        </w:rPr>
        <w:t xml:space="preserve"> </w:t>
      </w:r>
      <w:r w:rsidR="007F5935">
        <w:rPr>
          <w:rFonts w:ascii="Times New Roman" w:hAnsi="Times New Roman" w:cs="Times New Roman"/>
          <w:sz w:val="28"/>
          <w:szCs w:val="28"/>
        </w:rPr>
        <w:t>the spike (S), envelope (E), membrane (M), and nucleocapsid (N) proteins</w:t>
      </w:r>
      <w:r w:rsidR="00E20FE0" w:rsidRPr="00193921">
        <w:rPr>
          <w:rFonts w:ascii="Times New Roman" w:hAnsi="Times New Roman" w:cs="Times New Roman"/>
          <w:sz w:val="28"/>
          <w:szCs w:val="28"/>
        </w:rPr>
        <w:t xml:space="preserve">, as well as auxiliary or accessory proteins </w:t>
      </w:r>
      <w:r w:rsidRPr="00193921">
        <w:rPr>
          <w:rFonts w:ascii="Times New Roman" w:hAnsi="Times New Roman" w:cs="Times New Roman"/>
          <w:sz w:val="28"/>
          <w:szCs w:val="28"/>
        </w:rPr>
        <w:t>[22,35].</w:t>
      </w:r>
      <w:r w:rsidR="002844CD" w:rsidRPr="00193921">
        <w:rPr>
          <w:rFonts w:ascii="Times New Roman" w:hAnsi="Times New Roman" w:cs="Times New Roman"/>
          <w:sz w:val="28"/>
          <w:szCs w:val="28"/>
        </w:rPr>
        <w:t xml:space="preserve"> </w:t>
      </w:r>
      <w:r w:rsidRPr="00193921">
        <w:rPr>
          <w:rFonts w:ascii="Times New Roman" w:hAnsi="Times New Roman" w:cs="Times New Roman"/>
          <w:sz w:val="28"/>
          <w:szCs w:val="28"/>
        </w:rPr>
        <w:t>Receptor binding protein (RBD</w:t>
      </w:r>
      <w:r w:rsidR="00E20FE0" w:rsidRPr="00193921">
        <w:rPr>
          <w:rFonts w:ascii="Times New Roman" w:hAnsi="Times New Roman" w:cs="Times New Roman"/>
          <w:sz w:val="28"/>
          <w:szCs w:val="28"/>
        </w:rPr>
        <w:t>): viral spike protein, glycolysis, S1-Domain, ACE-2 Recognition</w:t>
      </w:r>
      <w:r w:rsidRPr="00193921">
        <w:rPr>
          <w:rFonts w:ascii="Times New Roman" w:hAnsi="Times New Roman" w:cs="Times New Roman"/>
          <w:sz w:val="28"/>
          <w:szCs w:val="28"/>
        </w:rPr>
        <w:t xml:space="preserve">, Furin, S2-Domain, TMPRSS2, cell and viral membrane fusion. The viral infection </w:t>
      </w:r>
      <w:r w:rsidR="00E20FE0" w:rsidRPr="00193921">
        <w:rPr>
          <w:rFonts w:ascii="Times New Roman" w:hAnsi="Times New Roman" w:cs="Times New Roman"/>
          <w:sz w:val="28"/>
          <w:szCs w:val="28"/>
        </w:rPr>
        <w:t xml:space="preserve">caused by SARS-CoV-2 begins with the </w:t>
      </w:r>
      <w:r w:rsidRPr="00193921">
        <w:rPr>
          <w:rFonts w:ascii="Times New Roman" w:hAnsi="Times New Roman" w:cs="Times New Roman"/>
          <w:sz w:val="28"/>
          <w:szCs w:val="28"/>
        </w:rPr>
        <w:t>RBD</w:t>
      </w:r>
      <w:r w:rsidR="00F56BA4" w:rsidRPr="00193921">
        <w:rPr>
          <w:rFonts w:ascii="Times New Roman" w:hAnsi="Times New Roman" w:cs="Times New Roman"/>
          <w:sz w:val="28"/>
          <w:szCs w:val="28"/>
        </w:rPr>
        <w:t>, which consists of two subunits: S1 and S2</w:t>
      </w:r>
      <w:r w:rsidRPr="00193921">
        <w:rPr>
          <w:rFonts w:ascii="Times New Roman" w:hAnsi="Times New Roman" w:cs="Times New Roman"/>
          <w:sz w:val="28"/>
          <w:szCs w:val="28"/>
        </w:rPr>
        <w:t xml:space="preserve">. They are non-covalently associated subunits. The S1 Subunit binds to ACE-2, and the S2 subunit anchors the S2-protein to the membrane. The </w:t>
      </w:r>
      <w:r w:rsidR="00454AEC">
        <w:rPr>
          <w:rFonts w:ascii="Times New Roman" w:hAnsi="Times New Roman" w:cs="Times New Roman"/>
          <w:sz w:val="28"/>
          <w:szCs w:val="28"/>
        </w:rPr>
        <w:t>S2 Subunit contains the fusion peptide and other molecular machinery required to mediate membrane fusion during</w:t>
      </w:r>
      <w:r w:rsidR="00E20FE0" w:rsidRPr="00193921">
        <w:rPr>
          <w:rFonts w:ascii="Times New Roman" w:hAnsi="Times New Roman" w:cs="Times New Roman"/>
          <w:sz w:val="28"/>
          <w:szCs w:val="28"/>
        </w:rPr>
        <w:t xml:space="preserve"> invasion of a new host cell, enabling the viral genome to</w:t>
      </w:r>
      <w:r w:rsidRPr="00193921">
        <w:rPr>
          <w:rFonts w:ascii="Times New Roman" w:hAnsi="Times New Roman" w:cs="Times New Roman"/>
          <w:sz w:val="28"/>
          <w:szCs w:val="28"/>
        </w:rPr>
        <w:t xml:space="preserve"> enter the cytosol [</w:t>
      </w:r>
      <w:r w:rsidR="00E20FE0" w:rsidRPr="00193921">
        <w:rPr>
          <w:rFonts w:ascii="Times New Roman" w:hAnsi="Times New Roman" w:cs="Times New Roman"/>
          <w:sz w:val="28"/>
          <w:szCs w:val="28"/>
        </w:rPr>
        <w:t>37</w:t>
      </w:r>
      <w:r w:rsidRPr="00193921">
        <w:rPr>
          <w:rFonts w:ascii="Times New Roman" w:hAnsi="Times New Roman" w:cs="Times New Roman"/>
          <w:sz w:val="28"/>
          <w:szCs w:val="28"/>
        </w:rPr>
        <w:t xml:space="preserve">]. After contact with the spike protein, Furin </w:t>
      </w:r>
      <w:r w:rsidR="00E20FE0" w:rsidRPr="00193921">
        <w:rPr>
          <w:rFonts w:ascii="Times New Roman" w:hAnsi="Times New Roman" w:cs="Times New Roman"/>
          <w:sz w:val="28"/>
          <w:szCs w:val="28"/>
        </w:rPr>
        <w:t>accurately cleaves the outer part of the spike protein, known as the S1 domain, thereby releasing the inner core of the spike protein. This S2 domain is also cleaved</w:t>
      </w:r>
      <w:r w:rsidRPr="00193921">
        <w:rPr>
          <w:rFonts w:ascii="Times New Roman" w:hAnsi="Times New Roman" w:cs="Times New Roman"/>
          <w:sz w:val="28"/>
          <w:szCs w:val="28"/>
        </w:rPr>
        <w:t xml:space="preserve"> by transmembrane serine protease 2 (TMPRSS2)</w:t>
      </w:r>
      <w:r w:rsidR="00E20FE0" w:rsidRPr="00193921">
        <w:rPr>
          <w:rFonts w:ascii="Times New Roman" w:hAnsi="Times New Roman" w:cs="Times New Roman"/>
          <w:sz w:val="28"/>
          <w:szCs w:val="28"/>
        </w:rPr>
        <w:t xml:space="preserve"> [31]</w:t>
      </w:r>
      <w:r w:rsidRPr="00193921">
        <w:rPr>
          <w:rFonts w:ascii="Times New Roman" w:hAnsi="Times New Roman" w:cs="Times New Roman"/>
          <w:sz w:val="28"/>
          <w:szCs w:val="28"/>
        </w:rPr>
        <w:t xml:space="preserve">. After these, </w:t>
      </w:r>
      <w:r w:rsidR="00F56BA4" w:rsidRPr="00193921">
        <w:rPr>
          <w:rFonts w:ascii="Times New Roman" w:hAnsi="Times New Roman" w:cs="Times New Roman"/>
          <w:sz w:val="28"/>
          <w:szCs w:val="28"/>
        </w:rPr>
        <w:t xml:space="preserve">the </w:t>
      </w:r>
      <w:r w:rsidRPr="00193921">
        <w:rPr>
          <w:rFonts w:ascii="Times New Roman" w:hAnsi="Times New Roman" w:cs="Times New Roman"/>
          <w:sz w:val="28"/>
          <w:szCs w:val="28"/>
        </w:rPr>
        <w:t xml:space="preserve">spike protein unfolds and anchors into the host cell membrane. Thus, the </w:t>
      </w:r>
      <w:r w:rsidR="007F5935">
        <w:rPr>
          <w:rFonts w:ascii="Times New Roman" w:hAnsi="Times New Roman" w:cs="Times New Roman"/>
          <w:sz w:val="28"/>
          <w:szCs w:val="28"/>
        </w:rPr>
        <w:t>viral and host cell membranes begin to fuse, allowing the viral genome to enter the host cell cytosol</w:t>
      </w:r>
      <w:r w:rsidRPr="00193921">
        <w:rPr>
          <w:rFonts w:ascii="Times New Roman" w:hAnsi="Times New Roman" w:cs="Times New Roman"/>
          <w:sz w:val="28"/>
          <w:szCs w:val="28"/>
        </w:rPr>
        <w:t xml:space="preserve">. A ribosome </w:t>
      </w:r>
      <w:r w:rsidR="00E20FE0" w:rsidRPr="00193921">
        <w:rPr>
          <w:rFonts w:ascii="Times New Roman" w:hAnsi="Times New Roman" w:cs="Times New Roman"/>
          <w:sz w:val="28"/>
          <w:szCs w:val="28"/>
        </w:rPr>
        <w:t xml:space="preserve">binds to the viral RNA and initiates the translation of </w:t>
      </w:r>
      <w:r w:rsidRPr="00193921">
        <w:rPr>
          <w:rFonts w:ascii="Times New Roman" w:hAnsi="Times New Roman" w:cs="Times New Roman"/>
          <w:sz w:val="28"/>
          <w:szCs w:val="28"/>
        </w:rPr>
        <w:t>its genetic code. It results in a</w:t>
      </w:r>
      <w:r w:rsidR="00E20FE0" w:rsidRPr="00193921">
        <w:rPr>
          <w:rFonts w:ascii="Times New Roman" w:hAnsi="Times New Roman" w:cs="Times New Roman"/>
          <w:sz w:val="28"/>
          <w:szCs w:val="28"/>
        </w:rPr>
        <w:t xml:space="preserve"> long protein chain containing non-</w:t>
      </w:r>
      <w:r w:rsidR="00E20FE0" w:rsidRPr="00193921">
        <w:rPr>
          <w:rFonts w:ascii="Times New Roman" w:hAnsi="Times New Roman" w:cs="Times New Roman"/>
          <w:sz w:val="28"/>
          <w:szCs w:val="28"/>
        </w:rPr>
        <w:lastRenderedPageBreak/>
        <w:t>structural proteins (NSPs</w:t>
      </w:r>
      <w:r w:rsidRPr="00193921">
        <w:rPr>
          <w:rFonts w:ascii="Times New Roman" w:hAnsi="Times New Roman" w:cs="Times New Roman"/>
          <w:sz w:val="28"/>
          <w:szCs w:val="28"/>
        </w:rPr>
        <w:t xml:space="preserve">). NSPs </w:t>
      </w:r>
      <w:r w:rsidR="007F5935">
        <w:rPr>
          <w:rFonts w:ascii="Times New Roman" w:hAnsi="Times New Roman" w:cs="Times New Roman"/>
          <w:sz w:val="28"/>
          <w:szCs w:val="28"/>
        </w:rPr>
        <w:t>can cut</w:t>
      </w:r>
      <w:r w:rsidRPr="00193921">
        <w:rPr>
          <w:rFonts w:ascii="Times New Roman" w:hAnsi="Times New Roman" w:cs="Times New Roman"/>
          <w:sz w:val="28"/>
          <w:szCs w:val="28"/>
        </w:rPr>
        <w:t xml:space="preserve"> the neighbouring chains. First, they release short naps </w:t>
      </w:r>
      <w:r w:rsidR="00C047BD">
        <w:rPr>
          <w:rFonts w:ascii="Times New Roman" w:hAnsi="Times New Roman" w:cs="Times New Roman"/>
          <w:sz w:val="28"/>
          <w:szCs w:val="28"/>
        </w:rPr>
        <w:t xml:space="preserve">that bind to </w:t>
      </w:r>
      <w:r w:rsidR="007F5935">
        <w:rPr>
          <w:rFonts w:ascii="Times New Roman" w:hAnsi="Times New Roman" w:cs="Times New Roman"/>
          <w:sz w:val="28"/>
          <w:szCs w:val="28"/>
        </w:rPr>
        <w:t>ribosomes and occupy them, allowing the bound ribosomes</w:t>
      </w:r>
      <w:r w:rsidR="00C047BD">
        <w:rPr>
          <w:rFonts w:ascii="Times New Roman" w:hAnsi="Times New Roman" w:cs="Times New Roman"/>
          <w:sz w:val="28"/>
          <w:szCs w:val="28"/>
        </w:rPr>
        <w:t xml:space="preserve"> to read only viral RNA</w:t>
      </w:r>
      <w:r w:rsidR="00FD2E80">
        <w:rPr>
          <w:rFonts w:ascii="Times New Roman" w:hAnsi="Times New Roman" w:cs="Times New Roman"/>
          <w:sz w:val="28"/>
          <w:szCs w:val="28"/>
        </w:rPr>
        <w:t xml:space="preserve"> rather than</w:t>
      </w:r>
      <w:r w:rsidR="00E20FE0" w:rsidRPr="00193921">
        <w:rPr>
          <w:rFonts w:ascii="Times New Roman" w:hAnsi="Times New Roman" w:cs="Times New Roman"/>
          <w:sz w:val="28"/>
          <w:szCs w:val="28"/>
        </w:rPr>
        <w:t xml:space="preserve"> the host cell's</w:t>
      </w:r>
      <w:r w:rsidRPr="00193921">
        <w:rPr>
          <w:rFonts w:ascii="Times New Roman" w:hAnsi="Times New Roman" w:cs="Times New Roman"/>
          <w:sz w:val="28"/>
          <w:szCs w:val="28"/>
        </w:rPr>
        <w:t xml:space="preserve"> messenger RNA (mRNA). From </w:t>
      </w:r>
      <w:r w:rsidR="00DC7DC3" w:rsidRPr="00193921">
        <w:rPr>
          <w:rFonts w:ascii="Times New Roman" w:hAnsi="Times New Roman" w:cs="Times New Roman"/>
          <w:sz w:val="28"/>
          <w:szCs w:val="28"/>
        </w:rPr>
        <w:t xml:space="preserve">the very beginning, </w:t>
      </w:r>
      <w:r w:rsidRPr="00193921">
        <w:rPr>
          <w:rFonts w:ascii="Times New Roman" w:hAnsi="Times New Roman" w:cs="Times New Roman"/>
          <w:sz w:val="28"/>
          <w:szCs w:val="28"/>
        </w:rPr>
        <w:t xml:space="preserve">the infected host cell </w:t>
      </w:r>
      <w:r w:rsidR="00E20FE0" w:rsidRPr="00193921">
        <w:rPr>
          <w:rFonts w:ascii="Times New Roman" w:hAnsi="Times New Roman" w:cs="Times New Roman"/>
          <w:sz w:val="28"/>
          <w:szCs w:val="28"/>
        </w:rPr>
        <w:t>becomes a virus-building factory, thanks to the virus's control over the cell's</w:t>
      </w:r>
      <w:r w:rsidRPr="00193921">
        <w:rPr>
          <w:rFonts w:ascii="Times New Roman" w:hAnsi="Times New Roman" w:cs="Times New Roman"/>
          <w:sz w:val="28"/>
          <w:szCs w:val="28"/>
        </w:rPr>
        <w:t xml:space="preserve"> translation machinery [</w:t>
      </w:r>
      <w:r w:rsidR="00F56BA4" w:rsidRPr="00193921">
        <w:rPr>
          <w:rFonts w:ascii="Times New Roman" w:hAnsi="Times New Roman" w:cs="Times New Roman"/>
          <w:sz w:val="28"/>
          <w:szCs w:val="28"/>
        </w:rPr>
        <w:t>35</w:t>
      </w:r>
      <w:r w:rsidRPr="00193921">
        <w:rPr>
          <w:rFonts w:ascii="Times New Roman" w:hAnsi="Times New Roman" w:cs="Times New Roman"/>
          <w:sz w:val="28"/>
          <w:szCs w:val="28"/>
        </w:rPr>
        <w:t xml:space="preserve">]. The primary spike protein structure is the key aspect of understanding viral pathogenesis, and its primary structure is depicted in Figure 2. </w:t>
      </w:r>
    </w:p>
    <w:p w14:paraId="7F89D4AE" w14:textId="3D68C653" w:rsidR="00030FFF" w:rsidRPr="00193921" w:rsidRDefault="00030FFF" w:rsidP="00193921">
      <w:pPr>
        <w:spacing w:after="0" w:line="240" w:lineRule="auto"/>
        <w:ind w:firstLine="708"/>
        <w:jc w:val="both"/>
        <w:rPr>
          <w:rFonts w:ascii="Times New Roman" w:hAnsi="Times New Roman" w:cs="Times New Roman"/>
          <w:sz w:val="28"/>
          <w:szCs w:val="28"/>
        </w:rPr>
      </w:pPr>
      <w:r w:rsidRPr="00193921">
        <w:rPr>
          <w:rFonts w:ascii="Times New Roman" w:hAnsi="Times New Roman" w:cs="Times New Roman"/>
          <w:sz w:val="28"/>
          <w:szCs w:val="28"/>
        </w:rPr>
        <w:t>The viral entry activation of respiratory cells, such as lung cells, is mediated by the transmembrane protease serine 2 (TMPRSS2), which is not present in Vero kidney cells</w:t>
      </w:r>
      <w:r w:rsidR="00DC7DC3" w:rsidRPr="00193921">
        <w:rPr>
          <w:rFonts w:ascii="Times New Roman" w:hAnsi="Times New Roman" w:cs="Times New Roman"/>
          <w:sz w:val="28"/>
          <w:szCs w:val="28"/>
        </w:rPr>
        <w:t xml:space="preserve">. </w:t>
      </w:r>
      <w:r w:rsidR="00B35433" w:rsidRPr="00193921">
        <w:rPr>
          <w:rFonts w:ascii="Times New Roman" w:hAnsi="Times New Roman" w:cs="Times New Roman"/>
          <w:sz w:val="28"/>
          <w:szCs w:val="28"/>
        </w:rPr>
        <w:t xml:space="preserve"> </w:t>
      </w:r>
      <w:r w:rsidR="00DC7DC3" w:rsidRPr="00193921">
        <w:rPr>
          <w:rFonts w:ascii="Times New Roman" w:hAnsi="Times New Roman" w:cs="Times New Roman"/>
          <w:sz w:val="28"/>
          <w:szCs w:val="28"/>
        </w:rPr>
        <w:t>However,</w:t>
      </w:r>
      <w:r w:rsidRPr="00193921">
        <w:rPr>
          <w:rFonts w:ascii="Times New Roman" w:hAnsi="Times New Roman" w:cs="Times New Roman"/>
          <w:sz w:val="28"/>
          <w:szCs w:val="28"/>
        </w:rPr>
        <w:t xml:space="preserve"> the SARS-CoV-2 virus can be readily grown in them. The COVID-19 pandemic </w:t>
      </w:r>
      <w:r w:rsidR="007F5935">
        <w:rPr>
          <w:rFonts w:ascii="Times New Roman" w:hAnsi="Times New Roman" w:cs="Times New Roman"/>
          <w:sz w:val="28"/>
          <w:szCs w:val="28"/>
        </w:rPr>
        <w:t>posed enormous global challenges to national healthcare systems (NHCs</w:t>
      </w:r>
      <w:r w:rsidRPr="00193921">
        <w:rPr>
          <w:rFonts w:ascii="Times New Roman" w:hAnsi="Times New Roman" w:cs="Times New Roman"/>
          <w:sz w:val="28"/>
          <w:szCs w:val="28"/>
        </w:rPr>
        <w:t xml:space="preserve">). The initial response to the spread of such an epidemic </w:t>
      </w:r>
      <w:r w:rsidR="002E323F">
        <w:rPr>
          <w:rFonts w:ascii="Times New Roman" w:hAnsi="Times New Roman" w:cs="Times New Roman"/>
          <w:sz w:val="28"/>
          <w:szCs w:val="28"/>
        </w:rPr>
        <w:t xml:space="preserve">focused on treating infected patients to achieve </w:t>
      </w:r>
      <w:r w:rsidRPr="00193921">
        <w:rPr>
          <w:rFonts w:ascii="Times New Roman" w:hAnsi="Times New Roman" w:cs="Times New Roman"/>
          <w:sz w:val="28"/>
          <w:szCs w:val="28"/>
        </w:rPr>
        <w:t>clinical effect</w:t>
      </w:r>
      <w:r w:rsidR="00E20FE0" w:rsidRPr="00193921">
        <w:rPr>
          <w:rFonts w:ascii="Times New Roman" w:hAnsi="Times New Roman" w:cs="Times New Roman"/>
          <w:sz w:val="28"/>
          <w:szCs w:val="28"/>
        </w:rPr>
        <w:t xml:space="preserve"> [35-39]</w:t>
      </w:r>
      <w:r w:rsidRPr="00193921">
        <w:rPr>
          <w:rFonts w:ascii="Times New Roman" w:hAnsi="Times New Roman" w:cs="Times New Roman"/>
          <w:sz w:val="28"/>
          <w:szCs w:val="28"/>
        </w:rPr>
        <w:t xml:space="preserve">. </w:t>
      </w:r>
    </w:p>
    <w:p w14:paraId="34D0F840" w14:textId="0645839C" w:rsidR="00193921" w:rsidRDefault="00B35433" w:rsidP="0057791A">
      <w:pPr>
        <w:spacing w:after="0" w:line="240" w:lineRule="auto"/>
        <w:ind w:firstLine="708"/>
        <w:jc w:val="both"/>
        <w:rPr>
          <w:rFonts w:ascii="Times New Roman" w:hAnsi="Times New Roman" w:cs="Times New Roman"/>
          <w:sz w:val="28"/>
          <w:szCs w:val="28"/>
        </w:rPr>
      </w:pPr>
      <w:r w:rsidRPr="00193921">
        <w:rPr>
          <w:rFonts w:ascii="Times New Roman" w:hAnsi="Times New Roman" w:cs="Times New Roman"/>
          <w:sz w:val="28"/>
          <w:szCs w:val="28"/>
        </w:rPr>
        <w:t>People around the globe stormed pharmacies to obtain paracetamol, which is effective against fever; others claimed anti-flu drugs, hoping to experience their therapeutic effects, and some even bought out antibiotics, considering that they would also be beneficial. COVID-19 is a single-stranded positive-sense RNA (+) (ssRNA) coronavirus that attaches to the host cell receptor, ACE2, via the spike glycoprotein in combination with surface protease TMPRSS2. This virus relies heavily on replicase targets, including RNA-dependent</w:t>
      </w:r>
      <w:r w:rsidR="007F5935">
        <w:rPr>
          <w:rFonts w:ascii="Times New Roman" w:hAnsi="Times New Roman" w:cs="Times New Roman"/>
          <w:sz w:val="28"/>
          <w:szCs w:val="28"/>
        </w:rPr>
        <w:t xml:space="preserve"> RNA polymerase, as shown in</w:t>
      </w:r>
      <w:r w:rsidRPr="00193921">
        <w:rPr>
          <w:rFonts w:ascii="Times New Roman" w:hAnsi="Times New Roman" w:cs="Times New Roman"/>
          <w:sz w:val="28"/>
          <w:szCs w:val="28"/>
        </w:rPr>
        <w:t xml:space="preserve"> Figure 2 [40-49].</w:t>
      </w:r>
    </w:p>
    <w:p w14:paraId="4C9BEC0C" w14:textId="77777777" w:rsidR="0057791A" w:rsidRPr="00193921" w:rsidRDefault="0057791A" w:rsidP="0057791A">
      <w:pPr>
        <w:spacing w:after="0" w:line="240" w:lineRule="auto"/>
        <w:ind w:firstLine="708"/>
        <w:jc w:val="both"/>
        <w:rPr>
          <w:rFonts w:ascii="Times New Roman" w:hAnsi="Times New Roman" w:cs="Times New Roman"/>
          <w:sz w:val="28"/>
          <w:szCs w:val="28"/>
        </w:rPr>
      </w:pPr>
    </w:p>
    <w:p w14:paraId="5CB1053C" w14:textId="64E83A44" w:rsidR="00F804E0" w:rsidRPr="00F804E0" w:rsidRDefault="00F804E0" w:rsidP="006965A4">
      <w:pPr>
        <w:spacing w:after="0" w:line="360" w:lineRule="auto"/>
        <w:ind w:firstLine="709"/>
        <w:jc w:val="center"/>
        <w:rPr>
          <w:rFonts w:ascii="Times New Roman" w:hAnsi="Times New Roman" w:cs="Times New Roman"/>
          <w:sz w:val="24"/>
          <w:szCs w:val="24"/>
          <w:lang w:val="ru-RU"/>
        </w:rPr>
      </w:pPr>
      <w:r w:rsidRPr="00F804E0">
        <w:rPr>
          <w:rFonts w:ascii="Times New Roman" w:hAnsi="Times New Roman" w:cs="Times New Roman"/>
          <w:noProof/>
          <w:sz w:val="24"/>
          <w:szCs w:val="24"/>
          <w:lang w:val="ru-RU"/>
        </w:rPr>
        <w:drawing>
          <wp:inline distT="0" distB="0" distL="0" distR="0" wp14:anchorId="40DF9702" wp14:editId="16DE06BA">
            <wp:extent cx="4562475" cy="3041650"/>
            <wp:effectExtent l="0" t="0" r="9525" b="6350"/>
            <wp:docPr id="42272516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72896" cy="3048597"/>
                    </a:xfrm>
                    <a:prstGeom prst="rect">
                      <a:avLst/>
                    </a:prstGeom>
                    <a:noFill/>
                    <a:ln>
                      <a:noFill/>
                    </a:ln>
                  </pic:spPr>
                </pic:pic>
              </a:graphicData>
            </a:graphic>
          </wp:inline>
        </w:drawing>
      </w:r>
    </w:p>
    <w:p w14:paraId="01B54F04" w14:textId="24F25090" w:rsidR="00193921" w:rsidRPr="00B75453" w:rsidRDefault="00683391" w:rsidP="00265920">
      <w:pPr>
        <w:spacing w:after="0" w:line="360" w:lineRule="auto"/>
        <w:ind w:firstLine="709"/>
        <w:jc w:val="center"/>
        <w:rPr>
          <w:rFonts w:ascii="Times New Roman" w:hAnsi="Times New Roman" w:cs="Times New Roman"/>
          <w:sz w:val="28"/>
          <w:szCs w:val="28"/>
          <w:lang w:val="en-US"/>
        </w:rPr>
      </w:pPr>
      <w:r w:rsidRPr="00FD2E80">
        <w:rPr>
          <w:rFonts w:ascii="Times New Roman" w:hAnsi="Times New Roman" w:cs="Times New Roman"/>
          <w:sz w:val="28"/>
          <w:szCs w:val="28"/>
        </w:rPr>
        <w:t>Figure 2 — Structure of the SARS-CoV-2 spike (S) protein</w:t>
      </w:r>
    </w:p>
    <w:p w14:paraId="2350AD7B" w14:textId="77777777" w:rsidR="00265920" w:rsidRPr="00B75453" w:rsidRDefault="00265920" w:rsidP="00265920">
      <w:pPr>
        <w:spacing w:after="0" w:line="360" w:lineRule="auto"/>
        <w:ind w:firstLine="709"/>
        <w:jc w:val="center"/>
        <w:rPr>
          <w:rFonts w:ascii="Times New Roman" w:hAnsi="Times New Roman" w:cs="Times New Roman"/>
          <w:sz w:val="24"/>
          <w:szCs w:val="24"/>
          <w:lang w:val="en-US"/>
        </w:rPr>
      </w:pPr>
    </w:p>
    <w:p w14:paraId="0B8FC311" w14:textId="70213C1D" w:rsidR="00FD2E80" w:rsidRDefault="00683391" w:rsidP="00454AEC">
      <w:pPr>
        <w:spacing w:after="0" w:line="240" w:lineRule="auto"/>
        <w:ind w:firstLine="709"/>
        <w:jc w:val="both"/>
        <w:rPr>
          <w:rFonts w:ascii="Times New Roman" w:hAnsi="Times New Roman" w:cs="Times New Roman"/>
          <w:sz w:val="28"/>
          <w:szCs w:val="28"/>
        </w:rPr>
      </w:pPr>
      <w:r w:rsidRPr="00F4472C">
        <w:rPr>
          <w:rFonts w:ascii="Times New Roman" w:hAnsi="Times New Roman" w:cs="Times New Roman"/>
          <w:sz w:val="28"/>
          <w:szCs w:val="28"/>
        </w:rPr>
        <w:t xml:space="preserve">A schematic representation of the SARS-CoV-2 spike (S) glycoprotein. The protein is composed of several functional domains, each indicated by a distinct colour. The signal sequence (SS) precedes the N-terminal domain (NTD), receptor-binding domain (RBD), subdomains 1 and 2 (SD1, SD2), fusion peptide (FP), heptad repeats (HR1, HR2), central helix (CH), connection domain (CD), transmembrane domain </w:t>
      </w:r>
      <w:r w:rsidRPr="00F4472C">
        <w:rPr>
          <w:rFonts w:ascii="Times New Roman" w:hAnsi="Times New Roman" w:cs="Times New Roman"/>
          <w:sz w:val="28"/>
          <w:szCs w:val="28"/>
        </w:rPr>
        <w:lastRenderedPageBreak/>
        <w:t>(TM), and cytoplasmic tail (CT).</w:t>
      </w:r>
      <w:r w:rsidR="00454AEC" w:rsidRPr="00454AEC">
        <w:rPr>
          <w:rFonts w:ascii="Times New Roman" w:hAnsi="Times New Roman" w:cs="Times New Roman"/>
          <w:sz w:val="28"/>
          <w:szCs w:val="28"/>
          <w:lang w:val="en-US"/>
        </w:rPr>
        <w:t xml:space="preserve"> </w:t>
      </w:r>
      <w:r w:rsidRPr="00F4472C">
        <w:rPr>
          <w:rFonts w:ascii="Times New Roman" w:hAnsi="Times New Roman" w:cs="Times New Roman"/>
          <w:sz w:val="28"/>
          <w:szCs w:val="28"/>
        </w:rPr>
        <w:t>Arrows indicate protease cleavage sites S1/S2 and S2′. These cleavage events are required for activation of the fusion mechanism that enables viral entry into the host cell.</w:t>
      </w:r>
      <w:r w:rsidR="00FD2E80">
        <w:rPr>
          <w:rFonts w:ascii="Times New Roman" w:hAnsi="Times New Roman" w:cs="Times New Roman"/>
          <w:sz w:val="28"/>
          <w:szCs w:val="28"/>
        </w:rPr>
        <w:t xml:space="preserve"> </w:t>
      </w:r>
      <w:r w:rsidR="00853685" w:rsidRPr="00F4472C">
        <w:rPr>
          <w:rFonts w:ascii="Times New Roman" w:hAnsi="Times New Roman" w:cs="Times New Roman"/>
          <w:sz w:val="28"/>
          <w:szCs w:val="28"/>
        </w:rPr>
        <w:t>RNA polymerase (</w:t>
      </w:r>
      <w:r w:rsidR="00830289" w:rsidRPr="00F4472C">
        <w:rPr>
          <w:rFonts w:ascii="Times New Roman" w:hAnsi="Times New Roman" w:cs="Times New Roman"/>
          <w:sz w:val="28"/>
          <w:szCs w:val="28"/>
        </w:rPr>
        <w:t>RdRP</w:t>
      </w:r>
      <w:r w:rsidR="00853685" w:rsidRPr="00F4472C">
        <w:rPr>
          <w:rFonts w:ascii="Times New Roman" w:hAnsi="Times New Roman" w:cs="Times New Roman"/>
          <w:sz w:val="28"/>
          <w:szCs w:val="28"/>
        </w:rPr>
        <w:t xml:space="preserve">), Helicase, Exonuclease, and Endoribonuclease. None of those mentioned above claimed </w:t>
      </w:r>
      <w:r w:rsidR="004E25A8" w:rsidRPr="00F4472C">
        <w:rPr>
          <w:rFonts w:ascii="Times New Roman" w:hAnsi="Times New Roman" w:cs="Times New Roman"/>
          <w:sz w:val="28"/>
          <w:szCs w:val="28"/>
        </w:rPr>
        <w:t xml:space="preserve">that </w:t>
      </w:r>
      <w:r w:rsidR="00853685" w:rsidRPr="00F4472C">
        <w:rPr>
          <w:rFonts w:ascii="Times New Roman" w:hAnsi="Times New Roman" w:cs="Times New Roman"/>
          <w:sz w:val="28"/>
          <w:szCs w:val="28"/>
        </w:rPr>
        <w:t xml:space="preserve">drugs could handle the </w:t>
      </w:r>
      <w:r w:rsidR="00126E58">
        <w:rPr>
          <w:rFonts w:ascii="Times New Roman" w:hAnsi="Times New Roman" w:cs="Times New Roman"/>
          <w:sz w:val="28"/>
          <w:szCs w:val="28"/>
        </w:rPr>
        <w:t>rapidly increasing</w:t>
      </w:r>
      <w:r w:rsidR="00853685" w:rsidRPr="00F4472C">
        <w:rPr>
          <w:rFonts w:ascii="Times New Roman" w:hAnsi="Times New Roman" w:cs="Times New Roman"/>
          <w:sz w:val="28"/>
          <w:szCs w:val="28"/>
        </w:rPr>
        <w:t xml:space="preserve"> viral load and could bring </w:t>
      </w:r>
      <w:r w:rsidR="00FD2E80">
        <w:rPr>
          <w:rFonts w:ascii="Times New Roman" w:hAnsi="Times New Roman" w:cs="Times New Roman"/>
          <w:sz w:val="28"/>
          <w:szCs w:val="28"/>
        </w:rPr>
        <w:t>either therapeutic or</w:t>
      </w:r>
      <w:r w:rsidR="00853685" w:rsidRPr="00F4472C">
        <w:rPr>
          <w:rFonts w:ascii="Times New Roman" w:hAnsi="Times New Roman" w:cs="Times New Roman"/>
          <w:sz w:val="28"/>
          <w:szCs w:val="28"/>
        </w:rPr>
        <w:t xml:space="preserve"> prophylactic (preventive) effects. Since then, scientists worldwide have launched a </w:t>
      </w:r>
      <w:r w:rsidR="00F90267" w:rsidRPr="00F4472C">
        <w:rPr>
          <w:rFonts w:ascii="Times New Roman" w:hAnsi="Times New Roman" w:cs="Times New Roman"/>
          <w:sz w:val="28"/>
          <w:szCs w:val="28"/>
        </w:rPr>
        <w:t xml:space="preserve">global effort to identify the most effective </w:t>
      </w:r>
      <w:r w:rsidR="00E20FE0" w:rsidRPr="00F4472C">
        <w:rPr>
          <w:rFonts w:ascii="Times New Roman" w:hAnsi="Times New Roman" w:cs="Times New Roman"/>
          <w:sz w:val="28"/>
          <w:szCs w:val="28"/>
        </w:rPr>
        <w:t xml:space="preserve">drugs against viral infections with replication-inhibiting properties that can alleviate </w:t>
      </w:r>
      <w:r w:rsidR="00F90267" w:rsidRPr="00F4472C">
        <w:rPr>
          <w:rFonts w:ascii="Times New Roman" w:hAnsi="Times New Roman" w:cs="Times New Roman"/>
          <w:sz w:val="28"/>
          <w:szCs w:val="28"/>
        </w:rPr>
        <w:t>patients' symptoms</w:t>
      </w:r>
      <w:r w:rsidR="00853685" w:rsidRPr="00F4472C">
        <w:rPr>
          <w:rFonts w:ascii="Times New Roman" w:hAnsi="Times New Roman" w:cs="Times New Roman"/>
          <w:sz w:val="28"/>
          <w:szCs w:val="28"/>
        </w:rPr>
        <w:t xml:space="preserve">. </w:t>
      </w:r>
      <w:r w:rsidR="007F5935">
        <w:rPr>
          <w:rFonts w:ascii="Times New Roman" w:hAnsi="Times New Roman" w:cs="Times New Roman"/>
          <w:sz w:val="28"/>
          <w:szCs w:val="28"/>
        </w:rPr>
        <w:t xml:space="preserve">Viral infections are complicated to fight without harming </w:t>
      </w:r>
      <w:r w:rsidR="00853685" w:rsidRPr="00F4472C">
        <w:rPr>
          <w:rFonts w:ascii="Times New Roman" w:hAnsi="Times New Roman" w:cs="Times New Roman"/>
          <w:sz w:val="28"/>
          <w:szCs w:val="28"/>
        </w:rPr>
        <w:t xml:space="preserve">host cells because the viral genome </w:t>
      </w:r>
      <w:r w:rsidR="00F90267" w:rsidRPr="00F4472C">
        <w:rPr>
          <w:rFonts w:ascii="Times New Roman" w:hAnsi="Times New Roman" w:cs="Times New Roman"/>
          <w:sz w:val="28"/>
          <w:szCs w:val="28"/>
        </w:rPr>
        <w:t xml:space="preserve">utilises the host cell's </w:t>
      </w:r>
      <w:r w:rsidR="00853685" w:rsidRPr="00F4472C">
        <w:rPr>
          <w:rFonts w:ascii="Times New Roman" w:hAnsi="Times New Roman" w:cs="Times New Roman"/>
          <w:sz w:val="28"/>
          <w:szCs w:val="28"/>
        </w:rPr>
        <w:t>machinery to replicate and assemble into new copies</w:t>
      </w:r>
      <w:r w:rsidR="00541989">
        <w:rPr>
          <w:rFonts w:ascii="Times New Roman" w:hAnsi="Times New Roman" w:cs="Times New Roman"/>
          <w:sz w:val="28"/>
          <w:szCs w:val="28"/>
        </w:rPr>
        <w:t xml:space="preserve"> </w:t>
      </w:r>
      <w:r w:rsidR="00541989" w:rsidRPr="00F4472C">
        <w:rPr>
          <w:rFonts w:ascii="Times New Roman" w:hAnsi="Times New Roman" w:cs="Times New Roman"/>
          <w:sz w:val="28"/>
          <w:szCs w:val="28"/>
        </w:rPr>
        <w:t>[32,40-48]</w:t>
      </w:r>
      <w:r w:rsidR="00853685" w:rsidRPr="00F4472C">
        <w:rPr>
          <w:rFonts w:ascii="Times New Roman" w:hAnsi="Times New Roman" w:cs="Times New Roman"/>
          <w:sz w:val="28"/>
          <w:szCs w:val="28"/>
        </w:rPr>
        <w:t xml:space="preserve">. </w:t>
      </w:r>
    </w:p>
    <w:p w14:paraId="08572B87" w14:textId="58803423" w:rsidR="00C74EF1" w:rsidRPr="00B75453" w:rsidRDefault="00853685" w:rsidP="00454AEC">
      <w:pPr>
        <w:spacing w:after="0" w:line="240" w:lineRule="auto"/>
        <w:ind w:firstLine="709"/>
        <w:jc w:val="both"/>
        <w:rPr>
          <w:rFonts w:ascii="Times New Roman" w:hAnsi="Times New Roman" w:cs="Times New Roman"/>
          <w:sz w:val="28"/>
          <w:szCs w:val="28"/>
          <w:lang w:val="en-US"/>
        </w:rPr>
      </w:pPr>
      <w:r w:rsidRPr="00F4472C">
        <w:rPr>
          <w:rFonts w:ascii="Times New Roman" w:hAnsi="Times New Roman" w:cs="Times New Roman"/>
          <w:sz w:val="28"/>
          <w:szCs w:val="28"/>
        </w:rPr>
        <w:t xml:space="preserve">The viral load is entirely dependent on the assembly rates. For example, in </w:t>
      </w:r>
      <w:r w:rsidR="00F90267" w:rsidRPr="00F4472C">
        <w:rPr>
          <w:rFonts w:ascii="Times New Roman" w:hAnsi="Times New Roman" w:cs="Times New Roman"/>
          <w:sz w:val="28"/>
          <w:szCs w:val="28"/>
        </w:rPr>
        <w:t>the case of COVID-19, a single infected host cell can produce over 10,000 new coronaviruses before</w:t>
      </w:r>
      <w:r w:rsidRPr="00F4472C">
        <w:rPr>
          <w:rFonts w:ascii="Times New Roman" w:hAnsi="Times New Roman" w:cs="Times New Roman"/>
          <w:sz w:val="28"/>
          <w:szCs w:val="28"/>
        </w:rPr>
        <w:t xml:space="preserve"> the cell bursts.</w:t>
      </w:r>
      <w:r w:rsidR="00ED520B" w:rsidRPr="00F4472C">
        <w:rPr>
          <w:rFonts w:ascii="Times New Roman" w:hAnsi="Times New Roman" w:cs="Times New Roman"/>
          <w:sz w:val="28"/>
          <w:szCs w:val="28"/>
        </w:rPr>
        <w:t xml:space="preserve"> </w:t>
      </w:r>
      <w:r w:rsidRPr="00F4472C">
        <w:rPr>
          <w:rFonts w:ascii="Times New Roman" w:hAnsi="Times New Roman" w:cs="Times New Roman"/>
          <w:sz w:val="28"/>
          <w:szCs w:val="28"/>
        </w:rPr>
        <w:t xml:space="preserve">To sum up, </w:t>
      </w:r>
      <w:r w:rsidR="00F90267" w:rsidRPr="00F4472C">
        <w:rPr>
          <w:rFonts w:ascii="Times New Roman" w:hAnsi="Times New Roman" w:cs="Times New Roman"/>
          <w:sz w:val="28"/>
          <w:szCs w:val="28"/>
        </w:rPr>
        <w:t xml:space="preserve">understanding how effectively to fight and treat viral infections requires grasping the viral life cycle, which involves several stages, including attachment to the host </w:t>
      </w:r>
      <w:r w:rsidRPr="00F4472C">
        <w:rPr>
          <w:rFonts w:ascii="Times New Roman" w:hAnsi="Times New Roman" w:cs="Times New Roman"/>
          <w:sz w:val="28"/>
          <w:szCs w:val="28"/>
        </w:rPr>
        <w:t>cell receptor. Most animal-specific viruses have an additional lipid membrane</w:t>
      </w:r>
      <w:r w:rsidR="00F90267" w:rsidRPr="00F4472C">
        <w:rPr>
          <w:rFonts w:ascii="Times New Roman" w:hAnsi="Times New Roman" w:cs="Times New Roman"/>
          <w:sz w:val="28"/>
          <w:szCs w:val="28"/>
        </w:rPr>
        <w:t xml:space="preserve">, </w:t>
      </w:r>
      <w:r w:rsidR="00E20FE0" w:rsidRPr="00F4472C">
        <w:rPr>
          <w:rFonts w:ascii="Times New Roman" w:hAnsi="Times New Roman" w:cs="Times New Roman"/>
          <w:sz w:val="28"/>
          <w:szCs w:val="28"/>
        </w:rPr>
        <w:t>known as an envelope, with protein spikes that facilitate attachment</w:t>
      </w:r>
      <w:r w:rsidR="00F90267" w:rsidRPr="00F4472C">
        <w:rPr>
          <w:rFonts w:ascii="Times New Roman" w:hAnsi="Times New Roman" w:cs="Times New Roman"/>
          <w:sz w:val="28"/>
          <w:szCs w:val="28"/>
        </w:rPr>
        <w:t xml:space="preserve"> to a target cell. In the</w:t>
      </w:r>
      <w:r w:rsidR="00E20FE0" w:rsidRPr="00F4472C">
        <w:rPr>
          <w:rFonts w:ascii="Times New Roman" w:hAnsi="Times New Roman" w:cs="Times New Roman"/>
          <w:sz w:val="28"/>
          <w:szCs w:val="28"/>
        </w:rPr>
        <w:t xml:space="preserve"> case of SARS-CoV-2, these spikes are part of the structural protein’s </w:t>
      </w:r>
      <w:r w:rsidR="00541989" w:rsidRPr="00F4472C">
        <w:rPr>
          <w:rFonts w:ascii="Times New Roman" w:hAnsi="Times New Roman" w:cs="Times New Roman"/>
          <w:sz w:val="28"/>
          <w:szCs w:val="28"/>
        </w:rPr>
        <w:t>composition.</w:t>
      </w:r>
      <w:r w:rsidRPr="00F4472C">
        <w:rPr>
          <w:rFonts w:ascii="Times New Roman" w:hAnsi="Times New Roman" w:cs="Times New Roman"/>
          <w:sz w:val="28"/>
          <w:szCs w:val="28"/>
        </w:rPr>
        <w:t xml:space="preserve"> </w:t>
      </w:r>
    </w:p>
    <w:p w14:paraId="471B30A6" w14:textId="77777777" w:rsidR="00454AEC" w:rsidRPr="00B75453" w:rsidRDefault="00454AEC" w:rsidP="00454AEC">
      <w:pPr>
        <w:spacing w:after="0" w:line="240" w:lineRule="auto"/>
        <w:ind w:firstLine="709"/>
        <w:jc w:val="both"/>
        <w:rPr>
          <w:rFonts w:ascii="Times New Roman" w:hAnsi="Times New Roman" w:cs="Times New Roman"/>
          <w:sz w:val="28"/>
          <w:szCs w:val="28"/>
          <w:lang w:val="en-US"/>
        </w:rPr>
      </w:pPr>
    </w:p>
    <w:p w14:paraId="4CCD24EA" w14:textId="6B60B8E8" w:rsidR="00F4472C" w:rsidRPr="00B65D8E" w:rsidRDefault="00832447" w:rsidP="00B65D8E">
      <w:pPr>
        <w:pStyle w:val="af1"/>
        <w:numPr>
          <w:ilvl w:val="1"/>
          <w:numId w:val="76"/>
        </w:numPr>
        <w:spacing w:after="0" w:line="240" w:lineRule="auto"/>
        <w:ind w:hanging="27"/>
        <w:jc w:val="both"/>
        <w:rPr>
          <w:rFonts w:ascii="Times New Roman" w:hAnsi="Times New Roman" w:cs="Times New Roman"/>
          <w:b/>
          <w:bCs/>
          <w:sz w:val="28"/>
          <w:szCs w:val="28"/>
        </w:rPr>
      </w:pPr>
      <w:r w:rsidRPr="00B65D8E">
        <w:rPr>
          <w:rFonts w:ascii="Times New Roman" w:hAnsi="Times New Roman" w:cs="Times New Roman"/>
          <w:b/>
          <w:bCs/>
          <w:sz w:val="28"/>
          <w:szCs w:val="28"/>
        </w:rPr>
        <w:t xml:space="preserve">Antiviral drugs against SARS-CoV-2 </w:t>
      </w:r>
    </w:p>
    <w:p w14:paraId="464FAF7E" w14:textId="582D375E" w:rsidR="007B4DD0" w:rsidRPr="003A0C5A" w:rsidRDefault="005D4FCE" w:rsidP="00273CCD">
      <w:pPr>
        <w:spacing w:after="0" w:line="240" w:lineRule="auto"/>
        <w:ind w:firstLine="708"/>
        <w:jc w:val="both"/>
        <w:rPr>
          <w:rFonts w:ascii="Times New Roman" w:hAnsi="Times New Roman" w:cs="Times New Roman"/>
          <w:sz w:val="28"/>
          <w:szCs w:val="28"/>
        </w:rPr>
      </w:pPr>
      <w:r w:rsidRPr="003A0C5A">
        <w:rPr>
          <w:rFonts w:ascii="Times New Roman" w:hAnsi="Times New Roman" w:cs="Times New Roman"/>
          <w:sz w:val="28"/>
          <w:szCs w:val="28"/>
        </w:rPr>
        <w:t xml:space="preserve">In the last 60 years of development, most antiviral drugs were designed for long-term infection; only 43 antiviral drugs are against HIV alone, which has not satisfied the trend for the last several decades. </w:t>
      </w:r>
      <w:r w:rsidR="00206F99" w:rsidRPr="003A0C5A">
        <w:rPr>
          <w:rFonts w:ascii="Times New Roman" w:hAnsi="Times New Roman" w:cs="Times New Roman"/>
          <w:sz w:val="28"/>
          <w:szCs w:val="28"/>
        </w:rPr>
        <w:t>Additionally, 75 antiviral drugs target the viral molecular machinery</w:t>
      </w:r>
      <w:r w:rsidR="00454AEC">
        <w:rPr>
          <w:rFonts w:ascii="Times New Roman" w:hAnsi="Times New Roman" w:cs="Times New Roman"/>
          <w:sz w:val="28"/>
          <w:szCs w:val="28"/>
        </w:rPr>
        <w:t>—specifically proteins</w:t>
      </w:r>
      <w:r w:rsidR="00BA5A84">
        <w:rPr>
          <w:rFonts w:ascii="Times New Roman" w:hAnsi="Times New Roman" w:cs="Times New Roman"/>
          <w:sz w:val="28"/>
          <w:szCs w:val="28"/>
        </w:rPr>
        <w:t>—</w:t>
      </w:r>
      <w:r w:rsidR="00206F99" w:rsidRPr="003A0C5A">
        <w:rPr>
          <w:rFonts w:ascii="Times New Roman" w:hAnsi="Times New Roman" w:cs="Times New Roman"/>
          <w:sz w:val="28"/>
          <w:szCs w:val="28"/>
        </w:rPr>
        <w:t>while 13 target</w:t>
      </w:r>
      <w:r w:rsidRPr="003A0C5A">
        <w:rPr>
          <w:rFonts w:ascii="Times New Roman" w:hAnsi="Times New Roman" w:cs="Times New Roman"/>
          <w:sz w:val="28"/>
          <w:szCs w:val="28"/>
        </w:rPr>
        <w:t xml:space="preserve"> host proteins. It would probably make more sense if antiviral drugs targeted host proteins</w:t>
      </w:r>
      <w:r w:rsidR="00206F99" w:rsidRPr="003A0C5A">
        <w:rPr>
          <w:rFonts w:ascii="Times New Roman" w:hAnsi="Times New Roman" w:cs="Times New Roman"/>
          <w:sz w:val="28"/>
          <w:szCs w:val="28"/>
        </w:rPr>
        <w:t xml:space="preserve">, </w:t>
      </w:r>
      <w:r w:rsidR="00BA5A84">
        <w:rPr>
          <w:rFonts w:ascii="Times New Roman" w:hAnsi="Times New Roman" w:cs="Times New Roman"/>
          <w:sz w:val="28"/>
          <w:szCs w:val="28"/>
        </w:rPr>
        <w:t>since it is harder to develop resistance against host DNA, which has</w:t>
      </w:r>
      <w:r w:rsidRPr="003A0C5A">
        <w:rPr>
          <w:rFonts w:ascii="Times New Roman" w:hAnsi="Times New Roman" w:cs="Times New Roman"/>
          <w:sz w:val="28"/>
          <w:szCs w:val="28"/>
        </w:rPr>
        <w:t xml:space="preserve"> lower mutation rates. We are witnessing </w:t>
      </w:r>
      <w:r w:rsidR="00206F99" w:rsidRPr="003A0C5A">
        <w:rPr>
          <w:rFonts w:ascii="Times New Roman" w:hAnsi="Times New Roman" w:cs="Times New Roman"/>
          <w:sz w:val="28"/>
          <w:szCs w:val="28"/>
        </w:rPr>
        <w:t>a shortage of effective antiviral drugs for several</w:t>
      </w:r>
      <w:r w:rsidRPr="003A0C5A">
        <w:rPr>
          <w:rFonts w:ascii="Times New Roman" w:hAnsi="Times New Roman" w:cs="Times New Roman"/>
          <w:sz w:val="28"/>
          <w:szCs w:val="28"/>
        </w:rPr>
        <w:t xml:space="preserve"> reasons. </w:t>
      </w:r>
      <w:r w:rsidR="00444EF1" w:rsidRPr="003A0C5A">
        <w:rPr>
          <w:rFonts w:ascii="Times New Roman" w:hAnsi="Times New Roman" w:cs="Times New Roman"/>
          <w:sz w:val="28"/>
          <w:szCs w:val="28"/>
        </w:rPr>
        <w:t>Host factors could be another angle. Some antivirals</w:t>
      </w:r>
      <w:r w:rsidR="00F90267" w:rsidRPr="003A0C5A">
        <w:rPr>
          <w:rFonts w:ascii="Times New Roman" w:hAnsi="Times New Roman" w:cs="Times New Roman"/>
          <w:sz w:val="28"/>
          <w:szCs w:val="28"/>
        </w:rPr>
        <w:t>, such as interferons, enhance the immune response</w:t>
      </w:r>
      <w:r w:rsidR="00444EF1" w:rsidRPr="003A0C5A">
        <w:rPr>
          <w:rFonts w:ascii="Times New Roman" w:hAnsi="Times New Roman" w:cs="Times New Roman"/>
          <w:sz w:val="28"/>
          <w:szCs w:val="28"/>
        </w:rPr>
        <w:t>. But many are direct-acting</w:t>
      </w:r>
      <w:r w:rsidR="00923A06" w:rsidRPr="003A0C5A">
        <w:rPr>
          <w:rFonts w:ascii="Times New Roman" w:hAnsi="Times New Roman" w:cs="Times New Roman"/>
          <w:sz w:val="28"/>
          <w:szCs w:val="28"/>
        </w:rPr>
        <w:t xml:space="preserve"> [4</w:t>
      </w:r>
      <w:r w:rsidR="007B4DD0" w:rsidRPr="003A0C5A">
        <w:rPr>
          <w:rFonts w:ascii="Times New Roman" w:hAnsi="Times New Roman" w:cs="Times New Roman"/>
          <w:sz w:val="28"/>
          <w:szCs w:val="28"/>
        </w:rPr>
        <w:t>0</w:t>
      </w:r>
      <w:r w:rsidR="00923A06" w:rsidRPr="003A0C5A">
        <w:rPr>
          <w:rFonts w:ascii="Times New Roman" w:hAnsi="Times New Roman" w:cs="Times New Roman"/>
          <w:sz w:val="28"/>
          <w:szCs w:val="28"/>
        </w:rPr>
        <w:t>-44, 46]</w:t>
      </w:r>
      <w:r w:rsidR="00444EF1" w:rsidRPr="003A0C5A">
        <w:rPr>
          <w:rFonts w:ascii="Times New Roman" w:hAnsi="Times New Roman" w:cs="Times New Roman"/>
          <w:sz w:val="28"/>
          <w:szCs w:val="28"/>
        </w:rPr>
        <w:t xml:space="preserve">. The challenge is </w:t>
      </w:r>
      <w:r w:rsidR="00206F99" w:rsidRPr="003A0C5A">
        <w:rPr>
          <w:rFonts w:ascii="Times New Roman" w:hAnsi="Times New Roman" w:cs="Times New Roman"/>
          <w:sz w:val="28"/>
          <w:szCs w:val="28"/>
        </w:rPr>
        <w:t>to ensure that</w:t>
      </w:r>
      <w:r w:rsidR="00444EF1" w:rsidRPr="003A0C5A">
        <w:rPr>
          <w:rFonts w:ascii="Times New Roman" w:hAnsi="Times New Roman" w:cs="Times New Roman"/>
          <w:sz w:val="28"/>
          <w:szCs w:val="28"/>
        </w:rPr>
        <w:t xml:space="preserve"> the drug affects only the virus. For instance, nucleoside </w:t>
      </w:r>
      <w:r w:rsidR="00DA2F40" w:rsidRPr="003A0C5A">
        <w:rPr>
          <w:rFonts w:ascii="Times New Roman" w:hAnsi="Times New Roman" w:cs="Times New Roman"/>
          <w:sz w:val="28"/>
          <w:szCs w:val="28"/>
        </w:rPr>
        <w:t>analogues</w:t>
      </w:r>
      <w:r w:rsidR="00444EF1" w:rsidRPr="003A0C5A">
        <w:rPr>
          <w:rFonts w:ascii="Times New Roman" w:hAnsi="Times New Roman" w:cs="Times New Roman"/>
          <w:sz w:val="28"/>
          <w:szCs w:val="28"/>
        </w:rPr>
        <w:t xml:space="preserve"> </w:t>
      </w:r>
      <w:r w:rsidR="00A41AD0">
        <w:rPr>
          <w:rFonts w:ascii="Times New Roman" w:hAnsi="Times New Roman" w:cs="Times New Roman"/>
          <w:sz w:val="28"/>
          <w:szCs w:val="28"/>
        </w:rPr>
        <w:t>are incorporated into viral DNA, leading to</w:t>
      </w:r>
      <w:r w:rsidR="00444EF1" w:rsidRPr="003A0C5A">
        <w:rPr>
          <w:rFonts w:ascii="Times New Roman" w:hAnsi="Times New Roman" w:cs="Times New Roman"/>
          <w:sz w:val="28"/>
          <w:szCs w:val="28"/>
        </w:rPr>
        <w:t xml:space="preserve"> chain termination. </w:t>
      </w:r>
    </w:p>
    <w:p w14:paraId="3094A6F5" w14:textId="6EE5E6C8" w:rsidR="003D4F4F" w:rsidRPr="003A0C5A" w:rsidRDefault="00444EF1" w:rsidP="003A0C5A">
      <w:pPr>
        <w:spacing w:after="0" w:line="240" w:lineRule="auto"/>
        <w:ind w:firstLine="709"/>
        <w:jc w:val="both"/>
        <w:rPr>
          <w:rFonts w:ascii="Times New Roman" w:hAnsi="Times New Roman" w:cs="Times New Roman"/>
          <w:sz w:val="28"/>
          <w:szCs w:val="28"/>
        </w:rPr>
      </w:pPr>
      <w:r w:rsidRPr="003A0C5A">
        <w:rPr>
          <w:rFonts w:ascii="Times New Roman" w:hAnsi="Times New Roman" w:cs="Times New Roman"/>
          <w:sz w:val="28"/>
          <w:szCs w:val="28"/>
        </w:rPr>
        <w:t xml:space="preserve">However, they might also affect host DNA if not selective enough, leading to side effects. In terms of unique characteristics, </w:t>
      </w:r>
      <w:r w:rsidR="00206F99" w:rsidRPr="003A0C5A">
        <w:rPr>
          <w:rFonts w:ascii="Times New Roman" w:hAnsi="Times New Roman" w:cs="Times New Roman"/>
          <w:sz w:val="28"/>
          <w:szCs w:val="28"/>
        </w:rPr>
        <w:t>key points may include</w:t>
      </w:r>
      <w:r w:rsidRPr="003A0C5A">
        <w:rPr>
          <w:rFonts w:ascii="Times New Roman" w:hAnsi="Times New Roman" w:cs="Times New Roman"/>
          <w:sz w:val="28"/>
          <w:szCs w:val="28"/>
        </w:rPr>
        <w:t xml:space="preserve"> their targeted mechanisms, the challenge of resistance, the narrow spectrum, the need for timely administration, and the complexity of development due to virus-host interactions</w:t>
      </w:r>
      <w:r w:rsidR="00923A06" w:rsidRPr="003A0C5A">
        <w:rPr>
          <w:rFonts w:ascii="Times New Roman" w:hAnsi="Times New Roman" w:cs="Times New Roman"/>
          <w:sz w:val="28"/>
          <w:szCs w:val="28"/>
        </w:rPr>
        <w:t xml:space="preserve"> [40]</w:t>
      </w:r>
      <w:r w:rsidRPr="003A0C5A">
        <w:rPr>
          <w:rFonts w:ascii="Times New Roman" w:hAnsi="Times New Roman" w:cs="Times New Roman"/>
          <w:sz w:val="28"/>
          <w:szCs w:val="28"/>
        </w:rPr>
        <w:t xml:space="preserve">. </w:t>
      </w:r>
      <w:r w:rsidR="00206F99" w:rsidRPr="003A0C5A">
        <w:rPr>
          <w:rFonts w:ascii="Times New Roman" w:hAnsi="Times New Roman" w:cs="Times New Roman"/>
          <w:sz w:val="28"/>
          <w:szCs w:val="28"/>
        </w:rPr>
        <w:t xml:space="preserve">Additionally, combination therapies </w:t>
      </w:r>
      <w:r w:rsidR="00867866" w:rsidRPr="003A0C5A">
        <w:rPr>
          <w:rFonts w:ascii="Times New Roman" w:hAnsi="Times New Roman" w:cs="Times New Roman"/>
          <w:sz w:val="28"/>
          <w:szCs w:val="28"/>
        </w:rPr>
        <w:t xml:space="preserve">are used </w:t>
      </w:r>
      <w:r w:rsidR="00206F99" w:rsidRPr="003A0C5A">
        <w:rPr>
          <w:rFonts w:ascii="Times New Roman" w:hAnsi="Times New Roman" w:cs="Times New Roman"/>
          <w:sz w:val="28"/>
          <w:szCs w:val="28"/>
        </w:rPr>
        <w:t xml:space="preserve">to overcome resistance and their role in managing chronic infections (such as HIV) versus acute infections </w:t>
      </w:r>
      <w:r w:rsidRPr="003A0C5A">
        <w:rPr>
          <w:rFonts w:ascii="Times New Roman" w:hAnsi="Times New Roman" w:cs="Times New Roman"/>
          <w:sz w:val="28"/>
          <w:szCs w:val="28"/>
        </w:rPr>
        <w:t xml:space="preserve">(like influenza). </w:t>
      </w:r>
      <w:r w:rsidR="00206F99" w:rsidRPr="003A0C5A">
        <w:rPr>
          <w:rFonts w:ascii="Times New Roman" w:hAnsi="Times New Roman" w:cs="Times New Roman"/>
          <w:sz w:val="28"/>
          <w:szCs w:val="28"/>
        </w:rPr>
        <w:t xml:space="preserve">Additionally, </w:t>
      </w:r>
      <w:r w:rsidR="00A41AD0">
        <w:rPr>
          <w:rFonts w:ascii="Times New Roman" w:hAnsi="Times New Roman" w:cs="Times New Roman"/>
          <w:sz w:val="28"/>
          <w:szCs w:val="28"/>
        </w:rPr>
        <w:t>because viruses are intracellular parasites, targeting them without harming host cells is challenging</w:t>
      </w:r>
      <w:r w:rsidRPr="003A0C5A">
        <w:rPr>
          <w:rFonts w:ascii="Times New Roman" w:hAnsi="Times New Roman" w:cs="Times New Roman"/>
          <w:sz w:val="28"/>
          <w:szCs w:val="28"/>
        </w:rPr>
        <w:t xml:space="preserve">. Antibiotics can target cell walls or ribosomes, which are different in bacteria. Viruses </w:t>
      </w:r>
      <w:r w:rsidR="00206F99" w:rsidRPr="003A0C5A">
        <w:rPr>
          <w:rFonts w:ascii="Times New Roman" w:hAnsi="Times New Roman" w:cs="Times New Roman"/>
          <w:sz w:val="28"/>
          <w:szCs w:val="28"/>
        </w:rPr>
        <w:t>lack ribosomes, so antivirals must target alternative sites, such as</w:t>
      </w:r>
      <w:r w:rsidRPr="003A0C5A">
        <w:rPr>
          <w:rFonts w:ascii="Times New Roman" w:hAnsi="Times New Roman" w:cs="Times New Roman"/>
          <w:sz w:val="28"/>
          <w:szCs w:val="28"/>
        </w:rPr>
        <w:t xml:space="preserve"> viral polymerases or proteases. Mechanism of action (specific stages), specificity and selectivity, issues with resistance, narrow spectrum, timing of use, combination therapies, and challenges in development. Maybe also mention examples like acyclovir, Tamiflu, HIV drugs, and HCV DAAs.</w:t>
      </w:r>
      <w:r w:rsidR="00206F99" w:rsidRPr="003A0C5A">
        <w:rPr>
          <w:rFonts w:ascii="Times New Roman" w:hAnsi="Times New Roman" w:cs="Times New Roman"/>
          <w:sz w:val="28"/>
          <w:szCs w:val="28"/>
        </w:rPr>
        <w:t xml:space="preserve"> IC₅₀ (Half-Maximal Inhibitory </w:t>
      </w:r>
      <w:r w:rsidR="00206F99" w:rsidRPr="003A0C5A">
        <w:rPr>
          <w:rFonts w:ascii="Times New Roman" w:hAnsi="Times New Roman" w:cs="Times New Roman"/>
          <w:sz w:val="28"/>
          <w:szCs w:val="28"/>
        </w:rPr>
        <w:lastRenderedPageBreak/>
        <w:t xml:space="preserve">Concentration) is the concentration of a drug required to inhibit 50% of viral replication or enzymatic activity in vitro. It measures a drug’s potency </w:t>
      </w:r>
      <w:r w:rsidR="00C047BD">
        <w:rPr>
          <w:rFonts w:ascii="Times New Roman" w:hAnsi="Times New Roman" w:cs="Times New Roman"/>
          <w:sz w:val="28"/>
          <w:szCs w:val="28"/>
        </w:rPr>
        <w:t>by directly blocking viral components (e.g., viral enzymes such as</w:t>
      </w:r>
      <w:r w:rsidR="00206F99" w:rsidRPr="003A0C5A">
        <w:rPr>
          <w:rFonts w:ascii="Times New Roman" w:hAnsi="Times New Roman" w:cs="Times New Roman"/>
          <w:sz w:val="28"/>
          <w:szCs w:val="28"/>
        </w:rPr>
        <w:t xml:space="preserve"> </w:t>
      </w:r>
      <w:r w:rsidR="008449ED" w:rsidRPr="003A0C5A">
        <w:rPr>
          <w:rFonts w:ascii="Times New Roman" w:hAnsi="Times New Roman" w:cs="Times New Roman"/>
          <w:sz w:val="28"/>
          <w:szCs w:val="28"/>
        </w:rPr>
        <w:t>RdRP</w:t>
      </w:r>
      <w:r w:rsidR="00206F99" w:rsidRPr="003A0C5A">
        <w:rPr>
          <w:rFonts w:ascii="Times New Roman" w:hAnsi="Times New Roman" w:cs="Times New Roman"/>
          <w:sz w:val="28"/>
          <w:szCs w:val="28"/>
        </w:rPr>
        <w:t xml:space="preserve"> or 3CL protease)</w:t>
      </w:r>
      <w:r w:rsidR="00224300" w:rsidRPr="003A0C5A">
        <w:rPr>
          <w:rFonts w:ascii="Times New Roman" w:hAnsi="Times New Roman" w:cs="Times New Roman"/>
          <w:sz w:val="28"/>
          <w:szCs w:val="28"/>
        </w:rPr>
        <w:t>. Remdesivir</w:t>
      </w:r>
      <w:r w:rsidR="00F90267" w:rsidRPr="003A0C5A">
        <w:rPr>
          <w:rFonts w:ascii="Times New Roman" w:hAnsi="Times New Roman" w:cs="Times New Roman"/>
          <w:sz w:val="28"/>
          <w:szCs w:val="28"/>
        </w:rPr>
        <w:t xml:space="preserve"> (RdRP inhibitor): IC₅₀ values are determined by its ability to inhibit viral RNA polymerase activity</w:t>
      </w:r>
      <w:r w:rsidR="00923A06" w:rsidRPr="003A0C5A">
        <w:rPr>
          <w:rFonts w:ascii="Times New Roman" w:hAnsi="Times New Roman" w:cs="Times New Roman"/>
          <w:sz w:val="28"/>
          <w:szCs w:val="28"/>
        </w:rPr>
        <w:t xml:space="preserve"> [</w:t>
      </w:r>
      <w:r w:rsidR="00651C59" w:rsidRPr="003A0C5A">
        <w:rPr>
          <w:rFonts w:ascii="Times New Roman" w:hAnsi="Times New Roman" w:cs="Times New Roman"/>
          <w:sz w:val="28"/>
          <w:szCs w:val="28"/>
        </w:rPr>
        <w:t>45-</w:t>
      </w:r>
      <w:r w:rsidR="00923A06" w:rsidRPr="003A0C5A">
        <w:rPr>
          <w:rFonts w:ascii="Times New Roman" w:hAnsi="Times New Roman" w:cs="Times New Roman"/>
          <w:sz w:val="28"/>
          <w:szCs w:val="28"/>
        </w:rPr>
        <w:t>46</w:t>
      </w:r>
      <w:r w:rsidR="00651C59" w:rsidRPr="003A0C5A">
        <w:rPr>
          <w:rFonts w:ascii="Times New Roman" w:hAnsi="Times New Roman" w:cs="Times New Roman"/>
          <w:sz w:val="28"/>
          <w:szCs w:val="28"/>
        </w:rPr>
        <w:t>,</w:t>
      </w:r>
      <w:r w:rsidR="00923A06" w:rsidRPr="003A0C5A">
        <w:rPr>
          <w:rFonts w:ascii="Times New Roman" w:hAnsi="Times New Roman" w:cs="Times New Roman"/>
          <w:sz w:val="28"/>
          <w:szCs w:val="28"/>
        </w:rPr>
        <w:t>49</w:t>
      </w:r>
      <w:r w:rsidR="007B4DD0" w:rsidRPr="003A0C5A">
        <w:rPr>
          <w:rFonts w:ascii="Times New Roman" w:hAnsi="Times New Roman" w:cs="Times New Roman"/>
          <w:sz w:val="28"/>
          <w:szCs w:val="28"/>
        </w:rPr>
        <w:t>,50</w:t>
      </w:r>
      <w:r w:rsidR="00923A06" w:rsidRPr="003A0C5A">
        <w:rPr>
          <w:rFonts w:ascii="Times New Roman" w:hAnsi="Times New Roman" w:cs="Times New Roman"/>
          <w:sz w:val="28"/>
          <w:szCs w:val="28"/>
        </w:rPr>
        <w:t>]</w:t>
      </w:r>
      <w:r w:rsidR="00224300" w:rsidRPr="003A0C5A">
        <w:rPr>
          <w:rFonts w:ascii="Times New Roman" w:hAnsi="Times New Roman" w:cs="Times New Roman"/>
          <w:sz w:val="28"/>
          <w:szCs w:val="28"/>
        </w:rPr>
        <w:t xml:space="preserve">. </w:t>
      </w:r>
    </w:p>
    <w:p w14:paraId="253A4964" w14:textId="77777777" w:rsidR="00903CA4" w:rsidRDefault="00224300" w:rsidP="003A0C5A">
      <w:pPr>
        <w:spacing w:after="0" w:line="240" w:lineRule="auto"/>
        <w:ind w:firstLine="708"/>
        <w:jc w:val="both"/>
        <w:rPr>
          <w:rFonts w:ascii="Times New Roman" w:hAnsi="Times New Roman" w:cs="Times New Roman"/>
          <w:sz w:val="28"/>
          <w:szCs w:val="28"/>
        </w:rPr>
      </w:pPr>
      <w:r w:rsidRPr="003A0C5A">
        <w:rPr>
          <w:rFonts w:ascii="Times New Roman" w:hAnsi="Times New Roman" w:cs="Times New Roman"/>
          <w:sz w:val="28"/>
          <w:szCs w:val="28"/>
        </w:rPr>
        <w:t>Paxlovid (nirmatrelvir/ritonavir): IC₅₀ reflects inhibition of the SARS-CoV-2 3CL protease. CE (Cytopathic Effect Inhibition)</w:t>
      </w:r>
      <w:r w:rsidR="004C080E" w:rsidRPr="003A0C5A">
        <w:rPr>
          <w:rFonts w:ascii="Times New Roman" w:hAnsi="Times New Roman" w:cs="Times New Roman"/>
          <w:sz w:val="28"/>
          <w:szCs w:val="28"/>
        </w:rPr>
        <w:t xml:space="preserve"> - CE assays measure a drug’s ability to protect host cells from virus-induced damage (cytopathic effect, CPE) in cell cultures. It evaluates both antiviral activity and cell viability (toxicity). Drugs like molnupiravir are tested for their ability to reduce SARS-CoV-2-induced </w:t>
      </w:r>
      <w:r w:rsidR="00D075F1" w:rsidRPr="003A0C5A">
        <w:rPr>
          <w:rFonts w:ascii="Times New Roman" w:hAnsi="Times New Roman" w:cs="Times New Roman"/>
          <w:sz w:val="28"/>
          <w:szCs w:val="28"/>
        </w:rPr>
        <w:t>cytopathic effects (CPE)</w:t>
      </w:r>
      <w:r w:rsidR="004C080E" w:rsidRPr="003A0C5A">
        <w:rPr>
          <w:rFonts w:ascii="Times New Roman" w:hAnsi="Times New Roman" w:cs="Times New Roman"/>
          <w:sz w:val="28"/>
          <w:szCs w:val="28"/>
        </w:rPr>
        <w:t xml:space="preserve"> in cultured cells.EC₅₀ (Half-Maximal Effective Concentration) is often reported</w:t>
      </w:r>
      <w:r w:rsidR="00C047BD">
        <w:rPr>
          <w:rFonts w:ascii="Times New Roman" w:hAnsi="Times New Roman" w:cs="Times New Roman"/>
          <w:sz w:val="28"/>
          <w:szCs w:val="28"/>
        </w:rPr>
        <w:t xml:space="preserve"> as the concentration of the drug required to achieve 50% protection against</w:t>
      </w:r>
      <w:r w:rsidR="004C080E" w:rsidRPr="003A0C5A">
        <w:rPr>
          <w:rFonts w:ascii="Times New Roman" w:hAnsi="Times New Roman" w:cs="Times New Roman"/>
          <w:sz w:val="28"/>
          <w:szCs w:val="28"/>
        </w:rPr>
        <w:t xml:space="preserve"> CPE. IC₅₀: </w:t>
      </w:r>
    </w:p>
    <w:p w14:paraId="626BABC0" w14:textId="7F095CCE" w:rsidR="00C17FD0" w:rsidRPr="003A0C5A" w:rsidRDefault="003D4F4F" w:rsidP="003A0C5A">
      <w:pPr>
        <w:spacing w:after="0" w:line="240" w:lineRule="auto"/>
        <w:ind w:firstLine="708"/>
        <w:jc w:val="both"/>
        <w:rPr>
          <w:rFonts w:ascii="Times New Roman" w:hAnsi="Times New Roman" w:cs="Times New Roman"/>
          <w:sz w:val="28"/>
          <w:szCs w:val="28"/>
        </w:rPr>
      </w:pPr>
      <w:r w:rsidRPr="003A0C5A">
        <w:rPr>
          <w:rFonts w:ascii="Times New Roman" w:hAnsi="Times New Roman" w:cs="Times New Roman"/>
          <w:sz w:val="28"/>
          <w:szCs w:val="28"/>
        </w:rPr>
        <w:t>Prioritises</w:t>
      </w:r>
      <w:r w:rsidR="004C080E" w:rsidRPr="003A0C5A">
        <w:rPr>
          <w:rFonts w:ascii="Times New Roman" w:hAnsi="Times New Roman" w:cs="Times New Roman"/>
          <w:sz w:val="28"/>
          <w:szCs w:val="28"/>
        </w:rPr>
        <w:t xml:space="preserve"> </w:t>
      </w:r>
      <w:r w:rsidRPr="003A0C5A">
        <w:rPr>
          <w:rFonts w:ascii="Times New Roman" w:hAnsi="Times New Roman" w:cs="Times New Roman"/>
          <w:sz w:val="28"/>
          <w:szCs w:val="28"/>
        </w:rPr>
        <w:t>medicines</w:t>
      </w:r>
      <w:r w:rsidR="004C080E" w:rsidRPr="003A0C5A">
        <w:rPr>
          <w:rFonts w:ascii="Times New Roman" w:hAnsi="Times New Roman" w:cs="Times New Roman"/>
          <w:sz w:val="28"/>
          <w:szCs w:val="28"/>
        </w:rPr>
        <w:t xml:space="preserve"> that directly target viral machinery</w:t>
      </w:r>
      <w:r w:rsidR="0037223D" w:rsidRPr="003A0C5A">
        <w:rPr>
          <w:rFonts w:ascii="Times New Roman" w:hAnsi="Times New Roman" w:cs="Times New Roman"/>
          <w:sz w:val="28"/>
          <w:szCs w:val="28"/>
        </w:rPr>
        <w:t xml:space="preserve">, such as </w:t>
      </w:r>
      <w:r w:rsidR="00651C59" w:rsidRPr="003A0C5A">
        <w:rPr>
          <w:rFonts w:ascii="Times New Roman" w:hAnsi="Times New Roman" w:cs="Times New Roman"/>
          <w:sz w:val="28"/>
          <w:szCs w:val="28"/>
        </w:rPr>
        <w:t>RdRP</w:t>
      </w:r>
      <w:r w:rsidR="0037223D" w:rsidRPr="003A0C5A">
        <w:rPr>
          <w:rFonts w:ascii="Times New Roman" w:hAnsi="Times New Roman" w:cs="Times New Roman"/>
          <w:sz w:val="28"/>
          <w:szCs w:val="28"/>
        </w:rPr>
        <w:t xml:space="preserve"> inhibitors like </w:t>
      </w:r>
      <w:r w:rsidR="00D075F1" w:rsidRPr="003A0C5A">
        <w:rPr>
          <w:rFonts w:ascii="Times New Roman" w:hAnsi="Times New Roman" w:cs="Times New Roman"/>
          <w:sz w:val="28"/>
          <w:szCs w:val="28"/>
        </w:rPr>
        <w:t>remdesivir. [45-46]</w:t>
      </w:r>
      <w:r w:rsidR="004C080E" w:rsidRPr="003A0C5A">
        <w:rPr>
          <w:rFonts w:ascii="Times New Roman" w:hAnsi="Times New Roman" w:cs="Times New Roman"/>
          <w:sz w:val="28"/>
          <w:szCs w:val="28"/>
        </w:rPr>
        <w:t xml:space="preserve"> CE (EC₅₀): Identifies drugs that are non-toxic and effective in cellular models, bridging in vitro results to in vivo outcomes.</w:t>
      </w:r>
      <w:r w:rsidR="0037223D" w:rsidRPr="003A0C5A">
        <w:rPr>
          <w:rFonts w:ascii="Times New Roman" w:hAnsi="Times New Roman" w:cs="Times New Roman"/>
          <w:sz w:val="28"/>
          <w:szCs w:val="28"/>
        </w:rPr>
        <w:t xml:space="preserve"> A drug with a low IC₅₀ (potent) but high EC₅₀ (ineffective in cells) may fail due to poor cellular uptake or toxicity. Successful antivirals (e.g., Paxlovid) combine a low IC₅₀ (</w:t>
      </w:r>
      <w:r w:rsidR="00F90267" w:rsidRPr="003A0C5A">
        <w:rPr>
          <w:rFonts w:ascii="Times New Roman" w:hAnsi="Times New Roman" w:cs="Times New Roman"/>
          <w:sz w:val="28"/>
          <w:szCs w:val="28"/>
        </w:rPr>
        <w:t>potent</w:t>
      </w:r>
      <w:r w:rsidR="0037223D" w:rsidRPr="003A0C5A">
        <w:rPr>
          <w:rFonts w:ascii="Times New Roman" w:hAnsi="Times New Roman" w:cs="Times New Roman"/>
          <w:sz w:val="28"/>
          <w:szCs w:val="28"/>
        </w:rPr>
        <w:t xml:space="preserve"> viral inhibition) with a low EC₅₀ (adequate cell protection). Both metrics are critical in antiviral development, with IC guiding mechanistic studies and CE ensuring translational potential</w:t>
      </w:r>
      <w:r w:rsidR="00BF6675" w:rsidRPr="003A0C5A">
        <w:rPr>
          <w:rFonts w:ascii="Times New Roman" w:hAnsi="Times New Roman" w:cs="Times New Roman"/>
          <w:sz w:val="28"/>
          <w:szCs w:val="28"/>
        </w:rPr>
        <w:t xml:space="preserve"> [48</w:t>
      </w:r>
      <w:r w:rsidRPr="003A0C5A">
        <w:rPr>
          <w:rFonts w:ascii="Times New Roman" w:hAnsi="Times New Roman" w:cs="Times New Roman"/>
          <w:sz w:val="28"/>
          <w:szCs w:val="28"/>
        </w:rPr>
        <w:t>-52</w:t>
      </w:r>
      <w:r w:rsidR="00BF6675" w:rsidRPr="003A0C5A">
        <w:rPr>
          <w:rFonts w:ascii="Times New Roman" w:hAnsi="Times New Roman" w:cs="Times New Roman"/>
          <w:sz w:val="28"/>
          <w:szCs w:val="28"/>
        </w:rPr>
        <w:t>]</w:t>
      </w:r>
      <w:r w:rsidR="0037223D" w:rsidRPr="003A0C5A">
        <w:rPr>
          <w:rFonts w:ascii="Times New Roman" w:hAnsi="Times New Roman" w:cs="Times New Roman"/>
          <w:sz w:val="28"/>
          <w:szCs w:val="28"/>
        </w:rPr>
        <w:t>.</w:t>
      </w:r>
    </w:p>
    <w:p w14:paraId="58546B5A" w14:textId="481E5339" w:rsidR="001A2A89" w:rsidRDefault="009560D0" w:rsidP="00903CA4">
      <w:pPr>
        <w:spacing w:line="240" w:lineRule="auto"/>
        <w:ind w:firstLine="708"/>
        <w:jc w:val="both"/>
        <w:rPr>
          <w:rFonts w:ascii="Times New Roman" w:hAnsi="Times New Roman" w:cs="Times New Roman"/>
          <w:sz w:val="28"/>
          <w:szCs w:val="28"/>
        </w:rPr>
      </w:pPr>
      <w:r w:rsidRPr="003A0C5A">
        <w:rPr>
          <w:rFonts w:ascii="Times New Roman" w:hAnsi="Times New Roman" w:cs="Times New Roman"/>
          <w:sz w:val="28"/>
          <w:szCs w:val="28"/>
        </w:rPr>
        <w:t xml:space="preserve">Antiviral therapy </w:t>
      </w:r>
      <w:r w:rsidR="00444EF1" w:rsidRPr="003A0C5A">
        <w:rPr>
          <w:rFonts w:ascii="Times New Roman" w:hAnsi="Times New Roman" w:cs="Times New Roman"/>
          <w:sz w:val="28"/>
          <w:szCs w:val="28"/>
        </w:rPr>
        <w:t xml:space="preserve">has been </w:t>
      </w:r>
      <w:r w:rsidR="00BF6675" w:rsidRPr="003A0C5A">
        <w:rPr>
          <w:rFonts w:ascii="Times New Roman" w:hAnsi="Times New Roman" w:cs="Times New Roman"/>
          <w:sz w:val="28"/>
          <w:szCs w:val="28"/>
        </w:rPr>
        <w:t xml:space="preserve">one of the most complex and expensive fields of pharmaceuticals for many decades, and only a few new antivirals </w:t>
      </w:r>
      <w:r w:rsidR="00444EF1" w:rsidRPr="003A0C5A">
        <w:rPr>
          <w:rFonts w:ascii="Times New Roman" w:hAnsi="Times New Roman" w:cs="Times New Roman"/>
          <w:sz w:val="28"/>
          <w:szCs w:val="28"/>
        </w:rPr>
        <w:t>have been</w:t>
      </w:r>
      <w:r w:rsidRPr="003A0C5A">
        <w:rPr>
          <w:rFonts w:ascii="Times New Roman" w:hAnsi="Times New Roman" w:cs="Times New Roman"/>
          <w:sz w:val="28"/>
          <w:szCs w:val="28"/>
        </w:rPr>
        <w:t xml:space="preserve"> developed in the </w:t>
      </w:r>
      <w:r w:rsidR="00853685" w:rsidRPr="003A0C5A">
        <w:rPr>
          <w:rFonts w:ascii="Times New Roman" w:hAnsi="Times New Roman" w:cs="Times New Roman"/>
          <w:sz w:val="28"/>
          <w:szCs w:val="28"/>
        </w:rPr>
        <w:t xml:space="preserve">last 60 years. This sad tendency </w:t>
      </w:r>
      <w:r w:rsidR="007F5935">
        <w:rPr>
          <w:rFonts w:ascii="Times New Roman" w:hAnsi="Times New Roman" w:cs="Times New Roman"/>
          <w:sz w:val="28"/>
          <w:szCs w:val="28"/>
        </w:rPr>
        <w:t>is evident</w:t>
      </w:r>
      <w:r w:rsidRPr="003A0C5A">
        <w:rPr>
          <w:rFonts w:ascii="Times New Roman" w:hAnsi="Times New Roman" w:cs="Times New Roman"/>
          <w:sz w:val="28"/>
          <w:szCs w:val="28"/>
        </w:rPr>
        <w:t xml:space="preserve"> in Figure 3</w:t>
      </w:r>
      <w:r w:rsidR="00444EF1" w:rsidRPr="003A0C5A">
        <w:rPr>
          <w:rFonts w:ascii="Times New Roman" w:hAnsi="Times New Roman" w:cs="Times New Roman"/>
          <w:sz w:val="28"/>
          <w:szCs w:val="28"/>
        </w:rPr>
        <w:t>, which shows</w:t>
      </w:r>
      <w:r w:rsidRPr="003A0C5A">
        <w:rPr>
          <w:rFonts w:ascii="Times New Roman" w:hAnsi="Times New Roman" w:cs="Times New Roman"/>
          <w:sz w:val="28"/>
          <w:szCs w:val="28"/>
        </w:rPr>
        <w:t xml:space="preserve"> time </w:t>
      </w:r>
      <w:r w:rsidR="003D4F4F" w:rsidRPr="003A0C5A">
        <w:rPr>
          <w:rFonts w:ascii="Times New Roman" w:hAnsi="Times New Roman" w:cs="Times New Roman"/>
          <w:sz w:val="28"/>
          <w:szCs w:val="28"/>
        </w:rPr>
        <w:t>lapses</w:t>
      </w:r>
      <w:r w:rsidR="00542BA1" w:rsidRPr="003A0C5A">
        <w:rPr>
          <w:rFonts w:ascii="Times New Roman" w:hAnsi="Times New Roman" w:cs="Times New Roman"/>
          <w:sz w:val="28"/>
          <w:szCs w:val="28"/>
        </w:rPr>
        <w:t>.</w:t>
      </w:r>
    </w:p>
    <w:p w14:paraId="4E5D28CA" w14:textId="77777777" w:rsidR="00457863" w:rsidRPr="003A0C5A" w:rsidRDefault="00457863" w:rsidP="00903CA4">
      <w:pPr>
        <w:spacing w:line="240" w:lineRule="auto"/>
        <w:ind w:firstLine="708"/>
        <w:jc w:val="both"/>
        <w:rPr>
          <w:rFonts w:ascii="Times New Roman" w:hAnsi="Times New Roman" w:cs="Times New Roman"/>
          <w:sz w:val="28"/>
          <w:szCs w:val="28"/>
        </w:rPr>
      </w:pPr>
    </w:p>
    <w:p w14:paraId="798C33B4" w14:textId="12A86DB7" w:rsidR="007745BB" w:rsidRPr="001A2A89" w:rsidRDefault="001A2A89" w:rsidP="007745BB">
      <w:pPr>
        <w:spacing w:line="360" w:lineRule="auto"/>
        <w:ind w:firstLine="708"/>
        <w:jc w:val="center"/>
        <w:rPr>
          <w:rFonts w:ascii="Times New Roman" w:hAnsi="Times New Roman" w:cs="Times New Roman"/>
          <w:sz w:val="24"/>
          <w:szCs w:val="24"/>
          <w:lang w:val="en-US"/>
        </w:rPr>
      </w:pPr>
      <w:r w:rsidRPr="001A2A89">
        <w:rPr>
          <w:rFonts w:ascii="Times New Roman" w:hAnsi="Times New Roman" w:cs="Times New Roman"/>
          <w:noProof/>
          <w:sz w:val="24"/>
          <w:szCs w:val="24"/>
          <w:lang w:val="ru-RU"/>
        </w:rPr>
        <w:drawing>
          <wp:inline distT="0" distB="0" distL="0" distR="0" wp14:anchorId="613FB380" wp14:editId="53E56683">
            <wp:extent cx="4481051" cy="2641600"/>
            <wp:effectExtent l="0" t="0" r="0" b="6350"/>
            <wp:docPr id="941000476"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25572" cy="2667845"/>
                    </a:xfrm>
                    <a:prstGeom prst="rect">
                      <a:avLst/>
                    </a:prstGeom>
                    <a:noFill/>
                    <a:ln>
                      <a:noFill/>
                    </a:ln>
                  </pic:spPr>
                </pic:pic>
              </a:graphicData>
            </a:graphic>
          </wp:inline>
        </w:drawing>
      </w:r>
    </w:p>
    <w:p w14:paraId="6013AB0D" w14:textId="5356F38F" w:rsidR="001A2A89" w:rsidRPr="003A0C5A" w:rsidRDefault="001A2A89" w:rsidP="003A0C5A">
      <w:pPr>
        <w:spacing w:line="240" w:lineRule="auto"/>
        <w:jc w:val="center"/>
        <w:rPr>
          <w:rFonts w:ascii="Times New Roman" w:hAnsi="Times New Roman" w:cs="Times New Roman"/>
          <w:sz w:val="28"/>
          <w:szCs w:val="28"/>
        </w:rPr>
      </w:pPr>
      <w:r w:rsidRPr="003A0C5A">
        <w:rPr>
          <w:rFonts w:ascii="Times New Roman" w:hAnsi="Times New Roman" w:cs="Times New Roman"/>
          <w:sz w:val="28"/>
          <w:szCs w:val="28"/>
        </w:rPr>
        <w:t xml:space="preserve">Figure 3 </w:t>
      </w:r>
      <w:r w:rsidRPr="003A0C5A">
        <w:rPr>
          <w:rFonts w:ascii="Times New Roman" w:hAnsi="Times New Roman" w:cs="Times New Roman"/>
          <w:b/>
          <w:bCs/>
          <w:sz w:val="28"/>
          <w:szCs w:val="28"/>
        </w:rPr>
        <w:t>—</w:t>
      </w:r>
      <w:r w:rsidRPr="003A0C5A">
        <w:rPr>
          <w:rFonts w:ascii="Times New Roman" w:hAnsi="Times New Roman" w:cs="Times New Roman"/>
          <w:sz w:val="28"/>
          <w:szCs w:val="28"/>
        </w:rPr>
        <w:t xml:space="preserve"> 60 years of antiviral drug development in the USA since the early 1960s in the 20th century </w:t>
      </w:r>
    </w:p>
    <w:p w14:paraId="253E4951" w14:textId="77777777" w:rsidR="00903CA4" w:rsidRDefault="001A2A89" w:rsidP="00AE09EA">
      <w:pPr>
        <w:spacing w:after="0" w:line="240" w:lineRule="auto"/>
        <w:ind w:firstLine="709"/>
        <w:jc w:val="both"/>
        <w:rPr>
          <w:rFonts w:ascii="Times New Roman" w:hAnsi="Times New Roman" w:cs="Times New Roman"/>
          <w:sz w:val="28"/>
          <w:szCs w:val="28"/>
        </w:rPr>
      </w:pPr>
      <w:r w:rsidRPr="00AE09EA">
        <w:rPr>
          <w:rFonts w:ascii="Times New Roman" w:hAnsi="Times New Roman" w:cs="Times New Roman"/>
          <w:sz w:val="28"/>
          <w:szCs w:val="28"/>
        </w:rPr>
        <w:t xml:space="preserve">Unfortunately, research on antiviral medications began only after the discovery of viruses. This allowed the viral infection to spread or adapt to human immunity and </w:t>
      </w:r>
      <w:r w:rsidRPr="00AE09EA">
        <w:rPr>
          <w:rFonts w:ascii="Times New Roman" w:hAnsi="Times New Roman" w:cs="Times New Roman"/>
          <w:sz w:val="28"/>
          <w:szCs w:val="28"/>
        </w:rPr>
        <w:lastRenderedPageBreak/>
        <w:t xml:space="preserve">the human genome, posing significant challenges for the pharmaceutical industry in developing effective strategies to combat the viral invasion [28-29]. </w:t>
      </w:r>
      <w:r w:rsidR="00853685" w:rsidRPr="00AE09EA">
        <w:rPr>
          <w:rFonts w:ascii="Times New Roman" w:hAnsi="Times New Roman" w:cs="Times New Roman"/>
          <w:sz w:val="28"/>
          <w:szCs w:val="28"/>
        </w:rPr>
        <w:t xml:space="preserve">Thus, only a few drugs were approved to combat them effectively. To make </w:t>
      </w:r>
      <w:r w:rsidR="000539FD" w:rsidRPr="00AE09EA">
        <w:rPr>
          <w:rFonts w:ascii="Times New Roman" w:hAnsi="Times New Roman" w:cs="Times New Roman"/>
          <w:sz w:val="28"/>
          <w:szCs w:val="28"/>
        </w:rPr>
        <w:t>matters worse, pharmacology and science were primarily focused on</w:t>
      </w:r>
      <w:r w:rsidR="009560D0" w:rsidRPr="00AE09EA">
        <w:rPr>
          <w:rFonts w:ascii="Times New Roman" w:hAnsi="Times New Roman" w:cs="Times New Roman"/>
          <w:sz w:val="28"/>
          <w:szCs w:val="28"/>
        </w:rPr>
        <w:t xml:space="preserve"> persistent viral diseases that require lengthy</w:t>
      </w:r>
      <w:r w:rsidR="00C047BD">
        <w:rPr>
          <w:rFonts w:ascii="Times New Roman" w:hAnsi="Times New Roman" w:cs="Times New Roman"/>
          <w:sz w:val="28"/>
          <w:szCs w:val="28"/>
        </w:rPr>
        <w:t xml:space="preserve">, expensive therapy to reduce </w:t>
      </w:r>
      <w:r w:rsidR="00853685" w:rsidRPr="00AE09EA">
        <w:rPr>
          <w:rFonts w:ascii="Times New Roman" w:hAnsi="Times New Roman" w:cs="Times New Roman"/>
          <w:sz w:val="28"/>
          <w:szCs w:val="28"/>
        </w:rPr>
        <w:t xml:space="preserve">viral load in host cells. Furthermore, viruses are difficult to treat without serious side effects.  In addition to the scarcity of antiviral drugs, it has another fatal flaw: its viral targets were </w:t>
      </w:r>
      <w:r w:rsidR="000539FD" w:rsidRPr="00AE09EA">
        <w:rPr>
          <w:rFonts w:ascii="Times New Roman" w:hAnsi="Times New Roman" w:cs="Times New Roman"/>
          <w:sz w:val="28"/>
          <w:szCs w:val="28"/>
        </w:rPr>
        <w:t xml:space="preserve">primarily designed </w:t>
      </w:r>
      <w:r w:rsidR="00C047BD">
        <w:rPr>
          <w:rFonts w:ascii="Times New Roman" w:hAnsi="Times New Roman" w:cs="Times New Roman"/>
          <w:sz w:val="28"/>
          <w:szCs w:val="28"/>
        </w:rPr>
        <w:t>for chronic, slowly evolving</w:t>
      </w:r>
      <w:r w:rsidR="00853685" w:rsidRPr="00AE09EA">
        <w:rPr>
          <w:rFonts w:ascii="Times New Roman" w:hAnsi="Times New Roman" w:cs="Times New Roman"/>
          <w:sz w:val="28"/>
          <w:szCs w:val="28"/>
        </w:rPr>
        <w:t xml:space="preserve"> viral pathogens. </w:t>
      </w:r>
    </w:p>
    <w:p w14:paraId="3290EC48" w14:textId="238F80FC" w:rsidR="00226539" w:rsidRPr="00AE09EA" w:rsidRDefault="00853685" w:rsidP="004F20CE">
      <w:pPr>
        <w:spacing w:after="0" w:line="240" w:lineRule="auto"/>
        <w:ind w:firstLine="709"/>
        <w:jc w:val="both"/>
        <w:rPr>
          <w:rFonts w:ascii="Times New Roman" w:hAnsi="Times New Roman" w:cs="Times New Roman"/>
          <w:sz w:val="28"/>
          <w:szCs w:val="28"/>
        </w:rPr>
      </w:pPr>
      <w:r w:rsidRPr="00AE09EA">
        <w:rPr>
          <w:rFonts w:ascii="Times New Roman" w:hAnsi="Times New Roman" w:cs="Times New Roman"/>
          <w:sz w:val="28"/>
          <w:szCs w:val="28"/>
        </w:rPr>
        <w:t xml:space="preserve">To make </w:t>
      </w:r>
      <w:r w:rsidR="000539FD" w:rsidRPr="00AE09EA">
        <w:rPr>
          <w:rFonts w:ascii="Times New Roman" w:hAnsi="Times New Roman" w:cs="Times New Roman"/>
          <w:sz w:val="28"/>
          <w:szCs w:val="28"/>
        </w:rPr>
        <w:t>matters worse, only 37% were intended to inhibit</w:t>
      </w:r>
      <w:r w:rsidRPr="00AE09EA">
        <w:rPr>
          <w:rFonts w:ascii="Times New Roman" w:hAnsi="Times New Roman" w:cs="Times New Roman"/>
          <w:sz w:val="28"/>
          <w:szCs w:val="28"/>
        </w:rPr>
        <w:t xml:space="preserve"> polymerase activity. Figure 4 shows this grim allocation of antivirals. </w:t>
      </w:r>
      <w:r w:rsidR="00444EF1" w:rsidRPr="00AE09EA">
        <w:rPr>
          <w:rFonts w:ascii="Times New Roman" w:hAnsi="Times New Roman" w:cs="Times New Roman"/>
          <w:sz w:val="28"/>
          <w:szCs w:val="28"/>
        </w:rPr>
        <w:t>So, putting it all together, the unique aspects are their targeted approach to specific viral mechanisms, the need for precision to avoid host toxicity, dealing with rapid viral mutation and resistance, often narrow spectrum, critical timing in administration, use in combinations, and the complexity in developing drugs that can effectively interrupt viral processes without harming the host</w:t>
      </w:r>
      <w:r w:rsidR="00F84987" w:rsidRPr="00AE09EA">
        <w:rPr>
          <w:rFonts w:ascii="Times New Roman" w:hAnsi="Times New Roman" w:cs="Times New Roman"/>
          <w:sz w:val="28"/>
          <w:szCs w:val="28"/>
        </w:rPr>
        <w:t xml:space="preserve"> [51,53-54]</w:t>
      </w:r>
      <w:r w:rsidR="00444EF1" w:rsidRPr="00AE09EA">
        <w:rPr>
          <w:rFonts w:ascii="Times New Roman" w:hAnsi="Times New Roman" w:cs="Times New Roman"/>
          <w:sz w:val="28"/>
          <w:szCs w:val="28"/>
        </w:rPr>
        <w:t>. Since viruses can hide in specific cells or reservoirs (</w:t>
      </w:r>
      <w:r w:rsidR="00F84987" w:rsidRPr="00AE09EA">
        <w:rPr>
          <w:rFonts w:ascii="Times New Roman" w:hAnsi="Times New Roman" w:cs="Times New Roman"/>
          <w:sz w:val="28"/>
          <w:szCs w:val="28"/>
        </w:rPr>
        <w:t xml:space="preserve">such as latent herpes), antivirals must be able to </w:t>
      </w:r>
      <w:r w:rsidR="00444EF1" w:rsidRPr="00AE09EA">
        <w:rPr>
          <w:rFonts w:ascii="Times New Roman" w:hAnsi="Times New Roman" w:cs="Times New Roman"/>
          <w:sz w:val="28"/>
          <w:szCs w:val="28"/>
        </w:rPr>
        <w:t>penetrate those areas. For chronic infections, long-term use is needed, which requires drugs with reasonable safety profiles</w:t>
      </w:r>
      <w:r w:rsidR="00F84987" w:rsidRPr="00AE09EA">
        <w:rPr>
          <w:rFonts w:ascii="Times New Roman" w:hAnsi="Times New Roman" w:cs="Times New Roman"/>
          <w:sz w:val="28"/>
          <w:szCs w:val="28"/>
        </w:rPr>
        <w:t xml:space="preserve"> [54]</w:t>
      </w:r>
      <w:r w:rsidR="00444EF1" w:rsidRPr="00AE09EA">
        <w:rPr>
          <w:rFonts w:ascii="Times New Roman" w:hAnsi="Times New Roman" w:cs="Times New Roman"/>
          <w:sz w:val="28"/>
          <w:szCs w:val="28"/>
        </w:rPr>
        <w:t>.</w:t>
      </w:r>
    </w:p>
    <w:p w14:paraId="72C956D7" w14:textId="6CD321F0" w:rsidR="0067230F" w:rsidRDefault="00034912" w:rsidP="00E1310D">
      <w:pPr>
        <w:spacing w:after="0" w:line="240" w:lineRule="auto"/>
        <w:ind w:firstLine="708"/>
        <w:jc w:val="both"/>
        <w:rPr>
          <w:rFonts w:ascii="Times New Roman" w:hAnsi="Times New Roman" w:cs="Times New Roman"/>
          <w:sz w:val="28"/>
          <w:szCs w:val="28"/>
        </w:rPr>
      </w:pPr>
      <w:r w:rsidRPr="00AE09EA">
        <w:rPr>
          <w:rFonts w:ascii="Times New Roman" w:hAnsi="Times New Roman" w:cs="Times New Roman"/>
          <w:sz w:val="28"/>
          <w:szCs w:val="28"/>
        </w:rPr>
        <w:t xml:space="preserve">The diagram (Figure 4) also illustrates the structural and functional targets of antiviral drugs. The largest group is represented by polymerase inhibitors (37%). Protease inhibitors account for 24%, and host-directed antivirals account for 14%. The group of drugs </w:t>
      </w:r>
      <w:r w:rsidR="005D06AC">
        <w:rPr>
          <w:rFonts w:ascii="Times New Roman" w:hAnsi="Times New Roman" w:cs="Times New Roman"/>
          <w:sz w:val="28"/>
          <w:szCs w:val="28"/>
        </w:rPr>
        <w:t>targeting the NS5A protein of HCV comprises 8%, while integrase inhibitors comprise</w:t>
      </w:r>
      <w:r w:rsidRPr="00AE09EA">
        <w:rPr>
          <w:rFonts w:ascii="Times New Roman" w:hAnsi="Times New Roman" w:cs="Times New Roman"/>
          <w:sz w:val="28"/>
          <w:szCs w:val="28"/>
        </w:rPr>
        <w:t xml:space="preserve"> 4%. Another 13% of agents target viral proteins of other pathogens. The data confirm the key role of viral polymerase and protease as the most "druggable" antiviral targets.</w:t>
      </w:r>
    </w:p>
    <w:p w14:paraId="016BE727" w14:textId="77777777" w:rsidR="004F20CE" w:rsidRPr="00AE09EA" w:rsidRDefault="004F20CE" w:rsidP="00E1310D">
      <w:pPr>
        <w:spacing w:after="0" w:line="240" w:lineRule="auto"/>
        <w:ind w:firstLine="708"/>
        <w:jc w:val="both"/>
        <w:rPr>
          <w:rFonts w:ascii="Times New Roman" w:hAnsi="Times New Roman" w:cs="Times New Roman"/>
          <w:sz w:val="28"/>
          <w:szCs w:val="28"/>
        </w:rPr>
      </w:pPr>
    </w:p>
    <w:p w14:paraId="3B2029E3" w14:textId="77777777" w:rsidR="00226539" w:rsidRPr="006531C9" w:rsidRDefault="00853685" w:rsidP="00906347">
      <w:pPr>
        <w:spacing w:line="360" w:lineRule="auto"/>
        <w:jc w:val="center"/>
        <w:rPr>
          <w:rFonts w:ascii="Times New Roman" w:hAnsi="Times New Roman" w:cs="Times New Roman"/>
          <w:sz w:val="24"/>
          <w:szCs w:val="24"/>
        </w:rPr>
      </w:pPr>
      <w:r w:rsidRPr="006531C9">
        <w:rPr>
          <w:rFonts w:ascii="Times New Roman" w:hAnsi="Times New Roman" w:cs="Times New Roman"/>
          <w:noProof/>
          <w:sz w:val="24"/>
          <w:szCs w:val="24"/>
          <w:lang w:eastAsia="ru-RU"/>
        </w:rPr>
        <w:drawing>
          <wp:inline distT="0" distB="0" distL="0" distR="0" wp14:anchorId="581C4084" wp14:editId="6A0A3076">
            <wp:extent cx="3106940" cy="2736215"/>
            <wp:effectExtent l="0" t="0" r="17780" b="6985"/>
            <wp:docPr id="1494467636" name="Диаграмма 14944676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Pr="006531C9">
        <w:rPr>
          <w:rFonts w:ascii="Times New Roman" w:hAnsi="Times New Roman" w:cs="Times New Roman"/>
          <w:b/>
          <w:noProof/>
          <w:sz w:val="24"/>
          <w:szCs w:val="24"/>
          <w:lang w:eastAsia="ru-RU"/>
        </w:rPr>
        <w:drawing>
          <wp:inline distT="0" distB="0" distL="0" distR="0" wp14:anchorId="16518652" wp14:editId="7E8BF731">
            <wp:extent cx="2922905" cy="2735753"/>
            <wp:effectExtent l="0" t="0" r="10795" b="7620"/>
            <wp:docPr id="39908779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C71AC9C" w14:textId="0C321891" w:rsidR="0067230F" w:rsidRDefault="00853685" w:rsidP="003D4F4F">
      <w:pPr>
        <w:spacing w:line="240" w:lineRule="auto"/>
        <w:jc w:val="center"/>
        <w:rPr>
          <w:rFonts w:ascii="Times New Roman" w:hAnsi="Times New Roman" w:cs="Times New Roman"/>
          <w:sz w:val="28"/>
          <w:szCs w:val="28"/>
        </w:rPr>
      </w:pPr>
      <w:r w:rsidRPr="0067230F">
        <w:rPr>
          <w:rFonts w:ascii="Times New Roman" w:hAnsi="Times New Roman" w:cs="Times New Roman"/>
          <w:sz w:val="28"/>
          <w:szCs w:val="28"/>
        </w:rPr>
        <w:t>Figure 4</w:t>
      </w:r>
      <w:r w:rsidR="004C6429" w:rsidRPr="0067230F">
        <w:rPr>
          <w:rFonts w:ascii="Times New Roman" w:hAnsi="Times New Roman" w:cs="Times New Roman"/>
          <w:sz w:val="28"/>
          <w:szCs w:val="28"/>
        </w:rPr>
        <w:t xml:space="preserve"> </w:t>
      </w:r>
      <w:r w:rsidRPr="0067230F">
        <w:rPr>
          <w:rFonts w:ascii="Times New Roman" w:hAnsi="Times New Roman" w:cs="Times New Roman"/>
          <w:sz w:val="28"/>
          <w:szCs w:val="28"/>
        </w:rPr>
        <w:t>—</w:t>
      </w:r>
      <w:r w:rsidR="009560D0" w:rsidRPr="0067230F">
        <w:rPr>
          <w:rFonts w:ascii="Times New Roman" w:hAnsi="Times New Roman" w:cs="Times New Roman"/>
          <w:sz w:val="28"/>
          <w:szCs w:val="28"/>
        </w:rPr>
        <w:t xml:space="preserve"> Antivirals by virus species and target</w:t>
      </w:r>
    </w:p>
    <w:p w14:paraId="3F2C5FA4" w14:textId="77777777" w:rsidR="007745BB" w:rsidRPr="0067230F" w:rsidRDefault="007745BB" w:rsidP="003D4F4F">
      <w:pPr>
        <w:spacing w:line="240" w:lineRule="auto"/>
        <w:jc w:val="center"/>
        <w:rPr>
          <w:rFonts w:ascii="Times New Roman" w:hAnsi="Times New Roman" w:cs="Times New Roman"/>
          <w:sz w:val="28"/>
          <w:szCs w:val="28"/>
        </w:rPr>
      </w:pPr>
    </w:p>
    <w:p w14:paraId="221DD943" w14:textId="4C021F6B" w:rsidR="00465DD6" w:rsidRPr="0067230F" w:rsidRDefault="00906347" w:rsidP="00EC2399">
      <w:pPr>
        <w:spacing w:after="0" w:line="240" w:lineRule="auto"/>
        <w:ind w:firstLine="709"/>
        <w:rPr>
          <w:rFonts w:ascii="Times New Roman" w:hAnsi="Times New Roman" w:cs="Times New Roman"/>
          <w:sz w:val="28"/>
          <w:szCs w:val="28"/>
        </w:rPr>
      </w:pPr>
      <w:r w:rsidRPr="0067230F">
        <w:rPr>
          <w:rFonts w:ascii="Times New Roman" w:hAnsi="Times New Roman" w:cs="Times New Roman"/>
          <w:sz w:val="28"/>
          <w:szCs w:val="28"/>
        </w:rPr>
        <w:t xml:space="preserve">Distribution of approved antivirals by virus </w:t>
      </w:r>
      <w:r w:rsidR="003D4F4F" w:rsidRPr="0067230F">
        <w:rPr>
          <w:rFonts w:ascii="Times New Roman" w:hAnsi="Times New Roman" w:cs="Times New Roman"/>
          <w:sz w:val="28"/>
          <w:szCs w:val="28"/>
        </w:rPr>
        <w:t>species. The</w:t>
      </w:r>
      <w:r w:rsidRPr="0067230F">
        <w:rPr>
          <w:rFonts w:ascii="Times New Roman" w:hAnsi="Times New Roman" w:cs="Times New Roman"/>
          <w:sz w:val="28"/>
          <w:szCs w:val="28"/>
        </w:rPr>
        <w:t xml:space="preserve"> pie chart illustrates the proportion of antiviral drugs by their respective viral targets. The majority of </w:t>
      </w:r>
      <w:r w:rsidRPr="0067230F">
        <w:rPr>
          <w:rFonts w:ascii="Times New Roman" w:hAnsi="Times New Roman" w:cs="Times New Roman"/>
          <w:sz w:val="28"/>
          <w:szCs w:val="28"/>
        </w:rPr>
        <w:lastRenderedPageBreak/>
        <w:t>registered agents are directed against HIV-1 (51%). A significant part of the drugs is used for therapy of hepatitis C virus (HCV) (20%), herpesviruses HSV and HCMV (13%), and hepatitis B virus (HBV) (10%). The remaining 6% are represented by antivirals targeting other viral infections. This distribution emphasises the dominance of anti-HIV therapy in the antiviral pharmacopoeia</w:t>
      </w:r>
      <w:r w:rsidR="0067230F">
        <w:rPr>
          <w:rFonts w:ascii="Times New Roman" w:hAnsi="Times New Roman" w:cs="Times New Roman"/>
          <w:sz w:val="28"/>
          <w:szCs w:val="28"/>
        </w:rPr>
        <w:t>.</w:t>
      </w:r>
    </w:p>
    <w:p w14:paraId="5AFE9E99" w14:textId="77777777" w:rsidR="001A2A89" w:rsidRPr="0068084B" w:rsidRDefault="00853685" w:rsidP="00EC2399">
      <w:pPr>
        <w:spacing w:after="0" w:line="240" w:lineRule="auto"/>
        <w:ind w:firstLine="709"/>
        <w:jc w:val="both"/>
        <w:rPr>
          <w:rFonts w:ascii="Times New Roman" w:hAnsi="Times New Roman" w:cs="Times New Roman"/>
          <w:sz w:val="28"/>
          <w:szCs w:val="28"/>
        </w:rPr>
      </w:pPr>
      <w:r w:rsidRPr="0068084B">
        <w:rPr>
          <w:rFonts w:ascii="Times New Roman" w:hAnsi="Times New Roman" w:cs="Times New Roman"/>
          <w:sz w:val="28"/>
          <w:szCs w:val="28"/>
        </w:rPr>
        <w:t xml:space="preserve">First and foremost, compounds </w:t>
      </w:r>
      <w:r w:rsidR="00F84987" w:rsidRPr="0068084B">
        <w:rPr>
          <w:rFonts w:ascii="Times New Roman" w:hAnsi="Times New Roman" w:cs="Times New Roman"/>
          <w:sz w:val="28"/>
          <w:szCs w:val="28"/>
        </w:rPr>
        <w:t>that interfere with virus growth can have adverse effects on</w:t>
      </w:r>
      <w:r w:rsidRPr="0068084B">
        <w:rPr>
          <w:rFonts w:ascii="Times New Roman" w:hAnsi="Times New Roman" w:cs="Times New Roman"/>
          <w:sz w:val="28"/>
          <w:szCs w:val="28"/>
        </w:rPr>
        <w:t xml:space="preserve"> the host cell. This means side effects are common and, in most cases, unacceptable. </w:t>
      </w:r>
      <w:r w:rsidR="00F84987" w:rsidRPr="0068084B">
        <w:rPr>
          <w:rFonts w:ascii="Times New Roman" w:hAnsi="Times New Roman" w:cs="Times New Roman"/>
          <w:sz w:val="28"/>
          <w:szCs w:val="28"/>
        </w:rPr>
        <w:t>Additionally, every step in the viral replication</w:t>
      </w:r>
      <w:r w:rsidRPr="0068084B">
        <w:rPr>
          <w:rFonts w:ascii="Times New Roman" w:hAnsi="Times New Roman" w:cs="Times New Roman"/>
          <w:sz w:val="28"/>
          <w:szCs w:val="28"/>
        </w:rPr>
        <w:t xml:space="preserve"> cycle engages host functions [</w:t>
      </w:r>
      <w:r w:rsidR="00F84987" w:rsidRPr="0068084B">
        <w:rPr>
          <w:rFonts w:ascii="Times New Roman" w:hAnsi="Times New Roman" w:cs="Times New Roman"/>
          <w:sz w:val="28"/>
          <w:szCs w:val="28"/>
        </w:rPr>
        <w:t>30-31</w:t>
      </w:r>
      <w:r w:rsidR="00034912" w:rsidRPr="0068084B">
        <w:rPr>
          <w:rFonts w:ascii="Times New Roman" w:hAnsi="Times New Roman" w:cs="Times New Roman"/>
          <w:sz w:val="28"/>
          <w:szCs w:val="28"/>
        </w:rPr>
        <w:t>,51-52</w:t>
      </w:r>
      <w:r w:rsidRPr="0068084B">
        <w:rPr>
          <w:rFonts w:ascii="Times New Roman" w:hAnsi="Times New Roman" w:cs="Times New Roman"/>
          <w:sz w:val="28"/>
          <w:szCs w:val="28"/>
        </w:rPr>
        <w:t>].</w:t>
      </w:r>
    </w:p>
    <w:p w14:paraId="14A0E0A2" w14:textId="77777777" w:rsidR="001A2A89" w:rsidRPr="0068084B" w:rsidRDefault="00853685" w:rsidP="00EC2399">
      <w:pPr>
        <w:spacing w:after="0" w:line="240" w:lineRule="auto"/>
        <w:ind w:firstLine="709"/>
        <w:jc w:val="both"/>
        <w:rPr>
          <w:rFonts w:ascii="Times New Roman" w:hAnsi="Times New Roman" w:cs="Times New Roman"/>
          <w:sz w:val="28"/>
          <w:szCs w:val="28"/>
        </w:rPr>
      </w:pPr>
      <w:r w:rsidRPr="0068084B">
        <w:rPr>
          <w:rFonts w:ascii="Times New Roman" w:hAnsi="Times New Roman" w:cs="Times New Roman"/>
          <w:sz w:val="28"/>
          <w:szCs w:val="28"/>
        </w:rPr>
        <w:t xml:space="preserve"> Secondly, some medically and clinically important viruses cannot be propagated</w:t>
      </w:r>
      <w:r w:rsidR="00F84987" w:rsidRPr="0068084B">
        <w:rPr>
          <w:rFonts w:ascii="Times New Roman" w:hAnsi="Times New Roman" w:cs="Times New Roman"/>
          <w:sz w:val="28"/>
          <w:szCs w:val="28"/>
        </w:rPr>
        <w:t>, as there is no suitable animal model, and they are too hazardous</w:t>
      </w:r>
      <w:r w:rsidRPr="0068084B">
        <w:rPr>
          <w:rFonts w:ascii="Times New Roman" w:hAnsi="Times New Roman" w:cs="Times New Roman"/>
          <w:sz w:val="28"/>
          <w:szCs w:val="28"/>
        </w:rPr>
        <w:t xml:space="preserve"> to work with. These viruses </w:t>
      </w:r>
      <w:r w:rsidR="00F84987" w:rsidRPr="0068084B">
        <w:rPr>
          <w:rFonts w:ascii="Times New Roman" w:hAnsi="Times New Roman" w:cs="Times New Roman"/>
          <w:sz w:val="28"/>
          <w:szCs w:val="28"/>
        </w:rPr>
        <w:t xml:space="preserve">include HBV, HPV, smallpox, Ebola virus, Lassa virus, and Marburg virus </w:t>
      </w:r>
      <w:r w:rsidRPr="0068084B">
        <w:rPr>
          <w:rFonts w:ascii="Times New Roman" w:hAnsi="Times New Roman" w:cs="Times New Roman"/>
          <w:sz w:val="28"/>
          <w:szCs w:val="28"/>
        </w:rPr>
        <w:t>[</w:t>
      </w:r>
      <w:r w:rsidR="005B799D" w:rsidRPr="0068084B">
        <w:rPr>
          <w:rFonts w:ascii="Times New Roman" w:hAnsi="Times New Roman" w:cs="Times New Roman"/>
          <w:sz w:val="28"/>
          <w:szCs w:val="28"/>
        </w:rPr>
        <w:t>53-54</w:t>
      </w:r>
      <w:r w:rsidRPr="0068084B">
        <w:rPr>
          <w:rFonts w:ascii="Times New Roman" w:hAnsi="Times New Roman" w:cs="Times New Roman"/>
          <w:sz w:val="28"/>
          <w:szCs w:val="28"/>
        </w:rPr>
        <w:t xml:space="preserve">]. </w:t>
      </w:r>
    </w:p>
    <w:p w14:paraId="46AE46A7" w14:textId="77AD01B6" w:rsidR="00D54845" w:rsidRPr="0068084B" w:rsidRDefault="00853685" w:rsidP="00EC2399">
      <w:pPr>
        <w:spacing w:after="0" w:line="240" w:lineRule="auto"/>
        <w:ind w:firstLine="709"/>
        <w:jc w:val="both"/>
        <w:rPr>
          <w:rFonts w:ascii="Times New Roman" w:hAnsi="Times New Roman" w:cs="Times New Roman"/>
          <w:sz w:val="28"/>
          <w:szCs w:val="28"/>
        </w:rPr>
      </w:pPr>
      <w:r w:rsidRPr="0068084B">
        <w:rPr>
          <w:rFonts w:ascii="Times New Roman" w:hAnsi="Times New Roman" w:cs="Times New Roman"/>
          <w:sz w:val="28"/>
          <w:szCs w:val="28"/>
        </w:rPr>
        <w:t xml:space="preserve">Thirdly, a compound must </w:t>
      </w:r>
      <w:r w:rsidR="00F84987" w:rsidRPr="0068084B">
        <w:rPr>
          <w:rFonts w:ascii="Times New Roman" w:hAnsi="Times New Roman" w:cs="Times New Roman"/>
          <w:sz w:val="28"/>
          <w:szCs w:val="28"/>
        </w:rPr>
        <w:t>completely block virus replication.</w:t>
      </w:r>
      <w:r w:rsidRPr="0068084B">
        <w:rPr>
          <w:rFonts w:ascii="Times New Roman" w:hAnsi="Times New Roman" w:cs="Times New Roman"/>
          <w:sz w:val="28"/>
          <w:szCs w:val="28"/>
        </w:rPr>
        <w:t xml:space="preserve"> It must be potent. </w:t>
      </w:r>
      <w:r w:rsidR="00C047BD">
        <w:rPr>
          <w:rFonts w:ascii="Times New Roman" w:hAnsi="Times New Roman" w:cs="Times New Roman"/>
          <w:sz w:val="28"/>
          <w:szCs w:val="28"/>
        </w:rPr>
        <w:t>Potent antiviral drugs cannot afford to block enzyme activity only partially, as many standard pharmaceuticals do</w:t>
      </w:r>
      <w:r w:rsidRPr="0068084B">
        <w:rPr>
          <w:rFonts w:ascii="Times New Roman" w:hAnsi="Times New Roman" w:cs="Times New Roman"/>
          <w:sz w:val="28"/>
          <w:szCs w:val="28"/>
        </w:rPr>
        <w:t xml:space="preserve">. Otherwise, we </w:t>
      </w:r>
      <w:r w:rsidR="00F84987" w:rsidRPr="0068084B">
        <w:rPr>
          <w:rFonts w:ascii="Times New Roman" w:hAnsi="Times New Roman" w:cs="Times New Roman"/>
          <w:sz w:val="28"/>
          <w:szCs w:val="28"/>
        </w:rPr>
        <w:t xml:space="preserve">develop antiviral drug resistance </w:t>
      </w:r>
      <w:r w:rsidR="00C047BD">
        <w:rPr>
          <w:rFonts w:ascii="Times New Roman" w:hAnsi="Times New Roman" w:cs="Times New Roman"/>
          <w:sz w:val="28"/>
          <w:szCs w:val="28"/>
        </w:rPr>
        <w:t>as mutated strains emerge</w:t>
      </w:r>
      <w:r w:rsidRPr="0068084B">
        <w:rPr>
          <w:rFonts w:ascii="Times New Roman" w:hAnsi="Times New Roman" w:cs="Times New Roman"/>
          <w:sz w:val="28"/>
          <w:szCs w:val="28"/>
        </w:rPr>
        <w:t xml:space="preserve">. And, of course, we should not forget the financial aspect – it is costly. For many decades, antiviral medicine production has </w:t>
      </w:r>
      <w:r w:rsidR="00034912" w:rsidRPr="0068084B">
        <w:rPr>
          <w:rFonts w:ascii="Times New Roman" w:hAnsi="Times New Roman" w:cs="Times New Roman"/>
          <w:sz w:val="28"/>
          <w:szCs w:val="28"/>
        </w:rPr>
        <w:t>been categorised into</w:t>
      </w:r>
      <w:r w:rsidRPr="0068084B">
        <w:rPr>
          <w:rFonts w:ascii="Times New Roman" w:hAnsi="Times New Roman" w:cs="Times New Roman"/>
          <w:sz w:val="28"/>
          <w:szCs w:val="28"/>
        </w:rPr>
        <w:t xml:space="preserve"> four main groups. They are 1) Anti-influenza, 2) anti-HIV drugs, 3) Anti-hepatitis, and 4) Anti-herpes. </w:t>
      </w:r>
      <w:r w:rsidR="005D4FCE" w:rsidRPr="0068084B">
        <w:rPr>
          <w:rFonts w:ascii="Times New Roman" w:hAnsi="Times New Roman" w:cs="Times New Roman"/>
          <w:sz w:val="28"/>
          <w:szCs w:val="28"/>
        </w:rPr>
        <w:t>Figure 4 illustrates the allocation of antiviral drugs by virus species and their specific targets. Overall, the majority of antiviral medications focus on HIV, while polymerase activity is the least targeted mechanism. The first pie chart shows that 46% of antiviral drugs are developed to combat HIV, making it the most researched virus. Other viruses, such as Hepatitis B and C (HBV/HCV), account for 21%, while herpes viruses represent 17%.</w:t>
      </w:r>
    </w:p>
    <w:p w14:paraId="5CCDDACA" w14:textId="3A0E2B39" w:rsidR="00F57F6F" w:rsidRPr="0068084B" w:rsidRDefault="005D4FCE" w:rsidP="0068084B">
      <w:pPr>
        <w:spacing w:after="0" w:line="240" w:lineRule="auto"/>
        <w:ind w:firstLine="709"/>
        <w:jc w:val="both"/>
        <w:rPr>
          <w:rFonts w:ascii="Times New Roman" w:hAnsi="Times New Roman" w:cs="Times New Roman"/>
          <w:sz w:val="28"/>
          <w:szCs w:val="28"/>
        </w:rPr>
      </w:pPr>
      <w:r w:rsidRPr="0068084B">
        <w:rPr>
          <w:rFonts w:ascii="Times New Roman" w:hAnsi="Times New Roman" w:cs="Times New Roman"/>
          <w:sz w:val="28"/>
          <w:szCs w:val="28"/>
        </w:rPr>
        <w:t xml:space="preserve"> Influenza and other viruses comprise </w:t>
      </w:r>
      <w:r w:rsidR="00C26EE4" w:rsidRPr="0068084B">
        <w:rPr>
          <w:rFonts w:ascii="Times New Roman" w:hAnsi="Times New Roman" w:cs="Times New Roman"/>
          <w:sz w:val="28"/>
          <w:szCs w:val="28"/>
        </w:rPr>
        <w:t>smaller</w:t>
      </w:r>
      <w:r w:rsidRPr="0068084B">
        <w:rPr>
          <w:rFonts w:ascii="Times New Roman" w:hAnsi="Times New Roman" w:cs="Times New Roman"/>
          <w:sz w:val="28"/>
          <w:szCs w:val="28"/>
        </w:rPr>
        <w:t xml:space="preserve"> proportions</w:t>
      </w:r>
      <w:r w:rsidR="00C047BD">
        <w:rPr>
          <w:rFonts w:ascii="Times New Roman" w:hAnsi="Times New Roman" w:cs="Times New Roman"/>
          <w:sz w:val="28"/>
          <w:szCs w:val="28"/>
        </w:rPr>
        <w:t xml:space="preserve"> —</w:t>
      </w:r>
      <w:r w:rsidRPr="0068084B">
        <w:rPr>
          <w:rFonts w:ascii="Times New Roman" w:hAnsi="Times New Roman" w:cs="Times New Roman"/>
          <w:sz w:val="28"/>
          <w:szCs w:val="28"/>
        </w:rPr>
        <w:t xml:space="preserve">11% and 5%, respectively. The second chart highlights the targets of these antiviral drugs—the most significant </w:t>
      </w:r>
      <w:r w:rsidR="00C047BD">
        <w:rPr>
          <w:rFonts w:ascii="Times New Roman" w:hAnsi="Times New Roman" w:cs="Times New Roman"/>
          <w:sz w:val="28"/>
          <w:szCs w:val="28"/>
        </w:rPr>
        <w:t xml:space="preserve">target (37%) is polymerase activity, which is </w:t>
      </w:r>
      <w:r w:rsidRPr="0068084B">
        <w:rPr>
          <w:rFonts w:ascii="Times New Roman" w:hAnsi="Times New Roman" w:cs="Times New Roman"/>
          <w:sz w:val="28"/>
          <w:szCs w:val="28"/>
        </w:rPr>
        <w:t xml:space="preserve">essential for viral replication. Proteins involved in viral molecular mechanisms are targeted by 31% of drugs, while integrase inhibitors account for 4%. Approximately 28% of antivirals </w:t>
      </w:r>
      <w:r w:rsidR="00C26EE4" w:rsidRPr="0068084B">
        <w:rPr>
          <w:rFonts w:ascii="Times New Roman" w:hAnsi="Times New Roman" w:cs="Times New Roman"/>
          <w:sz w:val="28"/>
          <w:szCs w:val="28"/>
        </w:rPr>
        <w:t xml:space="preserve">target host DNA or proteins, thereby </w:t>
      </w:r>
      <w:r w:rsidRPr="0068084B">
        <w:rPr>
          <w:rFonts w:ascii="Times New Roman" w:hAnsi="Times New Roman" w:cs="Times New Roman"/>
          <w:sz w:val="28"/>
          <w:szCs w:val="28"/>
        </w:rPr>
        <w:t xml:space="preserve">indirectly affecting </w:t>
      </w:r>
      <w:r w:rsidR="00C047BD">
        <w:rPr>
          <w:rFonts w:ascii="Times New Roman" w:hAnsi="Times New Roman" w:cs="Times New Roman"/>
          <w:sz w:val="28"/>
          <w:szCs w:val="28"/>
        </w:rPr>
        <w:t xml:space="preserve">viral survival </w:t>
      </w:r>
      <w:r w:rsidR="00F84987" w:rsidRPr="0068084B">
        <w:rPr>
          <w:rFonts w:ascii="Times New Roman" w:hAnsi="Times New Roman" w:cs="Times New Roman"/>
          <w:sz w:val="28"/>
          <w:szCs w:val="28"/>
        </w:rPr>
        <w:t>[54-56]</w:t>
      </w:r>
      <w:r w:rsidRPr="0068084B">
        <w:rPr>
          <w:rFonts w:ascii="Times New Roman" w:hAnsi="Times New Roman" w:cs="Times New Roman"/>
          <w:sz w:val="28"/>
          <w:szCs w:val="28"/>
        </w:rPr>
        <w:t xml:space="preserve">. In summary, most antiviral drugs are aimed at treating HIV and focus on polymerase activity or viral proteins. However, a considerable portion also targets host cellular mechanisms, reflecting efforts to develop broader treatments for persistent viral infections. This data </w:t>
      </w:r>
      <w:r w:rsidR="00413786" w:rsidRPr="0068084B">
        <w:rPr>
          <w:rFonts w:ascii="Times New Roman" w:hAnsi="Times New Roman" w:cs="Times New Roman"/>
          <w:sz w:val="28"/>
          <w:szCs w:val="28"/>
        </w:rPr>
        <w:t>highlights the challenges associated with Favipiravir (nucleoside analogue), a pyrazine analogue of T-705 and a potent</w:t>
      </w:r>
      <w:r w:rsidR="00853685" w:rsidRPr="0068084B">
        <w:rPr>
          <w:rFonts w:ascii="Times New Roman" w:hAnsi="Times New Roman" w:cs="Times New Roman"/>
          <w:sz w:val="28"/>
          <w:szCs w:val="28"/>
        </w:rPr>
        <w:t xml:space="preserve"> inhibitor of influenza viral RNA polymerase [33</w:t>
      </w:r>
      <w:r w:rsidR="00F57F6F" w:rsidRPr="0068084B">
        <w:rPr>
          <w:rFonts w:ascii="Times New Roman" w:hAnsi="Times New Roman" w:cs="Times New Roman"/>
          <w:sz w:val="28"/>
          <w:szCs w:val="28"/>
        </w:rPr>
        <w:t>,49,57</w:t>
      </w:r>
      <w:r w:rsidR="00853685" w:rsidRPr="0068084B">
        <w:rPr>
          <w:rFonts w:ascii="Times New Roman" w:hAnsi="Times New Roman" w:cs="Times New Roman"/>
          <w:sz w:val="28"/>
          <w:szCs w:val="28"/>
        </w:rPr>
        <w:t xml:space="preserve">]. </w:t>
      </w:r>
    </w:p>
    <w:p w14:paraId="7D001564" w14:textId="7E3C932A" w:rsidR="00F57F6F" w:rsidRPr="0068084B" w:rsidRDefault="00853685" w:rsidP="0068084B">
      <w:pPr>
        <w:spacing w:after="0" w:line="240" w:lineRule="auto"/>
        <w:ind w:firstLine="708"/>
        <w:jc w:val="both"/>
        <w:rPr>
          <w:rFonts w:ascii="Times New Roman" w:hAnsi="Times New Roman" w:cs="Times New Roman"/>
          <w:sz w:val="28"/>
          <w:szCs w:val="28"/>
        </w:rPr>
      </w:pPr>
      <w:r w:rsidRPr="0068084B">
        <w:rPr>
          <w:rFonts w:ascii="Times New Roman" w:hAnsi="Times New Roman" w:cs="Times New Roman"/>
          <w:sz w:val="28"/>
          <w:szCs w:val="28"/>
        </w:rPr>
        <w:t>Favipiravir’s metabolite (Favipiravir RTP (</w:t>
      </w:r>
      <w:proofErr w:type="spellStart"/>
      <w:r w:rsidRPr="0068084B">
        <w:rPr>
          <w:rFonts w:ascii="Times New Roman" w:hAnsi="Times New Roman" w:cs="Times New Roman"/>
          <w:sz w:val="28"/>
          <w:szCs w:val="28"/>
        </w:rPr>
        <w:t>ribofuranosyl</w:t>
      </w:r>
      <w:proofErr w:type="spellEnd"/>
      <w:r w:rsidRPr="0068084B">
        <w:rPr>
          <w:rFonts w:ascii="Times New Roman" w:hAnsi="Times New Roman" w:cs="Times New Roman"/>
          <w:sz w:val="28"/>
          <w:szCs w:val="28"/>
        </w:rPr>
        <w:t xml:space="preserve"> </w:t>
      </w:r>
      <w:r w:rsidR="00413786" w:rsidRPr="0068084B">
        <w:rPr>
          <w:rFonts w:ascii="Times New Roman" w:hAnsi="Times New Roman" w:cs="Times New Roman"/>
          <w:sz w:val="28"/>
          <w:szCs w:val="28"/>
        </w:rPr>
        <w:t>5’-triphosphate</w:t>
      </w:r>
      <w:r w:rsidRPr="0068084B">
        <w:rPr>
          <w:rFonts w:ascii="Times New Roman" w:hAnsi="Times New Roman" w:cs="Times New Roman"/>
          <w:sz w:val="28"/>
          <w:szCs w:val="28"/>
        </w:rPr>
        <w:t xml:space="preserve"> interacts with viral RNA-dependent polymerase (RdRP). It is assumed that the antiviral effect can be downgraded in the </w:t>
      </w:r>
      <w:r w:rsidR="001565A2">
        <w:rPr>
          <w:rFonts w:ascii="Times New Roman" w:hAnsi="Times New Roman" w:cs="Times New Roman"/>
          <w:sz w:val="28"/>
          <w:szCs w:val="28"/>
        </w:rPr>
        <w:t>presence</w:t>
      </w:r>
      <w:r w:rsidRPr="0068084B">
        <w:rPr>
          <w:rFonts w:ascii="Times New Roman" w:hAnsi="Times New Roman" w:cs="Times New Roman"/>
          <w:sz w:val="28"/>
          <w:szCs w:val="28"/>
        </w:rPr>
        <w:t xml:space="preserve"> of purine nucleotides ATP and GTP. In addition, this metabolite can be identified as a ‘false’ purine by the viral RdRP [34</w:t>
      </w:r>
      <w:r w:rsidR="00F57F6F" w:rsidRPr="0068084B">
        <w:rPr>
          <w:rFonts w:ascii="Times New Roman" w:hAnsi="Times New Roman" w:cs="Times New Roman"/>
          <w:sz w:val="28"/>
          <w:szCs w:val="28"/>
        </w:rPr>
        <w:t>,56-57</w:t>
      </w:r>
      <w:r w:rsidRPr="0068084B">
        <w:rPr>
          <w:rFonts w:ascii="Times New Roman" w:hAnsi="Times New Roman" w:cs="Times New Roman"/>
          <w:sz w:val="28"/>
          <w:szCs w:val="28"/>
        </w:rPr>
        <w:t xml:space="preserve">]. </w:t>
      </w:r>
      <w:r w:rsidR="005E4C41" w:rsidRPr="0068084B">
        <w:rPr>
          <w:rFonts w:ascii="Times New Roman" w:hAnsi="Times New Roman" w:cs="Times New Roman"/>
          <w:sz w:val="28"/>
          <w:szCs w:val="28"/>
        </w:rPr>
        <w:t xml:space="preserve">Previous in vitro studies have shown that </w:t>
      </w:r>
      <w:r w:rsidR="00413786" w:rsidRPr="0068084B">
        <w:rPr>
          <w:rFonts w:ascii="Times New Roman" w:hAnsi="Times New Roman" w:cs="Times New Roman"/>
          <w:sz w:val="28"/>
          <w:szCs w:val="28"/>
        </w:rPr>
        <w:t xml:space="preserve">SARS-CoV-2-infected Vero E6 cells exhibit a tolerable </w:t>
      </w:r>
      <w:r w:rsidR="00C047BD">
        <w:rPr>
          <w:rFonts w:ascii="Times New Roman" w:hAnsi="Times New Roman" w:cs="Times New Roman"/>
          <w:sz w:val="28"/>
          <w:szCs w:val="28"/>
        </w:rPr>
        <w:t>cytotoxicity profile, with a half-maximal cytotoxic</w:t>
      </w:r>
      <w:r w:rsidR="00413786" w:rsidRPr="0068084B">
        <w:rPr>
          <w:rFonts w:ascii="Times New Roman" w:hAnsi="Times New Roman" w:cs="Times New Roman"/>
          <w:sz w:val="28"/>
          <w:szCs w:val="28"/>
        </w:rPr>
        <w:t xml:space="preserve"> concentration </w:t>
      </w:r>
      <w:r w:rsidR="00413786" w:rsidRPr="0068084B">
        <w:rPr>
          <w:rFonts w:ascii="Times New Roman" w:hAnsi="Times New Roman" w:cs="Times New Roman"/>
          <w:sz w:val="28"/>
          <w:szCs w:val="28"/>
        </w:rPr>
        <w:lastRenderedPageBreak/>
        <w:t>(CC50) of 400 µM or higher</w:t>
      </w:r>
      <w:r w:rsidRPr="0068084B">
        <w:rPr>
          <w:rFonts w:ascii="Times New Roman" w:hAnsi="Times New Roman" w:cs="Times New Roman"/>
          <w:sz w:val="28"/>
          <w:szCs w:val="28"/>
        </w:rPr>
        <w:t xml:space="preserve"> [35].  Thus, it became clear that Favipiravir could be used at high concentrations as a safe and effective </w:t>
      </w:r>
      <w:r w:rsidR="00C047BD">
        <w:rPr>
          <w:rFonts w:ascii="Times New Roman" w:hAnsi="Times New Roman" w:cs="Times New Roman"/>
          <w:sz w:val="28"/>
          <w:szCs w:val="28"/>
        </w:rPr>
        <w:t>treatment for COVID-19</w:t>
      </w:r>
      <w:r w:rsidRPr="0068084B">
        <w:rPr>
          <w:rFonts w:ascii="Times New Roman" w:hAnsi="Times New Roman" w:cs="Times New Roman"/>
          <w:sz w:val="28"/>
          <w:szCs w:val="28"/>
        </w:rPr>
        <w:t>.</w:t>
      </w:r>
      <w:r w:rsidR="00830289" w:rsidRPr="0068084B">
        <w:rPr>
          <w:rFonts w:ascii="Times New Roman" w:hAnsi="Times New Roman" w:cs="Times New Roman"/>
          <w:sz w:val="28"/>
          <w:szCs w:val="28"/>
        </w:rPr>
        <w:t xml:space="preserve"> </w:t>
      </w:r>
    </w:p>
    <w:p w14:paraId="064692D5" w14:textId="77777777" w:rsidR="00045EA8" w:rsidRDefault="00853685" w:rsidP="0068084B">
      <w:pPr>
        <w:spacing w:after="0" w:line="240" w:lineRule="auto"/>
        <w:ind w:firstLine="708"/>
        <w:jc w:val="both"/>
        <w:rPr>
          <w:rFonts w:ascii="Times New Roman" w:hAnsi="Times New Roman" w:cs="Times New Roman"/>
          <w:b/>
          <w:bCs/>
          <w:sz w:val="28"/>
          <w:szCs w:val="28"/>
        </w:rPr>
      </w:pPr>
      <w:r w:rsidRPr="0068084B">
        <w:rPr>
          <w:rFonts w:ascii="Times New Roman" w:hAnsi="Times New Roman" w:cs="Times New Roman"/>
          <w:sz w:val="28"/>
          <w:szCs w:val="28"/>
        </w:rPr>
        <w:t>Ribavirin (</w:t>
      </w:r>
      <w:r w:rsidR="005E4C41" w:rsidRPr="0068084B">
        <w:rPr>
          <w:rFonts w:ascii="Times New Roman" w:hAnsi="Times New Roman" w:cs="Times New Roman"/>
          <w:sz w:val="28"/>
          <w:szCs w:val="28"/>
        </w:rPr>
        <w:t>a nucleoside analogue) is a well-known antiviral drug that interferes with RNA and DNA replication by acting as a</w:t>
      </w:r>
      <w:r w:rsidRPr="0068084B">
        <w:rPr>
          <w:rFonts w:ascii="Times New Roman" w:hAnsi="Times New Roman" w:cs="Times New Roman"/>
          <w:sz w:val="28"/>
          <w:szCs w:val="28"/>
        </w:rPr>
        <w:t xml:space="preserve"> guanosine analogue (Guanine triphosphate (GTP)). The RNA-polymerase is </w:t>
      </w:r>
      <w:r w:rsidR="00413786" w:rsidRPr="0068084B">
        <w:rPr>
          <w:rFonts w:ascii="Times New Roman" w:hAnsi="Times New Roman" w:cs="Times New Roman"/>
          <w:sz w:val="28"/>
          <w:szCs w:val="28"/>
        </w:rPr>
        <w:t xml:space="preserve">not a </w:t>
      </w:r>
      <w:r w:rsidRPr="0068084B">
        <w:rPr>
          <w:rFonts w:ascii="Times New Roman" w:hAnsi="Times New Roman" w:cs="Times New Roman"/>
          <w:sz w:val="28"/>
          <w:szCs w:val="28"/>
        </w:rPr>
        <w:t xml:space="preserve">single target. However, its structure prevents RNA capping during </w:t>
      </w:r>
      <w:r w:rsidR="00C047BD">
        <w:rPr>
          <w:rFonts w:ascii="Times New Roman" w:hAnsi="Times New Roman" w:cs="Times New Roman"/>
          <w:sz w:val="28"/>
          <w:szCs w:val="28"/>
        </w:rPr>
        <w:t xml:space="preserve">RNA maturation, which is heavily dependent on natural guanosine, thereby preventing RNA </w:t>
      </w:r>
      <w:r w:rsidRPr="0068084B">
        <w:rPr>
          <w:rFonts w:ascii="Times New Roman" w:hAnsi="Times New Roman" w:cs="Times New Roman"/>
          <w:sz w:val="28"/>
          <w:szCs w:val="28"/>
        </w:rPr>
        <w:t xml:space="preserve">degradation [36]. Some studies </w:t>
      </w:r>
      <w:r w:rsidR="005E4C41" w:rsidRPr="0068084B">
        <w:rPr>
          <w:rFonts w:ascii="Times New Roman" w:hAnsi="Times New Roman" w:cs="Times New Roman"/>
          <w:sz w:val="28"/>
          <w:szCs w:val="28"/>
        </w:rPr>
        <w:t xml:space="preserve">have shown no significant cytotoxicity in the Vero cell model at </w:t>
      </w:r>
      <w:r w:rsidR="00C047BD">
        <w:rPr>
          <w:rFonts w:ascii="Times New Roman" w:hAnsi="Times New Roman" w:cs="Times New Roman"/>
          <w:sz w:val="28"/>
          <w:szCs w:val="28"/>
        </w:rPr>
        <w:t xml:space="preserve">a ribavirin concentration of 31.3 μg/mL </w:t>
      </w:r>
      <w:r w:rsidRPr="0068084B">
        <w:rPr>
          <w:rFonts w:ascii="Times New Roman" w:hAnsi="Times New Roman" w:cs="Times New Roman"/>
          <w:sz w:val="28"/>
          <w:szCs w:val="28"/>
        </w:rPr>
        <w:t>[37]</w:t>
      </w:r>
      <w:r w:rsidRPr="0068084B">
        <w:rPr>
          <w:rFonts w:ascii="Times New Roman" w:hAnsi="Times New Roman" w:cs="Times New Roman"/>
          <w:b/>
          <w:bCs/>
          <w:sz w:val="28"/>
          <w:szCs w:val="28"/>
        </w:rPr>
        <w:t xml:space="preserve">. </w:t>
      </w:r>
    </w:p>
    <w:p w14:paraId="36E7CB99" w14:textId="1179BCA4" w:rsidR="00226539" w:rsidRPr="0068084B" w:rsidRDefault="00853685" w:rsidP="0068084B">
      <w:pPr>
        <w:spacing w:after="0" w:line="240" w:lineRule="auto"/>
        <w:ind w:firstLine="708"/>
        <w:jc w:val="both"/>
        <w:rPr>
          <w:rFonts w:ascii="Times New Roman" w:hAnsi="Times New Roman" w:cs="Times New Roman"/>
          <w:sz w:val="28"/>
          <w:szCs w:val="28"/>
        </w:rPr>
      </w:pPr>
      <w:r w:rsidRPr="0068084B">
        <w:rPr>
          <w:rFonts w:ascii="Times New Roman" w:hAnsi="Times New Roman" w:cs="Times New Roman"/>
          <w:sz w:val="28"/>
          <w:szCs w:val="28"/>
        </w:rPr>
        <w:t xml:space="preserve">The clinical experience during the pandemic </w:t>
      </w:r>
      <w:r w:rsidR="005E4C41" w:rsidRPr="0068084B">
        <w:rPr>
          <w:rFonts w:ascii="Times New Roman" w:hAnsi="Times New Roman" w:cs="Times New Roman"/>
          <w:sz w:val="28"/>
          <w:szCs w:val="28"/>
        </w:rPr>
        <w:t>revealed that patients with worsening cases were administered 400mg every 8 hours, in addition to methylprednisolone,</w:t>
      </w:r>
      <w:r w:rsidRPr="0068084B">
        <w:rPr>
          <w:rFonts w:ascii="Times New Roman" w:hAnsi="Times New Roman" w:cs="Times New Roman"/>
          <w:sz w:val="28"/>
          <w:szCs w:val="28"/>
        </w:rPr>
        <w:t xml:space="preserve"> to decrease the progressive viral load activity [38</w:t>
      </w:r>
      <w:r w:rsidR="00F57F6F" w:rsidRPr="0068084B">
        <w:rPr>
          <w:rFonts w:ascii="Times New Roman" w:hAnsi="Times New Roman" w:cs="Times New Roman"/>
          <w:sz w:val="28"/>
          <w:szCs w:val="28"/>
        </w:rPr>
        <w:t>,51-53</w:t>
      </w:r>
      <w:r w:rsidRPr="0068084B">
        <w:rPr>
          <w:rFonts w:ascii="Times New Roman" w:hAnsi="Times New Roman" w:cs="Times New Roman"/>
          <w:sz w:val="28"/>
          <w:szCs w:val="28"/>
        </w:rPr>
        <w:t xml:space="preserve">].  </w:t>
      </w:r>
      <w:r w:rsidR="005E4C41" w:rsidRPr="0068084B">
        <w:rPr>
          <w:rFonts w:ascii="Times New Roman" w:hAnsi="Times New Roman" w:cs="Times New Roman"/>
          <w:sz w:val="28"/>
          <w:szCs w:val="28"/>
        </w:rPr>
        <w:t xml:space="preserve">The high </w:t>
      </w:r>
      <w:r w:rsidR="00B16170" w:rsidRPr="0068084B">
        <w:rPr>
          <w:rFonts w:ascii="Times New Roman" w:hAnsi="Times New Roman" w:cs="Times New Roman"/>
          <w:sz w:val="28"/>
          <w:szCs w:val="28"/>
        </w:rPr>
        <w:t>specialisation</w:t>
      </w:r>
      <w:r w:rsidR="005E4C41" w:rsidRPr="0068084B">
        <w:rPr>
          <w:rFonts w:ascii="Times New Roman" w:hAnsi="Times New Roman" w:cs="Times New Roman"/>
          <w:sz w:val="28"/>
          <w:szCs w:val="28"/>
        </w:rPr>
        <w:t xml:space="preserve"> of </w:t>
      </w:r>
      <w:r w:rsidR="00C047BD">
        <w:rPr>
          <w:rFonts w:ascii="Times New Roman" w:hAnsi="Times New Roman" w:cs="Times New Roman"/>
          <w:sz w:val="28"/>
          <w:szCs w:val="28"/>
        </w:rPr>
        <w:t>ribavirin led doctors to pair it with either IFN-α2a or IFN-α2b (interferon) to achieve</w:t>
      </w:r>
      <w:r w:rsidRPr="0068084B">
        <w:rPr>
          <w:rFonts w:ascii="Times New Roman" w:hAnsi="Times New Roman" w:cs="Times New Roman"/>
          <w:sz w:val="28"/>
          <w:szCs w:val="28"/>
        </w:rPr>
        <w:t xml:space="preserve"> the therapeutic threshold and stop viral replication [38].  In 2003, in Canada, ribavirin therapy with a dose of 500mg every 8 hours for 4-6 days was also combined with a corticosteroid in 40% of SARS patients [39].  </w:t>
      </w:r>
      <w:r w:rsidR="005E4C41" w:rsidRPr="0068084B">
        <w:rPr>
          <w:rFonts w:ascii="Times New Roman" w:hAnsi="Times New Roman" w:cs="Times New Roman"/>
          <w:sz w:val="28"/>
          <w:szCs w:val="28"/>
        </w:rPr>
        <w:t xml:space="preserve">Ribavirin is a universal antiviral agent that can be </w:t>
      </w:r>
      <w:r w:rsidR="00C047BD">
        <w:rPr>
          <w:rFonts w:ascii="Times New Roman" w:hAnsi="Times New Roman" w:cs="Times New Roman"/>
          <w:sz w:val="28"/>
          <w:szCs w:val="28"/>
        </w:rPr>
        <w:t>used alone or in combination with antiviral compounds, such as interferon or immunosuppressants, in patients with</w:t>
      </w:r>
      <w:r w:rsidR="005E4C41" w:rsidRPr="0068084B">
        <w:rPr>
          <w:rFonts w:ascii="Times New Roman" w:hAnsi="Times New Roman" w:cs="Times New Roman"/>
          <w:sz w:val="28"/>
          <w:szCs w:val="28"/>
        </w:rPr>
        <w:t xml:space="preserve"> worsening clinical </w:t>
      </w:r>
      <w:r w:rsidR="00C047BD">
        <w:rPr>
          <w:rFonts w:ascii="Times New Roman" w:hAnsi="Times New Roman" w:cs="Times New Roman"/>
          <w:sz w:val="28"/>
          <w:szCs w:val="28"/>
        </w:rPr>
        <w:t>conditions</w:t>
      </w:r>
      <w:r w:rsidRPr="0068084B">
        <w:rPr>
          <w:rFonts w:ascii="Times New Roman" w:hAnsi="Times New Roman" w:cs="Times New Roman"/>
          <w:sz w:val="28"/>
          <w:szCs w:val="28"/>
        </w:rPr>
        <w:t xml:space="preserve">.   </w:t>
      </w:r>
    </w:p>
    <w:p w14:paraId="106E1B32" w14:textId="77777777" w:rsidR="00045EA8" w:rsidRDefault="00853685" w:rsidP="0068084B">
      <w:pPr>
        <w:spacing w:after="0" w:line="240" w:lineRule="auto"/>
        <w:ind w:firstLine="707"/>
        <w:jc w:val="both"/>
        <w:rPr>
          <w:rFonts w:ascii="Times New Roman" w:hAnsi="Times New Roman" w:cs="Times New Roman"/>
          <w:sz w:val="28"/>
          <w:szCs w:val="28"/>
        </w:rPr>
      </w:pPr>
      <w:bookmarkStart w:id="8" w:name="_Hlk158022086"/>
      <w:r w:rsidRPr="0068084B">
        <w:rPr>
          <w:rFonts w:ascii="Times New Roman" w:hAnsi="Times New Roman" w:cs="Times New Roman"/>
          <w:sz w:val="28"/>
          <w:szCs w:val="28"/>
        </w:rPr>
        <w:t>Tenofovir (</w:t>
      </w:r>
      <w:r w:rsidR="00A97EBA" w:rsidRPr="0068084B">
        <w:rPr>
          <w:rFonts w:ascii="Times New Roman" w:hAnsi="Times New Roman" w:cs="Times New Roman"/>
          <w:sz w:val="28"/>
          <w:szCs w:val="28"/>
        </w:rPr>
        <w:t xml:space="preserve">a nucleotide analogue) </w:t>
      </w:r>
      <w:r w:rsidR="00C047BD">
        <w:rPr>
          <w:rFonts w:ascii="Times New Roman" w:hAnsi="Times New Roman" w:cs="Times New Roman"/>
          <w:sz w:val="28"/>
          <w:szCs w:val="28"/>
        </w:rPr>
        <w:t>is both an anti-HIV drug and an antiviral drug</w:t>
      </w:r>
      <w:r w:rsidR="00A97EBA" w:rsidRPr="0068084B">
        <w:rPr>
          <w:rFonts w:ascii="Times New Roman" w:hAnsi="Times New Roman" w:cs="Times New Roman"/>
          <w:sz w:val="28"/>
          <w:szCs w:val="28"/>
        </w:rPr>
        <w:t>, according to the manufacturer’s</w:t>
      </w:r>
      <w:r w:rsidRPr="0068084B">
        <w:rPr>
          <w:rFonts w:ascii="Times New Roman" w:hAnsi="Times New Roman" w:cs="Times New Roman"/>
          <w:sz w:val="28"/>
          <w:szCs w:val="28"/>
        </w:rPr>
        <w:t xml:space="preserve"> manual. Tenofovir </w:t>
      </w:r>
      <w:r w:rsidR="00C047BD">
        <w:rPr>
          <w:rFonts w:ascii="Times New Roman" w:hAnsi="Times New Roman" w:cs="Times New Roman"/>
          <w:sz w:val="28"/>
          <w:szCs w:val="28"/>
        </w:rPr>
        <w:t xml:space="preserve">is a class of reverse transcriptase </w:t>
      </w:r>
      <w:r w:rsidR="005D06AC">
        <w:rPr>
          <w:rFonts w:ascii="Times New Roman" w:hAnsi="Times New Roman" w:cs="Times New Roman"/>
          <w:sz w:val="28"/>
          <w:szCs w:val="28"/>
        </w:rPr>
        <w:t>inhibitors</w:t>
      </w:r>
      <w:r w:rsidR="00C047BD">
        <w:rPr>
          <w:rFonts w:ascii="Times New Roman" w:hAnsi="Times New Roman" w:cs="Times New Roman"/>
          <w:sz w:val="28"/>
          <w:szCs w:val="28"/>
        </w:rPr>
        <w:t xml:space="preserve">, specifically a nucleoside reverse transcriptase inhibitor (NRTI), </w:t>
      </w:r>
      <w:r w:rsidR="00AA696D">
        <w:rPr>
          <w:rFonts w:ascii="Times New Roman" w:hAnsi="Times New Roman" w:cs="Times New Roman"/>
          <w:sz w:val="28"/>
          <w:szCs w:val="28"/>
        </w:rPr>
        <w:t>a structural analogue of nucleic acids</w:t>
      </w:r>
      <w:r w:rsidR="00D10872" w:rsidRPr="0068084B">
        <w:rPr>
          <w:rFonts w:ascii="Times New Roman" w:hAnsi="Times New Roman" w:cs="Times New Roman"/>
          <w:sz w:val="28"/>
          <w:szCs w:val="28"/>
        </w:rPr>
        <w:t xml:space="preserve"> such as</w:t>
      </w:r>
      <w:r w:rsidR="0022741E" w:rsidRPr="0068084B">
        <w:rPr>
          <w:rFonts w:ascii="Times New Roman" w:hAnsi="Times New Roman" w:cs="Times New Roman"/>
          <w:sz w:val="28"/>
          <w:szCs w:val="28"/>
        </w:rPr>
        <w:t xml:space="preserve"> adenosine monophosphate. These compounds competitively inhibit reverse transcription by causing chain termination after they become incorporated into</w:t>
      </w:r>
      <w:r w:rsidRPr="0068084B">
        <w:rPr>
          <w:rFonts w:ascii="Times New Roman" w:hAnsi="Times New Roman" w:cs="Times New Roman"/>
          <w:sz w:val="28"/>
          <w:szCs w:val="28"/>
        </w:rPr>
        <w:t xml:space="preserve"> viral DNA. </w:t>
      </w:r>
    </w:p>
    <w:p w14:paraId="01FC41A7" w14:textId="5C7BB225" w:rsidR="00F57F6F" w:rsidRPr="0068084B" w:rsidRDefault="00853685" w:rsidP="0068084B">
      <w:pPr>
        <w:spacing w:after="0" w:line="240" w:lineRule="auto"/>
        <w:ind w:firstLine="707"/>
        <w:jc w:val="both"/>
        <w:rPr>
          <w:rFonts w:ascii="Times New Roman" w:hAnsi="Times New Roman" w:cs="Times New Roman"/>
          <w:sz w:val="28"/>
          <w:szCs w:val="28"/>
        </w:rPr>
      </w:pPr>
      <w:r w:rsidRPr="0068084B">
        <w:rPr>
          <w:rFonts w:ascii="Times New Roman" w:hAnsi="Times New Roman" w:cs="Times New Roman"/>
          <w:sz w:val="28"/>
          <w:szCs w:val="28"/>
        </w:rPr>
        <w:t xml:space="preserve">This viral DNA incorporation causes </w:t>
      </w:r>
      <w:r w:rsidR="0022741E" w:rsidRPr="0068084B">
        <w:rPr>
          <w:rFonts w:ascii="Times New Roman" w:hAnsi="Times New Roman" w:cs="Times New Roman"/>
          <w:sz w:val="28"/>
          <w:szCs w:val="28"/>
        </w:rPr>
        <w:t>a phenomenon known as</w:t>
      </w:r>
      <w:r w:rsidRPr="0068084B">
        <w:rPr>
          <w:rFonts w:ascii="Times New Roman" w:hAnsi="Times New Roman" w:cs="Times New Roman"/>
          <w:sz w:val="28"/>
          <w:szCs w:val="28"/>
        </w:rPr>
        <w:t xml:space="preserve"> ‘lethal mutagenesis.’ Tenofovir is also an antiviral </w:t>
      </w:r>
      <w:r w:rsidR="0022741E" w:rsidRPr="0068084B">
        <w:rPr>
          <w:rFonts w:ascii="Times New Roman" w:hAnsi="Times New Roman" w:cs="Times New Roman"/>
          <w:sz w:val="28"/>
          <w:szCs w:val="28"/>
        </w:rPr>
        <w:t>medication used to treat chronic hepatitis B, acting</w:t>
      </w:r>
      <w:r w:rsidRPr="0068084B">
        <w:rPr>
          <w:rFonts w:ascii="Times New Roman" w:hAnsi="Times New Roman" w:cs="Times New Roman"/>
          <w:sz w:val="28"/>
          <w:szCs w:val="28"/>
        </w:rPr>
        <w:t xml:space="preserve"> as a nucleotide analogue. Tenofovir inhibits the HBV (hepatitis B virus) polymerase by competing with </w:t>
      </w:r>
      <w:r w:rsidR="0022741E" w:rsidRPr="0068084B">
        <w:rPr>
          <w:rFonts w:ascii="Times New Roman" w:hAnsi="Times New Roman" w:cs="Times New Roman"/>
          <w:sz w:val="28"/>
          <w:szCs w:val="28"/>
        </w:rPr>
        <w:t xml:space="preserve">the natural substrate </w:t>
      </w:r>
      <w:r w:rsidR="00C047BD">
        <w:rPr>
          <w:rFonts w:ascii="Times New Roman" w:hAnsi="Times New Roman" w:cs="Times New Roman"/>
          <w:sz w:val="28"/>
          <w:szCs w:val="28"/>
        </w:rPr>
        <w:t>as it cooperates with the growing viral DNA strand, causing, as in HIV (human immunodeficiency virus), chain termination that stalls reverse transcription and viral DNA synthesis</w:t>
      </w:r>
      <w:r w:rsidRPr="0068084B">
        <w:rPr>
          <w:rFonts w:ascii="Times New Roman" w:hAnsi="Times New Roman" w:cs="Times New Roman"/>
          <w:sz w:val="28"/>
          <w:szCs w:val="28"/>
        </w:rPr>
        <w:t xml:space="preserve">. Tenofovir is another nucleotide analogue initially designed to inhibit the HIV (human </w:t>
      </w:r>
      <w:r w:rsidR="0022741E" w:rsidRPr="0068084B">
        <w:rPr>
          <w:rFonts w:ascii="Times New Roman" w:hAnsi="Times New Roman" w:cs="Times New Roman"/>
          <w:sz w:val="28"/>
          <w:szCs w:val="28"/>
        </w:rPr>
        <w:t>immunodeficiency virus) reverse transcriptase by interfering with the ATP-Polymerisation</w:t>
      </w:r>
      <w:r w:rsidRPr="0068084B">
        <w:rPr>
          <w:rFonts w:ascii="Times New Roman" w:hAnsi="Times New Roman" w:cs="Times New Roman"/>
          <w:sz w:val="28"/>
          <w:szCs w:val="28"/>
        </w:rPr>
        <w:t xml:space="preserve"> in the growing nucleic acid chain [</w:t>
      </w:r>
      <w:r w:rsidR="005B799D" w:rsidRPr="0068084B">
        <w:rPr>
          <w:rFonts w:ascii="Times New Roman" w:hAnsi="Times New Roman" w:cs="Times New Roman"/>
          <w:sz w:val="28"/>
          <w:szCs w:val="28"/>
        </w:rPr>
        <w:t>44</w:t>
      </w:r>
      <w:r w:rsidRPr="0068084B">
        <w:rPr>
          <w:rFonts w:ascii="Times New Roman" w:hAnsi="Times New Roman" w:cs="Times New Roman"/>
          <w:sz w:val="28"/>
          <w:szCs w:val="28"/>
        </w:rPr>
        <w:t xml:space="preserve">].  </w:t>
      </w:r>
    </w:p>
    <w:p w14:paraId="5994AD74" w14:textId="6B161A43" w:rsidR="00F57F6F" w:rsidRPr="0068084B" w:rsidRDefault="00853685" w:rsidP="0068084B">
      <w:pPr>
        <w:spacing w:after="0" w:line="240" w:lineRule="auto"/>
        <w:ind w:firstLine="707"/>
        <w:jc w:val="both"/>
        <w:rPr>
          <w:rFonts w:ascii="Times New Roman" w:hAnsi="Times New Roman" w:cs="Times New Roman"/>
          <w:sz w:val="28"/>
          <w:szCs w:val="28"/>
        </w:rPr>
      </w:pPr>
      <w:r w:rsidRPr="0068084B">
        <w:rPr>
          <w:rFonts w:ascii="Times New Roman" w:hAnsi="Times New Roman" w:cs="Times New Roman"/>
          <w:sz w:val="28"/>
          <w:szCs w:val="28"/>
        </w:rPr>
        <w:t>Tenofovir was also assumed to be effective against COVID-19</w:t>
      </w:r>
      <w:r w:rsidR="00D10872" w:rsidRPr="0068084B">
        <w:rPr>
          <w:rFonts w:ascii="Times New Roman" w:hAnsi="Times New Roman" w:cs="Times New Roman"/>
          <w:sz w:val="28"/>
          <w:szCs w:val="28"/>
        </w:rPr>
        <w:t>, as it showed a tendency to bind to the RNA-dependent RNA polymerase (RdRP) and inhibit its activity in replication, as well as in transcription and translation of structural and accessory proteins, making virion</w:t>
      </w:r>
      <w:r w:rsidRPr="0068084B">
        <w:rPr>
          <w:rFonts w:ascii="Times New Roman" w:hAnsi="Times New Roman" w:cs="Times New Roman"/>
          <w:sz w:val="28"/>
          <w:szCs w:val="28"/>
        </w:rPr>
        <w:t xml:space="preserve"> assembly almost impossible [</w:t>
      </w:r>
      <w:r w:rsidR="005B799D" w:rsidRPr="0068084B">
        <w:rPr>
          <w:rFonts w:ascii="Times New Roman" w:hAnsi="Times New Roman" w:cs="Times New Roman"/>
          <w:sz w:val="28"/>
          <w:szCs w:val="28"/>
        </w:rPr>
        <w:t>5</w:t>
      </w:r>
      <w:r w:rsidRPr="0068084B">
        <w:rPr>
          <w:rFonts w:ascii="Times New Roman" w:hAnsi="Times New Roman" w:cs="Times New Roman"/>
          <w:sz w:val="28"/>
          <w:szCs w:val="28"/>
        </w:rPr>
        <w:t xml:space="preserve">0].  Tenofovir, </w:t>
      </w:r>
      <w:r w:rsidR="00D10872" w:rsidRPr="0068084B">
        <w:rPr>
          <w:rFonts w:ascii="Times New Roman" w:hAnsi="Times New Roman" w:cs="Times New Roman"/>
          <w:sz w:val="28"/>
          <w:szCs w:val="28"/>
        </w:rPr>
        <w:t>used in our study for oral administration as disoproxil fumarate (TDF), has numerous side effects when administered in high doses, including renal toxicity and bone density degradation</w:t>
      </w:r>
      <w:r w:rsidRPr="0068084B">
        <w:rPr>
          <w:rFonts w:ascii="Times New Roman" w:hAnsi="Times New Roman" w:cs="Times New Roman"/>
          <w:sz w:val="28"/>
          <w:szCs w:val="28"/>
        </w:rPr>
        <w:t xml:space="preserve"> [4</w:t>
      </w:r>
      <w:r w:rsidR="005B799D" w:rsidRPr="0068084B">
        <w:rPr>
          <w:rFonts w:ascii="Times New Roman" w:hAnsi="Times New Roman" w:cs="Times New Roman"/>
          <w:sz w:val="28"/>
          <w:szCs w:val="28"/>
        </w:rPr>
        <w:t>4-45</w:t>
      </w:r>
      <w:r w:rsidRPr="0068084B">
        <w:rPr>
          <w:rFonts w:ascii="Times New Roman" w:hAnsi="Times New Roman" w:cs="Times New Roman"/>
          <w:sz w:val="28"/>
          <w:szCs w:val="28"/>
        </w:rPr>
        <w:t>].</w:t>
      </w:r>
      <w:r w:rsidRPr="0068084B">
        <w:rPr>
          <w:rFonts w:ascii="Times New Roman" w:hAnsi="Times New Roman" w:cs="Times New Roman"/>
          <w:i/>
          <w:iCs/>
          <w:sz w:val="28"/>
          <w:szCs w:val="28"/>
        </w:rPr>
        <w:t xml:space="preserve"> </w:t>
      </w:r>
      <w:r w:rsidR="00D10872" w:rsidRPr="0068084B">
        <w:rPr>
          <w:rFonts w:ascii="Times New Roman" w:hAnsi="Times New Roman" w:cs="Times New Roman"/>
          <w:i/>
          <w:iCs/>
          <w:sz w:val="28"/>
          <w:szCs w:val="28"/>
        </w:rPr>
        <w:t>In vitro studies suggest that at concentrations under 100 µM, tenofovir does not inhibit viral replication in VeroE6 cells at multiple infections in a preventive manner when</w:t>
      </w:r>
      <w:r w:rsidRPr="0068084B">
        <w:rPr>
          <w:rFonts w:ascii="Times New Roman" w:hAnsi="Times New Roman" w:cs="Times New Roman"/>
          <w:sz w:val="28"/>
          <w:szCs w:val="28"/>
        </w:rPr>
        <w:t xml:space="preserve"> administered one hour before infection and up to 48 hours post-infection. In the discussion of results, </w:t>
      </w:r>
      <w:r w:rsidR="00C047BD">
        <w:rPr>
          <w:rFonts w:ascii="Times New Roman" w:hAnsi="Times New Roman" w:cs="Times New Roman"/>
          <w:sz w:val="28"/>
          <w:szCs w:val="28"/>
        </w:rPr>
        <w:t xml:space="preserve">the researchers concluded that tenofovir in </w:t>
      </w:r>
      <w:r w:rsidR="00C047BD">
        <w:rPr>
          <w:rFonts w:ascii="Times New Roman" w:hAnsi="Times New Roman" w:cs="Times New Roman"/>
          <w:sz w:val="28"/>
          <w:szCs w:val="28"/>
        </w:rPr>
        <w:lastRenderedPageBreak/>
        <w:t>ATP form requires activation by a host kinase and that any cell type likely possesses the appropriate</w:t>
      </w:r>
      <w:r w:rsidR="00A97EBA" w:rsidRPr="0068084B">
        <w:rPr>
          <w:rFonts w:ascii="Times New Roman" w:hAnsi="Times New Roman" w:cs="Times New Roman"/>
          <w:sz w:val="28"/>
          <w:szCs w:val="28"/>
        </w:rPr>
        <w:t xml:space="preserve"> kinase activity to initiate tenofovir's</w:t>
      </w:r>
      <w:r w:rsidR="00D10872" w:rsidRPr="0068084B">
        <w:rPr>
          <w:rFonts w:ascii="Times New Roman" w:hAnsi="Times New Roman" w:cs="Times New Roman"/>
          <w:sz w:val="28"/>
          <w:szCs w:val="28"/>
        </w:rPr>
        <w:t xml:space="preserve"> antiviral effects</w:t>
      </w:r>
      <w:r w:rsidRPr="0068084B">
        <w:rPr>
          <w:rFonts w:ascii="Times New Roman" w:hAnsi="Times New Roman" w:cs="Times New Roman"/>
          <w:sz w:val="28"/>
          <w:szCs w:val="28"/>
        </w:rPr>
        <w:t xml:space="preserve">. </w:t>
      </w:r>
      <w:r w:rsidR="00D10872" w:rsidRPr="0068084B">
        <w:rPr>
          <w:rFonts w:ascii="Times New Roman" w:hAnsi="Times New Roman" w:cs="Times New Roman"/>
          <w:sz w:val="28"/>
          <w:szCs w:val="28"/>
        </w:rPr>
        <w:t>Consider a study on human airway epithelial cells [42, 43</w:t>
      </w:r>
      <w:r w:rsidRPr="0068084B">
        <w:rPr>
          <w:rFonts w:ascii="Times New Roman" w:hAnsi="Times New Roman" w:cs="Times New Roman"/>
          <w:sz w:val="28"/>
          <w:szCs w:val="28"/>
        </w:rPr>
        <w:t>].</w:t>
      </w:r>
      <w:bookmarkEnd w:id="8"/>
      <w:r w:rsidR="009C5C7B" w:rsidRPr="0068084B">
        <w:rPr>
          <w:rFonts w:ascii="Times New Roman" w:hAnsi="Times New Roman" w:cs="Times New Roman"/>
          <w:sz w:val="28"/>
          <w:szCs w:val="28"/>
        </w:rPr>
        <w:t xml:space="preserve"> </w:t>
      </w:r>
    </w:p>
    <w:p w14:paraId="31DF0ABA" w14:textId="77777777" w:rsidR="005D06AC" w:rsidRPr="00B75453" w:rsidRDefault="00853685" w:rsidP="0068084B">
      <w:pPr>
        <w:spacing w:after="0" w:line="240" w:lineRule="auto"/>
        <w:ind w:firstLine="707"/>
        <w:jc w:val="both"/>
        <w:rPr>
          <w:rFonts w:ascii="Times New Roman" w:hAnsi="Times New Roman" w:cs="Times New Roman"/>
          <w:sz w:val="28"/>
          <w:szCs w:val="28"/>
          <w:lang w:val="en-US"/>
        </w:rPr>
      </w:pPr>
      <w:r w:rsidRPr="0068084B">
        <w:rPr>
          <w:rFonts w:ascii="Times New Roman" w:hAnsi="Times New Roman" w:cs="Times New Roman"/>
          <w:sz w:val="28"/>
          <w:szCs w:val="28"/>
        </w:rPr>
        <w:t xml:space="preserve">According to the </w:t>
      </w:r>
      <w:r w:rsidR="00C047BD">
        <w:rPr>
          <w:rFonts w:ascii="Times New Roman" w:hAnsi="Times New Roman" w:cs="Times New Roman"/>
          <w:sz w:val="28"/>
          <w:szCs w:val="28"/>
        </w:rPr>
        <w:t>manufacturer's manual, dexamethasone is a synthetic glucocorticoid (GCS)</w:t>
      </w:r>
      <w:r w:rsidR="005D06AC">
        <w:rPr>
          <w:rFonts w:ascii="Times New Roman" w:hAnsi="Times New Roman" w:cs="Times New Roman"/>
          <w:sz w:val="28"/>
          <w:szCs w:val="28"/>
        </w:rPr>
        <w:t xml:space="preserve"> that is</w:t>
      </w:r>
      <w:r w:rsidR="00C047BD">
        <w:rPr>
          <w:rFonts w:ascii="Times New Roman" w:hAnsi="Times New Roman" w:cs="Times New Roman"/>
          <w:sz w:val="28"/>
          <w:szCs w:val="28"/>
        </w:rPr>
        <w:t xml:space="preserve"> a methylated derivative of </w:t>
      </w:r>
      <w:r w:rsidRPr="0068084B">
        <w:rPr>
          <w:rFonts w:ascii="Times New Roman" w:hAnsi="Times New Roman" w:cs="Times New Roman"/>
          <w:sz w:val="28"/>
          <w:szCs w:val="28"/>
        </w:rPr>
        <w:t xml:space="preserve">prednisolone. Provision of anti-inflammatory, anti-allergic, </w:t>
      </w:r>
      <w:r w:rsidR="00D10872" w:rsidRPr="0068084B">
        <w:rPr>
          <w:rFonts w:ascii="Times New Roman" w:hAnsi="Times New Roman" w:cs="Times New Roman"/>
          <w:sz w:val="28"/>
          <w:szCs w:val="28"/>
        </w:rPr>
        <w:t xml:space="preserve">and </w:t>
      </w:r>
      <w:r w:rsidRPr="0068084B">
        <w:rPr>
          <w:rFonts w:ascii="Times New Roman" w:hAnsi="Times New Roman" w:cs="Times New Roman"/>
          <w:sz w:val="28"/>
          <w:szCs w:val="28"/>
        </w:rPr>
        <w:t xml:space="preserve">immunosuppressive action, increased sensitivity of beta-adrenergic receptors to endogenous catecholamines. The anti-inflammatory effect is linked to decreased capillary permeability, </w:t>
      </w:r>
      <w:r w:rsidR="00D10872" w:rsidRPr="0068084B">
        <w:rPr>
          <w:rFonts w:ascii="Times New Roman" w:hAnsi="Times New Roman" w:cs="Times New Roman"/>
          <w:sz w:val="28"/>
          <w:szCs w:val="28"/>
        </w:rPr>
        <w:t xml:space="preserve">stabilisation of cell membranes (especially lysosomal and organelle membranes), inhibition of eosinophil and mast cell release of inflammatory mediators, induction of lipocortin formation, and a </w:t>
      </w:r>
      <w:r w:rsidRPr="0068084B">
        <w:rPr>
          <w:rFonts w:ascii="Times New Roman" w:hAnsi="Times New Roman" w:cs="Times New Roman"/>
          <w:sz w:val="28"/>
          <w:szCs w:val="28"/>
        </w:rPr>
        <w:t xml:space="preserve">reduction in the number of mast cells that produce hyaluronic acid. </w:t>
      </w:r>
    </w:p>
    <w:p w14:paraId="36F6FE07" w14:textId="0E962A3C" w:rsidR="0068084B" w:rsidRDefault="00853685" w:rsidP="0068084B">
      <w:pPr>
        <w:spacing w:after="0" w:line="240" w:lineRule="auto"/>
        <w:ind w:firstLine="707"/>
        <w:jc w:val="both"/>
        <w:rPr>
          <w:rFonts w:ascii="Times New Roman" w:hAnsi="Times New Roman" w:cs="Times New Roman"/>
          <w:sz w:val="28"/>
          <w:szCs w:val="28"/>
        </w:rPr>
      </w:pPr>
      <w:r w:rsidRPr="0068084B">
        <w:rPr>
          <w:rFonts w:ascii="Times New Roman" w:hAnsi="Times New Roman" w:cs="Times New Roman"/>
          <w:sz w:val="28"/>
          <w:szCs w:val="28"/>
        </w:rPr>
        <w:t xml:space="preserve">It acts on all stages of the inflammatory process: it inhibits the synthesis of prostaglandins (Pg) at the level of arachidonic acid (lipocortin inhibits phospholipase A2, inhibits the liberation of arachidonic acid and inhibits the biosynthesis of endoperoxides, leukotrienes, which contribute to inflammation, allergies, etc.), the synthesis of "pro-inflammatory cytokines" ( interleukin 1, tumour necrosis factor-alpha, etc.); increases the resistance of the cell membrane to the action of various damaging factors. </w:t>
      </w:r>
    </w:p>
    <w:p w14:paraId="36E1E614" w14:textId="4A1F89D1" w:rsidR="00BC0C8E" w:rsidRPr="0068084B" w:rsidRDefault="00853685" w:rsidP="0068084B">
      <w:pPr>
        <w:spacing w:after="0" w:line="240" w:lineRule="auto"/>
        <w:ind w:firstLine="707"/>
        <w:jc w:val="both"/>
        <w:rPr>
          <w:rFonts w:ascii="Times New Roman" w:hAnsi="Times New Roman" w:cs="Times New Roman"/>
          <w:sz w:val="28"/>
          <w:szCs w:val="28"/>
        </w:rPr>
      </w:pPr>
      <w:r w:rsidRPr="0068084B">
        <w:rPr>
          <w:rFonts w:ascii="Times New Roman" w:hAnsi="Times New Roman" w:cs="Times New Roman"/>
          <w:sz w:val="28"/>
          <w:szCs w:val="28"/>
        </w:rPr>
        <w:t xml:space="preserve">The immunosuppressive effect is brought </w:t>
      </w:r>
      <w:r w:rsidR="00D10872" w:rsidRPr="0068084B">
        <w:rPr>
          <w:rFonts w:ascii="Times New Roman" w:hAnsi="Times New Roman" w:cs="Times New Roman"/>
          <w:sz w:val="28"/>
          <w:szCs w:val="28"/>
        </w:rPr>
        <w:t>about by lymphoid tissue involution, inhibition of lymphocyte proliferation (especially T-lymphocyte proliferation), suppression of B-cell migration, and inhibition of cytokine release from lymphocytes and macrophages (including interleukin-1, 2, and</w:t>
      </w:r>
      <w:r w:rsidRPr="0068084B">
        <w:rPr>
          <w:rFonts w:ascii="Times New Roman" w:hAnsi="Times New Roman" w:cs="Times New Roman"/>
          <w:sz w:val="28"/>
          <w:szCs w:val="28"/>
        </w:rPr>
        <w:t xml:space="preserve"> interferon gamma) [</w:t>
      </w:r>
      <w:r w:rsidR="00114363" w:rsidRPr="0068084B">
        <w:rPr>
          <w:rFonts w:ascii="Times New Roman" w:hAnsi="Times New Roman" w:cs="Times New Roman"/>
          <w:sz w:val="28"/>
          <w:szCs w:val="28"/>
        </w:rPr>
        <w:t>4</w:t>
      </w:r>
      <w:r w:rsidR="00BC0C8E" w:rsidRPr="0068084B">
        <w:rPr>
          <w:rFonts w:ascii="Times New Roman" w:hAnsi="Times New Roman" w:cs="Times New Roman"/>
          <w:sz w:val="28"/>
          <w:szCs w:val="28"/>
        </w:rPr>
        <w:t>4</w:t>
      </w:r>
      <w:r w:rsidR="00114363" w:rsidRPr="0068084B">
        <w:rPr>
          <w:rFonts w:ascii="Times New Roman" w:hAnsi="Times New Roman" w:cs="Times New Roman"/>
          <w:sz w:val="28"/>
          <w:szCs w:val="28"/>
        </w:rPr>
        <w:t>-50</w:t>
      </w:r>
      <w:r w:rsidRPr="0068084B">
        <w:rPr>
          <w:rFonts w:ascii="Times New Roman" w:hAnsi="Times New Roman" w:cs="Times New Roman"/>
          <w:sz w:val="28"/>
          <w:szCs w:val="28"/>
        </w:rPr>
        <w:t>]</w:t>
      </w:r>
      <w:r w:rsidR="00BC0C8E" w:rsidRPr="0068084B">
        <w:rPr>
          <w:rFonts w:ascii="Times New Roman" w:hAnsi="Times New Roman" w:cs="Times New Roman"/>
          <w:sz w:val="28"/>
          <w:szCs w:val="28"/>
        </w:rPr>
        <w:t xml:space="preserve">; </w:t>
      </w:r>
      <w:r w:rsidR="00114363" w:rsidRPr="0068084B">
        <w:rPr>
          <w:rFonts w:ascii="Times New Roman" w:hAnsi="Times New Roman" w:cs="Times New Roman"/>
          <w:sz w:val="28"/>
          <w:szCs w:val="28"/>
        </w:rPr>
        <w:t>moreover</w:t>
      </w:r>
      <w:r w:rsidR="00D10872" w:rsidRPr="0068084B">
        <w:rPr>
          <w:rFonts w:ascii="Times New Roman" w:hAnsi="Times New Roman" w:cs="Times New Roman"/>
          <w:sz w:val="28"/>
          <w:szCs w:val="28"/>
        </w:rPr>
        <w:t>,</w:t>
      </w:r>
      <w:r w:rsidRPr="0068084B">
        <w:rPr>
          <w:rFonts w:ascii="Times New Roman" w:hAnsi="Times New Roman" w:cs="Times New Roman"/>
          <w:sz w:val="28"/>
          <w:szCs w:val="28"/>
        </w:rPr>
        <w:t xml:space="preserve"> decreased antibody production. The antiallergic effect develops as a result of a decrease in the synthesis and secretion of allergy mediators, inhibition of the release of histamine and other biologically active substances from </w:t>
      </w:r>
      <w:r w:rsidR="00D10872" w:rsidRPr="0068084B">
        <w:rPr>
          <w:rFonts w:ascii="Times New Roman" w:hAnsi="Times New Roman" w:cs="Times New Roman"/>
          <w:sz w:val="28"/>
          <w:szCs w:val="28"/>
        </w:rPr>
        <w:t>sensitised</w:t>
      </w:r>
      <w:r w:rsidRPr="0068084B">
        <w:rPr>
          <w:rFonts w:ascii="Times New Roman" w:hAnsi="Times New Roman" w:cs="Times New Roman"/>
          <w:sz w:val="28"/>
          <w:szCs w:val="28"/>
        </w:rPr>
        <w:t xml:space="preserve"> mast cells and basophils, a decline in the number of circulating basophils, T- and B-lymphocytes, mast cells; suppression of the development of lymphoid and connective tissue, reducing the sensitivity of effector cells to allergy mediators, inhibition of antibody formation, changes in the body's immune response. It is worth </w:t>
      </w:r>
      <w:r w:rsidR="00D10872" w:rsidRPr="0068084B">
        <w:rPr>
          <w:rFonts w:ascii="Times New Roman" w:hAnsi="Times New Roman" w:cs="Times New Roman"/>
          <w:sz w:val="28"/>
          <w:szCs w:val="28"/>
        </w:rPr>
        <w:t xml:space="preserve">noting that 0.5 mg of dexamethasone is approximately equivalent to </w:t>
      </w:r>
      <w:r w:rsidRPr="0068084B">
        <w:rPr>
          <w:rFonts w:ascii="Times New Roman" w:hAnsi="Times New Roman" w:cs="Times New Roman"/>
          <w:sz w:val="28"/>
          <w:szCs w:val="28"/>
        </w:rPr>
        <w:t xml:space="preserve">3.5 mg of prednisone (or prednisolone), 15 mg of hydrocortisone, or 17.5 mg of cortisone, depending on the degree of glucocorticoid action. </w:t>
      </w:r>
    </w:p>
    <w:p w14:paraId="0C55622A" w14:textId="69BDE557" w:rsidR="00AF08F5" w:rsidRPr="0068084B" w:rsidRDefault="00853685" w:rsidP="0068084B">
      <w:pPr>
        <w:spacing w:after="0" w:line="240" w:lineRule="auto"/>
        <w:ind w:firstLine="707"/>
        <w:jc w:val="both"/>
        <w:rPr>
          <w:rFonts w:ascii="Times New Roman" w:hAnsi="Times New Roman" w:cs="Times New Roman"/>
          <w:sz w:val="28"/>
          <w:szCs w:val="28"/>
        </w:rPr>
      </w:pPr>
      <w:r w:rsidRPr="0068084B">
        <w:rPr>
          <w:rFonts w:ascii="Times New Roman" w:hAnsi="Times New Roman" w:cs="Times New Roman"/>
          <w:sz w:val="28"/>
          <w:szCs w:val="28"/>
        </w:rPr>
        <w:t xml:space="preserve">According to WHO data, dexamethasone should be used in severe </w:t>
      </w:r>
      <w:r w:rsidR="007031A5">
        <w:rPr>
          <w:rFonts w:ascii="Times New Roman" w:hAnsi="Times New Roman" w:cs="Times New Roman"/>
          <w:sz w:val="28"/>
          <w:szCs w:val="28"/>
        </w:rPr>
        <w:t>COVID-19 cases</w:t>
      </w:r>
      <w:r w:rsidRPr="0068084B">
        <w:rPr>
          <w:rFonts w:ascii="Times New Roman" w:hAnsi="Times New Roman" w:cs="Times New Roman"/>
          <w:sz w:val="28"/>
          <w:szCs w:val="28"/>
        </w:rPr>
        <w:t xml:space="preserve">, especially if a patient is dependent on </w:t>
      </w:r>
      <w:r w:rsidR="00D10872" w:rsidRPr="0068084B">
        <w:rPr>
          <w:rFonts w:ascii="Times New Roman" w:hAnsi="Times New Roman" w:cs="Times New Roman"/>
          <w:sz w:val="28"/>
          <w:szCs w:val="28"/>
        </w:rPr>
        <w:t>life-supporting</w:t>
      </w:r>
      <w:r w:rsidRPr="0068084B">
        <w:rPr>
          <w:rFonts w:ascii="Times New Roman" w:hAnsi="Times New Roman" w:cs="Times New Roman"/>
          <w:sz w:val="28"/>
          <w:szCs w:val="28"/>
        </w:rPr>
        <w:t xml:space="preserve"> systems [42-49]. </w:t>
      </w:r>
      <w:bookmarkStart w:id="9" w:name="_Hlk131602435"/>
      <w:r w:rsidRPr="0068084B">
        <w:rPr>
          <w:rFonts w:ascii="Times New Roman" w:hAnsi="Times New Roman" w:cs="Times New Roman"/>
          <w:sz w:val="28"/>
          <w:szCs w:val="28"/>
        </w:rPr>
        <w:t xml:space="preserve">Since </w:t>
      </w:r>
      <w:r w:rsidR="005B799D" w:rsidRPr="0068084B">
        <w:rPr>
          <w:rFonts w:ascii="Times New Roman" w:hAnsi="Times New Roman" w:cs="Times New Roman"/>
          <w:sz w:val="28"/>
          <w:szCs w:val="28"/>
        </w:rPr>
        <w:t>the author’s</w:t>
      </w:r>
      <w:r w:rsidRPr="0068084B">
        <w:rPr>
          <w:rFonts w:ascii="Times New Roman" w:hAnsi="Times New Roman" w:cs="Times New Roman"/>
          <w:sz w:val="28"/>
          <w:szCs w:val="28"/>
        </w:rPr>
        <w:t xml:space="preserve"> antiviral study </w:t>
      </w:r>
      <w:r w:rsidR="00D10872" w:rsidRPr="0068084B">
        <w:rPr>
          <w:rFonts w:ascii="Times New Roman" w:hAnsi="Times New Roman" w:cs="Times New Roman"/>
          <w:sz w:val="28"/>
          <w:szCs w:val="28"/>
        </w:rPr>
        <w:t>primarily relies on tablet forms, there are some recommendations that consumers must follow to minimise</w:t>
      </w:r>
      <w:r w:rsidRPr="0068084B">
        <w:rPr>
          <w:rFonts w:ascii="Times New Roman" w:hAnsi="Times New Roman" w:cs="Times New Roman"/>
          <w:sz w:val="28"/>
          <w:szCs w:val="28"/>
        </w:rPr>
        <w:t xml:space="preserve"> side effects. In </w:t>
      </w:r>
      <w:r w:rsidR="009560D0" w:rsidRPr="0068084B">
        <w:rPr>
          <w:rFonts w:ascii="Times New Roman" w:hAnsi="Times New Roman" w:cs="Times New Roman"/>
          <w:sz w:val="28"/>
          <w:szCs w:val="28"/>
        </w:rPr>
        <w:t xml:space="preserve">Figure 5, the maximum daily doses prescribed by the manufacturer’s recommendations </w:t>
      </w:r>
      <w:r w:rsidRPr="0068084B">
        <w:rPr>
          <w:rFonts w:ascii="Times New Roman" w:hAnsi="Times New Roman" w:cs="Times New Roman"/>
          <w:sz w:val="28"/>
          <w:szCs w:val="28"/>
        </w:rPr>
        <w:t xml:space="preserve">are the effective doses </w:t>
      </w:r>
      <w:r w:rsidR="00C047BD">
        <w:rPr>
          <w:rFonts w:ascii="Times New Roman" w:hAnsi="Times New Roman" w:cs="Times New Roman"/>
          <w:sz w:val="28"/>
          <w:szCs w:val="28"/>
        </w:rPr>
        <w:t>for antiviral activity of</w:t>
      </w:r>
      <w:r w:rsidR="00D10872" w:rsidRPr="0068084B">
        <w:rPr>
          <w:rFonts w:ascii="Times New Roman" w:hAnsi="Times New Roman" w:cs="Times New Roman"/>
          <w:sz w:val="28"/>
          <w:szCs w:val="28"/>
        </w:rPr>
        <w:t xml:space="preserve"> Favipiravir, Ribavirin, and Tenofovir in humans (in vivo) and in</w:t>
      </w:r>
      <w:r w:rsidRPr="0068084B">
        <w:rPr>
          <w:rFonts w:ascii="Times New Roman" w:hAnsi="Times New Roman" w:cs="Times New Roman"/>
          <w:sz w:val="28"/>
          <w:szCs w:val="28"/>
        </w:rPr>
        <w:t xml:space="preserve"> Vero E6 cells (in vitro). </w:t>
      </w:r>
      <w:bookmarkEnd w:id="9"/>
      <w:r w:rsidRPr="0068084B">
        <w:rPr>
          <w:rFonts w:ascii="Times New Roman" w:hAnsi="Times New Roman" w:cs="Times New Roman"/>
          <w:sz w:val="28"/>
          <w:szCs w:val="28"/>
        </w:rPr>
        <w:t xml:space="preserve">Toxicity is defined as the amount or degree of a substance required to be poisonous. It depends on the amount and concentration involved, </w:t>
      </w:r>
      <w:r w:rsidR="00D10872" w:rsidRPr="0068084B">
        <w:rPr>
          <w:rFonts w:ascii="Times New Roman" w:hAnsi="Times New Roman" w:cs="Times New Roman"/>
          <w:sz w:val="28"/>
          <w:szCs w:val="28"/>
        </w:rPr>
        <w:t xml:space="preserve">the frequency of use, the interactions of the person receiving the substance of interest, and the </w:t>
      </w:r>
      <w:r w:rsidR="002E094F" w:rsidRPr="0068084B">
        <w:rPr>
          <w:rFonts w:ascii="Times New Roman" w:hAnsi="Times New Roman" w:cs="Times New Roman"/>
          <w:sz w:val="28"/>
          <w:szCs w:val="28"/>
        </w:rPr>
        <w:t>individual's reaction to it</w:t>
      </w:r>
      <w:r w:rsidR="00D10872" w:rsidRPr="0068084B">
        <w:rPr>
          <w:rFonts w:ascii="Times New Roman" w:hAnsi="Times New Roman" w:cs="Times New Roman"/>
          <w:sz w:val="28"/>
          <w:szCs w:val="28"/>
        </w:rPr>
        <w:t xml:space="preserve"> [44, 50</w:t>
      </w:r>
      <w:r w:rsidRPr="0068084B">
        <w:rPr>
          <w:rFonts w:ascii="Times New Roman" w:hAnsi="Times New Roman" w:cs="Times New Roman"/>
          <w:sz w:val="28"/>
          <w:szCs w:val="28"/>
        </w:rPr>
        <w:t xml:space="preserve">].  </w:t>
      </w:r>
      <w:r w:rsidR="00830289" w:rsidRPr="0068084B">
        <w:rPr>
          <w:rFonts w:ascii="Times New Roman" w:hAnsi="Times New Roman" w:cs="Times New Roman"/>
          <w:sz w:val="28"/>
          <w:szCs w:val="28"/>
        </w:rPr>
        <w:t xml:space="preserve">Any drug improvement begins with </w:t>
      </w:r>
      <w:r w:rsidR="002E094F" w:rsidRPr="0068084B">
        <w:rPr>
          <w:rFonts w:ascii="Times New Roman" w:hAnsi="Times New Roman" w:cs="Times New Roman"/>
          <w:sz w:val="28"/>
          <w:szCs w:val="28"/>
        </w:rPr>
        <w:t>revising its efficacy</w:t>
      </w:r>
      <w:r w:rsidR="00C047BD">
        <w:rPr>
          <w:rFonts w:ascii="Times New Roman" w:hAnsi="Times New Roman" w:cs="Times New Roman"/>
          <w:sz w:val="28"/>
          <w:szCs w:val="28"/>
        </w:rPr>
        <w:t xml:space="preserve"> and conducting preclinical</w:t>
      </w:r>
      <w:r w:rsidR="00830289" w:rsidRPr="0068084B">
        <w:rPr>
          <w:rFonts w:ascii="Times New Roman" w:hAnsi="Times New Roman" w:cs="Times New Roman"/>
          <w:sz w:val="28"/>
          <w:szCs w:val="28"/>
        </w:rPr>
        <w:t xml:space="preserve"> or clinical trials. In severe cases, </w:t>
      </w:r>
      <w:r w:rsidR="00830289" w:rsidRPr="0068084B">
        <w:rPr>
          <w:rFonts w:ascii="Times New Roman" w:hAnsi="Times New Roman" w:cs="Times New Roman"/>
          <w:sz w:val="28"/>
          <w:szCs w:val="28"/>
        </w:rPr>
        <w:lastRenderedPageBreak/>
        <w:t xml:space="preserve">doctors combine drugs to achieve a better </w:t>
      </w:r>
      <w:r w:rsidR="00D10872" w:rsidRPr="0068084B">
        <w:rPr>
          <w:rFonts w:ascii="Times New Roman" w:hAnsi="Times New Roman" w:cs="Times New Roman"/>
          <w:sz w:val="28"/>
          <w:szCs w:val="28"/>
        </w:rPr>
        <w:t>therapeutic</w:t>
      </w:r>
      <w:r w:rsidR="00830289" w:rsidRPr="0068084B">
        <w:rPr>
          <w:rFonts w:ascii="Times New Roman" w:hAnsi="Times New Roman" w:cs="Times New Roman"/>
          <w:sz w:val="28"/>
          <w:szCs w:val="28"/>
        </w:rPr>
        <w:t xml:space="preserve"> effect, which cannot be performed </w:t>
      </w:r>
      <w:r w:rsidR="003C4B26" w:rsidRPr="0068084B">
        <w:rPr>
          <w:rFonts w:ascii="Times New Roman" w:hAnsi="Times New Roman" w:cs="Times New Roman"/>
          <w:sz w:val="28"/>
          <w:szCs w:val="28"/>
        </w:rPr>
        <w:t xml:space="preserve">in vitro due to the </w:t>
      </w:r>
      <w:r w:rsidR="00830289" w:rsidRPr="0068084B">
        <w:rPr>
          <w:rFonts w:ascii="Times New Roman" w:hAnsi="Times New Roman" w:cs="Times New Roman"/>
          <w:sz w:val="28"/>
          <w:szCs w:val="28"/>
        </w:rPr>
        <w:t xml:space="preserve">high cytotoxicity potential of antiviral </w:t>
      </w:r>
      <w:r w:rsidR="00BC0C8E" w:rsidRPr="0068084B">
        <w:rPr>
          <w:rFonts w:ascii="Times New Roman" w:hAnsi="Times New Roman" w:cs="Times New Roman"/>
          <w:sz w:val="28"/>
          <w:szCs w:val="28"/>
        </w:rPr>
        <w:t>medications</w:t>
      </w:r>
      <w:r w:rsidR="003D57F7" w:rsidRPr="0068084B">
        <w:rPr>
          <w:rFonts w:ascii="Times New Roman" w:hAnsi="Times New Roman" w:cs="Times New Roman"/>
          <w:sz w:val="28"/>
          <w:szCs w:val="28"/>
        </w:rPr>
        <w:t>.</w:t>
      </w:r>
    </w:p>
    <w:p w14:paraId="4D1D2BDD" w14:textId="12DB965D" w:rsidR="003C4B26" w:rsidRPr="0068084B" w:rsidRDefault="003C4B26" w:rsidP="00566860">
      <w:pPr>
        <w:spacing w:after="0" w:line="240" w:lineRule="auto"/>
        <w:ind w:firstLine="708"/>
        <w:jc w:val="both"/>
        <w:rPr>
          <w:rFonts w:ascii="Times New Roman" w:hAnsi="Times New Roman" w:cs="Times New Roman"/>
          <w:sz w:val="28"/>
          <w:szCs w:val="28"/>
        </w:rPr>
      </w:pPr>
      <w:r w:rsidRPr="0068084B">
        <w:rPr>
          <w:rFonts w:ascii="Times New Roman" w:hAnsi="Times New Roman" w:cs="Times New Roman"/>
          <w:sz w:val="28"/>
          <w:szCs w:val="28"/>
        </w:rPr>
        <w:t xml:space="preserve">The drug dose reflects </w:t>
      </w:r>
      <w:r w:rsidR="006000EF" w:rsidRPr="0068084B">
        <w:rPr>
          <w:rFonts w:ascii="Times New Roman" w:hAnsi="Times New Roman" w:cs="Times New Roman"/>
          <w:sz w:val="28"/>
          <w:szCs w:val="28"/>
        </w:rPr>
        <w:t>both efficacy and</w:t>
      </w:r>
      <w:r w:rsidRPr="0068084B">
        <w:rPr>
          <w:rFonts w:ascii="Times New Roman" w:hAnsi="Times New Roman" w:cs="Times New Roman"/>
          <w:sz w:val="28"/>
          <w:szCs w:val="28"/>
        </w:rPr>
        <w:t xml:space="preserve"> the </w:t>
      </w:r>
      <w:r w:rsidR="00C047BD">
        <w:rPr>
          <w:rFonts w:ascii="Times New Roman" w:hAnsi="Times New Roman" w:cs="Times New Roman"/>
          <w:sz w:val="28"/>
          <w:szCs w:val="28"/>
        </w:rPr>
        <w:t>increasing risk of adverse</w:t>
      </w:r>
      <w:r w:rsidRPr="0068084B">
        <w:rPr>
          <w:rFonts w:ascii="Times New Roman" w:hAnsi="Times New Roman" w:cs="Times New Roman"/>
          <w:sz w:val="28"/>
          <w:szCs w:val="28"/>
        </w:rPr>
        <w:t xml:space="preserve"> side effects. Antivirals </w:t>
      </w:r>
      <w:r w:rsidR="006000EF" w:rsidRPr="0068084B">
        <w:rPr>
          <w:rFonts w:ascii="Times New Roman" w:hAnsi="Times New Roman" w:cs="Times New Roman"/>
          <w:sz w:val="28"/>
          <w:szCs w:val="28"/>
        </w:rPr>
        <w:t xml:space="preserve">are severe </w:t>
      </w:r>
      <w:r w:rsidR="00D10872" w:rsidRPr="0068084B">
        <w:rPr>
          <w:rFonts w:ascii="Times New Roman" w:hAnsi="Times New Roman" w:cs="Times New Roman"/>
          <w:sz w:val="28"/>
          <w:szCs w:val="28"/>
        </w:rPr>
        <w:t>cell-poisoning</w:t>
      </w:r>
      <w:r w:rsidR="006000EF" w:rsidRPr="0068084B">
        <w:rPr>
          <w:rFonts w:ascii="Times New Roman" w:hAnsi="Times New Roman" w:cs="Times New Roman"/>
          <w:sz w:val="28"/>
          <w:szCs w:val="28"/>
        </w:rPr>
        <w:t xml:space="preserve"> agents that destroy infected cells</w:t>
      </w:r>
      <w:r w:rsidRPr="0068084B">
        <w:rPr>
          <w:rFonts w:ascii="Times New Roman" w:hAnsi="Times New Roman" w:cs="Times New Roman"/>
          <w:sz w:val="28"/>
          <w:szCs w:val="28"/>
        </w:rPr>
        <w:t xml:space="preserve">. </w:t>
      </w:r>
      <w:r w:rsidR="00941D50" w:rsidRPr="0068084B">
        <w:rPr>
          <w:rFonts w:ascii="Times New Roman" w:hAnsi="Times New Roman" w:cs="Times New Roman"/>
          <w:sz w:val="28"/>
          <w:szCs w:val="28"/>
        </w:rPr>
        <w:t> SARS-CoV-2 proteases are pivotal for its lifecycle and are significant targets for antivirals. Mpro inhibitors already play a clinical role, while PLpro remains an emerging target with dual antiviral</w:t>
      </w:r>
      <w:r w:rsidR="00D10872" w:rsidRPr="0068084B">
        <w:rPr>
          <w:rFonts w:ascii="Times New Roman" w:hAnsi="Times New Roman" w:cs="Times New Roman"/>
          <w:sz w:val="28"/>
          <w:szCs w:val="28"/>
        </w:rPr>
        <w:t xml:space="preserve"> and </w:t>
      </w:r>
      <w:r w:rsidR="00941D50" w:rsidRPr="0068084B">
        <w:rPr>
          <w:rFonts w:ascii="Times New Roman" w:hAnsi="Times New Roman" w:cs="Times New Roman"/>
          <w:sz w:val="28"/>
          <w:szCs w:val="28"/>
        </w:rPr>
        <w:t>immunomodulatory potential. Structural and mechanistic insights continue to drive therapeutic innovation.</w:t>
      </w:r>
    </w:p>
    <w:p w14:paraId="7E18A2C7" w14:textId="59586378" w:rsidR="00BC0C8E" w:rsidRDefault="00BC0C8E" w:rsidP="007031A5">
      <w:pPr>
        <w:spacing w:after="0" w:line="240" w:lineRule="auto"/>
        <w:ind w:firstLine="709"/>
        <w:jc w:val="both"/>
        <w:rPr>
          <w:rFonts w:ascii="Times New Roman" w:hAnsi="Times New Roman" w:cs="Times New Roman"/>
          <w:sz w:val="28"/>
          <w:szCs w:val="28"/>
        </w:rPr>
      </w:pPr>
      <w:r w:rsidRPr="0068084B">
        <w:rPr>
          <w:rFonts w:ascii="Times New Roman" w:hAnsi="Times New Roman" w:cs="Times New Roman"/>
          <w:sz w:val="28"/>
          <w:szCs w:val="28"/>
        </w:rPr>
        <w:t xml:space="preserve">The bar chart (Figure 5) compares </w:t>
      </w:r>
      <w:r w:rsidR="00C047BD">
        <w:rPr>
          <w:rFonts w:ascii="Times New Roman" w:hAnsi="Times New Roman" w:cs="Times New Roman"/>
          <w:sz w:val="28"/>
          <w:szCs w:val="28"/>
        </w:rPr>
        <w:t>the recommended daily doses of three antiviral medicines by</w:t>
      </w:r>
      <w:r w:rsidRPr="0068084B">
        <w:rPr>
          <w:rFonts w:ascii="Times New Roman" w:hAnsi="Times New Roman" w:cs="Times New Roman"/>
          <w:sz w:val="28"/>
          <w:szCs w:val="28"/>
        </w:rPr>
        <w:t xml:space="preserve"> patient weight. Favipiravir (COVID-19) is administered at 3200 mg for patients weighing more than 81 kg and at 1200 mg for those weighing between 40 and 80 kg. Ribavirin (HCV) </w:t>
      </w:r>
      <w:r w:rsidR="00C047BD">
        <w:rPr>
          <w:rFonts w:ascii="Times New Roman" w:hAnsi="Times New Roman" w:cs="Times New Roman"/>
          <w:sz w:val="28"/>
          <w:szCs w:val="28"/>
        </w:rPr>
        <w:t xml:space="preserve">is weight-dependent, with dosing ranging from 800 mg (40–65 kg) to 1400 mg (&gt;105 </w:t>
      </w:r>
      <w:r w:rsidR="00D45881">
        <w:rPr>
          <w:rFonts w:ascii="Times New Roman" w:hAnsi="Times New Roman" w:cs="Times New Roman"/>
          <w:sz w:val="28"/>
          <w:szCs w:val="28"/>
        </w:rPr>
        <w:t>kg</w:t>
      </w:r>
      <w:r w:rsidR="00C047BD">
        <w:rPr>
          <w:rFonts w:ascii="Times New Roman" w:hAnsi="Times New Roman" w:cs="Times New Roman"/>
          <w:sz w:val="28"/>
          <w:szCs w:val="28"/>
        </w:rPr>
        <w:t>), with intermediate doses</w:t>
      </w:r>
      <w:r w:rsidRPr="0068084B">
        <w:rPr>
          <w:rFonts w:ascii="Times New Roman" w:hAnsi="Times New Roman" w:cs="Times New Roman"/>
          <w:sz w:val="28"/>
          <w:szCs w:val="28"/>
        </w:rPr>
        <w:t xml:space="preserve"> of 1000 mg (66–80 kg) and 1200 mg (81–105 kg). In contrast, tenofovir (HIV, HBV) is prescribed at a fixed daily dose of 300 mg regardless of body weight, with no adjustment for patients above 105 kg. The figure illustrates the difference between antivirals that require individual dose calculation and those with a standardised regimen [drug brochures → Appendix </w:t>
      </w:r>
      <w:r w:rsidR="008A42F5">
        <w:rPr>
          <w:rFonts w:ascii="Times New Roman" w:hAnsi="Times New Roman" w:cs="Times New Roman"/>
          <w:sz w:val="28"/>
          <w:szCs w:val="28"/>
        </w:rPr>
        <w:t>D</w:t>
      </w:r>
      <w:r w:rsidRPr="0068084B">
        <w:rPr>
          <w:rFonts w:ascii="Times New Roman" w:hAnsi="Times New Roman" w:cs="Times New Roman"/>
          <w:sz w:val="28"/>
          <w:szCs w:val="28"/>
        </w:rPr>
        <w:t>].</w:t>
      </w:r>
    </w:p>
    <w:p w14:paraId="3830D4EE" w14:textId="77777777" w:rsidR="00457863" w:rsidRPr="007031A5" w:rsidRDefault="00457863" w:rsidP="007031A5">
      <w:pPr>
        <w:spacing w:after="0" w:line="240" w:lineRule="auto"/>
        <w:ind w:firstLine="709"/>
        <w:jc w:val="both"/>
        <w:rPr>
          <w:rFonts w:ascii="Times New Roman" w:hAnsi="Times New Roman" w:cs="Times New Roman"/>
          <w:sz w:val="28"/>
          <w:szCs w:val="28"/>
        </w:rPr>
      </w:pPr>
    </w:p>
    <w:p w14:paraId="45AB9278" w14:textId="5117043E" w:rsidR="00226539" w:rsidRPr="006531C9" w:rsidRDefault="00853685" w:rsidP="003942D0">
      <w:pPr>
        <w:spacing w:line="360" w:lineRule="auto"/>
        <w:jc w:val="center"/>
        <w:rPr>
          <w:rFonts w:ascii="Times New Roman" w:hAnsi="Times New Roman" w:cs="Times New Roman"/>
          <w:sz w:val="24"/>
          <w:szCs w:val="24"/>
        </w:rPr>
      </w:pPr>
      <w:r w:rsidRPr="006531C9">
        <w:rPr>
          <w:rFonts w:ascii="Times New Roman" w:hAnsi="Times New Roman" w:cs="Times New Roman"/>
          <w:b/>
          <w:bCs/>
          <w:noProof/>
          <w:sz w:val="24"/>
          <w:szCs w:val="24"/>
        </w:rPr>
        <w:drawing>
          <wp:inline distT="0" distB="0" distL="0" distR="0" wp14:anchorId="57EB69E9" wp14:editId="05508CDE">
            <wp:extent cx="5676900" cy="3352800"/>
            <wp:effectExtent l="0" t="0" r="0" b="0"/>
            <wp:docPr id="929043707" name="Диаграмма 9290437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8CC39B7" w14:textId="5189A50C" w:rsidR="006E5E48" w:rsidRDefault="00853685" w:rsidP="0068084B">
      <w:pPr>
        <w:spacing w:line="240" w:lineRule="auto"/>
        <w:jc w:val="center"/>
        <w:rPr>
          <w:rFonts w:ascii="Times New Roman" w:hAnsi="Times New Roman" w:cs="Times New Roman"/>
          <w:sz w:val="28"/>
          <w:szCs w:val="28"/>
        </w:rPr>
      </w:pPr>
      <w:r w:rsidRPr="0068084B">
        <w:rPr>
          <w:rFonts w:ascii="Times New Roman" w:hAnsi="Times New Roman" w:cs="Times New Roman"/>
          <w:sz w:val="28"/>
          <w:szCs w:val="28"/>
        </w:rPr>
        <w:t xml:space="preserve">Figure 5 </w:t>
      </w:r>
      <w:r w:rsidR="002E094F" w:rsidRPr="0068084B">
        <w:rPr>
          <w:rFonts w:ascii="Times New Roman" w:hAnsi="Times New Roman" w:cs="Times New Roman"/>
          <w:sz w:val="28"/>
          <w:szCs w:val="28"/>
        </w:rPr>
        <w:t>—</w:t>
      </w:r>
      <w:r w:rsidR="009560D0" w:rsidRPr="0068084B">
        <w:rPr>
          <w:rFonts w:ascii="Times New Roman" w:hAnsi="Times New Roman" w:cs="Times New Roman"/>
          <w:sz w:val="28"/>
          <w:szCs w:val="28"/>
        </w:rPr>
        <w:t xml:space="preserve"> </w:t>
      </w:r>
      <w:r w:rsidR="00DF73AD" w:rsidRPr="0068084B">
        <w:rPr>
          <w:rFonts w:ascii="Times New Roman" w:hAnsi="Times New Roman" w:cs="Times New Roman"/>
          <w:sz w:val="28"/>
          <w:szCs w:val="28"/>
        </w:rPr>
        <w:t>Daily doses of antiviral drugs</w:t>
      </w:r>
      <w:r w:rsidR="00876EF6" w:rsidRPr="0068084B">
        <w:rPr>
          <w:rFonts w:ascii="Times New Roman" w:hAnsi="Times New Roman" w:cs="Times New Roman"/>
          <w:sz w:val="28"/>
          <w:szCs w:val="28"/>
        </w:rPr>
        <w:t xml:space="preserve"> in milligrams</w:t>
      </w:r>
      <w:r w:rsidR="00DF73AD" w:rsidRPr="0068084B">
        <w:rPr>
          <w:rFonts w:ascii="Times New Roman" w:hAnsi="Times New Roman" w:cs="Times New Roman"/>
          <w:sz w:val="28"/>
          <w:szCs w:val="28"/>
        </w:rPr>
        <w:t xml:space="preserve"> according to patient body mass as specified in the manuals</w:t>
      </w:r>
    </w:p>
    <w:p w14:paraId="02D22A30" w14:textId="77777777" w:rsidR="00457863" w:rsidRPr="0068084B" w:rsidRDefault="00457863" w:rsidP="0068084B">
      <w:pPr>
        <w:spacing w:line="240" w:lineRule="auto"/>
        <w:jc w:val="center"/>
        <w:rPr>
          <w:rFonts w:ascii="Times New Roman" w:hAnsi="Times New Roman" w:cs="Times New Roman"/>
          <w:sz w:val="28"/>
          <w:szCs w:val="28"/>
        </w:rPr>
      </w:pPr>
    </w:p>
    <w:p w14:paraId="53420D96" w14:textId="2C746B94" w:rsidR="00BC0C8E" w:rsidRPr="0068084B" w:rsidRDefault="00830289" w:rsidP="0068084B">
      <w:pPr>
        <w:spacing w:line="240" w:lineRule="auto"/>
        <w:ind w:firstLine="708"/>
        <w:jc w:val="both"/>
        <w:rPr>
          <w:rFonts w:ascii="Times New Roman" w:hAnsi="Times New Roman" w:cs="Times New Roman"/>
          <w:sz w:val="28"/>
          <w:szCs w:val="28"/>
        </w:rPr>
      </w:pPr>
      <w:r w:rsidRPr="0068084B">
        <w:rPr>
          <w:rFonts w:ascii="Times New Roman" w:hAnsi="Times New Roman" w:cs="Times New Roman"/>
          <w:sz w:val="28"/>
          <w:szCs w:val="28"/>
        </w:rPr>
        <w:t xml:space="preserve">It is </w:t>
      </w:r>
      <w:r w:rsidR="00C047BD">
        <w:rPr>
          <w:rFonts w:ascii="Times New Roman" w:hAnsi="Times New Roman" w:cs="Times New Roman"/>
          <w:sz w:val="28"/>
          <w:szCs w:val="28"/>
        </w:rPr>
        <w:t>marketed</w:t>
      </w:r>
      <w:r w:rsidRPr="0068084B">
        <w:rPr>
          <w:rFonts w:ascii="Times New Roman" w:hAnsi="Times New Roman" w:cs="Times New Roman"/>
          <w:sz w:val="28"/>
          <w:szCs w:val="28"/>
        </w:rPr>
        <w:t xml:space="preserve"> as</w:t>
      </w:r>
      <w:r w:rsidRPr="0068084B">
        <w:rPr>
          <w:rFonts w:ascii="Times New Roman" w:hAnsi="Times New Roman" w:cs="Times New Roman"/>
          <w:i/>
          <w:iCs/>
          <w:sz w:val="28"/>
          <w:szCs w:val="28"/>
        </w:rPr>
        <w:t xml:space="preserve"> Fabiflu, </w:t>
      </w:r>
      <w:r w:rsidRPr="0068084B">
        <w:rPr>
          <w:rFonts w:ascii="Times New Roman" w:hAnsi="Times New Roman" w:cs="Times New Roman"/>
          <w:sz w:val="28"/>
          <w:szCs w:val="28"/>
        </w:rPr>
        <w:t>a</w:t>
      </w:r>
      <w:r w:rsidR="00991680" w:rsidRPr="0068084B">
        <w:rPr>
          <w:rFonts w:ascii="Times New Roman" w:hAnsi="Times New Roman" w:cs="Times New Roman"/>
          <w:sz w:val="28"/>
          <w:szCs w:val="28"/>
        </w:rPr>
        <w:t xml:space="preserve"> </w:t>
      </w:r>
      <w:r w:rsidR="002E094F" w:rsidRPr="0068084B">
        <w:rPr>
          <w:rFonts w:ascii="Times New Roman" w:hAnsi="Times New Roman" w:cs="Times New Roman"/>
          <w:sz w:val="28"/>
          <w:szCs w:val="28"/>
        </w:rPr>
        <w:t>specialised</w:t>
      </w:r>
      <w:r w:rsidR="00991680" w:rsidRPr="0068084B">
        <w:rPr>
          <w:rFonts w:ascii="Times New Roman" w:hAnsi="Times New Roman" w:cs="Times New Roman"/>
          <w:sz w:val="28"/>
          <w:szCs w:val="28"/>
        </w:rPr>
        <w:t xml:space="preserve"> medicine for treating SARS-CoV-2</w:t>
      </w:r>
      <w:r w:rsidRPr="0068084B">
        <w:rPr>
          <w:rFonts w:ascii="Times New Roman" w:hAnsi="Times New Roman" w:cs="Times New Roman"/>
          <w:sz w:val="28"/>
          <w:szCs w:val="28"/>
        </w:rPr>
        <w:t xml:space="preserve"> infection, </w:t>
      </w:r>
      <w:r w:rsidR="009560D0" w:rsidRPr="0068084B">
        <w:rPr>
          <w:rFonts w:ascii="Times New Roman" w:hAnsi="Times New Roman" w:cs="Times New Roman"/>
          <w:sz w:val="28"/>
          <w:szCs w:val="28"/>
        </w:rPr>
        <w:t xml:space="preserve">and </w:t>
      </w:r>
      <w:r w:rsidRPr="0068084B">
        <w:rPr>
          <w:rFonts w:ascii="Times New Roman" w:hAnsi="Times New Roman" w:cs="Times New Roman"/>
          <w:sz w:val="28"/>
          <w:szCs w:val="28"/>
        </w:rPr>
        <w:t>its</w:t>
      </w:r>
      <w:r w:rsidR="00D45881">
        <w:rPr>
          <w:rFonts w:ascii="Times New Roman" w:hAnsi="Times New Roman" w:cs="Times New Roman"/>
          <w:sz w:val="28"/>
          <w:szCs w:val="28"/>
        </w:rPr>
        <w:t xml:space="preserve"> recommended </w:t>
      </w:r>
      <w:r w:rsidRPr="0068084B">
        <w:rPr>
          <w:rFonts w:ascii="Times New Roman" w:hAnsi="Times New Roman" w:cs="Times New Roman"/>
          <w:sz w:val="28"/>
          <w:szCs w:val="28"/>
        </w:rPr>
        <w:t xml:space="preserve">dose is very high. It is designed to be administered within </w:t>
      </w:r>
      <w:r w:rsidR="00C047BD">
        <w:rPr>
          <w:rFonts w:ascii="Times New Roman" w:hAnsi="Times New Roman" w:cs="Times New Roman"/>
          <w:sz w:val="28"/>
          <w:szCs w:val="28"/>
        </w:rPr>
        <w:t xml:space="preserve">10 days for mild or moderate </w:t>
      </w:r>
      <w:r w:rsidRPr="0068084B">
        <w:rPr>
          <w:rFonts w:ascii="Times New Roman" w:hAnsi="Times New Roman" w:cs="Times New Roman"/>
          <w:sz w:val="28"/>
          <w:szCs w:val="28"/>
        </w:rPr>
        <w:t xml:space="preserve">COVID-19 infection. Unlike Fabiflu, Ribavirin, for instance, was </w:t>
      </w:r>
      <w:r w:rsidR="00C047BD">
        <w:rPr>
          <w:rFonts w:ascii="Times New Roman" w:hAnsi="Times New Roman" w:cs="Times New Roman"/>
          <w:sz w:val="28"/>
          <w:szCs w:val="28"/>
        </w:rPr>
        <w:t>intended</w:t>
      </w:r>
      <w:r w:rsidRPr="0068084B">
        <w:rPr>
          <w:rFonts w:ascii="Times New Roman" w:hAnsi="Times New Roman" w:cs="Times New Roman"/>
          <w:sz w:val="28"/>
          <w:szCs w:val="28"/>
        </w:rPr>
        <w:t xml:space="preserve"> to slow </w:t>
      </w:r>
      <w:r w:rsidR="00C047BD">
        <w:rPr>
          <w:rFonts w:ascii="Times New Roman" w:hAnsi="Times New Roman" w:cs="Times New Roman"/>
          <w:sz w:val="28"/>
          <w:szCs w:val="28"/>
        </w:rPr>
        <w:t>hepatitis C replication for up to 72 weeks, requiring a daily dose</w:t>
      </w:r>
      <w:r w:rsidRPr="0068084B">
        <w:rPr>
          <w:rFonts w:ascii="Times New Roman" w:hAnsi="Times New Roman" w:cs="Times New Roman"/>
          <w:sz w:val="28"/>
          <w:szCs w:val="28"/>
        </w:rPr>
        <w:t xml:space="preserve">. Tenofovir is </w:t>
      </w:r>
      <w:r w:rsidR="005E4C41" w:rsidRPr="0068084B">
        <w:rPr>
          <w:rFonts w:ascii="Times New Roman" w:hAnsi="Times New Roman" w:cs="Times New Roman"/>
          <w:sz w:val="28"/>
          <w:szCs w:val="28"/>
        </w:rPr>
        <w:t>recommended to be</w:t>
      </w:r>
      <w:r w:rsidR="00661541" w:rsidRPr="0068084B">
        <w:rPr>
          <w:rFonts w:ascii="Times New Roman" w:hAnsi="Times New Roman" w:cs="Times New Roman"/>
          <w:sz w:val="28"/>
          <w:szCs w:val="28"/>
        </w:rPr>
        <w:t xml:space="preserve"> taken orally once daily, with one tablet </w:t>
      </w:r>
      <w:r w:rsidR="00661541" w:rsidRPr="0068084B">
        <w:rPr>
          <w:rFonts w:ascii="Times New Roman" w:hAnsi="Times New Roman" w:cs="Times New Roman"/>
          <w:sz w:val="28"/>
          <w:szCs w:val="28"/>
        </w:rPr>
        <w:lastRenderedPageBreak/>
        <w:t xml:space="preserve">containing 300 mg of tenofovir, for an extended period under strict physician supervision and control, as per the manufacturer’s manual and </w:t>
      </w:r>
      <w:r w:rsidR="005E4C41" w:rsidRPr="0068084B">
        <w:rPr>
          <w:rFonts w:ascii="Times New Roman" w:hAnsi="Times New Roman" w:cs="Times New Roman"/>
          <w:sz w:val="28"/>
          <w:szCs w:val="28"/>
        </w:rPr>
        <w:t xml:space="preserve">relevant </w:t>
      </w:r>
      <w:r w:rsidRPr="0068084B">
        <w:rPr>
          <w:rFonts w:ascii="Times New Roman" w:hAnsi="Times New Roman" w:cs="Times New Roman"/>
          <w:sz w:val="28"/>
          <w:szCs w:val="28"/>
        </w:rPr>
        <w:t>publications [34-49].</w:t>
      </w:r>
      <w:bookmarkStart w:id="10" w:name="_Hlk131773302"/>
    </w:p>
    <w:p w14:paraId="6A652C88" w14:textId="77777777" w:rsidR="007652CF" w:rsidRDefault="00830289" w:rsidP="007652CF">
      <w:pPr>
        <w:spacing w:line="240" w:lineRule="auto"/>
        <w:ind w:firstLine="708"/>
        <w:jc w:val="both"/>
        <w:rPr>
          <w:rFonts w:ascii="Times New Roman" w:hAnsi="Times New Roman" w:cs="Times New Roman"/>
          <w:sz w:val="28"/>
          <w:szCs w:val="28"/>
        </w:rPr>
      </w:pPr>
      <w:r w:rsidRPr="0068084B">
        <w:rPr>
          <w:rFonts w:ascii="Times New Roman" w:hAnsi="Times New Roman" w:cs="Times New Roman"/>
          <w:sz w:val="28"/>
          <w:szCs w:val="28"/>
        </w:rPr>
        <w:t xml:space="preserve"> Effective doses of antiviral </w:t>
      </w:r>
      <w:r w:rsidR="005E4C41" w:rsidRPr="0068084B">
        <w:rPr>
          <w:rFonts w:ascii="Times New Roman" w:hAnsi="Times New Roman" w:cs="Times New Roman"/>
          <w:sz w:val="28"/>
          <w:szCs w:val="28"/>
        </w:rPr>
        <w:t xml:space="preserve">effects of Favipiravir, Ribavirin, and Tenofovir on humans (in vitro) in </w:t>
      </w:r>
      <w:r w:rsidRPr="0068084B">
        <w:rPr>
          <w:rFonts w:ascii="Times New Roman" w:hAnsi="Times New Roman" w:cs="Times New Roman"/>
          <w:sz w:val="28"/>
          <w:szCs w:val="28"/>
        </w:rPr>
        <w:t xml:space="preserve">Vero E6 cells.  After the first </w:t>
      </w:r>
      <w:r w:rsidR="00661541" w:rsidRPr="0068084B">
        <w:rPr>
          <w:rFonts w:ascii="Times New Roman" w:hAnsi="Times New Roman" w:cs="Times New Roman"/>
          <w:sz w:val="28"/>
          <w:szCs w:val="28"/>
        </w:rPr>
        <w:t>SARS-CoV-1 pandemic</w:t>
      </w:r>
      <w:r w:rsidRPr="0068084B">
        <w:rPr>
          <w:rFonts w:ascii="Times New Roman" w:hAnsi="Times New Roman" w:cs="Times New Roman"/>
          <w:sz w:val="28"/>
          <w:szCs w:val="28"/>
        </w:rPr>
        <w:t xml:space="preserve"> in 2003. The dose recommendations for tenofovir and favipiravir were prescribed after in vitro studies; see Figure 6. </w:t>
      </w:r>
      <w:bookmarkEnd w:id="10"/>
    </w:p>
    <w:p w14:paraId="16EBA6A2" w14:textId="05A01C2A" w:rsidR="00226539" w:rsidRPr="007652CF" w:rsidRDefault="00853685" w:rsidP="007652CF">
      <w:pPr>
        <w:spacing w:line="240" w:lineRule="auto"/>
        <w:ind w:firstLine="708"/>
        <w:jc w:val="both"/>
        <w:rPr>
          <w:rFonts w:ascii="Times New Roman" w:hAnsi="Times New Roman" w:cs="Times New Roman"/>
          <w:sz w:val="28"/>
          <w:szCs w:val="28"/>
        </w:rPr>
      </w:pPr>
      <w:r w:rsidRPr="006531C9">
        <w:rPr>
          <w:rFonts w:ascii="Times New Roman" w:hAnsi="Times New Roman" w:cs="Times New Roman"/>
          <w:sz w:val="24"/>
          <w:szCs w:val="24"/>
        </w:rPr>
        <w:br/>
      </w:r>
      <w:r w:rsidRPr="006531C9">
        <w:rPr>
          <w:rFonts w:ascii="Times New Roman" w:hAnsi="Times New Roman" w:cs="Times New Roman"/>
          <w:noProof/>
          <w:sz w:val="24"/>
          <w:szCs w:val="24"/>
        </w:rPr>
        <w:drawing>
          <wp:inline distT="0" distB="0" distL="0" distR="0" wp14:anchorId="3E5F068C" wp14:editId="73E11E3B">
            <wp:extent cx="5915660" cy="2920621"/>
            <wp:effectExtent l="0" t="0" r="8890" b="1333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A876603" w14:textId="17616785" w:rsidR="008C087A" w:rsidRPr="0068084B" w:rsidRDefault="00853685" w:rsidP="00BC0C8E">
      <w:pPr>
        <w:spacing w:line="240" w:lineRule="auto"/>
        <w:jc w:val="center"/>
        <w:rPr>
          <w:rFonts w:ascii="Times New Roman" w:hAnsi="Times New Roman" w:cs="Times New Roman"/>
          <w:sz w:val="28"/>
          <w:szCs w:val="28"/>
        </w:rPr>
      </w:pPr>
      <w:r w:rsidRPr="0068084B">
        <w:rPr>
          <w:rFonts w:ascii="Times New Roman" w:hAnsi="Times New Roman" w:cs="Times New Roman"/>
          <w:sz w:val="28"/>
          <w:szCs w:val="28"/>
        </w:rPr>
        <w:t xml:space="preserve">Figure 6 </w:t>
      </w:r>
      <w:r w:rsidR="009560D0" w:rsidRPr="0068084B">
        <w:rPr>
          <w:rFonts w:ascii="Times New Roman" w:hAnsi="Times New Roman" w:cs="Times New Roman"/>
          <w:sz w:val="28"/>
          <w:szCs w:val="28"/>
        </w:rPr>
        <w:t>–</w:t>
      </w:r>
      <w:r w:rsidR="006000EF" w:rsidRPr="0068084B">
        <w:rPr>
          <w:rFonts w:ascii="Times New Roman" w:hAnsi="Times New Roman" w:cs="Times New Roman"/>
          <w:sz w:val="28"/>
          <w:szCs w:val="28"/>
        </w:rPr>
        <w:t xml:space="preserve"> </w:t>
      </w:r>
      <w:r w:rsidR="002E094F" w:rsidRPr="0068084B">
        <w:rPr>
          <w:rFonts w:ascii="Times New Roman" w:hAnsi="Times New Roman" w:cs="Times New Roman"/>
          <w:sz w:val="28"/>
          <w:szCs w:val="28"/>
        </w:rPr>
        <w:t>Maximum effective concentrations of antiviral drugs in Vero E6 cell monolayers</w:t>
      </w:r>
      <w:r w:rsidR="00876EF6" w:rsidRPr="0068084B">
        <w:rPr>
          <w:rFonts w:ascii="Times New Roman" w:hAnsi="Times New Roman" w:cs="Times New Roman"/>
          <w:sz w:val="28"/>
          <w:szCs w:val="28"/>
        </w:rPr>
        <w:t xml:space="preserve"> in micromoles</w:t>
      </w:r>
      <w:r w:rsidR="002E094F" w:rsidRPr="0068084B">
        <w:rPr>
          <w:rFonts w:ascii="Times New Roman" w:hAnsi="Times New Roman" w:cs="Times New Roman"/>
          <w:sz w:val="28"/>
          <w:szCs w:val="28"/>
        </w:rPr>
        <w:t xml:space="preserve"> with low cytotoxicity, according to open-access research papers since 2003 </w:t>
      </w:r>
    </w:p>
    <w:p w14:paraId="667E52F6" w14:textId="77777777" w:rsidR="008C087A" w:rsidRDefault="008C087A" w:rsidP="00BC0C8E">
      <w:pPr>
        <w:spacing w:line="240" w:lineRule="auto"/>
        <w:jc w:val="center"/>
        <w:rPr>
          <w:rFonts w:ascii="Times New Roman" w:hAnsi="Times New Roman" w:cs="Times New Roman"/>
          <w:sz w:val="24"/>
          <w:szCs w:val="24"/>
        </w:rPr>
      </w:pPr>
    </w:p>
    <w:p w14:paraId="2F9022F3" w14:textId="174185C8" w:rsidR="009560D0" w:rsidRPr="00782475" w:rsidRDefault="002E094F" w:rsidP="00782475">
      <w:pPr>
        <w:spacing w:after="0" w:line="240" w:lineRule="auto"/>
        <w:ind w:firstLine="709"/>
        <w:rPr>
          <w:rFonts w:ascii="Times New Roman" w:hAnsi="Times New Roman" w:cs="Times New Roman"/>
          <w:sz w:val="28"/>
          <w:szCs w:val="28"/>
        </w:rPr>
      </w:pPr>
      <w:r w:rsidRPr="00782475">
        <w:rPr>
          <w:rFonts w:ascii="Times New Roman" w:hAnsi="Times New Roman" w:cs="Times New Roman"/>
          <w:sz w:val="28"/>
          <w:szCs w:val="28"/>
        </w:rPr>
        <w:t>The horizontal bar chart presents the maximum effective concentrations (EC) of selected antivirals with acceptable cytotoxic profiles in Vero E6 cell culture. Tenofovir (HIV, HBV) and ribavirin (HCV) show relatively low maximum effective concentrations, not exceeding 100 μM, whereas favipiravir (COVID-19) demonstrates a markedly higher effective concentration of about 400 μM. The data indicate significant differences in the antiviral activity spectrum when tested in a standardised cellular model</w:t>
      </w:r>
      <w:r w:rsidR="008C087A" w:rsidRPr="00782475">
        <w:rPr>
          <w:rFonts w:ascii="Times New Roman" w:hAnsi="Times New Roman" w:cs="Times New Roman"/>
          <w:sz w:val="28"/>
          <w:szCs w:val="28"/>
        </w:rPr>
        <w:t>.</w:t>
      </w:r>
    </w:p>
    <w:p w14:paraId="73C7E11C" w14:textId="7821F7A0" w:rsidR="00861BBE" w:rsidRPr="00782475" w:rsidRDefault="009D4FEB" w:rsidP="00782475">
      <w:pPr>
        <w:spacing w:after="0" w:line="240" w:lineRule="auto"/>
        <w:ind w:firstLine="709"/>
        <w:jc w:val="both"/>
        <w:rPr>
          <w:rFonts w:ascii="Times New Roman" w:hAnsi="Times New Roman" w:cs="Times New Roman"/>
          <w:sz w:val="28"/>
          <w:szCs w:val="28"/>
          <w:lang w:val="en-US"/>
        </w:rPr>
      </w:pPr>
      <w:r w:rsidRPr="00782475">
        <w:rPr>
          <w:rFonts w:ascii="Times New Roman" w:hAnsi="Times New Roman" w:cs="Times New Roman"/>
          <w:sz w:val="28"/>
          <w:szCs w:val="28"/>
        </w:rPr>
        <w:t xml:space="preserve">The Vero E6 model also </w:t>
      </w:r>
      <w:r w:rsidR="00A9426A" w:rsidRPr="00782475">
        <w:rPr>
          <w:rFonts w:ascii="Times New Roman" w:hAnsi="Times New Roman" w:cs="Times New Roman"/>
          <w:sz w:val="28"/>
          <w:szCs w:val="28"/>
        </w:rPr>
        <w:t>demonstrates the toxicity edge for monolayer cells, where tenofovir and ribavirin could be effective</w:t>
      </w:r>
      <w:r w:rsidRPr="00782475">
        <w:rPr>
          <w:rFonts w:ascii="Times New Roman" w:hAnsi="Times New Roman" w:cs="Times New Roman"/>
          <w:sz w:val="28"/>
          <w:szCs w:val="28"/>
        </w:rPr>
        <w:t>, and dose control plays a significant role not only in achieving</w:t>
      </w:r>
      <w:r w:rsidR="00853685" w:rsidRPr="00782475">
        <w:rPr>
          <w:rFonts w:ascii="Times New Roman" w:hAnsi="Times New Roman" w:cs="Times New Roman"/>
          <w:sz w:val="28"/>
          <w:szCs w:val="28"/>
        </w:rPr>
        <w:t xml:space="preserve"> absolute viral RNA/DNA replication silencing but also in </w:t>
      </w:r>
      <w:r w:rsidR="00EA24BA" w:rsidRPr="00782475">
        <w:rPr>
          <w:rFonts w:ascii="Times New Roman" w:hAnsi="Times New Roman" w:cs="Times New Roman"/>
          <w:sz w:val="28"/>
          <w:szCs w:val="28"/>
        </w:rPr>
        <w:t>minimising</w:t>
      </w:r>
      <w:r w:rsidR="00853685" w:rsidRPr="00782475">
        <w:rPr>
          <w:rFonts w:ascii="Times New Roman" w:hAnsi="Times New Roman" w:cs="Times New Roman"/>
          <w:sz w:val="28"/>
          <w:szCs w:val="28"/>
        </w:rPr>
        <w:t xml:space="preserve"> </w:t>
      </w:r>
      <w:r w:rsidR="00C047BD">
        <w:rPr>
          <w:rFonts w:ascii="Times New Roman" w:hAnsi="Times New Roman" w:cs="Times New Roman"/>
          <w:sz w:val="28"/>
          <w:szCs w:val="28"/>
        </w:rPr>
        <w:t>negative side-effect impacts</w:t>
      </w:r>
      <w:r w:rsidR="00853685" w:rsidRPr="00782475">
        <w:rPr>
          <w:rFonts w:ascii="Times New Roman" w:hAnsi="Times New Roman" w:cs="Times New Roman"/>
          <w:sz w:val="28"/>
          <w:szCs w:val="28"/>
        </w:rPr>
        <w:t xml:space="preserve"> on contacting cells and tissues.</w:t>
      </w:r>
      <w:bookmarkStart w:id="11" w:name="_Hlk130806699"/>
      <w:bookmarkStart w:id="12" w:name="_Hlk131602534"/>
      <w:r w:rsidR="00A70ED1" w:rsidRPr="00782475">
        <w:rPr>
          <w:rFonts w:ascii="Times New Roman" w:hAnsi="Times New Roman" w:cs="Times New Roman"/>
          <w:sz w:val="28"/>
          <w:szCs w:val="28"/>
        </w:rPr>
        <w:t xml:space="preserve"> </w:t>
      </w:r>
      <w:bookmarkEnd w:id="11"/>
      <w:bookmarkEnd w:id="12"/>
      <w:r w:rsidR="00861BBE" w:rsidRPr="00782475">
        <w:rPr>
          <w:rFonts w:ascii="Times New Roman" w:hAnsi="Times New Roman" w:cs="Times New Roman"/>
          <w:sz w:val="28"/>
          <w:szCs w:val="28"/>
        </w:rPr>
        <w:t>Effective concentration and potency (EC</w:t>
      </w:r>
      <w:r w:rsidR="00861BBE" w:rsidRPr="00782475">
        <w:rPr>
          <w:rFonts w:ascii="Times New Roman" w:hAnsi="Times New Roman" w:cs="Times New Roman"/>
          <w:sz w:val="28"/>
          <w:szCs w:val="28"/>
          <w:vertAlign w:val="subscript"/>
        </w:rPr>
        <w:t>50</w:t>
      </w:r>
      <w:r w:rsidR="00861BBE" w:rsidRPr="00782475">
        <w:rPr>
          <w:rFonts w:ascii="Times New Roman" w:hAnsi="Times New Roman" w:cs="Times New Roman"/>
          <w:sz w:val="28"/>
          <w:szCs w:val="28"/>
        </w:rPr>
        <w:t>, EC</w:t>
      </w:r>
      <w:r w:rsidR="00861BBE" w:rsidRPr="00782475">
        <w:rPr>
          <w:rFonts w:ascii="Times New Roman" w:hAnsi="Times New Roman" w:cs="Times New Roman"/>
          <w:sz w:val="28"/>
          <w:szCs w:val="28"/>
          <w:vertAlign w:val="subscript"/>
        </w:rPr>
        <w:t>90</w:t>
      </w:r>
      <w:r w:rsidR="00861BBE" w:rsidRPr="00782475">
        <w:rPr>
          <w:rFonts w:ascii="Times New Roman" w:hAnsi="Times New Roman" w:cs="Times New Roman"/>
          <w:sz w:val="28"/>
          <w:szCs w:val="28"/>
        </w:rPr>
        <w:t>), concertation efficacy of three drugs (Inhibition activity): half maximal viable concentration (EC</w:t>
      </w:r>
      <w:r w:rsidR="00861BBE" w:rsidRPr="00782475">
        <w:rPr>
          <w:rFonts w:ascii="Times New Roman" w:hAnsi="Times New Roman" w:cs="Times New Roman"/>
          <w:sz w:val="28"/>
          <w:szCs w:val="28"/>
          <w:vertAlign w:val="subscript"/>
        </w:rPr>
        <w:t>50</w:t>
      </w:r>
      <w:r w:rsidR="00861BBE" w:rsidRPr="00782475">
        <w:rPr>
          <w:rFonts w:ascii="Times New Roman" w:hAnsi="Times New Roman" w:cs="Times New Roman"/>
          <w:sz w:val="28"/>
          <w:szCs w:val="28"/>
        </w:rPr>
        <w:t>) may be a degree of the concentration of a medicate, counter-acting agent (</w:t>
      </w:r>
      <w:r w:rsidR="00861BBE" w:rsidRPr="00782475">
        <w:rPr>
          <w:rFonts w:ascii="Times New Roman" w:hAnsi="Times New Roman" w:cs="Times New Roman"/>
          <w:i/>
          <w:iCs/>
          <w:sz w:val="28"/>
          <w:szCs w:val="28"/>
        </w:rPr>
        <w:t>e.g.,</w:t>
      </w:r>
      <w:r w:rsidR="00861BBE" w:rsidRPr="00782475">
        <w:rPr>
          <w:rFonts w:ascii="Times New Roman" w:hAnsi="Times New Roman" w:cs="Times New Roman"/>
          <w:sz w:val="28"/>
          <w:szCs w:val="28"/>
        </w:rPr>
        <w:t xml:space="preserve"> antibodies), or toxicant that actuates a reaction </w:t>
      </w:r>
      <w:r w:rsidR="00861BBE" w:rsidRPr="00782475">
        <w:rPr>
          <w:rFonts w:ascii="Times New Roman" w:hAnsi="Times New Roman" w:cs="Times New Roman"/>
          <w:i/>
          <w:iCs/>
          <w:sz w:val="28"/>
          <w:szCs w:val="28"/>
        </w:rPr>
        <w:t xml:space="preserve">midway </w:t>
      </w:r>
      <w:r w:rsidR="00861BBE" w:rsidRPr="00782475">
        <w:rPr>
          <w:rFonts w:ascii="Times New Roman" w:hAnsi="Times New Roman" w:cs="Times New Roman"/>
          <w:sz w:val="28"/>
          <w:szCs w:val="28"/>
        </w:rPr>
        <w:t>(halfway)</w:t>
      </w:r>
      <w:r w:rsidR="00861BBE" w:rsidRPr="00782475">
        <w:rPr>
          <w:rFonts w:ascii="Times New Roman" w:hAnsi="Times New Roman" w:cs="Times New Roman"/>
          <w:i/>
          <w:iCs/>
          <w:sz w:val="28"/>
          <w:szCs w:val="28"/>
        </w:rPr>
        <w:t> </w:t>
      </w:r>
      <w:r w:rsidR="00861BBE" w:rsidRPr="00782475">
        <w:rPr>
          <w:rFonts w:ascii="Times New Roman" w:hAnsi="Times New Roman" w:cs="Times New Roman"/>
          <w:sz w:val="28"/>
          <w:szCs w:val="28"/>
        </w:rPr>
        <w:t>between the pattern and </w:t>
      </w:r>
      <w:r w:rsidR="00861BBE" w:rsidRPr="00782475">
        <w:rPr>
          <w:rFonts w:ascii="Times New Roman" w:hAnsi="Times New Roman" w:cs="Times New Roman"/>
          <w:i/>
          <w:iCs/>
          <w:sz w:val="28"/>
          <w:szCs w:val="28"/>
        </w:rPr>
        <w:t xml:space="preserve">the </w:t>
      </w:r>
      <w:r w:rsidR="00861BBE" w:rsidRPr="00782475">
        <w:rPr>
          <w:rFonts w:ascii="Times New Roman" w:hAnsi="Times New Roman" w:cs="Times New Roman"/>
          <w:sz w:val="28"/>
          <w:szCs w:val="28"/>
        </w:rPr>
        <w:t>most outstanding value after an indicated introduction time, saying it differently, EC</w:t>
      </w:r>
      <w:r w:rsidR="00861BBE" w:rsidRPr="00782475">
        <w:rPr>
          <w:rFonts w:ascii="Times New Roman" w:hAnsi="Times New Roman" w:cs="Times New Roman"/>
          <w:sz w:val="28"/>
          <w:szCs w:val="28"/>
          <w:vertAlign w:val="subscript"/>
        </w:rPr>
        <w:t>50</w:t>
      </w:r>
      <w:r w:rsidR="00861BBE" w:rsidRPr="00782475">
        <w:rPr>
          <w:rFonts w:ascii="Times New Roman" w:hAnsi="Times New Roman" w:cs="Times New Roman"/>
          <w:sz w:val="28"/>
          <w:szCs w:val="28"/>
        </w:rPr>
        <w:t xml:space="preserve"> can </w:t>
      </w:r>
      <w:r w:rsidR="00861BBE" w:rsidRPr="00782475">
        <w:rPr>
          <w:rFonts w:ascii="Times New Roman" w:hAnsi="Times New Roman" w:cs="Times New Roman"/>
          <w:sz w:val="28"/>
          <w:szCs w:val="28"/>
        </w:rPr>
        <w:lastRenderedPageBreak/>
        <w:t>be specified as the concentration needed</w:t>
      </w:r>
      <w:r w:rsidR="00861BBE" w:rsidRPr="00782475">
        <w:rPr>
          <w:rFonts w:ascii="Times New Roman" w:hAnsi="Times New Roman" w:cs="Times New Roman"/>
          <w:i/>
          <w:iCs/>
          <w:sz w:val="28"/>
          <w:szCs w:val="28"/>
        </w:rPr>
        <w:t xml:space="preserve"> </w:t>
      </w:r>
      <w:r w:rsidR="00861BBE" w:rsidRPr="00782475">
        <w:rPr>
          <w:rFonts w:ascii="Times New Roman" w:hAnsi="Times New Roman" w:cs="Times New Roman"/>
          <w:sz w:val="28"/>
          <w:szCs w:val="28"/>
        </w:rPr>
        <w:t xml:space="preserve">to obtain a 50% drug-effect. In our case, all three antiviral drugs are expected to </w:t>
      </w:r>
      <w:r w:rsidR="0079640B" w:rsidRPr="00782475">
        <w:rPr>
          <w:rFonts w:ascii="Times New Roman" w:hAnsi="Times New Roman" w:cs="Times New Roman"/>
          <w:sz w:val="28"/>
          <w:szCs w:val="28"/>
        </w:rPr>
        <w:t>exhibit these properties</w:t>
      </w:r>
      <w:r w:rsidR="00832447" w:rsidRPr="00782475">
        <w:rPr>
          <w:rFonts w:ascii="Times New Roman" w:hAnsi="Times New Roman" w:cs="Times New Roman"/>
          <w:sz w:val="28"/>
          <w:szCs w:val="28"/>
        </w:rPr>
        <w:t xml:space="preserve">, as we aim to achieve EC90 or EC99, or in some cases, </w:t>
      </w:r>
      <w:r w:rsidR="00861BBE" w:rsidRPr="00782475">
        <w:rPr>
          <w:rFonts w:ascii="Times New Roman" w:hAnsi="Times New Roman" w:cs="Times New Roman"/>
          <w:sz w:val="28"/>
          <w:szCs w:val="28"/>
        </w:rPr>
        <w:t xml:space="preserve">IC99, which represents the maximum inhibition potential. </w:t>
      </w:r>
    </w:p>
    <w:p w14:paraId="2D8B0567" w14:textId="77777777" w:rsidR="00946F82" w:rsidRPr="00782475" w:rsidRDefault="00946F82" w:rsidP="00782475">
      <w:pPr>
        <w:spacing w:after="0" w:line="240" w:lineRule="auto"/>
        <w:ind w:firstLine="709"/>
        <w:jc w:val="both"/>
        <w:rPr>
          <w:rFonts w:ascii="Times New Roman" w:hAnsi="Times New Roman" w:cs="Times New Roman"/>
          <w:sz w:val="28"/>
          <w:szCs w:val="28"/>
          <w:lang w:val="en-US"/>
        </w:rPr>
      </w:pPr>
    </w:p>
    <w:p w14:paraId="447C26F6" w14:textId="77777777" w:rsidR="00226539" w:rsidRPr="00782475" w:rsidRDefault="00853685" w:rsidP="00782475">
      <w:pPr>
        <w:spacing w:after="0" w:line="240" w:lineRule="auto"/>
        <w:jc w:val="center"/>
        <w:rPr>
          <w:rFonts w:ascii="Times New Roman" w:hAnsi="Times New Roman" w:cs="Times New Roman"/>
          <w:sz w:val="28"/>
          <w:szCs w:val="28"/>
        </w:rPr>
      </w:pPr>
      <w:r w:rsidRPr="00782475">
        <w:rPr>
          <w:rFonts w:ascii="Times New Roman" w:hAnsi="Times New Roman" w:cs="Times New Roman"/>
          <w:noProof/>
          <w:sz w:val="28"/>
          <w:szCs w:val="28"/>
        </w:rPr>
        <w:drawing>
          <wp:inline distT="0" distB="0" distL="0" distR="0" wp14:anchorId="1432F2E1" wp14:editId="1527027A">
            <wp:extent cx="2395182" cy="313655"/>
            <wp:effectExtent l="0" t="0" r="0" b="0"/>
            <wp:docPr id="7100439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043956"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2430445" cy="318273"/>
                    </a:xfrm>
                    <a:prstGeom prst="rect">
                      <a:avLst/>
                    </a:prstGeom>
                    <a:noFill/>
                  </pic:spPr>
                </pic:pic>
              </a:graphicData>
            </a:graphic>
          </wp:inline>
        </w:drawing>
      </w:r>
      <w:r w:rsidRPr="00782475">
        <w:rPr>
          <w:rFonts w:ascii="Times New Roman" w:hAnsi="Times New Roman" w:cs="Times New Roman"/>
          <w:sz w:val="28"/>
          <w:szCs w:val="28"/>
        </w:rPr>
        <w:t>(1)</w:t>
      </w:r>
    </w:p>
    <w:p w14:paraId="69EF8DD2" w14:textId="77777777" w:rsidR="00226539" w:rsidRPr="006531C9" w:rsidRDefault="00226539" w:rsidP="000B4B42">
      <w:pPr>
        <w:spacing w:line="360" w:lineRule="auto"/>
        <w:ind w:firstLineChars="709" w:firstLine="1702"/>
        <w:jc w:val="both"/>
        <w:rPr>
          <w:rFonts w:ascii="Times New Roman" w:hAnsi="Times New Roman" w:cs="Times New Roman"/>
          <w:sz w:val="24"/>
          <w:szCs w:val="24"/>
        </w:rPr>
      </w:pPr>
    </w:p>
    <w:p w14:paraId="3683F5FA" w14:textId="74EB4750" w:rsidR="00A64AEF" w:rsidRPr="0068084B" w:rsidRDefault="00853685" w:rsidP="0068084B">
      <w:pPr>
        <w:spacing w:after="0" w:line="240" w:lineRule="auto"/>
        <w:ind w:firstLine="527"/>
        <w:jc w:val="both"/>
        <w:rPr>
          <w:rFonts w:ascii="Times New Roman" w:hAnsi="Times New Roman" w:cs="Times New Roman"/>
          <w:sz w:val="28"/>
          <w:szCs w:val="28"/>
        </w:rPr>
      </w:pPr>
      <w:r w:rsidRPr="0068084B">
        <w:rPr>
          <w:rFonts w:ascii="Times New Roman" w:hAnsi="Times New Roman" w:cs="Times New Roman"/>
          <w:sz w:val="28"/>
          <w:szCs w:val="28"/>
        </w:rPr>
        <w:t>There is</w:t>
      </w:r>
      <w:r w:rsidR="00661541" w:rsidRPr="0068084B">
        <w:rPr>
          <w:rFonts w:ascii="Times New Roman" w:hAnsi="Times New Roman" w:cs="Times New Roman"/>
          <w:sz w:val="28"/>
          <w:szCs w:val="28"/>
        </w:rPr>
        <w:t xml:space="preserve"> a comprehensive range of EC50 values in </w:t>
      </w:r>
      <w:r w:rsidR="00AE0069" w:rsidRPr="0068084B">
        <w:rPr>
          <w:rFonts w:ascii="Times New Roman" w:hAnsi="Times New Roman" w:cs="Times New Roman"/>
          <w:sz w:val="28"/>
          <w:szCs w:val="28"/>
        </w:rPr>
        <w:t>formula (1) for drugs, which are regularly found to vary</w:t>
      </w:r>
      <w:r w:rsidR="00661541" w:rsidRPr="0068084B">
        <w:rPr>
          <w:rFonts w:ascii="Times New Roman" w:hAnsi="Times New Roman" w:cs="Times New Roman"/>
          <w:sz w:val="28"/>
          <w:szCs w:val="28"/>
        </w:rPr>
        <w:t xml:space="preserve"> </w:t>
      </w:r>
      <w:r w:rsidRPr="0068084B">
        <w:rPr>
          <w:rFonts w:ascii="Times New Roman" w:hAnsi="Times New Roman" w:cs="Times New Roman"/>
          <w:sz w:val="28"/>
          <w:szCs w:val="28"/>
        </w:rPr>
        <w:t xml:space="preserve">from </w:t>
      </w:r>
      <w:r w:rsidRPr="0068084B">
        <w:rPr>
          <w:rFonts w:ascii="Times New Roman" w:hAnsi="Times New Roman" w:cs="Times New Roman"/>
          <w:i/>
          <w:iCs/>
          <w:sz w:val="28"/>
          <w:szCs w:val="28"/>
        </w:rPr>
        <w:t xml:space="preserve">nM to </w:t>
      </w:r>
      <w:proofErr w:type="spellStart"/>
      <w:r w:rsidRPr="0068084B">
        <w:rPr>
          <w:rFonts w:ascii="Times New Roman" w:hAnsi="Times New Roman" w:cs="Times New Roman"/>
          <w:i/>
          <w:iCs/>
          <w:sz w:val="28"/>
          <w:szCs w:val="28"/>
        </w:rPr>
        <w:t>mM</w:t>
      </w:r>
      <w:r w:rsidRPr="0068084B">
        <w:rPr>
          <w:rFonts w:ascii="Times New Roman" w:hAnsi="Times New Roman" w:cs="Times New Roman"/>
          <w:sz w:val="28"/>
          <w:szCs w:val="28"/>
        </w:rPr>
        <w:t>.</w:t>
      </w:r>
      <w:proofErr w:type="spellEnd"/>
      <w:r w:rsidRPr="0068084B">
        <w:rPr>
          <w:rFonts w:ascii="Times New Roman" w:hAnsi="Times New Roman" w:cs="Times New Roman"/>
          <w:sz w:val="28"/>
          <w:szCs w:val="28"/>
        </w:rPr>
        <w:t> Thus, it is</w:t>
      </w:r>
      <w:r w:rsidR="00661541" w:rsidRPr="0068084B">
        <w:rPr>
          <w:rFonts w:ascii="Times New Roman" w:hAnsi="Times New Roman" w:cs="Times New Roman"/>
          <w:sz w:val="28"/>
          <w:szCs w:val="28"/>
        </w:rPr>
        <w:t xml:space="preserve"> </w:t>
      </w:r>
      <w:r w:rsidR="00AE0069" w:rsidRPr="0068084B">
        <w:rPr>
          <w:rFonts w:ascii="Times New Roman" w:hAnsi="Times New Roman" w:cs="Times New Roman"/>
          <w:sz w:val="28"/>
          <w:szCs w:val="28"/>
        </w:rPr>
        <w:t xml:space="preserve">often more sensible to refer to the logarithmically transformed pEC50 values rather than </w:t>
      </w:r>
      <w:r w:rsidR="00661541" w:rsidRPr="0068084B">
        <w:rPr>
          <w:rFonts w:ascii="Times New Roman" w:hAnsi="Times New Roman" w:cs="Times New Roman"/>
          <w:sz w:val="28"/>
          <w:szCs w:val="28"/>
        </w:rPr>
        <w:t xml:space="preserve">the </w:t>
      </w:r>
      <w:r w:rsidRPr="0068084B">
        <w:rPr>
          <w:rFonts w:ascii="Times New Roman" w:hAnsi="Times New Roman" w:cs="Times New Roman"/>
          <w:sz w:val="28"/>
          <w:szCs w:val="28"/>
        </w:rPr>
        <w:t>EC</w:t>
      </w:r>
      <w:r w:rsidRPr="0068084B">
        <w:rPr>
          <w:rFonts w:ascii="Times New Roman" w:hAnsi="Times New Roman" w:cs="Times New Roman"/>
          <w:sz w:val="28"/>
          <w:szCs w:val="28"/>
          <w:vertAlign w:val="subscript"/>
        </w:rPr>
        <w:t>50</w:t>
      </w:r>
      <w:r w:rsidRPr="0068084B">
        <w:rPr>
          <w:rFonts w:ascii="Times New Roman" w:hAnsi="Times New Roman" w:cs="Times New Roman"/>
          <w:sz w:val="28"/>
          <w:szCs w:val="28"/>
        </w:rPr>
        <w:t>. The term "potency" refers to the EC</w:t>
      </w:r>
      <w:r w:rsidRPr="0068084B">
        <w:rPr>
          <w:rFonts w:ascii="Times New Roman" w:hAnsi="Times New Roman" w:cs="Times New Roman"/>
          <w:sz w:val="28"/>
          <w:szCs w:val="28"/>
          <w:vertAlign w:val="subscript"/>
        </w:rPr>
        <w:t>50</w:t>
      </w:r>
      <w:r w:rsidRPr="0068084B">
        <w:rPr>
          <w:rFonts w:ascii="Times New Roman" w:hAnsi="Times New Roman" w:cs="Times New Roman"/>
          <w:sz w:val="28"/>
          <w:szCs w:val="28"/>
        </w:rPr>
        <w:t xml:space="preserve"> value. The lower the EC</w:t>
      </w:r>
      <w:r w:rsidRPr="0068084B">
        <w:rPr>
          <w:rFonts w:ascii="Times New Roman" w:hAnsi="Times New Roman" w:cs="Times New Roman"/>
          <w:sz w:val="28"/>
          <w:szCs w:val="28"/>
          <w:vertAlign w:val="subscript"/>
        </w:rPr>
        <w:t xml:space="preserve">50 </w:t>
      </w:r>
      <w:r w:rsidRPr="0068084B">
        <w:rPr>
          <w:rFonts w:ascii="Times New Roman" w:hAnsi="Times New Roman" w:cs="Times New Roman"/>
          <w:sz w:val="28"/>
          <w:szCs w:val="28"/>
        </w:rPr>
        <w:t>value, the lower the drug</w:t>
      </w:r>
      <w:r w:rsidR="00661541" w:rsidRPr="0068084B">
        <w:rPr>
          <w:rFonts w:ascii="Times New Roman" w:hAnsi="Times New Roman" w:cs="Times New Roman"/>
          <w:sz w:val="28"/>
          <w:szCs w:val="28"/>
        </w:rPr>
        <w:t xml:space="preserve"> concentration required to achieve 50% of the maximal effect,</w:t>
      </w:r>
      <w:r w:rsidRPr="0068084B">
        <w:rPr>
          <w:rFonts w:ascii="Times New Roman" w:hAnsi="Times New Roman" w:cs="Times New Roman"/>
          <w:sz w:val="28"/>
          <w:szCs w:val="28"/>
        </w:rPr>
        <w:t xml:space="preserve"> and the higher the potency. The </w:t>
      </w:r>
      <w:r w:rsidRPr="0068084B">
        <w:rPr>
          <w:rFonts w:ascii="Times New Roman" w:hAnsi="Times New Roman" w:cs="Times New Roman"/>
          <w:i/>
          <w:iCs/>
          <w:sz w:val="28"/>
          <w:szCs w:val="28"/>
        </w:rPr>
        <w:t>EC</w:t>
      </w:r>
      <w:r w:rsidRPr="0068084B">
        <w:rPr>
          <w:rFonts w:ascii="Times New Roman" w:hAnsi="Times New Roman" w:cs="Times New Roman"/>
          <w:i/>
          <w:iCs/>
          <w:sz w:val="28"/>
          <w:szCs w:val="28"/>
          <w:vertAlign w:val="subscript"/>
        </w:rPr>
        <w:t>10</w:t>
      </w:r>
      <w:r w:rsidRPr="0068084B">
        <w:rPr>
          <w:rFonts w:ascii="Times New Roman" w:hAnsi="Times New Roman" w:cs="Times New Roman"/>
          <w:sz w:val="28"/>
          <w:szCs w:val="28"/>
        </w:rPr>
        <w:t xml:space="preserve"> and </w:t>
      </w:r>
      <w:r w:rsidRPr="0068084B">
        <w:rPr>
          <w:rFonts w:ascii="Times New Roman" w:hAnsi="Times New Roman" w:cs="Times New Roman"/>
          <w:i/>
          <w:iCs/>
          <w:sz w:val="28"/>
          <w:szCs w:val="28"/>
        </w:rPr>
        <w:t>EC</w:t>
      </w:r>
      <w:r w:rsidRPr="0068084B">
        <w:rPr>
          <w:rFonts w:ascii="Times New Roman" w:hAnsi="Times New Roman" w:cs="Times New Roman"/>
          <w:i/>
          <w:iCs/>
          <w:sz w:val="28"/>
          <w:szCs w:val="28"/>
          <w:vertAlign w:val="subscript"/>
        </w:rPr>
        <w:t>90</w:t>
      </w:r>
      <w:r w:rsidRPr="0068084B">
        <w:rPr>
          <w:rFonts w:ascii="Times New Roman" w:hAnsi="Times New Roman" w:cs="Times New Roman"/>
          <w:sz w:val="28"/>
          <w:szCs w:val="28"/>
        </w:rPr>
        <w:t xml:space="preserve"> concentrations </w:t>
      </w:r>
      <w:r w:rsidR="00C047BD">
        <w:rPr>
          <w:rFonts w:ascii="Times New Roman" w:hAnsi="Times New Roman" w:cs="Times New Roman"/>
          <w:sz w:val="28"/>
          <w:szCs w:val="28"/>
        </w:rPr>
        <w:t>correspond to 10% and 90% of the maximal response</w:t>
      </w:r>
      <w:r w:rsidRPr="0068084B">
        <w:rPr>
          <w:rFonts w:ascii="Times New Roman" w:hAnsi="Times New Roman" w:cs="Times New Roman"/>
          <w:sz w:val="28"/>
          <w:szCs w:val="28"/>
        </w:rPr>
        <w:t>, respectively.</w:t>
      </w:r>
    </w:p>
    <w:p w14:paraId="4AC41484" w14:textId="2D9B5019" w:rsidR="00F95E2E" w:rsidRPr="0068084B" w:rsidRDefault="00853685" w:rsidP="00E62C25">
      <w:pPr>
        <w:spacing w:after="0" w:line="240" w:lineRule="auto"/>
        <w:ind w:firstLine="527"/>
        <w:jc w:val="both"/>
        <w:rPr>
          <w:rFonts w:ascii="Times New Roman" w:hAnsi="Times New Roman" w:cs="Times New Roman"/>
          <w:sz w:val="28"/>
          <w:szCs w:val="28"/>
        </w:rPr>
      </w:pPr>
      <w:r w:rsidRPr="0068084B">
        <w:rPr>
          <w:rFonts w:ascii="Times New Roman" w:hAnsi="Times New Roman" w:cs="Times New Roman"/>
          <w:sz w:val="28"/>
          <w:szCs w:val="28"/>
        </w:rPr>
        <w:t xml:space="preserve"> However, viral replication must be </w:t>
      </w:r>
      <w:r w:rsidR="00C047BD">
        <w:rPr>
          <w:rFonts w:ascii="Times New Roman" w:hAnsi="Times New Roman" w:cs="Times New Roman"/>
          <w:sz w:val="28"/>
          <w:szCs w:val="28"/>
        </w:rPr>
        <w:t>stopped entirely; even 90% silencing or ‘breaking’ of replication is insufficient</w:t>
      </w:r>
      <w:r w:rsidRPr="0068084B">
        <w:rPr>
          <w:rFonts w:ascii="Times New Roman" w:hAnsi="Times New Roman" w:cs="Times New Roman"/>
          <w:sz w:val="28"/>
          <w:szCs w:val="28"/>
        </w:rPr>
        <w:t xml:space="preserve"> to achieve the therapeutic effect of antiviral medication. Thus, so-called old drugs</w:t>
      </w:r>
      <w:r w:rsidR="00661541" w:rsidRPr="0068084B">
        <w:rPr>
          <w:rFonts w:ascii="Times New Roman" w:hAnsi="Times New Roman" w:cs="Times New Roman"/>
          <w:sz w:val="28"/>
          <w:szCs w:val="28"/>
        </w:rPr>
        <w:t xml:space="preserve">, such as ribavirin and tenofovir, are designed to be administered for an extended period </w:t>
      </w:r>
      <w:r w:rsidR="00C047BD">
        <w:rPr>
          <w:rFonts w:ascii="Times New Roman" w:hAnsi="Times New Roman" w:cs="Times New Roman"/>
          <w:sz w:val="28"/>
          <w:szCs w:val="28"/>
        </w:rPr>
        <w:t xml:space="preserve">at relatively low concentrations to inhibit viral replication </w:t>
      </w:r>
      <w:r w:rsidRPr="0068084B">
        <w:rPr>
          <w:rFonts w:ascii="Times New Roman" w:hAnsi="Times New Roman" w:cs="Times New Roman"/>
          <w:sz w:val="28"/>
          <w:szCs w:val="28"/>
        </w:rPr>
        <w:t xml:space="preserve">in host cells. Ribavirin and Tenofovir are the antivirals for </w:t>
      </w:r>
      <w:r w:rsidR="00CE0AE4" w:rsidRPr="0068084B">
        <w:rPr>
          <w:rFonts w:ascii="Times New Roman" w:hAnsi="Times New Roman" w:cs="Times New Roman"/>
          <w:sz w:val="28"/>
          <w:szCs w:val="28"/>
        </w:rPr>
        <w:t>long-term</w:t>
      </w:r>
      <w:r w:rsidRPr="0068084B">
        <w:rPr>
          <w:rFonts w:ascii="Times New Roman" w:hAnsi="Times New Roman" w:cs="Times New Roman"/>
          <w:sz w:val="28"/>
          <w:szCs w:val="28"/>
        </w:rPr>
        <w:t xml:space="preserve"> drug therapy for primary purposes. Still, the increased concentration for ten days of prescribed </w:t>
      </w:r>
      <w:r w:rsidR="0065344C" w:rsidRPr="0068084B">
        <w:rPr>
          <w:rFonts w:ascii="Times New Roman" w:hAnsi="Times New Roman" w:cs="Times New Roman"/>
          <w:sz w:val="28"/>
          <w:szCs w:val="28"/>
        </w:rPr>
        <w:t>treatment, such as favipiravir,</w:t>
      </w:r>
      <w:r w:rsidRPr="0068084B">
        <w:rPr>
          <w:rFonts w:ascii="Times New Roman" w:hAnsi="Times New Roman" w:cs="Times New Roman"/>
          <w:sz w:val="28"/>
          <w:szCs w:val="28"/>
        </w:rPr>
        <w:t xml:space="preserve"> can be either a reasonable risk for a cheap and effective alternative or a ‘side-effect disaster’ for a chance to fight COVID-19, for instance, or </w:t>
      </w:r>
      <w:r w:rsidR="002A2407" w:rsidRPr="0068084B">
        <w:rPr>
          <w:rFonts w:ascii="Times New Roman" w:hAnsi="Times New Roman" w:cs="Times New Roman"/>
          <w:sz w:val="28"/>
          <w:szCs w:val="28"/>
        </w:rPr>
        <w:t>influenza</w:t>
      </w:r>
      <w:r w:rsidRPr="0068084B">
        <w:rPr>
          <w:rFonts w:ascii="Times New Roman" w:hAnsi="Times New Roman" w:cs="Times New Roman"/>
          <w:sz w:val="28"/>
          <w:szCs w:val="28"/>
        </w:rPr>
        <w:t xml:space="preserve">.  To make </w:t>
      </w:r>
      <w:r w:rsidR="00661541" w:rsidRPr="0068084B">
        <w:rPr>
          <w:rFonts w:ascii="Times New Roman" w:hAnsi="Times New Roman" w:cs="Times New Roman"/>
          <w:sz w:val="28"/>
          <w:szCs w:val="28"/>
        </w:rPr>
        <w:t xml:space="preserve">matters worse, the effective concentration (EC10, EC50, EC90) measure was heavily </w:t>
      </w:r>
      <w:r w:rsidR="00CE0AE4" w:rsidRPr="0068084B">
        <w:rPr>
          <w:rFonts w:ascii="Times New Roman" w:hAnsi="Times New Roman" w:cs="Times New Roman"/>
          <w:sz w:val="28"/>
          <w:szCs w:val="28"/>
        </w:rPr>
        <w:t>criticised</w:t>
      </w:r>
      <w:r w:rsidR="00661541" w:rsidRPr="0068084B">
        <w:rPr>
          <w:rFonts w:ascii="Times New Roman" w:hAnsi="Times New Roman" w:cs="Times New Roman"/>
          <w:sz w:val="28"/>
          <w:szCs w:val="28"/>
        </w:rPr>
        <w:t xml:space="preserve"> in 2003 due to its ‘vagueness’ [34-38, 51</w:t>
      </w:r>
      <w:r w:rsidR="00574EEC" w:rsidRPr="0068084B">
        <w:rPr>
          <w:rFonts w:ascii="Times New Roman" w:hAnsi="Times New Roman" w:cs="Times New Roman"/>
          <w:sz w:val="28"/>
          <w:szCs w:val="28"/>
        </w:rPr>
        <w:t>].</w:t>
      </w:r>
    </w:p>
    <w:p w14:paraId="0BB593C5" w14:textId="526FA50E" w:rsidR="00782475" w:rsidRPr="00B75453" w:rsidRDefault="00574EEC" w:rsidP="00E62C25">
      <w:pPr>
        <w:spacing w:after="0" w:line="240" w:lineRule="auto"/>
        <w:ind w:firstLine="527"/>
        <w:jc w:val="both"/>
        <w:rPr>
          <w:rFonts w:ascii="Times New Roman" w:hAnsi="Times New Roman" w:cs="Times New Roman"/>
          <w:sz w:val="28"/>
          <w:szCs w:val="28"/>
          <w:lang w:val="en-US"/>
        </w:rPr>
      </w:pPr>
      <w:r w:rsidRPr="0068084B">
        <w:rPr>
          <w:rFonts w:ascii="Times New Roman" w:hAnsi="Times New Roman" w:cs="Times New Roman"/>
          <w:sz w:val="28"/>
          <w:szCs w:val="28"/>
        </w:rPr>
        <w:t xml:space="preserve"> To</w:t>
      </w:r>
      <w:r w:rsidR="00853685" w:rsidRPr="0068084B">
        <w:rPr>
          <w:rFonts w:ascii="Times New Roman" w:hAnsi="Times New Roman" w:cs="Times New Roman"/>
          <w:sz w:val="28"/>
          <w:szCs w:val="28"/>
        </w:rPr>
        <w:t xml:space="preserve"> support the idea of the vagueness of this measure methodology, a study </w:t>
      </w:r>
      <w:r w:rsidR="00661541" w:rsidRPr="0068084B">
        <w:rPr>
          <w:rFonts w:ascii="Times New Roman" w:hAnsi="Times New Roman" w:cs="Times New Roman"/>
          <w:sz w:val="28"/>
          <w:szCs w:val="28"/>
        </w:rPr>
        <w:t xml:space="preserve">on the effectiveness of antivirals as individual agents and </w:t>
      </w:r>
      <w:r w:rsidR="00C047BD">
        <w:rPr>
          <w:rFonts w:ascii="Times New Roman" w:hAnsi="Times New Roman" w:cs="Times New Roman"/>
          <w:sz w:val="28"/>
          <w:szCs w:val="28"/>
        </w:rPr>
        <w:t>in</w:t>
      </w:r>
      <w:r w:rsidR="00661541" w:rsidRPr="0068084B">
        <w:rPr>
          <w:rFonts w:ascii="Times New Roman" w:hAnsi="Times New Roman" w:cs="Times New Roman"/>
          <w:sz w:val="28"/>
          <w:szCs w:val="28"/>
        </w:rPr>
        <w:t xml:space="preserve"> combination was conducted in Japan to demonstrate how E50 values vary across</w:t>
      </w:r>
      <w:r w:rsidR="00853685" w:rsidRPr="0068084B">
        <w:rPr>
          <w:rFonts w:ascii="Times New Roman" w:hAnsi="Times New Roman" w:cs="Times New Roman"/>
          <w:sz w:val="28"/>
          <w:szCs w:val="28"/>
        </w:rPr>
        <w:t xml:space="preserve"> </w:t>
      </w:r>
      <w:r w:rsidR="00853685" w:rsidRPr="0068084B">
        <w:rPr>
          <w:rFonts w:ascii="Times New Roman" w:hAnsi="Times New Roman" w:cs="Times New Roman"/>
          <w:i/>
          <w:iCs/>
          <w:sz w:val="28"/>
          <w:szCs w:val="28"/>
        </w:rPr>
        <w:t>in vitro</w:t>
      </w:r>
      <w:r w:rsidR="00853685" w:rsidRPr="0068084B">
        <w:rPr>
          <w:rFonts w:ascii="Times New Roman" w:hAnsi="Times New Roman" w:cs="Times New Roman"/>
          <w:sz w:val="28"/>
          <w:szCs w:val="28"/>
        </w:rPr>
        <w:t xml:space="preserve"> studies. The difference between minimum and maximum values is, on average, 40 times [39-5</w:t>
      </w:r>
      <w:r w:rsidR="00203A53" w:rsidRPr="0068084B">
        <w:rPr>
          <w:rFonts w:ascii="Times New Roman" w:hAnsi="Times New Roman" w:cs="Times New Roman"/>
          <w:sz w:val="28"/>
          <w:szCs w:val="28"/>
        </w:rPr>
        <w:t>9</w:t>
      </w:r>
      <w:r w:rsidR="00853685" w:rsidRPr="0068084B">
        <w:rPr>
          <w:rFonts w:ascii="Times New Roman" w:hAnsi="Times New Roman" w:cs="Times New Roman"/>
          <w:sz w:val="28"/>
          <w:szCs w:val="28"/>
        </w:rPr>
        <w:t xml:space="preserve">]. Thus, the </w:t>
      </w:r>
      <w:r w:rsidR="00C047BD">
        <w:rPr>
          <w:rFonts w:ascii="Times New Roman" w:hAnsi="Times New Roman" w:cs="Times New Roman"/>
          <w:sz w:val="28"/>
          <w:szCs w:val="28"/>
        </w:rPr>
        <w:t>EC10 and EC90 values also showed a wide range of ‘runaway’ values, indicating</w:t>
      </w:r>
      <w:r w:rsidR="00661541" w:rsidRPr="0068084B">
        <w:rPr>
          <w:rFonts w:ascii="Times New Roman" w:hAnsi="Times New Roman" w:cs="Times New Roman"/>
          <w:sz w:val="28"/>
          <w:szCs w:val="28"/>
        </w:rPr>
        <w:t xml:space="preserve"> data integrity issues</w:t>
      </w:r>
      <w:r w:rsidR="00853685" w:rsidRPr="0068084B">
        <w:rPr>
          <w:rFonts w:ascii="Times New Roman" w:hAnsi="Times New Roman" w:cs="Times New Roman"/>
          <w:sz w:val="28"/>
          <w:szCs w:val="28"/>
        </w:rPr>
        <w:t xml:space="preserve">. To sum up, to fight the viral replicase of fast-developing SARS-COV2 (i.e., its intercellular spread), almost 100% silencing is required, and to gain this, physicians prescribe either high drug doses within ten days on average with a particular drug like T-705 (favipiravir) or a combination of medications like ribavirin with corticosteroids (such as dexamethasone), or even 300mg tenofovir daily up to one week period, yet not at critical phase of COVID-19 infection. </w:t>
      </w:r>
    </w:p>
    <w:p w14:paraId="0EA555E7" w14:textId="77777777" w:rsidR="00782475" w:rsidRPr="00B75453" w:rsidRDefault="00782475" w:rsidP="00C047BD">
      <w:pPr>
        <w:spacing w:after="0" w:line="240" w:lineRule="auto"/>
        <w:jc w:val="both"/>
        <w:rPr>
          <w:rFonts w:ascii="Times New Roman" w:hAnsi="Times New Roman" w:cs="Times New Roman"/>
          <w:sz w:val="28"/>
          <w:szCs w:val="28"/>
          <w:lang w:val="en-US"/>
        </w:rPr>
      </w:pPr>
    </w:p>
    <w:p w14:paraId="5BF5D260" w14:textId="5D882AE7" w:rsidR="0068084B" w:rsidRPr="00FA608E" w:rsidRDefault="00853685" w:rsidP="00B65D8E">
      <w:pPr>
        <w:pStyle w:val="af1"/>
        <w:numPr>
          <w:ilvl w:val="1"/>
          <w:numId w:val="76"/>
        </w:numPr>
        <w:spacing w:after="0" w:line="240" w:lineRule="auto"/>
        <w:ind w:hanging="72"/>
        <w:jc w:val="both"/>
        <w:rPr>
          <w:rFonts w:ascii="Times New Roman" w:hAnsi="Times New Roman" w:cs="Times New Roman"/>
          <w:b/>
          <w:bCs/>
          <w:sz w:val="28"/>
          <w:szCs w:val="28"/>
        </w:rPr>
      </w:pPr>
      <w:r w:rsidRPr="0068084B">
        <w:rPr>
          <w:rFonts w:ascii="Times New Roman" w:hAnsi="Times New Roman" w:cs="Times New Roman"/>
          <w:b/>
          <w:bCs/>
          <w:sz w:val="28"/>
          <w:szCs w:val="28"/>
        </w:rPr>
        <w:t xml:space="preserve">Lethal mutagenesis as a purpose </w:t>
      </w:r>
    </w:p>
    <w:p w14:paraId="24F5B2A8" w14:textId="00D3A1AA" w:rsidR="00D009D5" w:rsidRDefault="00853685" w:rsidP="00FA608E">
      <w:pPr>
        <w:spacing w:after="0" w:line="240" w:lineRule="auto"/>
        <w:ind w:firstLine="708"/>
        <w:jc w:val="both"/>
        <w:rPr>
          <w:rFonts w:ascii="Times New Roman" w:hAnsi="Times New Roman" w:cs="Times New Roman"/>
          <w:sz w:val="28"/>
          <w:szCs w:val="28"/>
        </w:rPr>
      </w:pPr>
      <w:r w:rsidRPr="0068084B">
        <w:rPr>
          <w:rFonts w:ascii="Times New Roman" w:hAnsi="Times New Roman" w:cs="Times New Roman"/>
          <w:sz w:val="28"/>
          <w:szCs w:val="28"/>
        </w:rPr>
        <w:t xml:space="preserve">Almost all Nucleoside analogues increase the mutation rates so high that viral replication machinery </w:t>
      </w:r>
      <w:r w:rsidR="00CE0AE4" w:rsidRPr="0068084B">
        <w:rPr>
          <w:rFonts w:ascii="Times New Roman" w:hAnsi="Times New Roman" w:cs="Times New Roman"/>
          <w:sz w:val="28"/>
          <w:szCs w:val="28"/>
        </w:rPr>
        <w:t>synthesised</w:t>
      </w:r>
      <w:r w:rsidRPr="0068084B">
        <w:rPr>
          <w:rFonts w:ascii="Times New Roman" w:hAnsi="Times New Roman" w:cs="Times New Roman"/>
          <w:sz w:val="28"/>
          <w:szCs w:val="28"/>
        </w:rPr>
        <w:t xml:space="preserve"> in ORF1ab gets disturbed so critically that either the RNA subunits do not attach to RdRP-like Remdesivir does [44,56,95] or the direct inhibition of RdRP through coping </w:t>
      </w:r>
      <w:r w:rsidR="0065344C" w:rsidRPr="0068084B">
        <w:rPr>
          <w:rFonts w:ascii="Times New Roman" w:hAnsi="Times New Roman" w:cs="Times New Roman"/>
          <w:sz w:val="28"/>
          <w:szCs w:val="28"/>
        </w:rPr>
        <w:t xml:space="preserve">with </w:t>
      </w:r>
      <w:r w:rsidRPr="0068084B">
        <w:rPr>
          <w:rFonts w:ascii="Times New Roman" w:hAnsi="Times New Roman" w:cs="Times New Roman"/>
          <w:sz w:val="28"/>
          <w:szCs w:val="28"/>
        </w:rPr>
        <w:t>false RNA strands is blocked, just like our discussed purine analogues: Favipiravir, Ribavirin, and Tenofovir [50-51</w:t>
      </w:r>
      <w:r w:rsidR="00203A53" w:rsidRPr="0068084B">
        <w:rPr>
          <w:rFonts w:ascii="Times New Roman" w:hAnsi="Times New Roman" w:cs="Times New Roman"/>
          <w:sz w:val="28"/>
          <w:szCs w:val="28"/>
        </w:rPr>
        <w:t>,60-65</w:t>
      </w:r>
      <w:r w:rsidRPr="0068084B">
        <w:rPr>
          <w:rFonts w:ascii="Times New Roman" w:hAnsi="Times New Roman" w:cs="Times New Roman"/>
          <w:sz w:val="28"/>
          <w:szCs w:val="28"/>
        </w:rPr>
        <w:t xml:space="preserve">]. A clear and </w:t>
      </w:r>
      <w:r w:rsidR="00991680" w:rsidRPr="0068084B">
        <w:rPr>
          <w:rFonts w:ascii="Times New Roman" w:hAnsi="Times New Roman" w:cs="Times New Roman"/>
          <w:sz w:val="28"/>
          <w:szCs w:val="28"/>
        </w:rPr>
        <w:t>distinct correlation is evident</w:t>
      </w:r>
      <w:r w:rsidRPr="0068084B">
        <w:rPr>
          <w:rFonts w:ascii="Times New Roman" w:hAnsi="Times New Roman" w:cs="Times New Roman"/>
          <w:sz w:val="28"/>
          <w:szCs w:val="28"/>
        </w:rPr>
        <w:t xml:space="preserve"> in Figure 7. </w:t>
      </w:r>
    </w:p>
    <w:p w14:paraId="252A172A" w14:textId="77777777" w:rsidR="00D009D5" w:rsidRPr="0068084B" w:rsidRDefault="00D009D5" w:rsidP="00D009D5">
      <w:pPr>
        <w:spacing w:line="240" w:lineRule="auto"/>
        <w:ind w:firstLine="708"/>
        <w:jc w:val="both"/>
        <w:rPr>
          <w:rFonts w:ascii="Times New Roman" w:hAnsi="Times New Roman" w:cs="Times New Roman"/>
          <w:sz w:val="28"/>
          <w:szCs w:val="28"/>
        </w:rPr>
      </w:pPr>
    </w:p>
    <w:p w14:paraId="5B4D6C2F" w14:textId="77777777" w:rsidR="00226539" w:rsidRPr="006531C9" w:rsidRDefault="00853685" w:rsidP="00203A53">
      <w:pPr>
        <w:spacing w:after="0" w:line="360" w:lineRule="auto"/>
        <w:jc w:val="center"/>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64084176" wp14:editId="44441A1D">
            <wp:extent cx="3958214" cy="2538484"/>
            <wp:effectExtent l="0" t="0" r="4445" b="0"/>
            <wp:docPr id="12846688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668883" name="Рисунок 1"/>
                    <pic:cNvPicPr>
                      <a:picLocks noChangeAspect="1"/>
                    </pic:cNvPicPr>
                  </pic:nvPicPr>
                  <pic:blipFill>
                    <a:blip r:embed="rId17"/>
                    <a:srcRect b="25264"/>
                    <a:stretch>
                      <a:fillRect/>
                    </a:stretch>
                  </pic:blipFill>
                  <pic:spPr>
                    <a:xfrm>
                      <a:off x="0" y="0"/>
                      <a:ext cx="4209283" cy="2699500"/>
                    </a:xfrm>
                    <a:prstGeom prst="rect">
                      <a:avLst/>
                    </a:prstGeom>
                    <a:ln>
                      <a:noFill/>
                    </a:ln>
                  </pic:spPr>
                </pic:pic>
              </a:graphicData>
            </a:graphic>
          </wp:inline>
        </w:drawing>
      </w:r>
    </w:p>
    <w:p w14:paraId="111FA0A1" w14:textId="3C9AEF41" w:rsidR="00C56F86" w:rsidRPr="00D009D5" w:rsidRDefault="00853685" w:rsidP="00203A53">
      <w:pPr>
        <w:spacing w:line="240" w:lineRule="auto"/>
        <w:jc w:val="center"/>
        <w:rPr>
          <w:rFonts w:ascii="Times New Roman" w:hAnsi="Times New Roman" w:cs="Times New Roman"/>
          <w:sz w:val="28"/>
          <w:szCs w:val="28"/>
        </w:rPr>
      </w:pPr>
      <w:r w:rsidRPr="00D009D5">
        <w:rPr>
          <w:rFonts w:ascii="Times New Roman" w:hAnsi="Times New Roman" w:cs="Times New Roman"/>
          <w:sz w:val="28"/>
          <w:szCs w:val="28"/>
        </w:rPr>
        <w:t>Figure 7</w:t>
      </w:r>
      <w:r w:rsidR="006000EF" w:rsidRPr="00D009D5">
        <w:rPr>
          <w:rFonts w:ascii="Times New Roman" w:hAnsi="Times New Roman" w:cs="Times New Roman"/>
          <w:sz w:val="28"/>
          <w:szCs w:val="28"/>
        </w:rPr>
        <w:t xml:space="preserve"> </w:t>
      </w:r>
      <w:r w:rsidR="009560D0" w:rsidRPr="00D009D5">
        <w:rPr>
          <w:rFonts w:ascii="Times New Roman" w:hAnsi="Times New Roman" w:cs="Times New Roman"/>
          <w:sz w:val="28"/>
          <w:szCs w:val="28"/>
        </w:rPr>
        <w:t>—</w:t>
      </w:r>
      <w:r w:rsidR="006000EF" w:rsidRPr="00D009D5">
        <w:rPr>
          <w:rFonts w:ascii="Times New Roman" w:hAnsi="Times New Roman" w:cs="Times New Roman"/>
          <w:sz w:val="28"/>
          <w:szCs w:val="28"/>
        </w:rPr>
        <w:t xml:space="preserve"> </w:t>
      </w:r>
      <w:r w:rsidR="009560D0" w:rsidRPr="00D009D5">
        <w:rPr>
          <w:rFonts w:ascii="Times New Roman" w:hAnsi="Times New Roman" w:cs="Times New Roman"/>
          <w:sz w:val="28"/>
          <w:szCs w:val="28"/>
        </w:rPr>
        <w:t xml:space="preserve">The lethal mutagenesis </w:t>
      </w:r>
      <w:r w:rsidR="0065344C" w:rsidRPr="00D009D5">
        <w:rPr>
          <w:rFonts w:ascii="Times New Roman" w:hAnsi="Times New Roman" w:cs="Times New Roman"/>
          <w:sz w:val="28"/>
          <w:szCs w:val="28"/>
        </w:rPr>
        <w:t>characterisation</w:t>
      </w:r>
      <w:r w:rsidR="009560D0" w:rsidRPr="00D009D5">
        <w:rPr>
          <w:rFonts w:ascii="Times New Roman" w:hAnsi="Times New Roman" w:cs="Times New Roman"/>
          <w:sz w:val="28"/>
          <w:szCs w:val="28"/>
        </w:rPr>
        <w:t xml:space="preserve"> for virus </w:t>
      </w:r>
      <w:r w:rsidR="000B7609" w:rsidRPr="00D009D5">
        <w:rPr>
          <w:rFonts w:ascii="Times New Roman" w:hAnsi="Times New Roman" w:cs="Times New Roman"/>
          <w:sz w:val="28"/>
          <w:szCs w:val="28"/>
        </w:rPr>
        <w:t xml:space="preserve">existence </w:t>
      </w:r>
    </w:p>
    <w:p w14:paraId="0C5A79E5" w14:textId="77777777" w:rsidR="00C56F86" w:rsidRDefault="00C56F86" w:rsidP="00203A53">
      <w:pPr>
        <w:spacing w:line="240" w:lineRule="auto"/>
        <w:jc w:val="center"/>
        <w:rPr>
          <w:rFonts w:ascii="Times New Roman" w:hAnsi="Times New Roman" w:cs="Times New Roman"/>
          <w:sz w:val="24"/>
          <w:szCs w:val="24"/>
        </w:rPr>
      </w:pPr>
    </w:p>
    <w:p w14:paraId="74ADD3DB" w14:textId="182E1F74" w:rsidR="007652CF" w:rsidRDefault="000B7609" w:rsidP="00D009D5">
      <w:pPr>
        <w:spacing w:after="0" w:line="240" w:lineRule="auto"/>
        <w:ind w:firstLine="709"/>
        <w:jc w:val="both"/>
        <w:rPr>
          <w:rFonts w:ascii="Times New Roman" w:hAnsi="Times New Roman" w:cs="Times New Roman"/>
          <w:sz w:val="28"/>
          <w:szCs w:val="28"/>
        </w:rPr>
      </w:pPr>
      <w:r w:rsidRPr="00D009D5">
        <w:rPr>
          <w:rFonts w:ascii="Times New Roman" w:hAnsi="Times New Roman" w:cs="Times New Roman"/>
          <w:sz w:val="28"/>
          <w:szCs w:val="28"/>
        </w:rPr>
        <w:t>Theoretical relationship between viral mutation rate and fecundity determining extinction or survival. The plot illustrates the boundary between viral persistence and extinction as a function of mutation rate (Ud) and maximum fecundity (</w:t>
      </w:r>
      <w:proofErr w:type="spellStart"/>
      <w:r w:rsidRPr="00D009D5">
        <w:rPr>
          <w:rFonts w:ascii="Times New Roman" w:hAnsi="Times New Roman" w:cs="Times New Roman"/>
          <w:sz w:val="28"/>
          <w:szCs w:val="28"/>
        </w:rPr>
        <w:t>Rmax</w:t>
      </w:r>
      <w:proofErr w:type="spellEnd"/>
      <w:r w:rsidRPr="00D009D5">
        <w:rPr>
          <w:rFonts w:ascii="Times New Roman" w:hAnsi="Times New Roman" w:cs="Times New Roman"/>
          <w:sz w:val="28"/>
          <w:szCs w:val="28"/>
        </w:rPr>
        <w:t xml:space="preserve">). At low mutation rates relative to reproductive capacity, viruses remain in the survival region (grey area). When the mutation rate exceeds a threshold proportional to fecundity, viruses enter the extinction region, where the accumulation of deleterious mutations prevents </w:t>
      </w:r>
      <w:r w:rsidR="00D77ED0" w:rsidRPr="00D009D5">
        <w:rPr>
          <w:rFonts w:ascii="Times New Roman" w:hAnsi="Times New Roman" w:cs="Times New Roman"/>
          <w:sz w:val="28"/>
          <w:szCs w:val="28"/>
        </w:rPr>
        <w:t>them from sustaining</w:t>
      </w:r>
      <w:r w:rsidRPr="00D009D5">
        <w:rPr>
          <w:rFonts w:ascii="Times New Roman" w:hAnsi="Times New Roman" w:cs="Times New Roman"/>
          <w:sz w:val="28"/>
          <w:szCs w:val="28"/>
        </w:rPr>
        <w:t xml:space="preserve"> replication. The figure </w:t>
      </w:r>
      <w:r w:rsidR="00C047BD">
        <w:rPr>
          <w:rFonts w:ascii="Times New Roman" w:hAnsi="Times New Roman" w:cs="Times New Roman"/>
          <w:sz w:val="28"/>
          <w:szCs w:val="28"/>
        </w:rPr>
        <w:t xml:space="preserve">illustrates a fundamental principle of viral evolutionary dynamics, highlighting the </w:t>
      </w:r>
      <w:r w:rsidRPr="00D009D5">
        <w:rPr>
          <w:rFonts w:ascii="Times New Roman" w:hAnsi="Times New Roman" w:cs="Times New Roman"/>
          <w:sz w:val="28"/>
          <w:szCs w:val="28"/>
        </w:rPr>
        <w:t xml:space="preserve">error catastrophe as a potential antiviral </w:t>
      </w:r>
      <w:r w:rsidR="00C56F86" w:rsidRPr="00D009D5">
        <w:rPr>
          <w:rFonts w:ascii="Times New Roman" w:hAnsi="Times New Roman" w:cs="Times New Roman"/>
          <w:sz w:val="28"/>
          <w:szCs w:val="28"/>
        </w:rPr>
        <w:t>strategy. Since</w:t>
      </w:r>
      <w:r w:rsidR="009560D0" w:rsidRPr="00D009D5">
        <w:rPr>
          <w:rFonts w:ascii="Times New Roman" w:hAnsi="Times New Roman" w:cs="Times New Roman"/>
          <w:sz w:val="28"/>
          <w:szCs w:val="28"/>
        </w:rPr>
        <w:t xml:space="preserve"> any virus</w:t>
      </w:r>
      <w:r w:rsidR="00ED520B" w:rsidRPr="00D009D5">
        <w:rPr>
          <w:rFonts w:ascii="Times New Roman" w:hAnsi="Times New Roman" w:cs="Times New Roman"/>
          <w:sz w:val="28"/>
          <w:szCs w:val="28"/>
        </w:rPr>
        <w:t xml:space="preserve">, </w:t>
      </w:r>
      <w:r w:rsidR="00AD0630">
        <w:rPr>
          <w:rFonts w:ascii="Times New Roman" w:hAnsi="Times New Roman" w:cs="Times New Roman"/>
          <w:sz w:val="28"/>
          <w:szCs w:val="28"/>
        </w:rPr>
        <w:t>once it enters</w:t>
      </w:r>
      <w:r w:rsidR="007A0BB9" w:rsidRPr="00D009D5">
        <w:rPr>
          <w:rFonts w:ascii="Times New Roman" w:hAnsi="Times New Roman" w:cs="Times New Roman"/>
          <w:sz w:val="28"/>
          <w:szCs w:val="28"/>
        </w:rPr>
        <w:t xml:space="preserve"> the host cytosol, </w:t>
      </w:r>
      <w:r w:rsidR="00C047BD">
        <w:rPr>
          <w:rFonts w:ascii="Times New Roman" w:hAnsi="Times New Roman" w:cs="Times New Roman"/>
          <w:sz w:val="28"/>
          <w:szCs w:val="28"/>
        </w:rPr>
        <w:t xml:space="preserve">contains genetic information (mRNA), the high </w:t>
      </w:r>
      <w:r w:rsidR="00EC2332">
        <w:rPr>
          <w:rFonts w:ascii="Times New Roman" w:hAnsi="Times New Roman" w:cs="Times New Roman"/>
          <w:sz w:val="28"/>
          <w:szCs w:val="28"/>
        </w:rPr>
        <w:t xml:space="preserve">replication error rates </w:t>
      </w:r>
      <w:r w:rsidR="007A0BB9" w:rsidRPr="00D009D5">
        <w:rPr>
          <w:rFonts w:ascii="Times New Roman" w:hAnsi="Times New Roman" w:cs="Times New Roman"/>
          <w:sz w:val="28"/>
          <w:szCs w:val="28"/>
        </w:rPr>
        <w:t xml:space="preserve">play a </w:t>
      </w:r>
      <w:r w:rsidR="009560D0" w:rsidRPr="00D009D5">
        <w:rPr>
          <w:rFonts w:ascii="Times New Roman" w:hAnsi="Times New Roman" w:cs="Times New Roman"/>
          <w:sz w:val="28"/>
          <w:szCs w:val="28"/>
        </w:rPr>
        <w:t xml:space="preserve">critical role. Thus, the threshold </w:t>
      </w:r>
      <w:r w:rsidR="001F5745">
        <w:rPr>
          <w:rFonts w:ascii="Times New Roman" w:hAnsi="Times New Roman" w:cs="Times New Roman"/>
          <w:sz w:val="28"/>
          <w:szCs w:val="28"/>
        </w:rPr>
        <w:t>between extinction and survival is fine</w:t>
      </w:r>
      <w:r w:rsidR="007A0BB9" w:rsidRPr="00D009D5">
        <w:rPr>
          <w:rFonts w:ascii="Times New Roman" w:hAnsi="Times New Roman" w:cs="Times New Roman"/>
          <w:sz w:val="28"/>
          <w:szCs w:val="28"/>
        </w:rPr>
        <w:t xml:space="preserve">. As proofreading is crucial for viral survival, it is also </w:t>
      </w:r>
      <w:r w:rsidR="0065344C" w:rsidRPr="00D009D5">
        <w:rPr>
          <w:rFonts w:ascii="Times New Roman" w:hAnsi="Times New Roman" w:cs="Times New Roman"/>
          <w:sz w:val="28"/>
          <w:szCs w:val="28"/>
        </w:rPr>
        <w:t>vital</w:t>
      </w:r>
      <w:r w:rsidR="007A0BB9" w:rsidRPr="00D009D5">
        <w:rPr>
          <w:rFonts w:ascii="Times New Roman" w:hAnsi="Times New Roman" w:cs="Times New Roman"/>
          <w:sz w:val="28"/>
          <w:szCs w:val="28"/>
        </w:rPr>
        <w:t xml:space="preserve"> for pharmacology to target the </w:t>
      </w:r>
      <w:r w:rsidR="00853685" w:rsidRPr="00D009D5">
        <w:rPr>
          <w:rFonts w:ascii="Times New Roman" w:hAnsi="Times New Roman" w:cs="Times New Roman"/>
          <w:sz w:val="28"/>
          <w:szCs w:val="28"/>
        </w:rPr>
        <w:t xml:space="preserve">viral replicating machinery in a host cell. </w:t>
      </w:r>
    </w:p>
    <w:p w14:paraId="4717FAAB" w14:textId="466A3CDD" w:rsidR="00934B08" w:rsidRPr="00D009D5" w:rsidRDefault="00853685" w:rsidP="00D009D5">
      <w:pPr>
        <w:spacing w:after="0" w:line="240" w:lineRule="auto"/>
        <w:ind w:firstLine="709"/>
        <w:jc w:val="both"/>
        <w:rPr>
          <w:rFonts w:ascii="Times New Roman" w:hAnsi="Times New Roman" w:cs="Times New Roman"/>
          <w:sz w:val="28"/>
          <w:szCs w:val="28"/>
        </w:rPr>
      </w:pPr>
      <w:r w:rsidRPr="00D009D5">
        <w:rPr>
          <w:rFonts w:ascii="Times New Roman" w:hAnsi="Times New Roman" w:cs="Times New Roman"/>
          <w:sz w:val="28"/>
          <w:szCs w:val="28"/>
        </w:rPr>
        <w:t xml:space="preserve">To ensure viral extinction, we must have 100% inhibition </w:t>
      </w:r>
      <w:r w:rsidRPr="00D009D5">
        <w:rPr>
          <w:rFonts w:ascii="Times New Roman" w:hAnsi="Times New Roman" w:cs="Times New Roman"/>
          <w:b/>
          <w:bCs/>
          <w:sz w:val="28"/>
          <w:szCs w:val="28"/>
        </w:rPr>
        <w:t>[</w:t>
      </w:r>
      <w:r w:rsidR="00203A53" w:rsidRPr="00D009D5">
        <w:rPr>
          <w:rFonts w:ascii="Times New Roman" w:hAnsi="Times New Roman" w:cs="Times New Roman"/>
          <w:sz w:val="28"/>
          <w:szCs w:val="28"/>
        </w:rPr>
        <w:t>60-63,</w:t>
      </w:r>
      <w:r w:rsidRPr="00D009D5">
        <w:rPr>
          <w:rFonts w:ascii="Times New Roman" w:hAnsi="Times New Roman" w:cs="Times New Roman"/>
          <w:sz w:val="28"/>
          <w:szCs w:val="28"/>
        </w:rPr>
        <w:t xml:space="preserve">94-98].  As </w:t>
      </w:r>
      <w:r w:rsidR="007A0BB9" w:rsidRPr="00D009D5">
        <w:rPr>
          <w:rFonts w:ascii="Times New Roman" w:hAnsi="Times New Roman" w:cs="Times New Roman"/>
          <w:sz w:val="28"/>
          <w:szCs w:val="28"/>
        </w:rPr>
        <w:t xml:space="preserve">an mRNA virus, COVID-19 </w:t>
      </w:r>
      <w:r w:rsidR="00C047BD">
        <w:rPr>
          <w:rFonts w:ascii="Times New Roman" w:hAnsi="Times New Roman" w:cs="Times New Roman"/>
          <w:sz w:val="28"/>
          <w:szCs w:val="28"/>
        </w:rPr>
        <w:t>can be combated with two primary methods</w:t>
      </w:r>
      <w:r w:rsidRPr="00D009D5">
        <w:rPr>
          <w:rFonts w:ascii="Times New Roman" w:hAnsi="Times New Roman" w:cs="Times New Roman"/>
          <w:sz w:val="28"/>
          <w:szCs w:val="28"/>
        </w:rPr>
        <w:t xml:space="preserve">: vaccination and drug intervention.  The </w:t>
      </w:r>
      <w:r w:rsidR="00C047BD">
        <w:rPr>
          <w:rFonts w:ascii="Times New Roman" w:hAnsi="Times New Roman" w:cs="Times New Roman"/>
          <w:sz w:val="28"/>
          <w:szCs w:val="28"/>
        </w:rPr>
        <w:t>antiviral drugs' mechanism of action is primarily RdRP inhibition, which facilitates lethal mutagenesis during</w:t>
      </w:r>
      <w:r w:rsidRPr="00D009D5">
        <w:rPr>
          <w:rFonts w:ascii="Times New Roman" w:hAnsi="Times New Roman" w:cs="Times New Roman"/>
          <w:sz w:val="28"/>
          <w:szCs w:val="28"/>
        </w:rPr>
        <w:t xml:space="preserve"> viral infection. When the viral genomic RNA (gRNA) ingests itself in the host cell, it has relatively unstable single-stranded positive genomic RNA that requires replicated as soon as possible to be able to replicate new genomic RNA for structural protein synthesis and assembly; furthermore, after replicating itself the ‘original’ genomic RNA craves to build the sub-genomic RNAs (sgRNA) via transcription, these sg-RNAs (with caped mRNA, as in eucaryotic cells) are essential for translation in expressing the structural proteins that go to viral assembly as well as newly replicated RNA. </w:t>
      </w:r>
    </w:p>
    <w:p w14:paraId="41E919E6" w14:textId="55CC8F26" w:rsidR="00203A53" w:rsidRPr="00D009D5" w:rsidRDefault="00853685" w:rsidP="00D009D5">
      <w:pPr>
        <w:spacing w:after="0" w:line="240" w:lineRule="auto"/>
        <w:ind w:firstLine="709"/>
        <w:jc w:val="both"/>
        <w:rPr>
          <w:rFonts w:ascii="Times New Roman" w:hAnsi="Times New Roman" w:cs="Times New Roman"/>
          <w:sz w:val="28"/>
          <w:szCs w:val="28"/>
        </w:rPr>
      </w:pPr>
      <w:r w:rsidRPr="00D009D5">
        <w:rPr>
          <w:rFonts w:ascii="Times New Roman" w:hAnsi="Times New Roman" w:cs="Times New Roman"/>
          <w:sz w:val="28"/>
          <w:szCs w:val="28"/>
        </w:rPr>
        <w:t xml:space="preserve">As a result, inhibiting or interfering with the viral replicase represents a </w:t>
      </w:r>
      <w:r w:rsidR="00CE0AE4" w:rsidRPr="00D009D5">
        <w:rPr>
          <w:rFonts w:ascii="Times New Roman" w:hAnsi="Times New Roman" w:cs="Times New Roman"/>
          <w:sz w:val="28"/>
          <w:szCs w:val="28"/>
        </w:rPr>
        <w:t>significant arsenal in antiviral therapy, allowing us to insert mutated or damaged gRNA into the assembly process, thereby providing so-called extinction through</w:t>
      </w:r>
      <w:r w:rsidRPr="00D009D5">
        <w:rPr>
          <w:rFonts w:ascii="Times New Roman" w:hAnsi="Times New Roman" w:cs="Times New Roman"/>
          <w:sz w:val="28"/>
          <w:szCs w:val="28"/>
        </w:rPr>
        <w:t xml:space="preserve"> a fatal error </w:t>
      </w:r>
      <w:r w:rsidRPr="00D009D5">
        <w:rPr>
          <w:rFonts w:ascii="Times New Roman" w:hAnsi="Times New Roman" w:cs="Times New Roman"/>
          <w:sz w:val="28"/>
          <w:szCs w:val="28"/>
        </w:rPr>
        <w:lastRenderedPageBreak/>
        <w:t>in the viral genome during and after replication [</w:t>
      </w:r>
      <w:r w:rsidR="0065344C" w:rsidRPr="00D009D5">
        <w:rPr>
          <w:rFonts w:ascii="Times New Roman" w:hAnsi="Times New Roman" w:cs="Times New Roman"/>
          <w:sz w:val="28"/>
          <w:szCs w:val="28"/>
        </w:rPr>
        <w:t>48, 50, 55</w:t>
      </w:r>
      <w:r w:rsidR="00203A53" w:rsidRPr="00D009D5">
        <w:rPr>
          <w:rFonts w:ascii="Times New Roman" w:hAnsi="Times New Roman" w:cs="Times New Roman"/>
          <w:sz w:val="28"/>
          <w:szCs w:val="28"/>
        </w:rPr>
        <w:t>,64</w:t>
      </w:r>
      <w:r w:rsidRPr="00D009D5">
        <w:rPr>
          <w:rFonts w:ascii="Times New Roman" w:hAnsi="Times New Roman" w:cs="Times New Roman"/>
          <w:sz w:val="28"/>
          <w:szCs w:val="28"/>
        </w:rPr>
        <w:t xml:space="preserve">]. As mentioned, ribavirin was </w:t>
      </w:r>
      <w:r w:rsidR="00CE0AE4" w:rsidRPr="00D009D5">
        <w:rPr>
          <w:rFonts w:ascii="Times New Roman" w:hAnsi="Times New Roman" w:cs="Times New Roman"/>
          <w:sz w:val="28"/>
          <w:szCs w:val="28"/>
        </w:rPr>
        <w:t xml:space="preserve">developed approximately 40 years ago and has </w:t>
      </w:r>
      <w:r w:rsidR="007F5935">
        <w:rPr>
          <w:rFonts w:ascii="Times New Roman" w:hAnsi="Times New Roman" w:cs="Times New Roman"/>
          <w:sz w:val="28"/>
          <w:szCs w:val="28"/>
        </w:rPr>
        <w:t xml:space="preserve">demonstrated antiviral activity in both human and animal cell </w:t>
      </w:r>
      <w:r w:rsidRPr="00D009D5">
        <w:rPr>
          <w:rFonts w:ascii="Times New Roman" w:hAnsi="Times New Roman" w:cs="Times New Roman"/>
          <w:sz w:val="28"/>
          <w:szCs w:val="28"/>
        </w:rPr>
        <w:t xml:space="preserve">lines. As a guanosine analogue, it </w:t>
      </w:r>
      <w:r w:rsidR="00CE0AE4" w:rsidRPr="00D009D5">
        <w:rPr>
          <w:rFonts w:ascii="Times New Roman" w:hAnsi="Times New Roman" w:cs="Times New Roman"/>
          <w:sz w:val="28"/>
          <w:szCs w:val="28"/>
        </w:rPr>
        <w:t>binds to the host kinase as ribavirin triphosphate and pairs with cytidine or uridine triphosphate</w:t>
      </w:r>
      <w:r w:rsidRPr="00D009D5">
        <w:rPr>
          <w:rFonts w:ascii="Times New Roman" w:hAnsi="Times New Roman" w:cs="Times New Roman"/>
          <w:sz w:val="28"/>
          <w:szCs w:val="28"/>
        </w:rPr>
        <w:t xml:space="preserve">. It mimics the purine nucleobase, causing severe mutations during </w:t>
      </w:r>
      <w:r w:rsidR="00D10872" w:rsidRPr="00D009D5">
        <w:rPr>
          <w:rFonts w:ascii="Times New Roman" w:hAnsi="Times New Roman" w:cs="Times New Roman"/>
          <w:sz w:val="28"/>
          <w:szCs w:val="28"/>
        </w:rPr>
        <w:t>replication and inducing lethal mutagenesis as an antiviral therapy, thereby reducing</w:t>
      </w:r>
      <w:r w:rsidRPr="00D009D5">
        <w:rPr>
          <w:rFonts w:ascii="Times New Roman" w:hAnsi="Times New Roman" w:cs="Times New Roman"/>
          <w:sz w:val="28"/>
          <w:szCs w:val="28"/>
        </w:rPr>
        <w:t xml:space="preserve"> viral load rates [</w:t>
      </w:r>
      <w:r w:rsidR="00203A53" w:rsidRPr="00D009D5">
        <w:rPr>
          <w:rFonts w:ascii="Times New Roman" w:hAnsi="Times New Roman" w:cs="Times New Roman"/>
          <w:sz w:val="28"/>
          <w:szCs w:val="28"/>
        </w:rPr>
        <w:t>65-66,</w:t>
      </w:r>
      <w:r w:rsidRPr="00D009D5">
        <w:rPr>
          <w:rFonts w:ascii="Times New Roman" w:hAnsi="Times New Roman" w:cs="Times New Roman"/>
          <w:sz w:val="28"/>
          <w:szCs w:val="28"/>
        </w:rPr>
        <w:t xml:space="preserve"> 88]. </w:t>
      </w:r>
    </w:p>
    <w:p w14:paraId="41DB3848" w14:textId="738E065E" w:rsidR="00226539" w:rsidRPr="00D009D5" w:rsidRDefault="00853685" w:rsidP="00D009D5">
      <w:pPr>
        <w:spacing w:after="0" w:line="240" w:lineRule="auto"/>
        <w:ind w:firstLine="709"/>
        <w:jc w:val="both"/>
        <w:rPr>
          <w:rFonts w:ascii="Times New Roman" w:hAnsi="Times New Roman" w:cs="Times New Roman"/>
          <w:sz w:val="28"/>
          <w:szCs w:val="28"/>
        </w:rPr>
      </w:pPr>
      <w:r w:rsidRPr="00D009D5">
        <w:rPr>
          <w:rFonts w:ascii="Times New Roman" w:hAnsi="Times New Roman" w:cs="Times New Roman"/>
          <w:sz w:val="28"/>
          <w:szCs w:val="28"/>
        </w:rPr>
        <w:t xml:space="preserve">In 2019, a new </w:t>
      </w:r>
      <w:r w:rsidR="007F5935">
        <w:rPr>
          <w:rFonts w:ascii="Times New Roman" w:hAnsi="Times New Roman" w:cs="Times New Roman"/>
          <w:sz w:val="28"/>
          <w:szCs w:val="28"/>
        </w:rPr>
        <w:t>influenza drug demonstrated the same RdRP-inhibitory</w:t>
      </w:r>
      <w:r w:rsidR="00CE0AE4" w:rsidRPr="00D009D5">
        <w:rPr>
          <w:rFonts w:ascii="Times New Roman" w:hAnsi="Times New Roman" w:cs="Times New Roman"/>
          <w:sz w:val="28"/>
          <w:szCs w:val="28"/>
        </w:rPr>
        <w:t xml:space="preserve"> properties as ribavirin and </w:t>
      </w:r>
      <w:r w:rsidRPr="00D009D5">
        <w:rPr>
          <w:rFonts w:ascii="Times New Roman" w:hAnsi="Times New Roman" w:cs="Times New Roman"/>
          <w:sz w:val="28"/>
          <w:szCs w:val="28"/>
        </w:rPr>
        <w:t>showed promising results during the COVID-19 pandemic</w:t>
      </w:r>
      <w:r w:rsidR="00CE0AE4" w:rsidRPr="00D009D5">
        <w:rPr>
          <w:rFonts w:ascii="Times New Roman" w:hAnsi="Times New Roman" w:cs="Times New Roman"/>
          <w:sz w:val="28"/>
          <w:szCs w:val="28"/>
        </w:rPr>
        <w:t xml:space="preserve"> [</w:t>
      </w:r>
      <w:r w:rsidR="00203A53" w:rsidRPr="00D009D5">
        <w:rPr>
          <w:rFonts w:ascii="Times New Roman" w:hAnsi="Times New Roman" w:cs="Times New Roman"/>
          <w:sz w:val="28"/>
          <w:szCs w:val="28"/>
        </w:rPr>
        <w:t>67-70</w:t>
      </w:r>
      <w:r w:rsidR="00CE0AE4" w:rsidRPr="00D009D5">
        <w:rPr>
          <w:rFonts w:ascii="Times New Roman" w:hAnsi="Times New Roman" w:cs="Times New Roman"/>
          <w:sz w:val="28"/>
          <w:szCs w:val="28"/>
        </w:rPr>
        <w:t>]</w:t>
      </w:r>
      <w:r w:rsidRPr="00D009D5">
        <w:rPr>
          <w:rFonts w:ascii="Times New Roman" w:hAnsi="Times New Roman" w:cs="Times New Roman"/>
          <w:sz w:val="28"/>
          <w:szCs w:val="28"/>
        </w:rPr>
        <w:t xml:space="preserve">. Both drugs are nucleoside inhibitors. Unlike ribavirin, </w:t>
      </w:r>
      <w:r w:rsidR="007A0BB9" w:rsidRPr="00D009D5">
        <w:rPr>
          <w:rFonts w:ascii="Times New Roman" w:hAnsi="Times New Roman" w:cs="Times New Roman"/>
          <w:sz w:val="28"/>
          <w:szCs w:val="28"/>
        </w:rPr>
        <w:t xml:space="preserve">molnupiravir is a </w:t>
      </w:r>
      <w:r w:rsidRPr="00D009D5">
        <w:rPr>
          <w:rFonts w:ascii="Times New Roman" w:hAnsi="Times New Roman" w:cs="Times New Roman"/>
          <w:sz w:val="28"/>
          <w:szCs w:val="28"/>
        </w:rPr>
        <w:t xml:space="preserve">pyrimidine analogue. It is worth </w:t>
      </w:r>
      <w:r w:rsidR="007F5935">
        <w:rPr>
          <w:rFonts w:ascii="Times New Roman" w:hAnsi="Times New Roman" w:cs="Times New Roman"/>
          <w:sz w:val="28"/>
          <w:szCs w:val="28"/>
        </w:rPr>
        <w:t>noting that ribavirin is a more cost-effective, closely monitored drug than molnupirovir, with</w:t>
      </w:r>
      <w:r w:rsidR="007A0BB9" w:rsidRPr="00D009D5">
        <w:rPr>
          <w:rFonts w:ascii="Times New Roman" w:hAnsi="Times New Roman" w:cs="Times New Roman"/>
          <w:sz w:val="28"/>
          <w:szCs w:val="28"/>
        </w:rPr>
        <w:t xml:space="preserve"> </w:t>
      </w:r>
      <w:r w:rsidRPr="00D009D5">
        <w:rPr>
          <w:rFonts w:ascii="Times New Roman" w:hAnsi="Times New Roman" w:cs="Times New Roman"/>
          <w:sz w:val="28"/>
          <w:szCs w:val="28"/>
        </w:rPr>
        <w:t xml:space="preserve">similar effectiveness. Nevertheless, during the pandemic crisis in 2003 and 2019, the treatment was combined either with other medications or so-called adjuvants like interferons and corticosteroids to achieve maximum outcomes from treatment, and ribavirin was a classic example of these combination lines with acceptable survival as well as recovery rates among mild and moderate patients with SARS and </w:t>
      </w:r>
      <w:r w:rsidR="00615937" w:rsidRPr="00D009D5">
        <w:rPr>
          <w:rFonts w:ascii="Times New Roman" w:hAnsi="Times New Roman" w:cs="Times New Roman"/>
          <w:sz w:val="28"/>
          <w:szCs w:val="28"/>
        </w:rPr>
        <w:t>SARS-CoV-2</w:t>
      </w:r>
      <w:r w:rsidRPr="00D009D5">
        <w:rPr>
          <w:rFonts w:ascii="Times New Roman" w:hAnsi="Times New Roman" w:cs="Times New Roman"/>
          <w:sz w:val="28"/>
          <w:szCs w:val="28"/>
        </w:rPr>
        <w:t xml:space="preserve"> infection. [37-38,50-51].   </w:t>
      </w:r>
      <w:r w:rsidRPr="00D009D5">
        <w:rPr>
          <w:rFonts w:ascii="Times New Roman" w:hAnsi="Times New Roman" w:cs="Times New Roman"/>
          <w:b/>
          <w:bCs/>
          <w:i/>
          <w:iCs/>
          <w:sz w:val="28"/>
          <w:szCs w:val="28"/>
        </w:rPr>
        <w:tab/>
      </w:r>
      <w:r w:rsidRPr="00D009D5">
        <w:rPr>
          <w:rFonts w:ascii="Times New Roman" w:hAnsi="Times New Roman" w:cs="Times New Roman"/>
          <w:sz w:val="28"/>
          <w:szCs w:val="28"/>
        </w:rPr>
        <w:t xml:space="preserve">Favipiravir is another effective nucleoside and nucleotide </w:t>
      </w:r>
      <w:r w:rsidR="007A0BB9" w:rsidRPr="00D009D5">
        <w:rPr>
          <w:rFonts w:ascii="Times New Roman" w:hAnsi="Times New Roman" w:cs="Times New Roman"/>
          <w:sz w:val="28"/>
          <w:szCs w:val="28"/>
        </w:rPr>
        <w:t>inhibitor with a proven wide-spectrum activity against viruses that strongly rely</w:t>
      </w:r>
      <w:r w:rsidRPr="00D009D5">
        <w:rPr>
          <w:rFonts w:ascii="Times New Roman" w:hAnsi="Times New Roman" w:cs="Times New Roman"/>
          <w:sz w:val="28"/>
          <w:szCs w:val="28"/>
        </w:rPr>
        <w:t xml:space="preserve"> on </w:t>
      </w:r>
      <w:r w:rsidR="00D10872" w:rsidRPr="00D009D5">
        <w:rPr>
          <w:rFonts w:ascii="Times New Roman" w:hAnsi="Times New Roman" w:cs="Times New Roman"/>
          <w:sz w:val="28"/>
          <w:szCs w:val="28"/>
        </w:rPr>
        <w:t>the RNA-dependent RNA polymerase (RdRP)</w:t>
      </w:r>
      <w:r w:rsidRPr="00D009D5">
        <w:rPr>
          <w:rFonts w:ascii="Times New Roman" w:hAnsi="Times New Roman" w:cs="Times New Roman"/>
          <w:sz w:val="28"/>
          <w:szCs w:val="28"/>
        </w:rPr>
        <w:t xml:space="preserve">. In countries </w:t>
      </w:r>
      <w:r w:rsidR="007A0BB9" w:rsidRPr="00D009D5">
        <w:rPr>
          <w:rFonts w:ascii="Times New Roman" w:hAnsi="Times New Roman" w:cs="Times New Roman"/>
          <w:sz w:val="28"/>
          <w:szCs w:val="28"/>
        </w:rPr>
        <w:t xml:space="preserve">such as India and Japan, favipiravir demonstrated high </w:t>
      </w:r>
      <w:r w:rsidR="007F5935">
        <w:rPr>
          <w:rFonts w:ascii="Times New Roman" w:hAnsi="Times New Roman" w:cs="Times New Roman"/>
          <w:sz w:val="28"/>
          <w:szCs w:val="28"/>
        </w:rPr>
        <w:t>clinical effectiveness, relatively low cytotoxicity, and a low side-effect profile</w:t>
      </w:r>
      <w:r w:rsidRPr="00D009D5">
        <w:rPr>
          <w:rFonts w:ascii="Times New Roman" w:hAnsi="Times New Roman" w:cs="Times New Roman"/>
          <w:sz w:val="28"/>
          <w:szCs w:val="28"/>
        </w:rPr>
        <w:t xml:space="preserve">. Along with ribavirin, it was </w:t>
      </w:r>
      <w:r w:rsidR="007A0BB9" w:rsidRPr="00D009D5">
        <w:rPr>
          <w:rFonts w:ascii="Times New Roman" w:hAnsi="Times New Roman" w:cs="Times New Roman"/>
          <w:sz w:val="28"/>
          <w:szCs w:val="28"/>
        </w:rPr>
        <w:t>primarily prescribed for mild to moderate patients with a 9-to 14-day</w:t>
      </w:r>
      <w:r w:rsidRPr="00D009D5">
        <w:rPr>
          <w:rFonts w:ascii="Times New Roman" w:hAnsi="Times New Roman" w:cs="Times New Roman"/>
          <w:sz w:val="28"/>
          <w:szCs w:val="28"/>
        </w:rPr>
        <w:t xml:space="preserve"> </w:t>
      </w:r>
      <w:r w:rsidR="00D10872" w:rsidRPr="00D009D5">
        <w:rPr>
          <w:rFonts w:ascii="Times New Roman" w:hAnsi="Times New Roman" w:cs="Times New Roman"/>
          <w:sz w:val="28"/>
          <w:szCs w:val="28"/>
        </w:rPr>
        <w:t xml:space="preserve">history of </w:t>
      </w:r>
      <w:r w:rsidRPr="00D009D5">
        <w:rPr>
          <w:rFonts w:ascii="Times New Roman" w:hAnsi="Times New Roman" w:cs="Times New Roman"/>
          <w:sz w:val="28"/>
          <w:szCs w:val="28"/>
        </w:rPr>
        <w:t>inpatient background. [</w:t>
      </w:r>
      <w:r w:rsidR="005B799D" w:rsidRPr="00D009D5">
        <w:rPr>
          <w:rFonts w:ascii="Times New Roman" w:hAnsi="Times New Roman" w:cs="Times New Roman"/>
          <w:sz w:val="28"/>
          <w:szCs w:val="28"/>
        </w:rPr>
        <w:t>34-35</w:t>
      </w:r>
      <w:r w:rsidRPr="00D009D5">
        <w:rPr>
          <w:rFonts w:ascii="Times New Roman" w:hAnsi="Times New Roman" w:cs="Times New Roman"/>
          <w:sz w:val="28"/>
          <w:szCs w:val="28"/>
        </w:rPr>
        <w:t xml:space="preserve">].  </w:t>
      </w:r>
      <w:r w:rsidRPr="00D009D5">
        <w:rPr>
          <w:rFonts w:ascii="Times New Roman" w:hAnsi="Times New Roman" w:cs="Times New Roman"/>
          <w:i/>
          <w:iCs/>
          <w:sz w:val="28"/>
          <w:szCs w:val="28"/>
        </w:rPr>
        <w:t xml:space="preserve">Favipiravir </w:t>
      </w:r>
      <w:r w:rsidRPr="00D009D5">
        <w:rPr>
          <w:rFonts w:ascii="Times New Roman" w:hAnsi="Times New Roman" w:cs="Times New Roman"/>
          <w:sz w:val="28"/>
          <w:szCs w:val="28"/>
        </w:rPr>
        <w:t xml:space="preserve">also </w:t>
      </w:r>
      <w:r w:rsidR="007A0BB9" w:rsidRPr="00D009D5">
        <w:rPr>
          <w:rFonts w:ascii="Times New Roman" w:hAnsi="Times New Roman" w:cs="Times New Roman"/>
          <w:sz w:val="28"/>
          <w:szCs w:val="28"/>
        </w:rPr>
        <w:t xml:space="preserve">shows a good response against host RNA-dependent replicase kinase, enabling it to act as an effective lethal mutagenesis agent not only in SARS-CoV-2 populations but also against deadly diseases such as Ebola, influenza, and rabies, which makes it an asset as an </w:t>
      </w:r>
      <w:r w:rsidRPr="00D009D5">
        <w:rPr>
          <w:rFonts w:ascii="Times New Roman" w:hAnsi="Times New Roman" w:cs="Times New Roman"/>
          <w:sz w:val="28"/>
          <w:szCs w:val="28"/>
        </w:rPr>
        <w:t xml:space="preserve">antiviral medicine. </w:t>
      </w:r>
      <w:r w:rsidR="007A0BB9" w:rsidRPr="00D009D5">
        <w:rPr>
          <w:rFonts w:ascii="Times New Roman" w:hAnsi="Times New Roman" w:cs="Times New Roman"/>
          <w:sz w:val="28"/>
          <w:szCs w:val="28"/>
        </w:rPr>
        <w:t>Additionally, it is an effective drug against Influenza A and B, particularly for prophylaxis and mild infections</w:t>
      </w:r>
      <w:r w:rsidRPr="00D009D5">
        <w:rPr>
          <w:rFonts w:ascii="Times New Roman" w:hAnsi="Times New Roman" w:cs="Times New Roman"/>
          <w:sz w:val="28"/>
          <w:szCs w:val="28"/>
        </w:rPr>
        <w:t xml:space="preserve"> [34, 49,</w:t>
      </w:r>
      <w:r w:rsidR="00203A53" w:rsidRPr="00D009D5">
        <w:rPr>
          <w:rFonts w:ascii="Times New Roman" w:hAnsi="Times New Roman" w:cs="Times New Roman"/>
          <w:sz w:val="28"/>
          <w:szCs w:val="28"/>
        </w:rPr>
        <w:t xml:space="preserve"> 71-74,</w:t>
      </w:r>
      <w:r w:rsidRPr="00D009D5">
        <w:rPr>
          <w:rFonts w:ascii="Times New Roman" w:hAnsi="Times New Roman" w:cs="Times New Roman"/>
          <w:sz w:val="28"/>
          <w:szCs w:val="28"/>
        </w:rPr>
        <w:t xml:space="preserve"> 92]. </w:t>
      </w:r>
    </w:p>
    <w:p w14:paraId="5ED9A5AA" w14:textId="07F3DA6A" w:rsidR="00D009D5" w:rsidRDefault="00853685" w:rsidP="00D009D5">
      <w:pPr>
        <w:spacing w:after="0" w:line="240" w:lineRule="auto"/>
        <w:ind w:firstLine="708"/>
        <w:jc w:val="both"/>
        <w:rPr>
          <w:rFonts w:ascii="Times New Roman" w:hAnsi="Times New Roman" w:cs="Times New Roman"/>
          <w:sz w:val="28"/>
          <w:szCs w:val="28"/>
        </w:rPr>
      </w:pPr>
      <w:r w:rsidRPr="00D009D5">
        <w:rPr>
          <w:rFonts w:ascii="Times New Roman" w:hAnsi="Times New Roman" w:cs="Times New Roman"/>
          <w:sz w:val="28"/>
          <w:szCs w:val="28"/>
        </w:rPr>
        <w:t>Tenofovir is the most cytotoxic drug on our antiviral drug list (only 300mg oral administration is allowed daily). It also belongs to the nucleoside</w:t>
      </w:r>
      <w:r w:rsidR="007A0BB9" w:rsidRPr="00D009D5">
        <w:rPr>
          <w:rFonts w:ascii="Times New Roman" w:hAnsi="Times New Roman" w:cs="Times New Roman"/>
          <w:sz w:val="28"/>
          <w:szCs w:val="28"/>
        </w:rPr>
        <w:t xml:space="preserve"> inhibitor class, </w:t>
      </w:r>
      <w:r w:rsidR="00E17F83">
        <w:rPr>
          <w:rFonts w:ascii="Times New Roman" w:hAnsi="Times New Roman" w:cs="Times New Roman"/>
          <w:sz w:val="28"/>
          <w:szCs w:val="28"/>
        </w:rPr>
        <w:t>targeting RdRP, rendering viral DNA synthesis unviable and slowing viral virulence</w:t>
      </w:r>
      <w:r w:rsidRPr="00D009D5">
        <w:rPr>
          <w:rFonts w:ascii="Times New Roman" w:hAnsi="Times New Roman" w:cs="Times New Roman"/>
          <w:sz w:val="28"/>
          <w:szCs w:val="28"/>
        </w:rPr>
        <w:t>. Initially, it was designed against HIV and Hepatitis B viral invasion [</w:t>
      </w:r>
      <w:r w:rsidR="005B799D" w:rsidRPr="00D009D5">
        <w:rPr>
          <w:rFonts w:ascii="Times New Roman" w:hAnsi="Times New Roman" w:cs="Times New Roman"/>
          <w:sz w:val="28"/>
          <w:szCs w:val="28"/>
        </w:rPr>
        <w:t>44,</w:t>
      </w:r>
      <w:r w:rsidR="00203A53" w:rsidRPr="00D009D5">
        <w:rPr>
          <w:rFonts w:ascii="Times New Roman" w:hAnsi="Times New Roman" w:cs="Times New Roman"/>
          <w:sz w:val="28"/>
          <w:szCs w:val="28"/>
        </w:rPr>
        <w:t>75,</w:t>
      </w:r>
      <w:r w:rsidRPr="00D009D5">
        <w:rPr>
          <w:rFonts w:ascii="Times New Roman" w:hAnsi="Times New Roman" w:cs="Times New Roman"/>
          <w:sz w:val="28"/>
          <w:szCs w:val="28"/>
        </w:rPr>
        <w:t xml:space="preserve">91,93-94]. </w:t>
      </w:r>
    </w:p>
    <w:p w14:paraId="03A54B6E" w14:textId="75EAF2CD" w:rsidR="00064BB2" w:rsidRDefault="00853685" w:rsidP="00D009D5">
      <w:pPr>
        <w:spacing w:after="0" w:line="240" w:lineRule="auto"/>
        <w:ind w:firstLine="708"/>
        <w:jc w:val="both"/>
        <w:rPr>
          <w:rFonts w:ascii="Times New Roman" w:hAnsi="Times New Roman" w:cs="Times New Roman"/>
          <w:sz w:val="28"/>
          <w:szCs w:val="28"/>
        </w:rPr>
      </w:pPr>
      <w:r w:rsidRPr="00D009D5">
        <w:rPr>
          <w:rFonts w:ascii="Times New Roman" w:hAnsi="Times New Roman" w:cs="Times New Roman"/>
          <w:sz w:val="28"/>
          <w:szCs w:val="28"/>
        </w:rPr>
        <w:t>As it was already mentioned, the immune system in humans is responsible for the ‘overdefensive’ response to the viral invasion, causing massive tissue damage depending on age group, causing severe pneumonia as the ‘final act’ of immunity – the so-called ‘</w:t>
      </w:r>
      <w:r w:rsidRPr="00D009D5">
        <w:rPr>
          <w:rFonts w:ascii="Times New Roman" w:hAnsi="Times New Roman" w:cs="Times New Roman"/>
          <w:i/>
          <w:iCs/>
          <w:sz w:val="28"/>
          <w:szCs w:val="28"/>
        </w:rPr>
        <w:t>cytokinetic storm’</w:t>
      </w:r>
      <w:r w:rsidR="006E7E7A" w:rsidRPr="00D009D5">
        <w:rPr>
          <w:rFonts w:ascii="Times New Roman" w:hAnsi="Times New Roman" w:cs="Times New Roman"/>
          <w:i/>
          <w:iCs/>
          <w:sz w:val="28"/>
          <w:szCs w:val="28"/>
        </w:rPr>
        <w:t>,</w:t>
      </w:r>
      <w:r w:rsidRPr="00D009D5">
        <w:rPr>
          <w:rFonts w:ascii="Times New Roman" w:hAnsi="Times New Roman" w:cs="Times New Roman"/>
          <w:sz w:val="28"/>
          <w:szCs w:val="28"/>
        </w:rPr>
        <w:t xml:space="preserve"> which probably was the main reason </w:t>
      </w:r>
      <w:r w:rsidR="006E7E7A" w:rsidRPr="00D009D5">
        <w:rPr>
          <w:rFonts w:ascii="Times New Roman" w:hAnsi="Times New Roman" w:cs="Times New Roman"/>
          <w:sz w:val="28"/>
          <w:szCs w:val="28"/>
        </w:rPr>
        <w:t>for</w:t>
      </w:r>
      <w:r w:rsidRPr="00D009D5">
        <w:rPr>
          <w:rFonts w:ascii="Times New Roman" w:hAnsi="Times New Roman" w:cs="Times New Roman"/>
          <w:sz w:val="28"/>
          <w:szCs w:val="28"/>
        </w:rPr>
        <w:t xml:space="preserve"> lethal outcomes during </w:t>
      </w:r>
      <w:r w:rsidR="006E7E7A" w:rsidRPr="00D009D5">
        <w:rPr>
          <w:rFonts w:ascii="Times New Roman" w:hAnsi="Times New Roman" w:cs="Times New Roman"/>
          <w:sz w:val="28"/>
          <w:szCs w:val="28"/>
        </w:rPr>
        <w:t xml:space="preserve">the </w:t>
      </w:r>
      <w:r w:rsidRPr="00D009D5">
        <w:rPr>
          <w:rFonts w:ascii="Times New Roman" w:hAnsi="Times New Roman" w:cs="Times New Roman"/>
          <w:sz w:val="28"/>
          <w:szCs w:val="28"/>
        </w:rPr>
        <w:t xml:space="preserve">Spanish influenza pandemic after WWI. All three antiviral drugs are clinically prescribed for patients with mild </w:t>
      </w:r>
      <w:r w:rsidR="005E4C41" w:rsidRPr="00D009D5">
        <w:rPr>
          <w:rFonts w:ascii="Times New Roman" w:hAnsi="Times New Roman" w:cs="Times New Roman"/>
          <w:sz w:val="28"/>
          <w:szCs w:val="28"/>
        </w:rPr>
        <w:t xml:space="preserve">to moderate viral infections, reducing </w:t>
      </w:r>
      <w:r w:rsidR="00E17F83">
        <w:rPr>
          <w:rFonts w:ascii="Times New Roman" w:hAnsi="Times New Roman" w:cs="Times New Roman"/>
          <w:sz w:val="28"/>
          <w:szCs w:val="28"/>
        </w:rPr>
        <w:t xml:space="preserve">viral load through lethal mutagenesis and enabling </w:t>
      </w:r>
      <w:r w:rsidRPr="00D009D5">
        <w:rPr>
          <w:rFonts w:ascii="Times New Roman" w:hAnsi="Times New Roman" w:cs="Times New Roman"/>
          <w:sz w:val="28"/>
          <w:szCs w:val="28"/>
        </w:rPr>
        <w:t>viral extinction. In severe cases, doctors mostly take steroids to calm the overreacted immune response that could be lethal if it is not stopped, and here comes corticosteroids in combination with antiviral therapies</w:t>
      </w:r>
      <w:r w:rsidR="00D10872" w:rsidRPr="00D009D5">
        <w:rPr>
          <w:rFonts w:ascii="Times New Roman" w:hAnsi="Times New Roman" w:cs="Times New Roman"/>
          <w:sz w:val="28"/>
          <w:szCs w:val="28"/>
        </w:rPr>
        <w:t>, like ribavirin,</w:t>
      </w:r>
      <w:r w:rsidRPr="00D009D5">
        <w:rPr>
          <w:rFonts w:ascii="Times New Roman" w:hAnsi="Times New Roman" w:cs="Times New Roman"/>
          <w:sz w:val="28"/>
          <w:szCs w:val="28"/>
        </w:rPr>
        <w:t xml:space="preserve"> already in 2003. The antiviral effect was so </w:t>
      </w:r>
      <w:r w:rsidR="00E17F83">
        <w:rPr>
          <w:rFonts w:ascii="Times New Roman" w:hAnsi="Times New Roman" w:cs="Times New Roman"/>
          <w:sz w:val="28"/>
          <w:szCs w:val="28"/>
        </w:rPr>
        <w:t>practical that the WHO (World Health Organisation) recommends dexamethasone as an additional,</w:t>
      </w:r>
      <w:r w:rsidR="005E4C41" w:rsidRPr="00D009D5">
        <w:rPr>
          <w:rFonts w:ascii="Times New Roman" w:hAnsi="Times New Roman" w:cs="Times New Roman"/>
          <w:sz w:val="28"/>
          <w:szCs w:val="28"/>
        </w:rPr>
        <w:t xml:space="preserve"> safe medication </w:t>
      </w:r>
      <w:r w:rsidR="00A226F8" w:rsidRPr="00D009D5">
        <w:rPr>
          <w:rFonts w:ascii="Times New Roman" w:hAnsi="Times New Roman" w:cs="Times New Roman"/>
          <w:sz w:val="28"/>
          <w:szCs w:val="28"/>
        </w:rPr>
        <w:t xml:space="preserve">for treating COVID-19 infections in </w:t>
      </w:r>
      <w:r w:rsidR="005B799D" w:rsidRPr="00D009D5">
        <w:rPr>
          <w:rFonts w:ascii="Times New Roman" w:hAnsi="Times New Roman" w:cs="Times New Roman"/>
          <w:sz w:val="28"/>
          <w:szCs w:val="28"/>
        </w:rPr>
        <w:t>patients with mild to moderate symptoms</w:t>
      </w:r>
      <w:r w:rsidR="00A226F8" w:rsidRPr="00D009D5">
        <w:rPr>
          <w:rFonts w:ascii="Times New Roman" w:hAnsi="Times New Roman" w:cs="Times New Roman"/>
          <w:sz w:val="28"/>
          <w:szCs w:val="28"/>
        </w:rPr>
        <w:t xml:space="preserve"> [57, 76</w:t>
      </w:r>
      <w:r w:rsidRPr="00D009D5">
        <w:rPr>
          <w:rFonts w:ascii="Times New Roman" w:hAnsi="Times New Roman" w:cs="Times New Roman"/>
          <w:sz w:val="28"/>
          <w:szCs w:val="28"/>
        </w:rPr>
        <w:t xml:space="preserve">]. </w:t>
      </w:r>
    </w:p>
    <w:p w14:paraId="4A38B9E5" w14:textId="3FAA4EFE" w:rsidR="00226539" w:rsidRPr="00D009D5" w:rsidRDefault="00853685" w:rsidP="00D009D5">
      <w:pPr>
        <w:spacing w:after="0" w:line="240" w:lineRule="auto"/>
        <w:ind w:firstLine="708"/>
        <w:jc w:val="both"/>
        <w:rPr>
          <w:rFonts w:ascii="Times New Roman" w:hAnsi="Times New Roman" w:cs="Times New Roman"/>
          <w:sz w:val="28"/>
          <w:szCs w:val="28"/>
        </w:rPr>
      </w:pPr>
      <w:r w:rsidRPr="00D009D5">
        <w:rPr>
          <w:rFonts w:ascii="Times New Roman" w:hAnsi="Times New Roman" w:cs="Times New Roman"/>
          <w:sz w:val="28"/>
          <w:szCs w:val="28"/>
        </w:rPr>
        <w:lastRenderedPageBreak/>
        <w:t xml:space="preserve">The bone infarct is mainly caused by the chronic appearance of immune </w:t>
      </w:r>
      <w:r w:rsidR="00D10872" w:rsidRPr="00D009D5">
        <w:rPr>
          <w:rFonts w:ascii="Times New Roman" w:hAnsi="Times New Roman" w:cs="Times New Roman"/>
          <w:sz w:val="28"/>
          <w:szCs w:val="28"/>
        </w:rPr>
        <w:t>suppression, as well as during other health-destructive patterns like alcohol misuse</w:t>
      </w:r>
      <w:r w:rsidRPr="00D009D5">
        <w:rPr>
          <w:rFonts w:ascii="Times New Roman" w:hAnsi="Times New Roman" w:cs="Times New Roman"/>
          <w:sz w:val="28"/>
          <w:szCs w:val="28"/>
        </w:rPr>
        <w:t xml:space="preserve"> and chronic smoking. The dose risk </w:t>
      </w:r>
      <w:r w:rsidR="005E4C41" w:rsidRPr="00D009D5">
        <w:rPr>
          <w:rFonts w:ascii="Times New Roman" w:hAnsi="Times New Roman" w:cs="Times New Roman"/>
          <w:sz w:val="28"/>
          <w:szCs w:val="28"/>
        </w:rPr>
        <w:t xml:space="preserve">primarily begins with 500mg of corticosteroids administered daily </w:t>
      </w:r>
      <w:r w:rsidRPr="00D009D5">
        <w:rPr>
          <w:rFonts w:ascii="Times New Roman" w:hAnsi="Times New Roman" w:cs="Times New Roman"/>
          <w:sz w:val="28"/>
          <w:szCs w:val="28"/>
        </w:rPr>
        <w:t xml:space="preserve">for 1-3 months [57].  </w:t>
      </w:r>
      <w:r w:rsidR="005E4C41" w:rsidRPr="00D009D5">
        <w:rPr>
          <w:rFonts w:ascii="Times New Roman" w:hAnsi="Times New Roman" w:cs="Times New Roman"/>
          <w:sz w:val="28"/>
          <w:szCs w:val="28"/>
        </w:rPr>
        <w:t xml:space="preserve">The WHO recommends using 15-20 mg a day in mild stages of infection as an </w:t>
      </w:r>
      <w:r w:rsidRPr="00D009D5">
        <w:rPr>
          <w:rFonts w:ascii="Times New Roman" w:hAnsi="Times New Roman" w:cs="Times New Roman"/>
          <w:sz w:val="28"/>
          <w:szCs w:val="28"/>
        </w:rPr>
        <w:t xml:space="preserve">auxiliary therapy option. </w:t>
      </w:r>
      <w:r w:rsidR="00D10872" w:rsidRPr="00D009D5">
        <w:rPr>
          <w:rFonts w:ascii="Times New Roman" w:hAnsi="Times New Roman" w:cs="Times New Roman"/>
          <w:sz w:val="28"/>
          <w:szCs w:val="28"/>
        </w:rPr>
        <w:t>Nevertheless,</w:t>
      </w:r>
      <w:r w:rsidRPr="00D009D5">
        <w:rPr>
          <w:rFonts w:ascii="Times New Roman" w:hAnsi="Times New Roman" w:cs="Times New Roman"/>
          <w:sz w:val="28"/>
          <w:szCs w:val="28"/>
        </w:rPr>
        <w:t xml:space="preserve"> what happens with severe cases is still not clear, and everything is highly individual, and intense steroid therapy was inevitable to fight progressing pneumonia and other signs of acute COVID-19 complications [57]. </w:t>
      </w:r>
    </w:p>
    <w:p w14:paraId="06D4B9C7" w14:textId="041FA351" w:rsidR="008D1192" w:rsidRDefault="008D1192" w:rsidP="00064BB2">
      <w:pPr>
        <w:spacing w:line="240" w:lineRule="auto"/>
        <w:ind w:firstLine="708"/>
        <w:jc w:val="both"/>
        <w:rPr>
          <w:rFonts w:ascii="Times New Roman" w:hAnsi="Times New Roman" w:cs="Times New Roman"/>
          <w:sz w:val="28"/>
          <w:szCs w:val="28"/>
        </w:rPr>
      </w:pPr>
      <w:r w:rsidRPr="00D009D5">
        <w:rPr>
          <w:rFonts w:ascii="Times New Roman" w:hAnsi="Times New Roman" w:cs="Times New Roman"/>
          <w:sz w:val="28"/>
          <w:szCs w:val="28"/>
        </w:rPr>
        <w:t xml:space="preserve">Figure 8 shows the severe side effects of extensive corticosteroid use. To conclude, lethal mutagenesis must occur within the NSP12 machinery, responsible for synthesising the viral genome and the subgenomic viral RNA, thereby completing the viral life cycle within the host cell. A localised region of punctate calcification is present, raising the possibility of enchondroma rather than infarction. The right-sided image further illustrates a focal lesion with multiple calcific spots in continuity with trabecular bone, again favouring enchondroma over bone infarct. In the lower panel, the lateral radiograph of the knee reveals a subtle punctate calcification pattern within a metaphyseal lesion, accompanied by disturbed trabecular architecture. This lesion may represent an enchondroma or bone infarct, though the punctate calcifications favour enchondroma. Additional findings include sclerosis and a serpiginous border consistent with infarct-like changes. In the </w:t>
      </w:r>
      <w:r w:rsidR="00E17F83">
        <w:rPr>
          <w:rFonts w:ascii="Times New Roman" w:hAnsi="Times New Roman" w:cs="Times New Roman"/>
          <w:sz w:val="28"/>
          <w:szCs w:val="28"/>
        </w:rPr>
        <w:t>lower right image, a lobulated calcified area</w:t>
      </w:r>
      <w:r w:rsidRPr="00D009D5">
        <w:rPr>
          <w:rFonts w:ascii="Times New Roman" w:hAnsi="Times New Roman" w:cs="Times New Roman"/>
          <w:sz w:val="28"/>
          <w:szCs w:val="28"/>
        </w:rPr>
        <w:t xml:space="preserve"> is observed in the distal femur, representing a chondroid lesion with enchondromatous features.</w:t>
      </w:r>
    </w:p>
    <w:p w14:paraId="4531941A" w14:textId="77777777" w:rsidR="00E75292" w:rsidRPr="00D009D5" w:rsidRDefault="00E75292" w:rsidP="00064BB2">
      <w:pPr>
        <w:spacing w:line="240" w:lineRule="auto"/>
        <w:ind w:firstLine="708"/>
        <w:jc w:val="both"/>
        <w:rPr>
          <w:rFonts w:ascii="Times New Roman" w:hAnsi="Times New Roman" w:cs="Times New Roman"/>
          <w:sz w:val="28"/>
          <w:szCs w:val="28"/>
        </w:rPr>
      </w:pPr>
    </w:p>
    <w:p w14:paraId="2A7A1B87" w14:textId="20F3FE1C" w:rsidR="00226539" w:rsidRPr="006531C9" w:rsidRDefault="00853685" w:rsidP="00791AFB">
      <w:pPr>
        <w:spacing w:line="360" w:lineRule="auto"/>
        <w:jc w:val="center"/>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24622EC8" wp14:editId="6F13AE22">
            <wp:extent cx="3380509" cy="2826617"/>
            <wp:effectExtent l="0" t="0" r="0" b="0"/>
            <wp:docPr id="12931740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174001" name="Рисунок 1"/>
                    <pic:cNvPicPr>
                      <a:picLocks noChangeAspect="1"/>
                    </pic:cNvPicPr>
                  </pic:nvPicPr>
                  <pic:blipFill>
                    <a:blip r:embed="rId18"/>
                    <a:srcRect l="31365" t="33911" r="29928" b="6465"/>
                    <a:stretch>
                      <a:fillRect/>
                    </a:stretch>
                  </pic:blipFill>
                  <pic:spPr>
                    <a:xfrm>
                      <a:off x="0" y="0"/>
                      <a:ext cx="3563659" cy="2979758"/>
                    </a:xfrm>
                    <a:prstGeom prst="rect">
                      <a:avLst/>
                    </a:prstGeom>
                    <a:ln>
                      <a:noFill/>
                    </a:ln>
                  </pic:spPr>
                </pic:pic>
              </a:graphicData>
            </a:graphic>
          </wp:inline>
        </w:drawing>
      </w:r>
    </w:p>
    <w:p w14:paraId="41730C4E" w14:textId="7270C3EB" w:rsidR="00064BB2" w:rsidRPr="00FD2E80" w:rsidRDefault="00853685" w:rsidP="00F56850">
      <w:pPr>
        <w:spacing w:line="240" w:lineRule="auto"/>
        <w:jc w:val="center"/>
        <w:rPr>
          <w:rFonts w:ascii="Times New Roman" w:hAnsi="Times New Roman" w:cs="Times New Roman"/>
          <w:sz w:val="28"/>
          <w:szCs w:val="28"/>
        </w:rPr>
      </w:pPr>
      <w:r w:rsidRPr="00FD2E80">
        <w:rPr>
          <w:rFonts w:ascii="Times New Roman" w:hAnsi="Times New Roman" w:cs="Times New Roman"/>
          <w:sz w:val="28"/>
          <w:szCs w:val="28"/>
        </w:rPr>
        <w:t xml:space="preserve">Figure 8 </w:t>
      </w:r>
      <w:r w:rsidR="00A05AE2" w:rsidRPr="00FD2E80">
        <w:rPr>
          <w:rFonts w:ascii="Times New Roman" w:hAnsi="Times New Roman" w:cs="Times New Roman"/>
          <w:sz w:val="28"/>
          <w:szCs w:val="28"/>
        </w:rPr>
        <w:t>—</w:t>
      </w:r>
      <w:r w:rsidRPr="00FD2E80">
        <w:rPr>
          <w:rFonts w:ascii="Times New Roman" w:hAnsi="Times New Roman" w:cs="Times New Roman"/>
          <w:sz w:val="28"/>
          <w:szCs w:val="28"/>
        </w:rPr>
        <w:t xml:space="preserve"> The bone infarct x-ray image taken from </w:t>
      </w:r>
      <w:r w:rsidR="005E4C41" w:rsidRPr="00FD2E80">
        <w:rPr>
          <w:rFonts w:ascii="Times New Roman" w:hAnsi="Times New Roman" w:cs="Times New Roman"/>
          <w:sz w:val="28"/>
          <w:szCs w:val="28"/>
        </w:rPr>
        <w:t>a patient with an immune-mediated</w:t>
      </w:r>
      <w:r w:rsidRPr="00FD2E80">
        <w:rPr>
          <w:rFonts w:ascii="Times New Roman" w:hAnsi="Times New Roman" w:cs="Times New Roman"/>
          <w:sz w:val="28"/>
          <w:szCs w:val="28"/>
        </w:rPr>
        <w:t xml:space="preserve"> medical background</w:t>
      </w:r>
      <w:r w:rsidR="00EC2332">
        <w:rPr>
          <w:rFonts w:ascii="Times New Roman" w:hAnsi="Times New Roman" w:cs="Times New Roman"/>
          <w:sz w:val="28"/>
          <w:szCs w:val="28"/>
        </w:rPr>
        <w:t xml:space="preserve"> [57]</w:t>
      </w:r>
      <w:r w:rsidR="00791AFB" w:rsidRPr="00FD2E80">
        <w:rPr>
          <w:rFonts w:ascii="Times New Roman" w:hAnsi="Times New Roman" w:cs="Times New Roman"/>
          <w:sz w:val="28"/>
          <w:szCs w:val="28"/>
        </w:rPr>
        <w:t xml:space="preserve"> </w:t>
      </w:r>
    </w:p>
    <w:p w14:paraId="1400CDA1" w14:textId="27157A48" w:rsidR="00064BB2" w:rsidRDefault="00791AFB" w:rsidP="00FA608E">
      <w:pPr>
        <w:spacing w:after="0" w:line="240" w:lineRule="auto"/>
        <w:ind w:firstLine="709"/>
        <w:jc w:val="both"/>
        <w:rPr>
          <w:rFonts w:ascii="Times New Roman" w:hAnsi="Times New Roman" w:cs="Times New Roman"/>
          <w:sz w:val="28"/>
          <w:szCs w:val="28"/>
        </w:rPr>
      </w:pPr>
      <w:r w:rsidRPr="00064BB2">
        <w:rPr>
          <w:rFonts w:ascii="Times New Roman" w:hAnsi="Times New Roman" w:cs="Times New Roman"/>
          <w:sz w:val="28"/>
          <w:szCs w:val="28"/>
        </w:rPr>
        <w:t>The radiographs demonstrate characteristic patterns of dystrophic calcification and punctate sclerosis in bone lesions</w:t>
      </w:r>
      <w:r w:rsidR="00E32E12">
        <w:rPr>
          <w:rFonts w:ascii="Times New Roman" w:hAnsi="Times New Roman" w:cs="Times New Roman"/>
          <w:sz w:val="28"/>
          <w:szCs w:val="28"/>
        </w:rPr>
        <w:t>.</w:t>
      </w:r>
      <w:r w:rsidR="00503519" w:rsidRPr="00503519">
        <w:rPr>
          <w:rFonts w:ascii="Times New Roman" w:hAnsi="Times New Roman" w:cs="Times New Roman"/>
          <w:sz w:val="28"/>
          <w:szCs w:val="28"/>
          <w:lang w:val="en-US"/>
        </w:rPr>
        <w:t xml:space="preserve"> </w:t>
      </w:r>
      <w:r w:rsidRPr="00064BB2">
        <w:rPr>
          <w:rFonts w:ascii="Times New Roman" w:hAnsi="Times New Roman" w:cs="Times New Roman"/>
          <w:sz w:val="28"/>
          <w:szCs w:val="28"/>
        </w:rPr>
        <w:t xml:space="preserve">In the upper panel, the lateral x-ray of the </w:t>
      </w:r>
      <w:r w:rsidRPr="00064BB2">
        <w:rPr>
          <w:rFonts w:ascii="Times New Roman" w:hAnsi="Times New Roman" w:cs="Times New Roman"/>
          <w:sz w:val="28"/>
          <w:szCs w:val="28"/>
        </w:rPr>
        <w:lastRenderedPageBreak/>
        <w:t>calcaneus shows a serpiginous calcification pattern, suggestive of bone infarcts, but with discrete punctate calcifications that are more typical of enchondroma.</w:t>
      </w:r>
    </w:p>
    <w:p w14:paraId="3A163E1D" w14:textId="77777777" w:rsidR="00FA608E" w:rsidRPr="00064BB2" w:rsidRDefault="00FA608E" w:rsidP="00503519">
      <w:pPr>
        <w:spacing w:after="0" w:line="240" w:lineRule="auto"/>
        <w:ind w:firstLine="709"/>
        <w:jc w:val="both"/>
        <w:rPr>
          <w:rFonts w:ascii="Times New Roman" w:hAnsi="Times New Roman" w:cs="Times New Roman"/>
          <w:sz w:val="28"/>
          <w:szCs w:val="28"/>
        </w:rPr>
      </w:pPr>
    </w:p>
    <w:p w14:paraId="2E1EB1DF" w14:textId="131C83BF" w:rsidR="00064BB2" w:rsidRPr="00FA608E" w:rsidRDefault="00853685" w:rsidP="00CB5A31">
      <w:pPr>
        <w:pStyle w:val="af1"/>
        <w:numPr>
          <w:ilvl w:val="1"/>
          <w:numId w:val="76"/>
        </w:numPr>
        <w:spacing w:after="0" w:line="240" w:lineRule="auto"/>
        <w:ind w:left="709" w:hanging="27"/>
        <w:jc w:val="both"/>
        <w:rPr>
          <w:rFonts w:ascii="Times New Roman" w:hAnsi="Times New Roman" w:cs="Times New Roman"/>
          <w:b/>
          <w:bCs/>
          <w:sz w:val="28"/>
          <w:szCs w:val="28"/>
        </w:rPr>
      </w:pPr>
      <w:bookmarkStart w:id="13" w:name="_Hlk164098719"/>
      <w:r w:rsidRPr="00FA608E">
        <w:rPr>
          <w:rFonts w:ascii="Times New Roman" w:hAnsi="Times New Roman" w:cs="Times New Roman"/>
          <w:b/>
          <w:bCs/>
          <w:sz w:val="28"/>
          <w:szCs w:val="28"/>
        </w:rPr>
        <w:t>Influenza virus</w:t>
      </w:r>
      <w:bookmarkEnd w:id="13"/>
      <w:r w:rsidRPr="00FA608E">
        <w:rPr>
          <w:rFonts w:ascii="Times New Roman" w:hAnsi="Times New Roman" w:cs="Times New Roman"/>
          <w:b/>
          <w:bCs/>
          <w:sz w:val="28"/>
          <w:szCs w:val="28"/>
        </w:rPr>
        <w:t xml:space="preserve"> and antivirals against it</w:t>
      </w:r>
    </w:p>
    <w:p w14:paraId="63867C90" w14:textId="17172F1F" w:rsidR="008E268B" w:rsidRPr="00064BB2" w:rsidRDefault="00853685" w:rsidP="00CB5A31">
      <w:pPr>
        <w:spacing w:after="0" w:line="240" w:lineRule="auto"/>
        <w:ind w:firstLine="709"/>
        <w:jc w:val="both"/>
        <w:rPr>
          <w:rFonts w:ascii="Times New Roman" w:hAnsi="Times New Roman" w:cs="Times New Roman"/>
          <w:b/>
          <w:bCs/>
          <w:sz w:val="28"/>
          <w:szCs w:val="28"/>
        </w:rPr>
      </w:pPr>
      <w:r w:rsidRPr="00064BB2">
        <w:rPr>
          <w:rFonts w:ascii="Times New Roman" w:hAnsi="Times New Roman" w:cs="Times New Roman"/>
          <w:sz w:val="28"/>
          <w:szCs w:val="28"/>
        </w:rPr>
        <w:t xml:space="preserve">Influenza virus-like </w:t>
      </w:r>
      <w:r w:rsidR="005E4C41" w:rsidRPr="00064BB2">
        <w:rPr>
          <w:rFonts w:ascii="Times New Roman" w:hAnsi="Times New Roman" w:cs="Times New Roman"/>
          <w:sz w:val="28"/>
          <w:szCs w:val="28"/>
        </w:rPr>
        <w:t xml:space="preserve">SARS-CoV-2 is a low viral load-driven infection pathogen that requires relatively low PFU/mL to initiate disease, </w:t>
      </w:r>
      <w:r w:rsidR="005B799D" w:rsidRPr="00064BB2">
        <w:rPr>
          <w:rFonts w:ascii="Times New Roman" w:hAnsi="Times New Roman" w:cs="Times New Roman"/>
          <w:sz w:val="28"/>
          <w:szCs w:val="28"/>
        </w:rPr>
        <w:t>commonly referred to</w:t>
      </w:r>
      <w:r w:rsidR="005E4C41" w:rsidRPr="00064BB2">
        <w:rPr>
          <w:rFonts w:ascii="Times New Roman" w:hAnsi="Times New Roman" w:cs="Times New Roman"/>
          <w:sz w:val="28"/>
          <w:szCs w:val="28"/>
        </w:rPr>
        <w:t xml:space="preserve"> as a viral ‘</w:t>
      </w:r>
      <w:r w:rsidRPr="00064BB2">
        <w:rPr>
          <w:rFonts w:ascii="Times New Roman" w:hAnsi="Times New Roman" w:cs="Times New Roman"/>
          <w:sz w:val="28"/>
          <w:szCs w:val="28"/>
        </w:rPr>
        <w:t xml:space="preserve">cold’.  The strain naming of </w:t>
      </w:r>
      <w:r w:rsidR="005E4C41" w:rsidRPr="00064BB2">
        <w:rPr>
          <w:rFonts w:ascii="Times New Roman" w:hAnsi="Times New Roman" w:cs="Times New Roman"/>
          <w:sz w:val="28"/>
          <w:szCs w:val="28"/>
        </w:rPr>
        <w:t>SARS-CoV-2 depends on the occurrence of spike-protein mutations</w:t>
      </w:r>
      <w:r w:rsidR="005B799D" w:rsidRPr="00064BB2">
        <w:rPr>
          <w:rFonts w:ascii="Times New Roman" w:hAnsi="Times New Roman" w:cs="Times New Roman"/>
          <w:sz w:val="28"/>
          <w:szCs w:val="28"/>
        </w:rPr>
        <w:t xml:space="preserve">, just as with </w:t>
      </w:r>
      <w:r w:rsidRPr="00064BB2">
        <w:rPr>
          <w:rFonts w:ascii="Times New Roman" w:hAnsi="Times New Roman" w:cs="Times New Roman"/>
          <w:sz w:val="28"/>
          <w:szCs w:val="28"/>
        </w:rPr>
        <w:t xml:space="preserve">the Influenza A </w:t>
      </w:r>
      <w:r w:rsidR="005B799D" w:rsidRPr="00064BB2">
        <w:rPr>
          <w:rFonts w:ascii="Times New Roman" w:hAnsi="Times New Roman" w:cs="Times New Roman"/>
          <w:sz w:val="28"/>
          <w:szCs w:val="28"/>
        </w:rPr>
        <w:t>virus [</w:t>
      </w:r>
      <w:r w:rsidR="00EC2332">
        <w:rPr>
          <w:rFonts w:ascii="Times New Roman" w:hAnsi="Times New Roman" w:cs="Times New Roman"/>
          <w:sz w:val="28"/>
          <w:szCs w:val="28"/>
        </w:rPr>
        <w:t>58-</w:t>
      </w:r>
      <w:r w:rsidR="005B799D" w:rsidRPr="00064BB2">
        <w:rPr>
          <w:rFonts w:ascii="Times New Roman" w:hAnsi="Times New Roman" w:cs="Times New Roman"/>
          <w:sz w:val="28"/>
          <w:szCs w:val="28"/>
        </w:rPr>
        <w:t>59]</w:t>
      </w:r>
      <w:r w:rsidRPr="00064BB2">
        <w:rPr>
          <w:rFonts w:ascii="Times New Roman" w:hAnsi="Times New Roman" w:cs="Times New Roman"/>
          <w:sz w:val="28"/>
          <w:szCs w:val="28"/>
        </w:rPr>
        <w:t xml:space="preserve">. No matter how </w:t>
      </w:r>
      <w:r w:rsidR="00DB1B0D">
        <w:rPr>
          <w:rFonts w:ascii="Times New Roman" w:hAnsi="Times New Roman" w:cs="Times New Roman"/>
          <w:sz w:val="28"/>
          <w:szCs w:val="28"/>
        </w:rPr>
        <w:t>rapidly SARS-CoV-2 and Influenza A viruses can mutate and adapt, they rely heavily on surface proteins throughout their life cycles and</w:t>
      </w:r>
      <w:r w:rsidRPr="00064BB2">
        <w:rPr>
          <w:rFonts w:ascii="Times New Roman" w:hAnsi="Times New Roman" w:cs="Times New Roman"/>
          <w:sz w:val="28"/>
          <w:szCs w:val="28"/>
        </w:rPr>
        <w:t xml:space="preserve"> pathogenesis. Thus, </w:t>
      </w:r>
      <w:r w:rsidR="00DB1B0D">
        <w:rPr>
          <w:rFonts w:ascii="Times New Roman" w:hAnsi="Times New Roman" w:cs="Times New Roman"/>
          <w:sz w:val="28"/>
          <w:szCs w:val="28"/>
        </w:rPr>
        <w:t>developing vaccines against them is feasible</w:t>
      </w:r>
      <w:r w:rsidRPr="00064BB2">
        <w:rPr>
          <w:rFonts w:ascii="Times New Roman" w:hAnsi="Times New Roman" w:cs="Times New Roman"/>
          <w:sz w:val="28"/>
          <w:szCs w:val="28"/>
        </w:rPr>
        <w:t>. There are four types of influenza viruses</w:t>
      </w:r>
      <w:r w:rsidR="00BB7ED5">
        <w:rPr>
          <w:rFonts w:ascii="Times New Roman" w:hAnsi="Times New Roman" w:cs="Times New Roman"/>
          <w:sz w:val="28"/>
          <w:szCs w:val="28"/>
        </w:rPr>
        <w:t xml:space="preserve"> — A, B, C, and D — </w:t>
      </w:r>
      <w:r w:rsidR="00DB1B0D">
        <w:rPr>
          <w:rFonts w:ascii="Times New Roman" w:hAnsi="Times New Roman" w:cs="Times New Roman"/>
          <w:sz w:val="28"/>
          <w:szCs w:val="28"/>
        </w:rPr>
        <w:t>which differ in nucleoproteins and matrix proteins based</w:t>
      </w:r>
      <w:r w:rsidRPr="00064BB2">
        <w:rPr>
          <w:rFonts w:ascii="Times New Roman" w:hAnsi="Times New Roman" w:cs="Times New Roman"/>
          <w:sz w:val="28"/>
          <w:szCs w:val="28"/>
        </w:rPr>
        <w:t xml:space="preserve"> on their antigenic differences [59-6</w:t>
      </w:r>
      <w:r w:rsidR="005B799D" w:rsidRPr="00064BB2">
        <w:rPr>
          <w:rFonts w:ascii="Times New Roman" w:hAnsi="Times New Roman" w:cs="Times New Roman"/>
          <w:sz w:val="28"/>
          <w:szCs w:val="28"/>
        </w:rPr>
        <w:t>1</w:t>
      </w:r>
      <w:r w:rsidRPr="00064BB2">
        <w:rPr>
          <w:rFonts w:ascii="Times New Roman" w:hAnsi="Times New Roman" w:cs="Times New Roman"/>
          <w:sz w:val="28"/>
          <w:szCs w:val="28"/>
        </w:rPr>
        <w:t xml:space="preserve">].  Influenza A virus A (IAV) </w:t>
      </w:r>
      <w:r w:rsidR="00DB1B0D">
        <w:rPr>
          <w:rFonts w:ascii="Times New Roman" w:hAnsi="Times New Roman" w:cs="Times New Roman"/>
          <w:sz w:val="28"/>
          <w:szCs w:val="28"/>
        </w:rPr>
        <w:t>causes respiratory illnesses</w:t>
      </w:r>
      <w:r w:rsidRPr="00064BB2">
        <w:rPr>
          <w:rFonts w:ascii="Times New Roman" w:hAnsi="Times New Roman" w:cs="Times New Roman"/>
          <w:sz w:val="28"/>
          <w:szCs w:val="28"/>
        </w:rPr>
        <w:t xml:space="preserve">. These unpredictable pathogens </w:t>
      </w:r>
      <w:r w:rsidR="00D10872" w:rsidRPr="00064BB2">
        <w:rPr>
          <w:rFonts w:ascii="Times New Roman" w:hAnsi="Times New Roman" w:cs="Times New Roman"/>
          <w:sz w:val="28"/>
          <w:szCs w:val="28"/>
        </w:rPr>
        <w:t>pose a threat to</w:t>
      </w:r>
      <w:r w:rsidR="005B799D" w:rsidRPr="00064BB2">
        <w:rPr>
          <w:rFonts w:ascii="Times New Roman" w:hAnsi="Times New Roman" w:cs="Times New Roman"/>
          <w:sz w:val="28"/>
          <w:szCs w:val="28"/>
        </w:rPr>
        <w:t xml:space="preserve"> human </w:t>
      </w:r>
      <w:r w:rsidR="00DB1B0D">
        <w:rPr>
          <w:rFonts w:ascii="Times New Roman" w:hAnsi="Times New Roman" w:cs="Times New Roman"/>
          <w:sz w:val="28"/>
          <w:szCs w:val="28"/>
        </w:rPr>
        <w:t>and animal health</w:t>
      </w:r>
      <w:r w:rsidR="005B799D" w:rsidRPr="00064BB2">
        <w:rPr>
          <w:rFonts w:ascii="Times New Roman" w:hAnsi="Times New Roman" w:cs="Times New Roman"/>
          <w:sz w:val="28"/>
          <w:szCs w:val="28"/>
        </w:rPr>
        <w:t xml:space="preserve"> through continuous evolution, antigenic drift, and shifts</w:t>
      </w:r>
      <w:r w:rsidRPr="00064BB2">
        <w:rPr>
          <w:rFonts w:ascii="Times New Roman" w:hAnsi="Times New Roman" w:cs="Times New Roman"/>
          <w:sz w:val="28"/>
          <w:szCs w:val="28"/>
        </w:rPr>
        <w:t xml:space="preserve">. The natural reservoir of IAV is aquatic wild birds, from which </w:t>
      </w:r>
      <w:r w:rsidR="00DB1B0D">
        <w:rPr>
          <w:rFonts w:ascii="Times New Roman" w:hAnsi="Times New Roman" w:cs="Times New Roman"/>
          <w:sz w:val="28"/>
          <w:szCs w:val="28"/>
        </w:rPr>
        <w:t>it can move to other terrestrial hosts</w:t>
      </w:r>
      <w:r w:rsidRPr="00064BB2">
        <w:rPr>
          <w:rFonts w:ascii="Times New Roman" w:hAnsi="Times New Roman" w:cs="Times New Roman"/>
          <w:sz w:val="28"/>
          <w:szCs w:val="28"/>
        </w:rPr>
        <w:t>, including terrestrial birds and mammals [61-63].</w:t>
      </w:r>
    </w:p>
    <w:p w14:paraId="5A00ED53" w14:textId="02369FC4" w:rsidR="001905CD" w:rsidRPr="00064BB2" w:rsidRDefault="00853685" w:rsidP="00064BB2">
      <w:pPr>
        <w:spacing w:after="0" w:line="240" w:lineRule="auto"/>
        <w:ind w:firstLine="709"/>
        <w:jc w:val="both"/>
        <w:rPr>
          <w:rFonts w:ascii="Times New Roman" w:hAnsi="Times New Roman" w:cs="Times New Roman"/>
          <w:sz w:val="28"/>
          <w:szCs w:val="28"/>
        </w:rPr>
      </w:pPr>
      <w:r w:rsidRPr="00064BB2">
        <w:rPr>
          <w:rFonts w:ascii="Times New Roman" w:hAnsi="Times New Roman" w:cs="Times New Roman"/>
          <w:sz w:val="28"/>
          <w:szCs w:val="28"/>
        </w:rPr>
        <w:t xml:space="preserve"> Influenza A, B, and C belong to the </w:t>
      </w:r>
      <w:r w:rsidR="005B799D" w:rsidRPr="00064BB2">
        <w:rPr>
          <w:rFonts w:ascii="Times New Roman" w:hAnsi="Times New Roman" w:cs="Times New Roman"/>
          <w:sz w:val="28"/>
          <w:szCs w:val="28"/>
        </w:rPr>
        <w:t>family Orthomyxoviridae, which comprises small viruses</w:t>
      </w:r>
      <w:r w:rsidRPr="00064BB2">
        <w:rPr>
          <w:rFonts w:ascii="Times New Roman" w:hAnsi="Times New Roman" w:cs="Times New Roman"/>
          <w:sz w:val="28"/>
          <w:szCs w:val="28"/>
        </w:rPr>
        <w:t xml:space="preserve">. </w:t>
      </w:r>
      <w:r w:rsidR="00D10872" w:rsidRPr="00064BB2">
        <w:rPr>
          <w:rFonts w:ascii="Times New Roman" w:hAnsi="Times New Roman" w:cs="Times New Roman"/>
          <w:sz w:val="28"/>
          <w:szCs w:val="28"/>
        </w:rPr>
        <w:t>The coronavirus family</w:t>
      </w:r>
      <w:r w:rsidR="005B799D" w:rsidRPr="00064BB2">
        <w:rPr>
          <w:rFonts w:ascii="Times New Roman" w:hAnsi="Times New Roman" w:cs="Times New Roman"/>
          <w:sz w:val="28"/>
          <w:szCs w:val="28"/>
        </w:rPr>
        <w:t xml:space="preserve"> has a </w:t>
      </w:r>
      <w:r w:rsidR="00130811" w:rsidRPr="00064BB2">
        <w:rPr>
          <w:rFonts w:ascii="Times New Roman" w:hAnsi="Times New Roman" w:cs="Times New Roman"/>
          <w:sz w:val="28"/>
          <w:szCs w:val="28"/>
        </w:rPr>
        <w:t>negative-sense, segmented RNA genome with continuous and stepwise</w:t>
      </w:r>
      <w:r w:rsidR="005B799D" w:rsidRPr="00064BB2">
        <w:rPr>
          <w:rFonts w:ascii="Times New Roman" w:hAnsi="Times New Roman" w:cs="Times New Roman"/>
          <w:sz w:val="28"/>
          <w:szCs w:val="28"/>
        </w:rPr>
        <w:t xml:space="preserve"> activation during the infection period, which lasts up to 72 hours</w:t>
      </w:r>
      <w:r w:rsidRPr="00064BB2">
        <w:rPr>
          <w:rFonts w:ascii="Times New Roman" w:hAnsi="Times New Roman" w:cs="Times New Roman"/>
          <w:sz w:val="28"/>
          <w:szCs w:val="28"/>
        </w:rPr>
        <w:t xml:space="preserve">. Still, antiviral </w:t>
      </w:r>
      <w:r w:rsidR="00DB1B0D">
        <w:rPr>
          <w:rFonts w:ascii="Times New Roman" w:hAnsi="Times New Roman" w:cs="Times New Roman"/>
          <w:sz w:val="28"/>
          <w:szCs w:val="28"/>
        </w:rPr>
        <w:t xml:space="preserve">therapy is only effective within the first 48 hours, as it suppresses viral replication and reduces </w:t>
      </w:r>
      <w:r w:rsidR="00D10872" w:rsidRPr="00064BB2">
        <w:rPr>
          <w:rFonts w:ascii="Times New Roman" w:hAnsi="Times New Roman" w:cs="Times New Roman"/>
          <w:sz w:val="28"/>
          <w:szCs w:val="28"/>
        </w:rPr>
        <w:t xml:space="preserve">viral load, thereby enhancing both </w:t>
      </w:r>
      <w:r w:rsidR="005B799D" w:rsidRPr="00064BB2">
        <w:rPr>
          <w:rFonts w:ascii="Times New Roman" w:hAnsi="Times New Roman" w:cs="Times New Roman"/>
          <w:sz w:val="28"/>
          <w:szCs w:val="28"/>
        </w:rPr>
        <w:t>innate and adaptive</w:t>
      </w:r>
      <w:r w:rsidRPr="00064BB2">
        <w:rPr>
          <w:rFonts w:ascii="Times New Roman" w:hAnsi="Times New Roman" w:cs="Times New Roman"/>
          <w:sz w:val="28"/>
          <w:szCs w:val="28"/>
        </w:rPr>
        <w:t xml:space="preserve"> immunity. Their primary </w:t>
      </w:r>
      <w:r w:rsidR="00D10872" w:rsidRPr="00064BB2">
        <w:rPr>
          <w:rFonts w:ascii="Times New Roman" w:hAnsi="Times New Roman" w:cs="Times New Roman"/>
          <w:sz w:val="28"/>
          <w:szCs w:val="28"/>
        </w:rPr>
        <w:t>characterisation</w:t>
      </w:r>
      <w:r w:rsidRPr="00064BB2">
        <w:rPr>
          <w:rFonts w:ascii="Times New Roman" w:hAnsi="Times New Roman" w:cs="Times New Roman"/>
          <w:sz w:val="28"/>
          <w:szCs w:val="28"/>
        </w:rPr>
        <w:t xml:space="preserve"> </w:t>
      </w:r>
      <w:r w:rsidR="005B799D" w:rsidRPr="00064BB2">
        <w:rPr>
          <w:rFonts w:ascii="Times New Roman" w:hAnsi="Times New Roman" w:cs="Times New Roman"/>
          <w:sz w:val="28"/>
          <w:szCs w:val="28"/>
        </w:rPr>
        <w:t>is based on the classification of main surface glycoproteins, specifically HA (hemagglutinin) and NA (neuraminidase)</w:t>
      </w:r>
      <w:r w:rsidRPr="00064BB2">
        <w:rPr>
          <w:rFonts w:ascii="Times New Roman" w:hAnsi="Times New Roman" w:cs="Times New Roman"/>
          <w:sz w:val="28"/>
          <w:szCs w:val="28"/>
        </w:rPr>
        <w:t xml:space="preserve">. [61-63]. Influenza viruses </w:t>
      </w:r>
      <w:r w:rsidR="00DB1B0D">
        <w:rPr>
          <w:rFonts w:ascii="Times New Roman" w:hAnsi="Times New Roman" w:cs="Times New Roman"/>
          <w:sz w:val="28"/>
          <w:szCs w:val="28"/>
        </w:rPr>
        <w:t>use standard terminology, like any other widespread viruses, including the virus types (A and B</w:t>
      </w:r>
      <w:r w:rsidRPr="00064BB2">
        <w:rPr>
          <w:rFonts w:ascii="Times New Roman" w:hAnsi="Times New Roman" w:cs="Times New Roman"/>
          <w:sz w:val="28"/>
          <w:szCs w:val="28"/>
        </w:rPr>
        <w:t xml:space="preserve">). The species from which it was isolated (if it does not belong to humans, for example, pigs or birds); the place where it was isolated (express PCR is required for identification - diagnosis of influenza infection); isolate number; year of isolation; and only for influenza A virus subtypes HA and NA. It is worth mentioning that by now, only 16 for HA and 9 for NA subtypes (variations) in every season circulating influenza A   were found, among which only 3 HA (H1, H2, and H3) and only 2NA (N1 and N2) subtypes (mutated variations) have caused human epidemics, as confirmed by sustained, widespread, human-to-human transmission [63].  </w:t>
      </w:r>
    </w:p>
    <w:p w14:paraId="5C7AA36C" w14:textId="77777777" w:rsidR="001905CD" w:rsidRPr="00064BB2" w:rsidRDefault="00853685" w:rsidP="00064BB2">
      <w:pPr>
        <w:spacing w:after="0" w:line="240" w:lineRule="auto"/>
        <w:ind w:firstLine="709"/>
        <w:jc w:val="both"/>
        <w:rPr>
          <w:rFonts w:ascii="Times New Roman" w:hAnsi="Times New Roman" w:cs="Times New Roman"/>
          <w:sz w:val="28"/>
          <w:szCs w:val="28"/>
        </w:rPr>
      </w:pPr>
      <w:r w:rsidRPr="00064BB2">
        <w:rPr>
          <w:rFonts w:ascii="Times New Roman" w:hAnsi="Times New Roman" w:cs="Times New Roman"/>
          <w:sz w:val="28"/>
          <w:szCs w:val="28"/>
        </w:rPr>
        <w:t xml:space="preserve">Thus, </w:t>
      </w:r>
      <w:r w:rsidRPr="00064BB2">
        <w:rPr>
          <w:rFonts w:ascii="Times New Roman" w:hAnsi="Times New Roman" w:cs="Times New Roman"/>
          <w:i/>
          <w:iCs/>
          <w:sz w:val="28"/>
          <w:szCs w:val="28"/>
        </w:rPr>
        <w:t>A/Kazakhstan, Almaty/2125/2024 (H3N2)</w:t>
      </w:r>
      <w:r w:rsidR="001905CD" w:rsidRPr="00064BB2">
        <w:rPr>
          <w:rFonts w:ascii="Times New Roman" w:hAnsi="Times New Roman" w:cs="Times New Roman"/>
          <w:i/>
          <w:iCs/>
          <w:sz w:val="28"/>
          <w:szCs w:val="28"/>
        </w:rPr>
        <w:t>- an example of a viral strain isolated this year in Kazakhstan – is profoundly concerning</w:t>
      </w:r>
      <w:r w:rsidRPr="00064BB2">
        <w:rPr>
          <w:rFonts w:ascii="Times New Roman" w:hAnsi="Times New Roman" w:cs="Times New Roman"/>
          <w:sz w:val="28"/>
          <w:szCs w:val="28"/>
        </w:rPr>
        <w:t xml:space="preserve">. The same pattern </w:t>
      </w:r>
      <w:r w:rsidR="005B799D" w:rsidRPr="00064BB2">
        <w:rPr>
          <w:rFonts w:ascii="Times New Roman" w:hAnsi="Times New Roman" w:cs="Times New Roman"/>
          <w:sz w:val="28"/>
          <w:szCs w:val="28"/>
        </w:rPr>
        <w:t>can be observed in SARS-CoV-2 virus strains, which exhibit multiple and varied mutations of the so-called ‘sugar coat’ on the Spike protein, facilitated by mutated Spike protein strains such as Gamma, Delta, Lambda, Mu, and Omicron</w:t>
      </w:r>
      <w:r w:rsidRPr="00064BB2">
        <w:rPr>
          <w:rFonts w:ascii="Times New Roman" w:hAnsi="Times New Roman" w:cs="Times New Roman"/>
          <w:sz w:val="28"/>
          <w:szCs w:val="28"/>
        </w:rPr>
        <w:t xml:space="preserve">. Since spike proteins enable the </w:t>
      </w:r>
      <w:r w:rsidR="005B799D" w:rsidRPr="00064BB2">
        <w:rPr>
          <w:rFonts w:ascii="Times New Roman" w:hAnsi="Times New Roman" w:cs="Times New Roman"/>
          <w:sz w:val="28"/>
          <w:szCs w:val="28"/>
        </w:rPr>
        <w:t>SARS-CoV-2 virus, or rather a virion produced from infected host cells like those in the respiratory tract, to evade the innate immune system, spike protein mutations provide various features, including higher virulence, more effective and robust vital enzymes, and their supporting segments, such as NSP9 in RNA-dependent</w:t>
      </w:r>
      <w:r w:rsidRPr="00064BB2">
        <w:rPr>
          <w:rFonts w:ascii="Times New Roman" w:hAnsi="Times New Roman" w:cs="Times New Roman"/>
          <w:sz w:val="28"/>
          <w:szCs w:val="28"/>
        </w:rPr>
        <w:t xml:space="preserve"> RNA polymerase. Still, one glycoprotein segment remains unchanged in all variants of concern – the </w:t>
      </w:r>
      <w:r w:rsidR="005B799D" w:rsidRPr="00064BB2">
        <w:rPr>
          <w:rFonts w:ascii="Times New Roman" w:hAnsi="Times New Roman" w:cs="Times New Roman"/>
          <w:sz w:val="28"/>
          <w:szCs w:val="28"/>
        </w:rPr>
        <w:t>D416G mutation [58]</w:t>
      </w:r>
      <w:r w:rsidRPr="00064BB2">
        <w:rPr>
          <w:rFonts w:ascii="Times New Roman" w:hAnsi="Times New Roman" w:cs="Times New Roman"/>
          <w:sz w:val="28"/>
          <w:szCs w:val="28"/>
        </w:rPr>
        <w:t>.</w:t>
      </w:r>
    </w:p>
    <w:p w14:paraId="248FB8A9" w14:textId="3CC14CF0" w:rsidR="001905CD" w:rsidRPr="00064BB2" w:rsidRDefault="00853685" w:rsidP="00064BB2">
      <w:pPr>
        <w:spacing w:after="0" w:line="240" w:lineRule="auto"/>
        <w:ind w:firstLine="709"/>
        <w:jc w:val="both"/>
        <w:rPr>
          <w:rFonts w:ascii="Times New Roman" w:hAnsi="Times New Roman" w:cs="Times New Roman"/>
          <w:sz w:val="28"/>
          <w:szCs w:val="28"/>
        </w:rPr>
      </w:pPr>
      <w:r w:rsidRPr="00064BB2">
        <w:rPr>
          <w:rFonts w:ascii="Times New Roman" w:hAnsi="Times New Roman" w:cs="Times New Roman"/>
          <w:sz w:val="28"/>
          <w:szCs w:val="28"/>
        </w:rPr>
        <w:lastRenderedPageBreak/>
        <w:t xml:space="preserve"> Overall, the Influenza A virus and </w:t>
      </w:r>
      <w:r w:rsidR="005B799D" w:rsidRPr="00064BB2">
        <w:rPr>
          <w:rFonts w:ascii="Times New Roman" w:hAnsi="Times New Roman" w:cs="Times New Roman"/>
          <w:sz w:val="28"/>
          <w:szCs w:val="28"/>
        </w:rPr>
        <w:t xml:space="preserve">SARS-CoV-2 Virus, as companions, represent a severe threat to immune-compromised individuals and pose continuous challenges for physicians and </w:t>
      </w:r>
      <w:r w:rsidR="00D10872" w:rsidRPr="00064BB2">
        <w:rPr>
          <w:rFonts w:ascii="Times New Roman" w:hAnsi="Times New Roman" w:cs="Times New Roman"/>
          <w:sz w:val="28"/>
          <w:szCs w:val="28"/>
        </w:rPr>
        <w:t>pharmacists to find optimal, effective treatment strategies, thereby minimising the post-COVID-19/influenza effect or period on patients and relatively healthy individuals</w:t>
      </w:r>
      <w:r w:rsidRPr="00064BB2">
        <w:rPr>
          <w:rFonts w:ascii="Times New Roman" w:hAnsi="Times New Roman" w:cs="Times New Roman"/>
          <w:sz w:val="28"/>
          <w:szCs w:val="28"/>
        </w:rPr>
        <w:t xml:space="preserve">.  To make things worse, </w:t>
      </w:r>
      <w:r w:rsidR="00D10872" w:rsidRPr="00064BB2">
        <w:rPr>
          <w:rFonts w:ascii="Times New Roman" w:hAnsi="Times New Roman" w:cs="Times New Roman"/>
          <w:sz w:val="28"/>
          <w:szCs w:val="28"/>
        </w:rPr>
        <w:t>influenza A virus diagnostics are not as rapid or seriously taken as SARS-CoV-2</w:t>
      </w:r>
      <w:r w:rsidRPr="00064BB2">
        <w:rPr>
          <w:rFonts w:ascii="Times New Roman" w:hAnsi="Times New Roman" w:cs="Times New Roman"/>
          <w:sz w:val="28"/>
          <w:szCs w:val="28"/>
        </w:rPr>
        <w:t xml:space="preserve"> diagnostics in a cohort of treating doctors or among infected patients. Regarding Influenza A treatment, an infected person must take an </w:t>
      </w:r>
      <w:r w:rsidR="00D10872" w:rsidRPr="00064BB2">
        <w:rPr>
          <w:rFonts w:ascii="Times New Roman" w:hAnsi="Times New Roman" w:cs="Times New Roman"/>
          <w:sz w:val="28"/>
          <w:szCs w:val="28"/>
        </w:rPr>
        <w:t xml:space="preserve">antiviral drug, such as oseltamivir, as soon as possible, ideally within 48 hours </w:t>
      </w:r>
      <w:r w:rsidR="00DB1B0D">
        <w:rPr>
          <w:rFonts w:ascii="Times New Roman" w:hAnsi="Times New Roman" w:cs="Times New Roman"/>
          <w:sz w:val="28"/>
          <w:szCs w:val="28"/>
        </w:rPr>
        <w:t>of the first signs of illness</w:t>
      </w:r>
      <w:r w:rsidR="00D10872" w:rsidRPr="00064BB2">
        <w:rPr>
          <w:rFonts w:ascii="Times New Roman" w:hAnsi="Times New Roman" w:cs="Times New Roman"/>
          <w:sz w:val="28"/>
          <w:szCs w:val="28"/>
        </w:rPr>
        <w:t>, to ensure effective treatment and prevent further complications</w:t>
      </w:r>
      <w:r w:rsidRPr="00064BB2">
        <w:rPr>
          <w:rFonts w:ascii="Times New Roman" w:hAnsi="Times New Roman" w:cs="Times New Roman"/>
          <w:sz w:val="28"/>
          <w:szCs w:val="28"/>
        </w:rPr>
        <w:t xml:space="preserve">. The same applies to COVID-19.  </w:t>
      </w:r>
    </w:p>
    <w:p w14:paraId="0C0FF054" w14:textId="77777777" w:rsidR="00DB1B0D" w:rsidRPr="00B75453" w:rsidRDefault="00853685" w:rsidP="00064BB2">
      <w:pPr>
        <w:spacing w:after="0" w:line="240" w:lineRule="auto"/>
        <w:ind w:firstLine="709"/>
        <w:jc w:val="both"/>
        <w:rPr>
          <w:rFonts w:ascii="Times New Roman" w:hAnsi="Times New Roman" w:cs="Times New Roman"/>
          <w:sz w:val="28"/>
          <w:szCs w:val="28"/>
          <w:lang w:val="en-US"/>
        </w:rPr>
      </w:pPr>
      <w:r w:rsidRPr="00064BB2">
        <w:rPr>
          <w:rFonts w:ascii="Times New Roman" w:hAnsi="Times New Roman" w:cs="Times New Roman"/>
          <w:sz w:val="28"/>
          <w:szCs w:val="28"/>
        </w:rPr>
        <w:t xml:space="preserve">Last but not least, the influenza A virus has a significantly smaller viral genome </w:t>
      </w:r>
      <w:r w:rsidR="00DB1B0D">
        <w:rPr>
          <w:rFonts w:ascii="Times New Roman" w:hAnsi="Times New Roman" w:cs="Times New Roman"/>
          <w:sz w:val="28"/>
          <w:szCs w:val="28"/>
        </w:rPr>
        <w:t>than SARS-CoV-2; still, SARS-CoV-2 can replicate relatively quickly and effectively,</w:t>
      </w:r>
      <w:r w:rsidR="005B799D" w:rsidRPr="00064BB2">
        <w:rPr>
          <w:rFonts w:ascii="Times New Roman" w:hAnsi="Times New Roman" w:cs="Times New Roman"/>
          <w:sz w:val="28"/>
          <w:szCs w:val="28"/>
        </w:rPr>
        <w:t xml:space="preserve"> evading</w:t>
      </w:r>
      <w:r w:rsidRPr="00064BB2">
        <w:rPr>
          <w:rFonts w:ascii="Times New Roman" w:hAnsi="Times New Roman" w:cs="Times New Roman"/>
          <w:sz w:val="28"/>
          <w:szCs w:val="28"/>
        </w:rPr>
        <w:t xml:space="preserve"> and silencing the antiviral mechanisms common to all viral replication machinery.</w:t>
      </w:r>
      <w:r w:rsidR="00437B5F" w:rsidRPr="00064BB2">
        <w:rPr>
          <w:rFonts w:ascii="Times New Roman" w:hAnsi="Times New Roman" w:cs="Times New Roman"/>
          <w:sz w:val="28"/>
          <w:szCs w:val="28"/>
        </w:rPr>
        <w:t xml:space="preserve"> </w:t>
      </w:r>
      <w:r w:rsidRPr="00064BB2">
        <w:rPr>
          <w:rFonts w:ascii="Times New Roman" w:hAnsi="Times New Roman" w:cs="Times New Roman"/>
          <w:sz w:val="28"/>
          <w:szCs w:val="28"/>
        </w:rPr>
        <w:t xml:space="preserve">Most viruses do not change </w:t>
      </w:r>
      <w:r w:rsidR="001905CD" w:rsidRPr="00064BB2">
        <w:rPr>
          <w:rFonts w:ascii="Times New Roman" w:hAnsi="Times New Roman" w:cs="Times New Roman"/>
          <w:sz w:val="28"/>
          <w:szCs w:val="28"/>
        </w:rPr>
        <w:t xml:space="preserve">unless </w:t>
      </w:r>
      <w:r w:rsidR="00503519">
        <w:rPr>
          <w:rFonts w:ascii="Times New Roman" w:hAnsi="Times New Roman" w:cs="Times New Roman"/>
          <w:sz w:val="28"/>
          <w:szCs w:val="28"/>
        </w:rPr>
        <w:t>environmental, mental, or immune factors stress them</w:t>
      </w:r>
      <w:r w:rsidRPr="00064BB2">
        <w:rPr>
          <w:rFonts w:ascii="Times New Roman" w:hAnsi="Times New Roman" w:cs="Times New Roman"/>
          <w:sz w:val="28"/>
          <w:szCs w:val="28"/>
        </w:rPr>
        <w:t xml:space="preserve">.  </w:t>
      </w:r>
      <w:r w:rsidR="005B799D" w:rsidRPr="00064BB2">
        <w:rPr>
          <w:rFonts w:ascii="Times New Roman" w:hAnsi="Times New Roman" w:cs="Times New Roman"/>
          <w:sz w:val="28"/>
          <w:szCs w:val="28"/>
        </w:rPr>
        <w:t xml:space="preserve">Therefore, it is relatively easy for our immune system to </w:t>
      </w:r>
      <w:r w:rsidR="00D10872" w:rsidRPr="00064BB2">
        <w:rPr>
          <w:rFonts w:ascii="Times New Roman" w:hAnsi="Times New Roman" w:cs="Times New Roman"/>
          <w:sz w:val="28"/>
          <w:szCs w:val="28"/>
        </w:rPr>
        <w:t>recognise</w:t>
      </w:r>
      <w:r w:rsidRPr="00064BB2">
        <w:rPr>
          <w:rFonts w:ascii="Times New Roman" w:hAnsi="Times New Roman" w:cs="Times New Roman"/>
          <w:sz w:val="28"/>
          <w:szCs w:val="28"/>
        </w:rPr>
        <w:t xml:space="preserve"> them from one year to the next.</w:t>
      </w:r>
    </w:p>
    <w:p w14:paraId="3715C5B7" w14:textId="47CFDAF6" w:rsidR="001905CD" w:rsidRPr="00064BB2" w:rsidRDefault="00853685" w:rsidP="00064BB2">
      <w:pPr>
        <w:spacing w:after="0" w:line="240" w:lineRule="auto"/>
        <w:ind w:firstLine="709"/>
        <w:jc w:val="both"/>
        <w:rPr>
          <w:rFonts w:ascii="Times New Roman" w:hAnsi="Times New Roman" w:cs="Times New Roman"/>
          <w:sz w:val="28"/>
          <w:szCs w:val="28"/>
        </w:rPr>
      </w:pPr>
      <w:r w:rsidRPr="00064BB2">
        <w:rPr>
          <w:rFonts w:ascii="Times New Roman" w:hAnsi="Times New Roman" w:cs="Times New Roman"/>
          <w:sz w:val="28"/>
          <w:szCs w:val="28"/>
        </w:rPr>
        <w:t xml:space="preserve"> However, </w:t>
      </w:r>
      <w:r w:rsidR="00D10872" w:rsidRPr="00064BB2">
        <w:rPr>
          <w:rFonts w:ascii="Times New Roman" w:hAnsi="Times New Roman" w:cs="Times New Roman"/>
          <w:sz w:val="28"/>
          <w:szCs w:val="28"/>
        </w:rPr>
        <w:t xml:space="preserve">the </w:t>
      </w:r>
      <w:r w:rsidRPr="00064BB2">
        <w:rPr>
          <w:rFonts w:ascii="Times New Roman" w:hAnsi="Times New Roman" w:cs="Times New Roman"/>
          <w:sz w:val="28"/>
          <w:szCs w:val="28"/>
        </w:rPr>
        <w:t xml:space="preserve">Influenza virus A or B is different. The </w:t>
      </w:r>
      <w:r w:rsidR="00DB1B0D">
        <w:rPr>
          <w:rFonts w:ascii="Times New Roman" w:hAnsi="Times New Roman" w:cs="Times New Roman"/>
          <w:sz w:val="28"/>
          <w:szCs w:val="28"/>
        </w:rPr>
        <w:t>virus's surface</w:t>
      </w:r>
      <w:r w:rsidR="001905CD" w:rsidRPr="00064BB2">
        <w:rPr>
          <w:rFonts w:ascii="Times New Roman" w:hAnsi="Times New Roman" w:cs="Times New Roman"/>
          <w:sz w:val="28"/>
          <w:szCs w:val="28"/>
        </w:rPr>
        <w:t xml:space="preserve"> changes with each generation, altering the glycoproteins (HA and NA) and rendering previously matured Antibodies, mostly IgGs, ineffective</w:t>
      </w:r>
      <w:r w:rsidRPr="00064BB2">
        <w:rPr>
          <w:rFonts w:ascii="Times New Roman" w:hAnsi="Times New Roman" w:cs="Times New Roman"/>
          <w:sz w:val="28"/>
          <w:szCs w:val="28"/>
        </w:rPr>
        <w:t xml:space="preserve">. Each year, the influenza virus </w:t>
      </w:r>
      <w:r w:rsidR="005B799D" w:rsidRPr="00064BB2">
        <w:rPr>
          <w:rFonts w:ascii="Times New Roman" w:hAnsi="Times New Roman" w:cs="Times New Roman"/>
          <w:sz w:val="28"/>
          <w:szCs w:val="28"/>
        </w:rPr>
        <w:t>undergoes mutations, which ensure genetic variability within its viral RNA or genome</w:t>
      </w:r>
      <w:r w:rsidRPr="00064BB2">
        <w:rPr>
          <w:rFonts w:ascii="Times New Roman" w:hAnsi="Times New Roman" w:cs="Times New Roman"/>
          <w:sz w:val="28"/>
          <w:szCs w:val="28"/>
        </w:rPr>
        <w:t xml:space="preserve">. This process </w:t>
      </w:r>
      <w:r w:rsidR="005B799D" w:rsidRPr="00064BB2">
        <w:rPr>
          <w:rFonts w:ascii="Times New Roman" w:hAnsi="Times New Roman" w:cs="Times New Roman"/>
          <w:sz w:val="28"/>
          <w:szCs w:val="28"/>
        </w:rPr>
        <w:t xml:space="preserve">occurs gradually, </w:t>
      </w:r>
      <w:r w:rsidR="00DB1B0D">
        <w:rPr>
          <w:rFonts w:ascii="Times New Roman" w:hAnsi="Times New Roman" w:cs="Times New Roman"/>
          <w:sz w:val="28"/>
          <w:szCs w:val="28"/>
        </w:rPr>
        <w:t>altering the glycoproteins on the viral surface and leading to</w:t>
      </w:r>
      <w:r w:rsidR="005B799D" w:rsidRPr="00064BB2">
        <w:rPr>
          <w:rFonts w:ascii="Times New Roman" w:hAnsi="Times New Roman" w:cs="Times New Roman"/>
          <w:sz w:val="28"/>
          <w:szCs w:val="28"/>
        </w:rPr>
        <w:t xml:space="preserve"> a gradual antigenic shift within the influenza genome</w:t>
      </w:r>
      <w:r w:rsidR="00B4512D" w:rsidRPr="00064BB2">
        <w:rPr>
          <w:rFonts w:ascii="Times New Roman" w:hAnsi="Times New Roman" w:cs="Times New Roman"/>
          <w:sz w:val="28"/>
          <w:szCs w:val="28"/>
        </w:rPr>
        <w:t>—a phenomenon known as step-ahead mutations in antigen-antibody interactions [58, 59]</w:t>
      </w:r>
      <w:r w:rsidRPr="00064BB2">
        <w:rPr>
          <w:rFonts w:ascii="Times New Roman" w:hAnsi="Times New Roman" w:cs="Times New Roman"/>
          <w:sz w:val="28"/>
          <w:szCs w:val="28"/>
        </w:rPr>
        <w:t>.</w:t>
      </w:r>
      <w:r w:rsidR="00B4512D" w:rsidRPr="00064BB2">
        <w:rPr>
          <w:rFonts w:ascii="Times New Roman" w:hAnsi="Times New Roman" w:cs="Times New Roman"/>
          <w:sz w:val="28"/>
          <w:szCs w:val="28"/>
        </w:rPr>
        <w:t xml:space="preserve"> </w:t>
      </w:r>
    </w:p>
    <w:p w14:paraId="6FC93C10" w14:textId="6AEF6588" w:rsidR="00200186" w:rsidRPr="00064BB2" w:rsidRDefault="00853685" w:rsidP="00064BB2">
      <w:pPr>
        <w:spacing w:after="0" w:line="240" w:lineRule="auto"/>
        <w:ind w:firstLine="709"/>
        <w:jc w:val="both"/>
        <w:rPr>
          <w:rFonts w:ascii="Times New Roman" w:hAnsi="Times New Roman" w:cs="Times New Roman"/>
          <w:sz w:val="28"/>
          <w:szCs w:val="28"/>
        </w:rPr>
      </w:pPr>
      <w:r w:rsidRPr="00064BB2">
        <w:rPr>
          <w:rFonts w:ascii="Times New Roman" w:hAnsi="Times New Roman" w:cs="Times New Roman"/>
          <w:sz w:val="28"/>
          <w:szCs w:val="28"/>
        </w:rPr>
        <w:t xml:space="preserve">Nevertheless, these changes are </w:t>
      </w:r>
      <w:r w:rsidR="005B799D" w:rsidRPr="00064BB2">
        <w:rPr>
          <w:rFonts w:ascii="Times New Roman" w:hAnsi="Times New Roman" w:cs="Times New Roman"/>
          <w:sz w:val="28"/>
          <w:szCs w:val="28"/>
        </w:rPr>
        <w:t xml:space="preserve">primarily seasonal effects that </w:t>
      </w:r>
      <w:r w:rsidR="00DB1B0D">
        <w:rPr>
          <w:rFonts w:ascii="Times New Roman" w:hAnsi="Times New Roman" w:cs="Times New Roman"/>
          <w:sz w:val="28"/>
          <w:szCs w:val="28"/>
        </w:rPr>
        <w:t xml:space="preserve">depend on weakened population immunity, and only relatively minor </w:t>
      </w:r>
      <w:r w:rsidR="005B799D" w:rsidRPr="00064BB2">
        <w:rPr>
          <w:rFonts w:ascii="Times New Roman" w:hAnsi="Times New Roman" w:cs="Times New Roman"/>
          <w:sz w:val="28"/>
          <w:szCs w:val="28"/>
        </w:rPr>
        <w:t xml:space="preserve">alterations in glycoproteins are required to infect or </w:t>
      </w:r>
      <w:r w:rsidRPr="00064BB2">
        <w:rPr>
          <w:rFonts w:ascii="Times New Roman" w:hAnsi="Times New Roman" w:cs="Times New Roman"/>
          <w:sz w:val="28"/>
          <w:szCs w:val="28"/>
        </w:rPr>
        <w:t xml:space="preserve">reinfect the target host cell. The more deadly changes </w:t>
      </w:r>
      <w:r w:rsidR="00DB1B0D">
        <w:rPr>
          <w:rFonts w:ascii="Times New Roman" w:hAnsi="Times New Roman" w:cs="Times New Roman"/>
          <w:sz w:val="28"/>
          <w:szCs w:val="28"/>
        </w:rPr>
        <w:t xml:space="preserve">occur when </w:t>
      </w:r>
      <w:r w:rsidR="0060084A">
        <w:rPr>
          <w:rFonts w:ascii="Times New Roman" w:hAnsi="Times New Roman" w:cs="Times New Roman"/>
          <w:sz w:val="28"/>
          <w:szCs w:val="28"/>
        </w:rPr>
        <w:t xml:space="preserve">an </w:t>
      </w:r>
      <w:r w:rsidR="00004144">
        <w:rPr>
          <w:rFonts w:ascii="Times New Roman" w:hAnsi="Times New Roman" w:cs="Times New Roman"/>
          <w:sz w:val="28"/>
          <w:szCs w:val="28"/>
        </w:rPr>
        <w:t>interspecific</w:t>
      </w:r>
      <w:r w:rsidR="00DB1B0D">
        <w:rPr>
          <w:rFonts w:ascii="Times New Roman" w:hAnsi="Times New Roman" w:cs="Times New Roman"/>
          <w:sz w:val="28"/>
          <w:szCs w:val="28"/>
        </w:rPr>
        <w:t xml:space="preserve"> sustained antigenic shift occurs</w:t>
      </w:r>
      <w:r w:rsidRPr="00064BB2">
        <w:rPr>
          <w:rFonts w:ascii="Times New Roman" w:hAnsi="Times New Roman" w:cs="Times New Roman"/>
          <w:sz w:val="28"/>
          <w:szCs w:val="28"/>
        </w:rPr>
        <w:t xml:space="preserve">. Viruses are highly selective invaders; some attach birds’ lung cells only and ignore human lung cells; however, if a bird population is located among other species like mammals and birds- the virus adapts to, for instance, the pigs’ lungs and is capable of invading humans thanks to surface proteins matching or rather multiple matching properties of two glycoproteins (HA and NA).  The hybrid set of surface proteins of the avian influenza virus, capable of penetrating both target cells of birds and target cells of pigs, poses a much more severe threat to humans than the "native" influenza virus because of antigenic drift that gets all complete changes or mutation variations of keys (HA and NA) at ones without gradual adaptation period, resulting a rapid and an unhindered spreading of new influenza virus in the host cells experiencing only innate and an unspecified immunity reaction that can lead to severe damage or life-threatening conditions, such as ‘cytokinetic shock’ or overwhelming uncontrolled viral load that also could cause ‘septic shock’ within few days after the incubation period. </w:t>
      </w:r>
    </w:p>
    <w:p w14:paraId="70D20893" w14:textId="012B141B" w:rsidR="00226539" w:rsidRPr="00064BB2" w:rsidRDefault="00200186" w:rsidP="00064BB2">
      <w:pPr>
        <w:spacing w:after="0" w:line="240" w:lineRule="auto"/>
        <w:ind w:firstLine="709"/>
        <w:jc w:val="both"/>
        <w:rPr>
          <w:rFonts w:ascii="Times New Roman" w:hAnsi="Times New Roman" w:cs="Times New Roman"/>
          <w:sz w:val="28"/>
          <w:szCs w:val="28"/>
        </w:rPr>
      </w:pPr>
      <w:r w:rsidRPr="00064BB2">
        <w:rPr>
          <w:rFonts w:ascii="Times New Roman" w:hAnsi="Times New Roman" w:cs="Times New Roman"/>
          <w:sz w:val="28"/>
          <w:szCs w:val="28"/>
        </w:rPr>
        <w:t>In addition</w:t>
      </w:r>
      <w:r w:rsidR="00853685" w:rsidRPr="00064BB2">
        <w:rPr>
          <w:rFonts w:ascii="Times New Roman" w:hAnsi="Times New Roman" w:cs="Times New Roman"/>
          <w:sz w:val="28"/>
          <w:szCs w:val="28"/>
        </w:rPr>
        <w:t xml:space="preserve">, most infected patients died from secondary bacterial infections. The deadliest registered pandemic was caused by this virus in 1918, killing over 400.000 people worldwide. Since antibiotics were not </w:t>
      </w:r>
      <w:r w:rsidR="00661541" w:rsidRPr="00064BB2">
        <w:rPr>
          <w:rFonts w:ascii="Times New Roman" w:hAnsi="Times New Roman" w:cs="Times New Roman"/>
          <w:sz w:val="28"/>
          <w:szCs w:val="28"/>
        </w:rPr>
        <w:t xml:space="preserve">yet invented, most patients died from secondary bacterial infections that spread when the Influenza virus </w:t>
      </w:r>
      <w:r w:rsidR="00853685" w:rsidRPr="00064BB2">
        <w:rPr>
          <w:rFonts w:ascii="Times New Roman" w:hAnsi="Times New Roman" w:cs="Times New Roman"/>
          <w:sz w:val="28"/>
          <w:szCs w:val="28"/>
        </w:rPr>
        <w:t xml:space="preserve">weakened the </w:t>
      </w:r>
      <w:r w:rsidR="00853685" w:rsidRPr="00064BB2">
        <w:rPr>
          <w:rFonts w:ascii="Times New Roman" w:hAnsi="Times New Roman" w:cs="Times New Roman"/>
          <w:sz w:val="28"/>
          <w:szCs w:val="28"/>
        </w:rPr>
        <w:lastRenderedPageBreak/>
        <w:t>innate immune system [64-66].   It is also known that Coronaviruses came into contact with humans</w:t>
      </w:r>
      <w:r w:rsidR="00661541" w:rsidRPr="00064BB2">
        <w:rPr>
          <w:rFonts w:ascii="Times New Roman" w:hAnsi="Times New Roman" w:cs="Times New Roman"/>
          <w:sz w:val="28"/>
          <w:szCs w:val="28"/>
        </w:rPr>
        <w:t xml:space="preserve">, </w:t>
      </w:r>
      <w:r w:rsidR="00DB1B0D">
        <w:rPr>
          <w:rFonts w:ascii="Times New Roman" w:hAnsi="Times New Roman" w:cs="Times New Roman"/>
          <w:sz w:val="28"/>
          <w:szCs w:val="28"/>
        </w:rPr>
        <w:t>as with influenza, through wild birds; however, SARS-CoV-2 originated in</w:t>
      </w:r>
      <w:r w:rsidR="00661541" w:rsidRPr="00064BB2">
        <w:rPr>
          <w:rFonts w:ascii="Times New Roman" w:hAnsi="Times New Roman" w:cs="Times New Roman"/>
          <w:sz w:val="28"/>
          <w:szCs w:val="28"/>
        </w:rPr>
        <w:t xml:space="preserve"> wild bats, which </w:t>
      </w:r>
      <w:r w:rsidR="007B204D" w:rsidRPr="00064BB2">
        <w:rPr>
          <w:rFonts w:ascii="Times New Roman" w:hAnsi="Times New Roman" w:cs="Times New Roman"/>
          <w:sz w:val="28"/>
          <w:szCs w:val="28"/>
        </w:rPr>
        <w:t>likely underwent antigenic shift</w:t>
      </w:r>
      <w:r w:rsidR="00661541" w:rsidRPr="00064BB2">
        <w:rPr>
          <w:rFonts w:ascii="Times New Roman" w:hAnsi="Times New Roman" w:cs="Times New Roman"/>
          <w:sz w:val="28"/>
          <w:szCs w:val="28"/>
        </w:rPr>
        <w:t xml:space="preserve"> interactions</w:t>
      </w:r>
      <w:r w:rsidR="00853685" w:rsidRPr="00064BB2">
        <w:rPr>
          <w:rFonts w:ascii="Times New Roman" w:hAnsi="Times New Roman" w:cs="Times New Roman"/>
          <w:sz w:val="28"/>
          <w:szCs w:val="28"/>
        </w:rPr>
        <w:t xml:space="preserve"> with the human immune system. To </w:t>
      </w:r>
      <w:r w:rsidR="00D10872" w:rsidRPr="00064BB2">
        <w:rPr>
          <w:rFonts w:ascii="Times New Roman" w:hAnsi="Times New Roman" w:cs="Times New Roman"/>
          <w:sz w:val="28"/>
          <w:szCs w:val="28"/>
        </w:rPr>
        <w:t>summarise</w:t>
      </w:r>
      <w:r w:rsidR="007B204D" w:rsidRPr="00064BB2">
        <w:rPr>
          <w:rFonts w:ascii="Times New Roman" w:hAnsi="Times New Roman" w:cs="Times New Roman"/>
          <w:sz w:val="28"/>
          <w:szCs w:val="28"/>
        </w:rPr>
        <w:t xml:space="preserve">, influenza viruses rely heavily </w:t>
      </w:r>
      <w:r w:rsidR="00661541" w:rsidRPr="00064BB2">
        <w:rPr>
          <w:rFonts w:ascii="Times New Roman" w:hAnsi="Times New Roman" w:cs="Times New Roman"/>
          <w:sz w:val="28"/>
          <w:szCs w:val="28"/>
        </w:rPr>
        <w:t>on two glycosylated membrane proteins, just as SARS-CoV-2</w:t>
      </w:r>
      <w:r w:rsidR="00853685" w:rsidRPr="00064BB2">
        <w:rPr>
          <w:rFonts w:ascii="Times New Roman" w:hAnsi="Times New Roman" w:cs="Times New Roman"/>
          <w:sz w:val="28"/>
          <w:szCs w:val="28"/>
        </w:rPr>
        <w:t xml:space="preserve"> does.  </w:t>
      </w:r>
    </w:p>
    <w:p w14:paraId="635CBB3D" w14:textId="110B6B1B" w:rsidR="00200186" w:rsidRPr="00064BB2" w:rsidRDefault="00853685" w:rsidP="00064BB2">
      <w:pPr>
        <w:spacing w:after="0" w:line="240" w:lineRule="auto"/>
        <w:ind w:firstLine="709"/>
        <w:jc w:val="both"/>
        <w:rPr>
          <w:rFonts w:ascii="Times New Roman" w:hAnsi="Times New Roman" w:cs="Times New Roman"/>
          <w:sz w:val="28"/>
          <w:szCs w:val="28"/>
        </w:rPr>
      </w:pPr>
      <w:r w:rsidRPr="00064BB2">
        <w:rPr>
          <w:rFonts w:ascii="Times New Roman" w:hAnsi="Times New Roman" w:cs="Times New Roman"/>
          <w:sz w:val="28"/>
          <w:szCs w:val="28"/>
        </w:rPr>
        <w:t xml:space="preserve">The COVID-19 outbreak </w:t>
      </w:r>
      <w:r w:rsidR="00D10872" w:rsidRPr="00064BB2">
        <w:rPr>
          <w:rFonts w:ascii="Times New Roman" w:hAnsi="Times New Roman" w:cs="Times New Roman"/>
          <w:sz w:val="28"/>
          <w:szCs w:val="28"/>
        </w:rPr>
        <w:t>revitalised</w:t>
      </w:r>
      <w:r w:rsidRPr="00064BB2">
        <w:rPr>
          <w:rFonts w:ascii="Times New Roman" w:hAnsi="Times New Roman" w:cs="Times New Roman"/>
          <w:sz w:val="28"/>
          <w:szCs w:val="28"/>
        </w:rPr>
        <w:t xml:space="preserve"> </w:t>
      </w:r>
      <w:r w:rsidR="00661541" w:rsidRPr="00064BB2">
        <w:rPr>
          <w:rFonts w:ascii="Times New Roman" w:hAnsi="Times New Roman" w:cs="Times New Roman"/>
          <w:sz w:val="28"/>
          <w:szCs w:val="28"/>
        </w:rPr>
        <w:t xml:space="preserve">research </w:t>
      </w:r>
      <w:r w:rsidR="00DB1B0D">
        <w:rPr>
          <w:rFonts w:ascii="Times New Roman" w:hAnsi="Times New Roman" w:cs="Times New Roman"/>
          <w:sz w:val="28"/>
          <w:szCs w:val="28"/>
        </w:rPr>
        <w:t>into antiviral drugs</w:t>
      </w:r>
      <w:r w:rsidR="00661541" w:rsidRPr="00064BB2">
        <w:rPr>
          <w:rFonts w:ascii="Times New Roman" w:hAnsi="Times New Roman" w:cs="Times New Roman"/>
          <w:sz w:val="28"/>
          <w:szCs w:val="28"/>
        </w:rPr>
        <w:t xml:space="preserve"> and the treatment of seasonal viral infections, such as influenza A, B, and SARS </w:t>
      </w:r>
      <w:r w:rsidRPr="00064BB2">
        <w:rPr>
          <w:rFonts w:ascii="Times New Roman" w:hAnsi="Times New Roman" w:cs="Times New Roman"/>
          <w:sz w:val="28"/>
          <w:szCs w:val="28"/>
        </w:rPr>
        <w:t xml:space="preserve">(severe acute respiratory syndrome).  This is not </w:t>
      </w:r>
      <w:r w:rsidR="00661541" w:rsidRPr="00064BB2">
        <w:rPr>
          <w:rFonts w:ascii="Times New Roman" w:hAnsi="Times New Roman" w:cs="Times New Roman"/>
          <w:sz w:val="28"/>
          <w:szCs w:val="28"/>
        </w:rPr>
        <w:t>a single disease</w:t>
      </w:r>
      <w:r w:rsidR="00DB1B0D">
        <w:rPr>
          <w:rFonts w:ascii="Times New Roman" w:hAnsi="Times New Roman" w:cs="Times New Roman"/>
          <w:sz w:val="28"/>
          <w:szCs w:val="28"/>
        </w:rPr>
        <w:t xml:space="preserve"> but a group of diseases caused by different viruses that share</w:t>
      </w:r>
      <w:r w:rsidR="00317DE5" w:rsidRPr="00064BB2">
        <w:rPr>
          <w:rFonts w:ascii="Times New Roman" w:hAnsi="Times New Roman" w:cs="Times New Roman"/>
          <w:sz w:val="28"/>
          <w:szCs w:val="28"/>
        </w:rPr>
        <w:t xml:space="preserve"> </w:t>
      </w:r>
      <w:r w:rsidR="00661541" w:rsidRPr="00064BB2">
        <w:rPr>
          <w:rFonts w:ascii="Times New Roman" w:hAnsi="Times New Roman" w:cs="Times New Roman"/>
          <w:sz w:val="28"/>
          <w:szCs w:val="28"/>
        </w:rPr>
        <w:t>similar symptoms and courses</w:t>
      </w:r>
      <w:r w:rsidRPr="00064BB2">
        <w:rPr>
          <w:rFonts w:ascii="Times New Roman" w:hAnsi="Times New Roman" w:cs="Times New Roman"/>
          <w:sz w:val="28"/>
          <w:szCs w:val="28"/>
        </w:rPr>
        <w:t xml:space="preserve">. SARS is </w:t>
      </w:r>
      <w:r w:rsidR="00661541" w:rsidRPr="00064BB2">
        <w:rPr>
          <w:rFonts w:ascii="Times New Roman" w:hAnsi="Times New Roman" w:cs="Times New Roman"/>
          <w:sz w:val="28"/>
          <w:szCs w:val="28"/>
        </w:rPr>
        <w:t xml:space="preserve">often </w:t>
      </w:r>
      <w:r w:rsidR="00DB1B0D">
        <w:rPr>
          <w:rFonts w:ascii="Times New Roman" w:hAnsi="Times New Roman" w:cs="Times New Roman"/>
          <w:sz w:val="28"/>
          <w:szCs w:val="28"/>
        </w:rPr>
        <w:t>mistaken for</w:t>
      </w:r>
      <w:r w:rsidR="00661541" w:rsidRPr="00064BB2">
        <w:rPr>
          <w:rFonts w:ascii="Times New Roman" w:hAnsi="Times New Roman" w:cs="Times New Roman"/>
          <w:sz w:val="28"/>
          <w:szCs w:val="28"/>
        </w:rPr>
        <w:t xml:space="preserve"> a simple cold and is generally considered harmless</w:t>
      </w:r>
      <w:r w:rsidRPr="00064BB2">
        <w:rPr>
          <w:rFonts w:ascii="Times New Roman" w:hAnsi="Times New Roman" w:cs="Times New Roman"/>
          <w:sz w:val="28"/>
          <w:szCs w:val="28"/>
        </w:rPr>
        <w:t xml:space="preserve">, especially in adults. However, the virus can cause serious complications, so there is no need to self-medicate. The cause of SARS can be any virus from a large group that includes more than 200 pathogens. These </w:t>
      </w:r>
      <w:r w:rsidR="007B204D" w:rsidRPr="00064BB2">
        <w:rPr>
          <w:rFonts w:ascii="Times New Roman" w:hAnsi="Times New Roman" w:cs="Times New Roman"/>
          <w:sz w:val="28"/>
          <w:szCs w:val="28"/>
        </w:rPr>
        <w:t>include adenoviruses, rhinoviruses, coronaviruses (</w:t>
      </w:r>
      <w:r w:rsidRPr="00064BB2">
        <w:rPr>
          <w:rFonts w:ascii="Times New Roman" w:hAnsi="Times New Roman" w:cs="Times New Roman"/>
          <w:sz w:val="28"/>
          <w:szCs w:val="28"/>
        </w:rPr>
        <w:t xml:space="preserve">of varying degrees of danger), parainfluenza viruses, and other microorganisms. </w:t>
      </w:r>
      <w:r w:rsidR="00EC4533" w:rsidRPr="00064BB2">
        <w:rPr>
          <w:rFonts w:ascii="Times New Roman" w:hAnsi="Times New Roman" w:cs="Times New Roman"/>
          <w:sz w:val="28"/>
          <w:szCs w:val="28"/>
        </w:rPr>
        <w:t>Influenza’s</w:t>
      </w:r>
      <w:r w:rsidRPr="00064BB2">
        <w:rPr>
          <w:rFonts w:ascii="Times New Roman" w:hAnsi="Times New Roman" w:cs="Times New Roman"/>
          <w:sz w:val="28"/>
          <w:szCs w:val="28"/>
        </w:rPr>
        <w:t xml:space="preserve"> antivirals are the newest antiviral drugs and possess not only </w:t>
      </w:r>
      <w:r w:rsidR="00DB1B0D">
        <w:rPr>
          <w:rFonts w:ascii="Times New Roman" w:hAnsi="Times New Roman" w:cs="Times New Roman"/>
          <w:sz w:val="28"/>
          <w:szCs w:val="28"/>
        </w:rPr>
        <w:t>protease-inhibitory properties but also generally inhibit the viral replication machinery through direct RNA chain termination, with nucleotide substitutions that correlate</w:t>
      </w:r>
      <w:r w:rsidRPr="00064BB2">
        <w:rPr>
          <w:rFonts w:ascii="Times New Roman" w:hAnsi="Times New Roman" w:cs="Times New Roman"/>
          <w:sz w:val="28"/>
          <w:szCs w:val="28"/>
        </w:rPr>
        <w:t xml:space="preserve"> with drug concentration (CE) and drug cytotoxicity (CC), respectively. </w:t>
      </w:r>
      <w:r w:rsidR="00661541" w:rsidRPr="00064BB2">
        <w:rPr>
          <w:rFonts w:ascii="Times New Roman" w:hAnsi="Times New Roman" w:cs="Times New Roman"/>
          <w:sz w:val="28"/>
          <w:szCs w:val="28"/>
        </w:rPr>
        <w:t xml:space="preserve">Favipiravir, as Fabiflu tablets, </w:t>
      </w:r>
      <w:r w:rsidR="007B204D" w:rsidRPr="00064BB2">
        <w:rPr>
          <w:rFonts w:ascii="Times New Roman" w:hAnsi="Times New Roman" w:cs="Times New Roman"/>
          <w:sz w:val="28"/>
          <w:szCs w:val="28"/>
        </w:rPr>
        <w:t xml:space="preserve">enables scientists worldwide to gain insight into COVID-19 treatment, despite </w:t>
      </w:r>
    </w:p>
    <w:p w14:paraId="27156EB5" w14:textId="77777777" w:rsidR="00DB1B0D" w:rsidRPr="00B75453" w:rsidRDefault="007B204D" w:rsidP="00064BB2">
      <w:pPr>
        <w:spacing w:after="0" w:line="240" w:lineRule="auto"/>
        <w:ind w:firstLine="709"/>
        <w:jc w:val="both"/>
        <w:rPr>
          <w:rFonts w:ascii="Times New Roman" w:hAnsi="Times New Roman" w:cs="Times New Roman"/>
          <w:sz w:val="28"/>
          <w:szCs w:val="28"/>
          <w:lang w:val="en-US"/>
        </w:rPr>
      </w:pPr>
      <w:r w:rsidRPr="00064BB2">
        <w:rPr>
          <w:rFonts w:ascii="Times New Roman" w:hAnsi="Times New Roman" w:cs="Times New Roman"/>
          <w:sz w:val="28"/>
          <w:szCs w:val="28"/>
        </w:rPr>
        <w:t xml:space="preserve">Favipiravir (T-705) </w:t>
      </w:r>
      <w:r w:rsidR="00A40149" w:rsidRPr="00064BB2">
        <w:rPr>
          <w:rFonts w:ascii="Times New Roman" w:hAnsi="Times New Roman" w:cs="Times New Roman"/>
          <w:sz w:val="28"/>
          <w:szCs w:val="28"/>
        </w:rPr>
        <w:t>is</w:t>
      </w:r>
      <w:r w:rsidRPr="00064BB2">
        <w:rPr>
          <w:rFonts w:ascii="Times New Roman" w:hAnsi="Times New Roman" w:cs="Times New Roman"/>
          <w:sz w:val="28"/>
          <w:szCs w:val="28"/>
        </w:rPr>
        <w:t xml:space="preserve"> primarily designed in Japan to combat</w:t>
      </w:r>
      <w:r w:rsidR="00661541" w:rsidRPr="00064BB2">
        <w:rPr>
          <w:rFonts w:ascii="Times New Roman" w:hAnsi="Times New Roman" w:cs="Times New Roman"/>
          <w:sz w:val="28"/>
          <w:szCs w:val="28"/>
        </w:rPr>
        <w:t xml:space="preserve"> Influenza A and B viral </w:t>
      </w:r>
      <w:r w:rsidR="00317DE5" w:rsidRPr="00064BB2">
        <w:rPr>
          <w:rFonts w:ascii="Times New Roman" w:hAnsi="Times New Roman" w:cs="Times New Roman"/>
          <w:sz w:val="28"/>
          <w:szCs w:val="28"/>
        </w:rPr>
        <w:t>infections [</w:t>
      </w:r>
      <w:r w:rsidR="00A40149" w:rsidRPr="00064BB2">
        <w:rPr>
          <w:rFonts w:ascii="Times New Roman" w:hAnsi="Times New Roman" w:cs="Times New Roman"/>
          <w:sz w:val="28"/>
          <w:szCs w:val="28"/>
        </w:rPr>
        <w:t>49,</w:t>
      </w:r>
      <w:r w:rsidR="00317DE5" w:rsidRPr="00064BB2">
        <w:rPr>
          <w:rFonts w:ascii="Times New Roman" w:hAnsi="Times New Roman" w:cs="Times New Roman"/>
          <w:sz w:val="28"/>
          <w:szCs w:val="28"/>
        </w:rPr>
        <w:t>64]</w:t>
      </w:r>
      <w:r w:rsidR="00853685" w:rsidRPr="00064BB2">
        <w:rPr>
          <w:rFonts w:ascii="Times New Roman" w:hAnsi="Times New Roman" w:cs="Times New Roman"/>
          <w:sz w:val="28"/>
          <w:szCs w:val="28"/>
        </w:rPr>
        <w:t xml:space="preserve">. In addition, anti-flu drugs are </w:t>
      </w:r>
      <w:r w:rsidR="00661541" w:rsidRPr="00064BB2">
        <w:rPr>
          <w:rFonts w:ascii="Times New Roman" w:hAnsi="Times New Roman" w:cs="Times New Roman"/>
          <w:sz w:val="28"/>
          <w:szCs w:val="28"/>
        </w:rPr>
        <w:t>among the most recent developments in antiviral medicine production, research, and development, closely related to SARS-CoV-2</w:t>
      </w:r>
      <w:r w:rsidR="00853685" w:rsidRPr="00064BB2">
        <w:rPr>
          <w:rFonts w:ascii="Times New Roman" w:hAnsi="Times New Roman" w:cs="Times New Roman"/>
          <w:sz w:val="28"/>
          <w:szCs w:val="28"/>
        </w:rPr>
        <w:t xml:space="preserve"> infection.  Thus, it makes sense to </w:t>
      </w:r>
      <w:r w:rsidR="00661541" w:rsidRPr="00064BB2">
        <w:rPr>
          <w:rFonts w:ascii="Times New Roman" w:hAnsi="Times New Roman" w:cs="Times New Roman"/>
          <w:sz w:val="28"/>
          <w:szCs w:val="28"/>
        </w:rPr>
        <w:t>discuss so-called Influenza Antiviral</w:t>
      </w:r>
      <w:r w:rsidR="00853685" w:rsidRPr="00064BB2">
        <w:rPr>
          <w:rFonts w:ascii="Times New Roman" w:hAnsi="Times New Roman" w:cs="Times New Roman"/>
          <w:sz w:val="28"/>
          <w:szCs w:val="28"/>
        </w:rPr>
        <w:t xml:space="preserve"> drugs.  </w:t>
      </w:r>
      <w:r w:rsidR="00853685" w:rsidRPr="00064BB2">
        <w:rPr>
          <w:rFonts w:ascii="Times New Roman" w:hAnsi="Times New Roman" w:cs="Times New Roman"/>
          <w:i/>
          <w:iCs/>
          <w:sz w:val="28"/>
          <w:szCs w:val="28"/>
        </w:rPr>
        <w:t>M2-ion channel inhibitors</w:t>
      </w:r>
      <w:r w:rsidR="00661541" w:rsidRPr="00064BB2">
        <w:rPr>
          <w:rFonts w:ascii="Times New Roman" w:hAnsi="Times New Roman" w:cs="Times New Roman"/>
          <w:i/>
          <w:iCs/>
          <w:sz w:val="28"/>
          <w:szCs w:val="28"/>
        </w:rPr>
        <w:t xml:space="preserve"> block the M2 channel, thereby restricting the passage of protons (H+) </w:t>
      </w:r>
      <w:r w:rsidR="00DB1B0D">
        <w:rPr>
          <w:rFonts w:ascii="Times New Roman" w:hAnsi="Times New Roman" w:cs="Times New Roman"/>
          <w:i/>
          <w:iCs/>
          <w:sz w:val="28"/>
          <w:szCs w:val="28"/>
        </w:rPr>
        <w:t>required</w:t>
      </w:r>
      <w:r w:rsidR="00853685" w:rsidRPr="00064BB2">
        <w:rPr>
          <w:rFonts w:ascii="Times New Roman" w:hAnsi="Times New Roman" w:cs="Times New Roman"/>
          <w:sz w:val="28"/>
          <w:szCs w:val="28"/>
        </w:rPr>
        <w:t xml:space="preserve"> to trigger the release of viral genes (vRNA) into the host cell.  Amantadine and Rimantadine are also prescribed by doctors worldwide, even for people with COVID-19 manifestations</w:t>
      </w:r>
      <w:r w:rsidR="00853685" w:rsidRPr="00064BB2">
        <w:rPr>
          <w:rFonts w:ascii="Times New Roman" w:hAnsi="Times New Roman" w:cs="Times New Roman"/>
          <w:b/>
          <w:bCs/>
          <w:sz w:val="28"/>
          <w:szCs w:val="28"/>
        </w:rPr>
        <w:t xml:space="preserve"> [</w:t>
      </w:r>
      <w:r w:rsidR="00853685" w:rsidRPr="00064BB2">
        <w:rPr>
          <w:rFonts w:ascii="Times New Roman" w:hAnsi="Times New Roman" w:cs="Times New Roman"/>
          <w:sz w:val="28"/>
          <w:szCs w:val="28"/>
        </w:rPr>
        <w:t>6</w:t>
      </w:r>
      <w:r w:rsidR="00A40149" w:rsidRPr="00064BB2">
        <w:rPr>
          <w:rFonts w:ascii="Times New Roman" w:hAnsi="Times New Roman" w:cs="Times New Roman"/>
          <w:sz w:val="28"/>
          <w:szCs w:val="28"/>
        </w:rPr>
        <w:t>5</w:t>
      </w:r>
      <w:r w:rsidR="00853685" w:rsidRPr="00064BB2">
        <w:rPr>
          <w:rFonts w:ascii="Times New Roman" w:hAnsi="Times New Roman" w:cs="Times New Roman"/>
          <w:sz w:val="28"/>
          <w:szCs w:val="28"/>
        </w:rPr>
        <w:t>-73]</w:t>
      </w:r>
      <w:r w:rsidR="00853685" w:rsidRPr="00064BB2">
        <w:rPr>
          <w:rFonts w:ascii="Times New Roman" w:hAnsi="Times New Roman" w:cs="Times New Roman"/>
          <w:b/>
          <w:bCs/>
          <w:sz w:val="28"/>
          <w:szCs w:val="28"/>
        </w:rPr>
        <w:t xml:space="preserve">. </w:t>
      </w:r>
      <w:r w:rsidR="00853685" w:rsidRPr="00064BB2">
        <w:rPr>
          <w:rFonts w:ascii="Times New Roman" w:hAnsi="Times New Roman" w:cs="Times New Roman"/>
          <w:sz w:val="28"/>
          <w:szCs w:val="28"/>
        </w:rPr>
        <w:t xml:space="preserve">Another </w:t>
      </w:r>
      <w:r w:rsidR="00661541" w:rsidRPr="00064BB2">
        <w:rPr>
          <w:rFonts w:ascii="Times New Roman" w:hAnsi="Times New Roman" w:cs="Times New Roman"/>
          <w:sz w:val="28"/>
          <w:szCs w:val="28"/>
        </w:rPr>
        <w:t xml:space="preserve">class of anti-influenza drugs is </w:t>
      </w:r>
      <w:r w:rsidR="00853685" w:rsidRPr="00064BB2">
        <w:rPr>
          <w:rFonts w:ascii="Times New Roman" w:hAnsi="Times New Roman" w:cs="Times New Roman"/>
          <w:i/>
          <w:iCs/>
          <w:sz w:val="28"/>
          <w:szCs w:val="28"/>
        </w:rPr>
        <w:t>endonuclease inhibitors</w:t>
      </w:r>
      <w:r w:rsidR="00317DE5" w:rsidRPr="00064BB2">
        <w:rPr>
          <w:rFonts w:ascii="Times New Roman" w:hAnsi="Times New Roman" w:cs="Times New Roman"/>
          <w:i/>
          <w:iCs/>
          <w:sz w:val="28"/>
          <w:szCs w:val="28"/>
        </w:rPr>
        <w:t xml:space="preserve"> </w:t>
      </w:r>
      <w:r w:rsidR="00317DE5" w:rsidRPr="00064BB2">
        <w:rPr>
          <w:rFonts w:ascii="Times New Roman" w:hAnsi="Times New Roman" w:cs="Times New Roman"/>
          <w:sz w:val="28"/>
          <w:szCs w:val="28"/>
        </w:rPr>
        <w:t>[65]</w:t>
      </w:r>
      <w:r w:rsidR="00853685" w:rsidRPr="00064BB2">
        <w:rPr>
          <w:rFonts w:ascii="Times New Roman" w:hAnsi="Times New Roman" w:cs="Times New Roman"/>
          <w:sz w:val="28"/>
          <w:szCs w:val="28"/>
        </w:rPr>
        <w:t xml:space="preserve">. The best-known drug of this kind is Baloxavir, whose </w:t>
      </w:r>
      <w:r w:rsidR="00661541" w:rsidRPr="00064BB2">
        <w:rPr>
          <w:rFonts w:ascii="Times New Roman" w:hAnsi="Times New Roman" w:cs="Times New Roman"/>
          <w:sz w:val="28"/>
          <w:szCs w:val="28"/>
        </w:rPr>
        <w:t>primary purpose is to selectively inhibit the cap-dependent endonuclease, a highly significant</w:t>
      </w:r>
      <w:r w:rsidR="00853685" w:rsidRPr="00064BB2">
        <w:rPr>
          <w:rFonts w:ascii="Times New Roman" w:hAnsi="Times New Roman" w:cs="Times New Roman"/>
          <w:sz w:val="28"/>
          <w:szCs w:val="28"/>
        </w:rPr>
        <w:t xml:space="preserve"> enzyme involved in </w:t>
      </w:r>
      <w:r w:rsidR="00DB1B0D">
        <w:rPr>
          <w:rFonts w:ascii="Times New Roman" w:hAnsi="Times New Roman" w:cs="Times New Roman"/>
          <w:sz w:val="28"/>
          <w:szCs w:val="28"/>
        </w:rPr>
        <w:t>the initiation of</w:t>
      </w:r>
      <w:r w:rsidR="00853685" w:rsidRPr="00064BB2">
        <w:rPr>
          <w:rFonts w:ascii="Times New Roman" w:hAnsi="Times New Roman" w:cs="Times New Roman"/>
          <w:sz w:val="28"/>
          <w:szCs w:val="28"/>
        </w:rPr>
        <w:t xml:space="preserve"> influenza virus mRNA synthesis. The </w:t>
      </w:r>
      <w:r w:rsidR="00DB1B0D">
        <w:rPr>
          <w:rFonts w:ascii="Times New Roman" w:hAnsi="Times New Roman" w:cs="Times New Roman"/>
          <w:sz w:val="28"/>
          <w:szCs w:val="28"/>
        </w:rPr>
        <w:t>Baloxavir intervention prevents viral gene transcription and, therefore, viral replication in</w:t>
      </w:r>
      <w:r w:rsidR="00853685" w:rsidRPr="00064BB2">
        <w:rPr>
          <w:rFonts w:ascii="Times New Roman" w:hAnsi="Times New Roman" w:cs="Times New Roman"/>
          <w:sz w:val="28"/>
          <w:szCs w:val="28"/>
        </w:rPr>
        <w:t xml:space="preserve"> the host nucleus and cytoplasm.  </w:t>
      </w:r>
    </w:p>
    <w:p w14:paraId="7C465A1B" w14:textId="5E58F966" w:rsidR="00B66682" w:rsidRPr="00064BB2" w:rsidRDefault="00853685" w:rsidP="00064BB2">
      <w:pPr>
        <w:spacing w:after="0" w:line="240" w:lineRule="auto"/>
        <w:ind w:firstLine="709"/>
        <w:jc w:val="both"/>
        <w:rPr>
          <w:rFonts w:ascii="Times New Roman" w:hAnsi="Times New Roman" w:cs="Times New Roman"/>
          <w:sz w:val="28"/>
          <w:szCs w:val="28"/>
        </w:rPr>
      </w:pPr>
      <w:r w:rsidRPr="00064BB2">
        <w:rPr>
          <w:rFonts w:ascii="Times New Roman" w:hAnsi="Times New Roman" w:cs="Times New Roman"/>
          <w:sz w:val="28"/>
          <w:szCs w:val="28"/>
        </w:rPr>
        <w:t xml:space="preserve">As we can see, unlike </w:t>
      </w:r>
      <w:r w:rsidR="00A40149" w:rsidRPr="00064BB2">
        <w:rPr>
          <w:rFonts w:ascii="Times New Roman" w:hAnsi="Times New Roman" w:cs="Times New Roman"/>
          <w:sz w:val="28"/>
          <w:szCs w:val="28"/>
        </w:rPr>
        <w:t>SARS-CoV-2</w:t>
      </w:r>
      <w:r w:rsidR="00FF6D5B">
        <w:rPr>
          <w:rFonts w:ascii="Times New Roman" w:hAnsi="Times New Roman" w:cs="Times New Roman"/>
          <w:sz w:val="28"/>
          <w:szCs w:val="28"/>
        </w:rPr>
        <w:t>, influenza virus replication is strongly dependent on nuclear ribosomal</w:t>
      </w:r>
      <w:r w:rsidRPr="00064BB2">
        <w:rPr>
          <w:rFonts w:ascii="Times New Roman" w:hAnsi="Times New Roman" w:cs="Times New Roman"/>
          <w:sz w:val="28"/>
          <w:szCs w:val="28"/>
        </w:rPr>
        <w:t xml:space="preserve"> interactions. The last class of </w:t>
      </w:r>
      <w:r w:rsidR="008F6DFA" w:rsidRPr="00064BB2">
        <w:rPr>
          <w:rFonts w:ascii="Times New Roman" w:hAnsi="Times New Roman" w:cs="Times New Roman"/>
          <w:sz w:val="28"/>
          <w:szCs w:val="28"/>
        </w:rPr>
        <w:t>anti-influenza</w:t>
      </w:r>
      <w:r w:rsidRPr="00064BB2">
        <w:rPr>
          <w:rFonts w:ascii="Times New Roman" w:hAnsi="Times New Roman" w:cs="Times New Roman"/>
          <w:sz w:val="28"/>
          <w:szCs w:val="28"/>
        </w:rPr>
        <w:t xml:space="preserve"> drugs is </w:t>
      </w:r>
      <w:r w:rsidR="00661541" w:rsidRPr="00064BB2">
        <w:rPr>
          <w:rFonts w:ascii="Times New Roman" w:hAnsi="Times New Roman" w:cs="Times New Roman"/>
          <w:sz w:val="28"/>
          <w:szCs w:val="28"/>
        </w:rPr>
        <w:t xml:space="preserve">the </w:t>
      </w:r>
      <w:r w:rsidRPr="00064BB2">
        <w:rPr>
          <w:rFonts w:ascii="Times New Roman" w:hAnsi="Times New Roman" w:cs="Times New Roman"/>
          <w:i/>
          <w:iCs/>
          <w:sz w:val="28"/>
          <w:szCs w:val="28"/>
        </w:rPr>
        <w:t>neuraminidase inhibitors.</w:t>
      </w:r>
      <w:r w:rsidRPr="00064BB2">
        <w:rPr>
          <w:rFonts w:ascii="Times New Roman" w:hAnsi="Times New Roman" w:cs="Times New Roman"/>
          <w:sz w:val="28"/>
          <w:szCs w:val="28"/>
        </w:rPr>
        <w:t xml:space="preserve"> The active agents of this drug class </w:t>
      </w:r>
      <w:r w:rsidR="00DB1B0D">
        <w:rPr>
          <w:rFonts w:ascii="Times New Roman" w:hAnsi="Times New Roman" w:cs="Times New Roman"/>
          <w:sz w:val="28"/>
          <w:szCs w:val="28"/>
        </w:rPr>
        <w:t>inhibit the viral neuraminidase enzyme, which is located on the viral particle's surface</w:t>
      </w:r>
      <w:r w:rsidRPr="00064BB2">
        <w:rPr>
          <w:rFonts w:ascii="Times New Roman" w:hAnsi="Times New Roman" w:cs="Times New Roman"/>
          <w:i/>
          <w:iCs/>
          <w:sz w:val="28"/>
          <w:szCs w:val="28"/>
        </w:rPr>
        <w:t>. </w:t>
      </w:r>
      <w:r w:rsidRPr="00064BB2">
        <w:rPr>
          <w:rFonts w:ascii="Times New Roman" w:hAnsi="Times New Roman" w:cs="Times New Roman"/>
          <w:sz w:val="28"/>
          <w:szCs w:val="28"/>
        </w:rPr>
        <w:t xml:space="preserve">In the absence of intact neuraminidase, the virus loses its ability to cleave sialic acid and </w:t>
      </w:r>
      <w:r w:rsidR="008F6DFA" w:rsidRPr="00064BB2">
        <w:rPr>
          <w:rFonts w:ascii="Times New Roman" w:hAnsi="Times New Roman" w:cs="Times New Roman"/>
          <w:sz w:val="28"/>
          <w:szCs w:val="28"/>
        </w:rPr>
        <w:t xml:space="preserve">its </w:t>
      </w:r>
      <w:r w:rsidRPr="00064BB2">
        <w:rPr>
          <w:rFonts w:ascii="Times New Roman" w:hAnsi="Times New Roman" w:cs="Times New Roman"/>
          <w:sz w:val="28"/>
          <w:szCs w:val="28"/>
        </w:rPr>
        <w:t xml:space="preserve">ability to escape the cell.  Almost the same process has </w:t>
      </w:r>
      <w:r w:rsidR="008F6DFA" w:rsidRPr="00064BB2">
        <w:rPr>
          <w:rFonts w:ascii="Times New Roman" w:hAnsi="Times New Roman" w:cs="Times New Roman"/>
          <w:sz w:val="28"/>
          <w:szCs w:val="28"/>
        </w:rPr>
        <w:t>the SARS-CoV-2 virus</w:t>
      </w:r>
      <w:r w:rsidRPr="00064BB2">
        <w:rPr>
          <w:rFonts w:ascii="Times New Roman" w:hAnsi="Times New Roman" w:cs="Times New Roman"/>
          <w:sz w:val="28"/>
          <w:szCs w:val="28"/>
        </w:rPr>
        <w:t xml:space="preserve">, which heavily relies on </w:t>
      </w:r>
      <w:r w:rsidR="008F6DFA" w:rsidRPr="00064BB2">
        <w:rPr>
          <w:rFonts w:ascii="Times New Roman" w:hAnsi="Times New Roman" w:cs="Times New Roman"/>
          <w:sz w:val="28"/>
          <w:szCs w:val="28"/>
        </w:rPr>
        <w:t xml:space="preserve">the </w:t>
      </w:r>
      <w:r w:rsidRPr="00064BB2">
        <w:rPr>
          <w:rFonts w:ascii="Times New Roman" w:hAnsi="Times New Roman" w:cs="Times New Roman"/>
          <w:sz w:val="28"/>
          <w:szCs w:val="28"/>
        </w:rPr>
        <w:t xml:space="preserve">Spike-glycoprotein that also cleaves on </w:t>
      </w:r>
      <w:r w:rsidR="008F6DFA" w:rsidRPr="00064BB2">
        <w:rPr>
          <w:rFonts w:ascii="Times New Roman" w:hAnsi="Times New Roman" w:cs="Times New Roman"/>
          <w:sz w:val="28"/>
          <w:szCs w:val="28"/>
        </w:rPr>
        <w:t xml:space="preserve">the </w:t>
      </w:r>
      <w:r w:rsidRPr="00064BB2">
        <w:rPr>
          <w:rFonts w:ascii="Times New Roman" w:hAnsi="Times New Roman" w:cs="Times New Roman"/>
          <w:sz w:val="28"/>
          <w:szCs w:val="28"/>
        </w:rPr>
        <w:t xml:space="preserve">surface membrane, but to </w:t>
      </w:r>
      <w:r w:rsidR="008F6DFA" w:rsidRPr="00064BB2">
        <w:rPr>
          <w:rFonts w:ascii="Times New Roman" w:hAnsi="Times New Roman" w:cs="Times New Roman"/>
          <w:sz w:val="28"/>
          <w:szCs w:val="28"/>
        </w:rPr>
        <w:t xml:space="preserve">the </w:t>
      </w:r>
      <w:r w:rsidRPr="00064BB2">
        <w:rPr>
          <w:rFonts w:ascii="Times New Roman" w:hAnsi="Times New Roman" w:cs="Times New Roman"/>
          <w:sz w:val="28"/>
          <w:szCs w:val="28"/>
        </w:rPr>
        <w:t xml:space="preserve">ACE2-protein, to </w:t>
      </w:r>
      <w:r w:rsidR="008F6DFA" w:rsidRPr="00064BB2">
        <w:rPr>
          <w:rFonts w:ascii="Times New Roman" w:hAnsi="Times New Roman" w:cs="Times New Roman"/>
          <w:sz w:val="28"/>
          <w:szCs w:val="28"/>
        </w:rPr>
        <w:t>enter</w:t>
      </w:r>
      <w:r w:rsidRPr="00064BB2">
        <w:rPr>
          <w:rFonts w:ascii="Times New Roman" w:hAnsi="Times New Roman" w:cs="Times New Roman"/>
          <w:sz w:val="28"/>
          <w:szCs w:val="28"/>
        </w:rPr>
        <w:t xml:space="preserve"> the host cytoplasm and thanks to complicated </w:t>
      </w:r>
      <w:r w:rsidR="00A40149" w:rsidRPr="00064BB2">
        <w:rPr>
          <w:rFonts w:ascii="Times New Roman" w:hAnsi="Times New Roman" w:cs="Times New Roman"/>
          <w:sz w:val="28"/>
          <w:szCs w:val="28"/>
        </w:rPr>
        <w:t>NSP</w:t>
      </w:r>
      <w:r w:rsidRPr="00064BB2">
        <w:rPr>
          <w:rFonts w:ascii="Times New Roman" w:hAnsi="Times New Roman" w:cs="Times New Roman"/>
          <w:sz w:val="28"/>
          <w:szCs w:val="28"/>
        </w:rPr>
        <w:t xml:space="preserve"> interactions and forming DMVs (double membrane vesicle)</w:t>
      </w:r>
      <w:r w:rsidR="008F6DFA" w:rsidRPr="00064BB2">
        <w:rPr>
          <w:rFonts w:ascii="Times New Roman" w:hAnsi="Times New Roman" w:cs="Times New Roman"/>
          <w:sz w:val="28"/>
          <w:szCs w:val="28"/>
        </w:rPr>
        <w:t>,</w:t>
      </w:r>
      <w:r w:rsidRPr="00064BB2">
        <w:rPr>
          <w:rFonts w:ascii="Times New Roman" w:hAnsi="Times New Roman" w:cs="Times New Roman"/>
          <w:sz w:val="28"/>
          <w:szCs w:val="28"/>
        </w:rPr>
        <w:t xml:space="preserve"> a safe place to assemble the viral components like newly </w:t>
      </w:r>
      <w:r w:rsidR="008F6DFA" w:rsidRPr="00064BB2">
        <w:rPr>
          <w:rFonts w:ascii="Times New Roman" w:hAnsi="Times New Roman" w:cs="Times New Roman"/>
          <w:sz w:val="28"/>
          <w:szCs w:val="28"/>
        </w:rPr>
        <w:t>synthesised</w:t>
      </w:r>
      <w:r w:rsidRPr="00064BB2">
        <w:rPr>
          <w:rFonts w:ascii="Times New Roman" w:hAnsi="Times New Roman" w:cs="Times New Roman"/>
          <w:sz w:val="28"/>
          <w:szCs w:val="28"/>
        </w:rPr>
        <w:t xml:space="preserve"> genome packed with nucleocapsid protein viral RNA.  Thus, unlike the Influenza virus, the </w:t>
      </w:r>
      <w:r w:rsidR="00317DE5" w:rsidRPr="00064BB2">
        <w:rPr>
          <w:rFonts w:ascii="Times New Roman" w:hAnsi="Times New Roman" w:cs="Times New Roman"/>
          <w:sz w:val="28"/>
          <w:szCs w:val="28"/>
        </w:rPr>
        <w:t xml:space="preserve">SARS-CoV-2 virus can quickly </w:t>
      </w:r>
      <w:r w:rsidR="00DB1B0D">
        <w:rPr>
          <w:rFonts w:ascii="Times New Roman" w:hAnsi="Times New Roman" w:cs="Times New Roman"/>
          <w:sz w:val="28"/>
          <w:szCs w:val="28"/>
        </w:rPr>
        <w:t xml:space="preserve">exit a host </w:t>
      </w:r>
      <w:r w:rsidR="00DB1B0D">
        <w:rPr>
          <w:rFonts w:ascii="Times New Roman" w:hAnsi="Times New Roman" w:cs="Times New Roman"/>
          <w:sz w:val="28"/>
          <w:szCs w:val="28"/>
        </w:rPr>
        <w:lastRenderedPageBreak/>
        <w:t xml:space="preserve">cell as a ‘safe’ embedded vesicle, carrying all the necessary components to initiate </w:t>
      </w:r>
      <w:r w:rsidRPr="00064BB2">
        <w:rPr>
          <w:rFonts w:ascii="Times New Roman" w:hAnsi="Times New Roman" w:cs="Times New Roman"/>
          <w:sz w:val="28"/>
          <w:szCs w:val="28"/>
        </w:rPr>
        <w:t>viral infection.   </w:t>
      </w:r>
    </w:p>
    <w:p w14:paraId="79455A3F" w14:textId="461E2D3F" w:rsidR="00B15A42" w:rsidRPr="00064BB2" w:rsidRDefault="00853685" w:rsidP="00064BB2">
      <w:pPr>
        <w:spacing w:after="0" w:line="240" w:lineRule="auto"/>
        <w:ind w:firstLine="709"/>
        <w:jc w:val="both"/>
        <w:rPr>
          <w:rFonts w:ascii="Times New Roman" w:hAnsi="Times New Roman" w:cs="Times New Roman"/>
          <w:sz w:val="28"/>
          <w:szCs w:val="28"/>
        </w:rPr>
      </w:pPr>
      <w:r w:rsidRPr="00064BB2">
        <w:rPr>
          <w:rFonts w:ascii="Times New Roman" w:hAnsi="Times New Roman" w:cs="Times New Roman"/>
          <w:sz w:val="28"/>
          <w:szCs w:val="28"/>
        </w:rPr>
        <w:t xml:space="preserve">The drugs </w:t>
      </w:r>
      <w:r w:rsidR="00DB1B0D">
        <w:rPr>
          <w:rFonts w:ascii="Times New Roman" w:hAnsi="Times New Roman" w:cs="Times New Roman"/>
          <w:sz w:val="28"/>
          <w:szCs w:val="28"/>
        </w:rPr>
        <w:t>in</w:t>
      </w:r>
      <w:r w:rsidRPr="00064BB2">
        <w:rPr>
          <w:rFonts w:ascii="Times New Roman" w:hAnsi="Times New Roman" w:cs="Times New Roman"/>
          <w:sz w:val="28"/>
          <w:szCs w:val="28"/>
        </w:rPr>
        <w:t> </w:t>
      </w:r>
      <w:r w:rsidR="00317DE5" w:rsidRPr="00064BB2">
        <w:rPr>
          <w:rFonts w:ascii="Times New Roman" w:hAnsi="Times New Roman" w:cs="Times New Roman"/>
          <w:i/>
          <w:iCs/>
          <w:sz w:val="28"/>
          <w:szCs w:val="28"/>
        </w:rPr>
        <w:t xml:space="preserve">the neuraminidase inhibitor class are </w:t>
      </w:r>
      <w:r w:rsidRPr="00064BB2">
        <w:rPr>
          <w:rFonts w:ascii="Times New Roman" w:hAnsi="Times New Roman" w:cs="Times New Roman"/>
          <w:sz w:val="28"/>
          <w:szCs w:val="28"/>
        </w:rPr>
        <w:t xml:space="preserve">Oseltamivir, Peramivir, and Zanamivir.  To sum up, the Anti-Influenza drugs have three </w:t>
      </w:r>
      <w:r w:rsidR="00B66682" w:rsidRPr="00064BB2">
        <w:rPr>
          <w:rFonts w:ascii="Times New Roman" w:hAnsi="Times New Roman" w:cs="Times New Roman"/>
          <w:sz w:val="28"/>
          <w:szCs w:val="28"/>
        </w:rPr>
        <w:t>courses</w:t>
      </w:r>
      <w:r w:rsidRPr="00064BB2">
        <w:rPr>
          <w:rFonts w:ascii="Times New Roman" w:hAnsi="Times New Roman" w:cs="Times New Roman"/>
          <w:sz w:val="28"/>
          <w:szCs w:val="28"/>
        </w:rPr>
        <w:t xml:space="preserve"> of antiviral activity:  a) M2-ion channel inhibitors,</w:t>
      </w:r>
      <w:r w:rsidRPr="00064BB2">
        <w:rPr>
          <w:rFonts w:ascii="Times New Roman" w:hAnsi="Times New Roman" w:cs="Times New Roman"/>
          <w:i/>
          <w:iCs/>
          <w:sz w:val="28"/>
          <w:szCs w:val="28"/>
        </w:rPr>
        <w:t xml:space="preserve"> </w:t>
      </w:r>
      <w:r w:rsidRPr="00064BB2">
        <w:rPr>
          <w:rFonts w:ascii="Times New Roman" w:hAnsi="Times New Roman" w:cs="Times New Roman"/>
          <w:sz w:val="28"/>
          <w:szCs w:val="28"/>
        </w:rPr>
        <w:t>b) endonuclease inhibitors, and c) neuraminidase inhibitors.</w:t>
      </w:r>
      <w:r w:rsidR="00085E8E" w:rsidRPr="00064BB2">
        <w:rPr>
          <w:rFonts w:ascii="Times New Roman" w:hAnsi="Times New Roman" w:cs="Times New Roman"/>
          <w:sz w:val="28"/>
          <w:szCs w:val="28"/>
        </w:rPr>
        <w:t xml:space="preserve"> </w:t>
      </w:r>
      <w:r w:rsidRPr="00064BB2">
        <w:rPr>
          <w:rFonts w:ascii="Times New Roman" w:hAnsi="Times New Roman" w:cs="Times New Roman"/>
          <w:sz w:val="28"/>
          <w:szCs w:val="28"/>
        </w:rPr>
        <w:t>The antiviral drugs</w:t>
      </w:r>
      <w:r w:rsidR="0046110C" w:rsidRPr="00064BB2">
        <w:rPr>
          <w:rFonts w:ascii="Times New Roman" w:hAnsi="Times New Roman" w:cs="Times New Roman"/>
          <w:sz w:val="28"/>
          <w:szCs w:val="28"/>
        </w:rPr>
        <w:t xml:space="preserve"> amantadine and rimantadine are M2-ion channel inhibitors; however, new strains of seasonal Influenza A virus have </w:t>
      </w:r>
      <w:r w:rsidR="00DB1B0D">
        <w:rPr>
          <w:rFonts w:ascii="Times New Roman" w:hAnsi="Times New Roman" w:cs="Times New Roman"/>
          <w:sz w:val="28"/>
          <w:szCs w:val="28"/>
        </w:rPr>
        <w:t>begun to develop resistance to</w:t>
      </w:r>
      <w:r w:rsidR="0046110C" w:rsidRPr="00064BB2">
        <w:rPr>
          <w:rFonts w:ascii="Times New Roman" w:hAnsi="Times New Roman" w:cs="Times New Roman"/>
          <w:sz w:val="28"/>
          <w:szCs w:val="28"/>
        </w:rPr>
        <w:t xml:space="preserve"> these widely used</w:t>
      </w:r>
      <w:r w:rsidRPr="00064BB2">
        <w:rPr>
          <w:rFonts w:ascii="Times New Roman" w:hAnsi="Times New Roman" w:cs="Times New Roman"/>
          <w:sz w:val="28"/>
          <w:szCs w:val="28"/>
        </w:rPr>
        <w:t xml:space="preserve"> antivirals [70-72].  </w:t>
      </w:r>
    </w:p>
    <w:p w14:paraId="6E7EBC96" w14:textId="53D39E87" w:rsidR="00D373E6" w:rsidRPr="00064BB2" w:rsidRDefault="00853685" w:rsidP="00064BB2">
      <w:pPr>
        <w:spacing w:after="0" w:line="240" w:lineRule="auto"/>
        <w:ind w:firstLine="709"/>
        <w:jc w:val="both"/>
        <w:rPr>
          <w:rFonts w:ascii="Times New Roman" w:hAnsi="Times New Roman" w:cs="Times New Roman"/>
          <w:sz w:val="28"/>
          <w:szCs w:val="28"/>
        </w:rPr>
      </w:pPr>
      <w:r w:rsidRPr="00064BB2">
        <w:rPr>
          <w:rFonts w:ascii="Times New Roman" w:hAnsi="Times New Roman" w:cs="Times New Roman"/>
          <w:sz w:val="28"/>
          <w:szCs w:val="28"/>
        </w:rPr>
        <w:t xml:space="preserve">Amantadine (adamantane-1-amine) is primarily designed to </w:t>
      </w:r>
      <w:r w:rsidR="0046110C" w:rsidRPr="00064BB2">
        <w:rPr>
          <w:rFonts w:ascii="Times New Roman" w:hAnsi="Times New Roman" w:cs="Times New Roman"/>
          <w:sz w:val="28"/>
          <w:szCs w:val="28"/>
        </w:rPr>
        <w:t xml:space="preserve">combat Influenza A virus infection due to its ability to interfere with the viral M2 protein, the ion pore channel, thereby hindering viral replication in </w:t>
      </w:r>
      <w:r w:rsidRPr="00064BB2">
        <w:rPr>
          <w:rFonts w:ascii="Times New Roman" w:hAnsi="Times New Roman" w:cs="Times New Roman"/>
          <w:sz w:val="28"/>
          <w:szCs w:val="28"/>
        </w:rPr>
        <w:t>both mRNA synthesis and vRNA [71-73]. Rimantadine (</w:t>
      </w:r>
      <w:r w:rsidR="0046110C" w:rsidRPr="00064BB2">
        <w:rPr>
          <w:rFonts w:ascii="Times New Roman" w:hAnsi="Times New Roman" w:cs="Times New Roman"/>
          <w:sz w:val="28"/>
          <w:szCs w:val="28"/>
        </w:rPr>
        <w:t>α–methyl–1–adamantane methylamine hydrochloride) is as effective as amantadine</w:t>
      </w:r>
      <w:r w:rsidR="004C6233">
        <w:rPr>
          <w:rFonts w:ascii="Times New Roman" w:hAnsi="Times New Roman" w:cs="Times New Roman"/>
          <w:sz w:val="28"/>
          <w:szCs w:val="28"/>
        </w:rPr>
        <w:t xml:space="preserve">, relatively safe, and </w:t>
      </w:r>
      <w:r w:rsidR="0046110C" w:rsidRPr="00064BB2">
        <w:rPr>
          <w:rFonts w:ascii="Times New Roman" w:hAnsi="Times New Roman" w:cs="Times New Roman"/>
          <w:sz w:val="28"/>
          <w:szCs w:val="28"/>
        </w:rPr>
        <w:t>an M2 inhibitor</w:t>
      </w:r>
      <w:r w:rsidR="00A110C2" w:rsidRPr="00064BB2">
        <w:rPr>
          <w:rFonts w:ascii="Times New Roman" w:hAnsi="Times New Roman" w:cs="Times New Roman"/>
          <w:sz w:val="28"/>
          <w:szCs w:val="28"/>
        </w:rPr>
        <w:t>. It was</w:t>
      </w:r>
      <w:r w:rsidR="0046110C" w:rsidRPr="00064BB2">
        <w:rPr>
          <w:rFonts w:ascii="Times New Roman" w:hAnsi="Times New Roman" w:cs="Times New Roman"/>
          <w:sz w:val="28"/>
          <w:szCs w:val="28"/>
        </w:rPr>
        <w:t xml:space="preserve"> primarily designed in the 1980s to combat the spread of</w:t>
      </w:r>
      <w:r w:rsidRPr="00064BB2">
        <w:rPr>
          <w:rFonts w:ascii="Times New Roman" w:hAnsi="Times New Roman" w:cs="Times New Roman"/>
          <w:sz w:val="28"/>
          <w:szCs w:val="28"/>
        </w:rPr>
        <w:t xml:space="preserve"> influenza A virus infection [70]. </w:t>
      </w:r>
      <w:r w:rsidR="0046110C" w:rsidRPr="00064BB2">
        <w:rPr>
          <w:rFonts w:ascii="Times New Roman" w:hAnsi="Times New Roman" w:cs="Times New Roman"/>
          <w:sz w:val="28"/>
          <w:szCs w:val="28"/>
        </w:rPr>
        <w:t>Figure 9</w:t>
      </w:r>
      <w:r w:rsidRPr="00064BB2">
        <w:rPr>
          <w:rFonts w:ascii="Times New Roman" w:hAnsi="Times New Roman" w:cs="Times New Roman"/>
          <w:sz w:val="28"/>
          <w:szCs w:val="28"/>
        </w:rPr>
        <w:t xml:space="preserve"> </w:t>
      </w:r>
      <w:r w:rsidR="0046110C" w:rsidRPr="00064BB2">
        <w:rPr>
          <w:rFonts w:ascii="Times New Roman" w:hAnsi="Times New Roman" w:cs="Times New Roman"/>
          <w:sz w:val="28"/>
          <w:szCs w:val="28"/>
        </w:rPr>
        <w:t xml:space="preserve">illustrates the entire interfering mechanism of the M2-ion channel on the </w:t>
      </w:r>
      <w:r w:rsidRPr="00064BB2">
        <w:rPr>
          <w:rFonts w:ascii="Times New Roman" w:hAnsi="Times New Roman" w:cs="Times New Roman"/>
          <w:sz w:val="28"/>
          <w:szCs w:val="28"/>
        </w:rPr>
        <w:t xml:space="preserve">viral membrane. </w:t>
      </w:r>
    </w:p>
    <w:p w14:paraId="7B802DB3" w14:textId="77777777" w:rsidR="00DB1B0D" w:rsidRPr="00B75453" w:rsidRDefault="00853685" w:rsidP="00064BB2">
      <w:pPr>
        <w:spacing w:after="0" w:line="240" w:lineRule="auto"/>
        <w:ind w:firstLine="709"/>
        <w:jc w:val="both"/>
        <w:rPr>
          <w:rFonts w:ascii="Times New Roman" w:hAnsi="Times New Roman" w:cs="Times New Roman"/>
          <w:sz w:val="28"/>
          <w:szCs w:val="28"/>
          <w:lang w:val="en-US"/>
        </w:rPr>
      </w:pPr>
      <w:r w:rsidRPr="00064BB2">
        <w:rPr>
          <w:rFonts w:ascii="Times New Roman" w:hAnsi="Times New Roman" w:cs="Times New Roman"/>
          <w:sz w:val="28"/>
          <w:szCs w:val="28"/>
        </w:rPr>
        <w:t xml:space="preserve"> In addition, amantadine has anti-inflammatory features that are already being used against virus infections like Hepatitis C in a combination of Ribavirin and </w:t>
      </w:r>
      <w:r w:rsidR="004F6050" w:rsidRPr="00064BB2">
        <w:rPr>
          <w:rFonts w:ascii="Times New Roman" w:hAnsi="Times New Roman" w:cs="Times New Roman"/>
          <w:sz w:val="28"/>
          <w:szCs w:val="28"/>
        </w:rPr>
        <w:t>synthesised</w:t>
      </w:r>
      <w:r w:rsidRPr="00064BB2">
        <w:rPr>
          <w:rFonts w:ascii="Times New Roman" w:hAnsi="Times New Roman" w:cs="Times New Roman"/>
          <w:sz w:val="28"/>
          <w:szCs w:val="28"/>
        </w:rPr>
        <w:t xml:space="preserve"> interferon [74], even though </w:t>
      </w:r>
      <w:r w:rsidR="004F6050" w:rsidRPr="00064BB2">
        <w:rPr>
          <w:rFonts w:ascii="Times New Roman" w:hAnsi="Times New Roman" w:cs="Times New Roman"/>
          <w:sz w:val="28"/>
          <w:szCs w:val="28"/>
        </w:rPr>
        <w:t>seasonally</w:t>
      </w:r>
      <w:r w:rsidRPr="00064BB2">
        <w:rPr>
          <w:rFonts w:ascii="Times New Roman" w:hAnsi="Times New Roman" w:cs="Times New Roman"/>
          <w:sz w:val="28"/>
          <w:szCs w:val="28"/>
        </w:rPr>
        <w:t xml:space="preserve"> occurring Influenza A and B </w:t>
      </w:r>
      <w:r w:rsidR="004F6050" w:rsidRPr="00064BB2">
        <w:rPr>
          <w:rFonts w:ascii="Times New Roman" w:hAnsi="Times New Roman" w:cs="Times New Roman"/>
          <w:sz w:val="28"/>
          <w:szCs w:val="28"/>
        </w:rPr>
        <w:t>viruses</w:t>
      </w:r>
      <w:r w:rsidRPr="00064BB2">
        <w:rPr>
          <w:rFonts w:ascii="Times New Roman" w:hAnsi="Times New Roman" w:cs="Times New Roman"/>
          <w:sz w:val="28"/>
          <w:szCs w:val="28"/>
        </w:rPr>
        <w:t xml:space="preserve"> in western countries like </w:t>
      </w:r>
      <w:r w:rsidR="004F6050" w:rsidRPr="00064BB2">
        <w:rPr>
          <w:rFonts w:ascii="Times New Roman" w:hAnsi="Times New Roman" w:cs="Times New Roman"/>
          <w:sz w:val="28"/>
          <w:szCs w:val="28"/>
        </w:rPr>
        <w:t xml:space="preserve">the </w:t>
      </w:r>
      <w:r w:rsidRPr="00064BB2">
        <w:rPr>
          <w:rFonts w:ascii="Times New Roman" w:hAnsi="Times New Roman" w:cs="Times New Roman"/>
          <w:sz w:val="28"/>
          <w:szCs w:val="28"/>
        </w:rPr>
        <w:t xml:space="preserve">USA started to develop resistance towards M2-Protein inhibition, mainly, against amantadine as well as rimantadine [75]. In Kazakhstan </w:t>
      </w:r>
      <w:r w:rsidR="0046110C" w:rsidRPr="00064BB2">
        <w:rPr>
          <w:rFonts w:ascii="Times New Roman" w:hAnsi="Times New Roman" w:cs="Times New Roman"/>
          <w:sz w:val="28"/>
          <w:szCs w:val="28"/>
        </w:rPr>
        <w:t>and other post-Soviet countries, neither studies nor data are conducted or</w:t>
      </w:r>
      <w:r w:rsidRPr="00064BB2">
        <w:rPr>
          <w:rFonts w:ascii="Times New Roman" w:hAnsi="Times New Roman" w:cs="Times New Roman"/>
          <w:sz w:val="28"/>
          <w:szCs w:val="28"/>
        </w:rPr>
        <w:t xml:space="preserve"> collected on </w:t>
      </w:r>
      <w:r w:rsidR="00DB1B0D">
        <w:rPr>
          <w:rFonts w:ascii="Times New Roman" w:hAnsi="Times New Roman" w:cs="Times New Roman"/>
          <w:sz w:val="28"/>
          <w:szCs w:val="28"/>
        </w:rPr>
        <w:t>trends in viral</w:t>
      </w:r>
      <w:r w:rsidR="00A110C2" w:rsidRPr="00064BB2">
        <w:rPr>
          <w:rFonts w:ascii="Times New Roman" w:hAnsi="Times New Roman" w:cs="Times New Roman"/>
          <w:sz w:val="28"/>
          <w:szCs w:val="28"/>
        </w:rPr>
        <w:t xml:space="preserve"> resistance</w:t>
      </w:r>
      <w:r w:rsidRPr="00064BB2">
        <w:rPr>
          <w:rFonts w:ascii="Times New Roman" w:hAnsi="Times New Roman" w:cs="Times New Roman"/>
          <w:sz w:val="28"/>
          <w:szCs w:val="28"/>
        </w:rPr>
        <w:t xml:space="preserve">. Still, amantadine and rimantadine are </w:t>
      </w:r>
      <w:r w:rsidR="005860AD" w:rsidRPr="00064BB2">
        <w:rPr>
          <w:rFonts w:ascii="Times New Roman" w:hAnsi="Times New Roman" w:cs="Times New Roman"/>
          <w:sz w:val="28"/>
          <w:szCs w:val="28"/>
        </w:rPr>
        <w:t xml:space="preserve">inexpensive and effective antivirals against clinical manifestations of the flu </w:t>
      </w:r>
      <w:r w:rsidRPr="00064BB2">
        <w:rPr>
          <w:rFonts w:ascii="Times New Roman" w:hAnsi="Times New Roman" w:cs="Times New Roman"/>
          <w:sz w:val="28"/>
          <w:szCs w:val="28"/>
        </w:rPr>
        <w:t xml:space="preserve">(symptoms). They can also be used </w:t>
      </w:r>
      <w:r w:rsidR="00B15A42" w:rsidRPr="00064BB2">
        <w:rPr>
          <w:rFonts w:ascii="Times New Roman" w:hAnsi="Times New Roman" w:cs="Times New Roman"/>
          <w:sz w:val="28"/>
          <w:szCs w:val="28"/>
        </w:rPr>
        <w:t xml:space="preserve">in conjunction with </w:t>
      </w:r>
      <w:r w:rsidR="00503519">
        <w:rPr>
          <w:rFonts w:ascii="Times New Roman" w:hAnsi="Times New Roman" w:cs="Times New Roman"/>
          <w:sz w:val="28"/>
          <w:szCs w:val="28"/>
        </w:rPr>
        <w:t>practical</w:t>
      </w:r>
      <w:r w:rsidR="00B15A42" w:rsidRPr="00064BB2">
        <w:rPr>
          <w:rFonts w:ascii="Times New Roman" w:hAnsi="Times New Roman" w:cs="Times New Roman"/>
          <w:sz w:val="28"/>
          <w:szCs w:val="28"/>
        </w:rPr>
        <w:t xml:space="preserve"> and </w:t>
      </w:r>
      <w:r w:rsidR="00503519">
        <w:rPr>
          <w:rFonts w:ascii="Times New Roman" w:hAnsi="Times New Roman" w:cs="Times New Roman"/>
          <w:sz w:val="28"/>
          <w:szCs w:val="28"/>
        </w:rPr>
        <w:t>affordable</w:t>
      </w:r>
      <w:r w:rsidR="00B15A42" w:rsidRPr="00064BB2">
        <w:rPr>
          <w:rFonts w:ascii="Times New Roman" w:hAnsi="Times New Roman" w:cs="Times New Roman"/>
          <w:sz w:val="28"/>
          <w:szCs w:val="28"/>
        </w:rPr>
        <w:t xml:space="preserve"> medication strategies against other viral infections whose replication machinery relies</w:t>
      </w:r>
      <w:r w:rsidRPr="00064BB2">
        <w:rPr>
          <w:rFonts w:ascii="Times New Roman" w:hAnsi="Times New Roman" w:cs="Times New Roman"/>
          <w:sz w:val="28"/>
          <w:szCs w:val="28"/>
        </w:rPr>
        <w:t xml:space="preserve"> on acidification processes.  </w:t>
      </w:r>
      <w:r w:rsidR="00B15A42" w:rsidRPr="00064BB2">
        <w:rPr>
          <w:rFonts w:ascii="Times New Roman" w:hAnsi="Times New Roman" w:cs="Times New Roman"/>
          <w:sz w:val="28"/>
          <w:szCs w:val="28"/>
        </w:rPr>
        <w:t>The author</w:t>
      </w:r>
      <w:r w:rsidRPr="00064BB2">
        <w:rPr>
          <w:rFonts w:ascii="Times New Roman" w:hAnsi="Times New Roman" w:cs="Times New Roman"/>
          <w:sz w:val="28"/>
          <w:szCs w:val="28"/>
        </w:rPr>
        <w:t xml:space="preserve"> may claim that these M2-ion inhibitors would show high efficacy in Kazakh populations due to lower </w:t>
      </w:r>
      <w:r w:rsidR="00B15A42" w:rsidRPr="00064BB2">
        <w:rPr>
          <w:rFonts w:ascii="Times New Roman" w:hAnsi="Times New Roman" w:cs="Times New Roman"/>
          <w:sz w:val="28"/>
          <w:szCs w:val="28"/>
        </w:rPr>
        <w:t xml:space="preserve">antiviral drug pressure for at least a decade </w:t>
      </w:r>
      <w:r w:rsidRPr="00064BB2">
        <w:rPr>
          <w:rFonts w:ascii="Times New Roman" w:hAnsi="Times New Roman" w:cs="Times New Roman"/>
          <w:sz w:val="28"/>
          <w:szCs w:val="28"/>
        </w:rPr>
        <w:t xml:space="preserve">[76]. </w:t>
      </w:r>
    </w:p>
    <w:p w14:paraId="3BA5A7CB" w14:textId="7C44EE8A" w:rsidR="009B665C" w:rsidRPr="00064BB2" w:rsidRDefault="00853685" w:rsidP="00064BB2">
      <w:pPr>
        <w:spacing w:after="0" w:line="240" w:lineRule="auto"/>
        <w:ind w:firstLine="709"/>
        <w:jc w:val="both"/>
        <w:rPr>
          <w:rFonts w:ascii="Times New Roman" w:hAnsi="Times New Roman" w:cs="Times New Roman"/>
          <w:sz w:val="28"/>
          <w:szCs w:val="28"/>
        </w:rPr>
      </w:pPr>
      <w:r w:rsidRPr="00064BB2">
        <w:rPr>
          <w:rFonts w:ascii="Times New Roman" w:hAnsi="Times New Roman" w:cs="Times New Roman"/>
          <w:sz w:val="28"/>
          <w:szCs w:val="28"/>
        </w:rPr>
        <w:t xml:space="preserve">When </w:t>
      </w:r>
      <w:r w:rsidR="00B15A42" w:rsidRPr="00064BB2">
        <w:rPr>
          <w:rFonts w:ascii="Times New Roman" w:hAnsi="Times New Roman" w:cs="Times New Roman"/>
          <w:sz w:val="28"/>
          <w:szCs w:val="28"/>
        </w:rPr>
        <w:t xml:space="preserve">SARS-CoV-2 </w:t>
      </w:r>
      <w:r w:rsidR="00DB1B0D">
        <w:rPr>
          <w:rFonts w:ascii="Times New Roman" w:hAnsi="Times New Roman" w:cs="Times New Roman"/>
          <w:sz w:val="28"/>
          <w:szCs w:val="28"/>
        </w:rPr>
        <w:t>reached pandemic scale, physicians and researchers worldwide began to utilise and study the so-called ‘time-proven’ antiviral drug arsenal, among which amantadine and rimantadine were explored as strategies to stop viral spread within individuals and populations</w:t>
      </w:r>
      <w:r w:rsidRPr="00064BB2">
        <w:rPr>
          <w:rFonts w:ascii="Times New Roman" w:hAnsi="Times New Roman" w:cs="Times New Roman"/>
          <w:sz w:val="28"/>
          <w:szCs w:val="28"/>
        </w:rPr>
        <w:t xml:space="preserve">. Since the M2-or Matrix 2 protein is a surface protein, the </w:t>
      </w:r>
      <w:r w:rsidR="00B15A42" w:rsidRPr="00064BB2">
        <w:rPr>
          <w:rFonts w:ascii="Times New Roman" w:hAnsi="Times New Roman" w:cs="Times New Roman"/>
          <w:sz w:val="28"/>
          <w:szCs w:val="28"/>
        </w:rPr>
        <w:t xml:space="preserve">SARS-CoV-2 Spike protein could be inhibited by administering the M2-surface protein </w:t>
      </w:r>
      <w:r w:rsidRPr="00064BB2">
        <w:rPr>
          <w:rFonts w:ascii="Times New Roman" w:hAnsi="Times New Roman" w:cs="Times New Roman"/>
          <w:sz w:val="28"/>
          <w:szCs w:val="28"/>
        </w:rPr>
        <w:t xml:space="preserve">with the help of amantadine. </w:t>
      </w:r>
    </w:p>
    <w:p w14:paraId="2096FA9D" w14:textId="77777777" w:rsidR="009B665C" w:rsidRPr="00064BB2" w:rsidRDefault="00853685" w:rsidP="00064BB2">
      <w:pPr>
        <w:spacing w:after="0" w:line="240" w:lineRule="auto"/>
        <w:ind w:firstLine="709"/>
        <w:jc w:val="both"/>
        <w:rPr>
          <w:rFonts w:ascii="Times New Roman" w:hAnsi="Times New Roman" w:cs="Times New Roman"/>
          <w:sz w:val="28"/>
          <w:szCs w:val="28"/>
        </w:rPr>
      </w:pPr>
      <w:r w:rsidRPr="00064BB2">
        <w:rPr>
          <w:rFonts w:ascii="Times New Roman" w:hAnsi="Times New Roman" w:cs="Times New Roman"/>
          <w:sz w:val="28"/>
          <w:szCs w:val="28"/>
        </w:rPr>
        <w:t xml:space="preserve">Firstly, amantadine is expected to have an antiviral effect on </w:t>
      </w:r>
      <w:r w:rsidR="00B15A42" w:rsidRPr="00064BB2">
        <w:rPr>
          <w:rFonts w:ascii="Times New Roman" w:hAnsi="Times New Roman" w:cs="Times New Roman"/>
          <w:sz w:val="28"/>
          <w:szCs w:val="28"/>
        </w:rPr>
        <w:t>SARS-CoV-2 Replication by blocking a 5-α-helix channel, also known as the “</w:t>
      </w:r>
      <w:proofErr w:type="spellStart"/>
      <w:r w:rsidR="00B15A42" w:rsidRPr="00064BB2">
        <w:rPr>
          <w:rFonts w:ascii="Times New Roman" w:hAnsi="Times New Roman" w:cs="Times New Roman"/>
          <w:sz w:val="28"/>
          <w:szCs w:val="28"/>
        </w:rPr>
        <w:t>viroporin</w:t>
      </w:r>
      <w:proofErr w:type="spellEnd"/>
      <w:r w:rsidR="00B15A42" w:rsidRPr="00064BB2">
        <w:rPr>
          <w:rFonts w:ascii="Times New Roman" w:hAnsi="Times New Roman" w:cs="Times New Roman"/>
          <w:sz w:val="28"/>
          <w:szCs w:val="28"/>
        </w:rPr>
        <w:t xml:space="preserve"> channel,” in the hydrophobic region of the intramembrane space</w:t>
      </w:r>
      <w:r w:rsidRPr="00064BB2">
        <w:rPr>
          <w:rFonts w:ascii="Times New Roman" w:hAnsi="Times New Roman" w:cs="Times New Roman"/>
          <w:sz w:val="28"/>
          <w:szCs w:val="28"/>
        </w:rPr>
        <w:t xml:space="preserve"> of COVID-19 [94,98].  </w:t>
      </w:r>
    </w:p>
    <w:p w14:paraId="4D1DFEFB" w14:textId="7475A33B" w:rsidR="00A068D1" w:rsidRPr="00064BB2" w:rsidRDefault="00853685" w:rsidP="00064BB2">
      <w:pPr>
        <w:spacing w:after="0" w:line="240" w:lineRule="auto"/>
        <w:ind w:firstLine="709"/>
        <w:jc w:val="both"/>
        <w:rPr>
          <w:rFonts w:ascii="Times New Roman" w:hAnsi="Times New Roman" w:cs="Times New Roman"/>
          <w:sz w:val="28"/>
          <w:szCs w:val="28"/>
        </w:rPr>
      </w:pPr>
      <w:r w:rsidRPr="00064BB2">
        <w:rPr>
          <w:rFonts w:ascii="Times New Roman" w:hAnsi="Times New Roman" w:cs="Times New Roman"/>
          <w:sz w:val="28"/>
          <w:szCs w:val="28"/>
        </w:rPr>
        <w:t xml:space="preserve">Secondly, some assumptions (hypotheses) </w:t>
      </w:r>
      <w:r w:rsidR="007B5971" w:rsidRPr="00064BB2">
        <w:rPr>
          <w:rFonts w:ascii="Times New Roman" w:hAnsi="Times New Roman" w:cs="Times New Roman"/>
          <w:sz w:val="28"/>
          <w:szCs w:val="28"/>
        </w:rPr>
        <w:t xml:space="preserve">suggest that amantadine can downregulate and inhibit the dysfunctional state </w:t>
      </w:r>
      <w:r w:rsidRPr="00064BB2">
        <w:rPr>
          <w:rFonts w:ascii="Times New Roman" w:hAnsi="Times New Roman" w:cs="Times New Roman"/>
          <w:i/>
          <w:iCs/>
          <w:sz w:val="28"/>
          <w:szCs w:val="28"/>
        </w:rPr>
        <w:t>of cathepsin L (CTSL)</w:t>
      </w:r>
      <w:r w:rsidRPr="00064BB2">
        <w:rPr>
          <w:rFonts w:ascii="Times New Roman" w:hAnsi="Times New Roman" w:cs="Times New Roman"/>
          <w:sz w:val="28"/>
          <w:szCs w:val="28"/>
        </w:rPr>
        <w:t xml:space="preserve"> and other </w:t>
      </w:r>
      <w:r w:rsidRPr="00064BB2">
        <w:rPr>
          <w:rFonts w:ascii="Times New Roman" w:hAnsi="Times New Roman" w:cs="Times New Roman"/>
          <w:i/>
          <w:iCs/>
          <w:sz w:val="28"/>
          <w:szCs w:val="28"/>
        </w:rPr>
        <w:t>lysosomal enzymes</w:t>
      </w:r>
      <w:r w:rsidRPr="00064BB2">
        <w:rPr>
          <w:rFonts w:ascii="Times New Roman" w:hAnsi="Times New Roman" w:cs="Times New Roman"/>
          <w:sz w:val="28"/>
          <w:szCs w:val="28"/>
        </w:rPr>
        <w:t xml:space="preserve">. These two mechanisms have been proposed as potentially significant in interfering with and </w:t>
      </w:r>
      <w:r w:rsidR="007B5971" w:rsidRPr="00064BB2">
        <w:rPr>
          <w:rFonts w:ascii="Times New Roman" w:hAnsi="Times New Roman" w:cs="Times New Roman"/>
          <w:sz w:val="28"/>
          <w:szCs w:val="28"/>
        </w:rPr>
        <w:t xml:space="preserve">hindering the </w:t>
      </w:r>
      <w:r w:rsidR="00A57849" w:rsidRPr="00064BB2">
        <w:rPr>
          <w:rFonts w:ascii="Times New Roman" w:hAnsi="Times New Roman" w:cs="Times New Roman"/>
          <w:sz w:val="28"/>
          <w:szCs w:val="28"/>
        </w:rPr>
        <w:t>SARS-CoV-2 virus's ability</w:t>
      </w:r>
      <w:r w:rsidR="007B5971" w:rsidRPr="00064BB2">
        <w:rPr>
          <w:rFonts w:ascii="Times New Roman" w:hAnsi="Times New Roman" w:cs="Times New Roman"/>
          <w:sz w:val="28"/>
          <w:szCs w:val="28"/>
        </w:rPr>
        <w:t xml:space="preserve"> to enter target cells and facilitate virus replication </w:t>
      </w:r>
      <w:r w:rsidRPr="00064BB2">
        <w:rPr>
          <w:rFonts w:ascii="Times New Roman" w:hAnsi="Times New Roman" w:cs="Times New Roman"/>
          <w:sz w:val="28"/>
          <w:szCs w:val="28"/>
        </w:rPr>
        <w:t>[77].</w:t>
      </w:r>
      <w:r w:rsidR="00ED520B" w:rsidRPr="00064BB2">
        <w:rPr>
          <w:rFonts w:ascii="Times New Roman" w:hAnsi="Times New Roman" w:cs="Times New Roman"/>
          <w:sz w:val="28"/>
          <w:szCs w:val="28"/>
        </w:rPr>
        <w:t xml:space="preserve"> </w:t>
      </w:r>
      <w:r w:rsidRPr="00064BB2">
        <w:rPr>
          <w:rFonts w:ascii="Times New Roman" w:hAnsi="Times New Roman" w:cs="Times New Roman"/>
          <w:sz w:val="28"/>
          <w:szCs w:val="28"/>
        </w:rPr>
        <w:t xml:space="preserve">Amantadine and rimantadine were studied in vitro on </w:t>
      </w:r>
      <w:r w:rsidR="00A57849" w:rsidRPr="00064BB2">
        <w:rPr>
          <w:rFonts w:ascii="Times New Roman" w:hAnsi="Times New Roman" w:cs="Times New Roman"/>
          <w:sz w:val="28"/>
          <w:szCs w:val="28"/>
        </w:rPr>
        <w:t>Vero E6</w:t>
      </w:r>
      <w:r w:rsidRPr="00064BB2">
        <w:rPr>
          <w:rFonts w:ascii="Times New Roman" w:hAnsi="Times New Roman" w:cs="Times New Roman"/>
          <w:sz w:val="28"/>
          <w:szCs w:val="28"/>
        </w:rPr>
        <w:t xml:space="preserve"> cells</w:t>
      </w:r>
      <w:r w:rsidR="00B54077" w:rsidRPr="00064BB2">
        <w:rPr>
          <w:rFonts w:ascii="Times New Roman" w:hAnsi="Times New Roman" w:cs="Times New Roman"/>
          <w:sz w:val="28"/>
          <w:szCs w:val="28"/>
        </w:rPr>
        <w:t>, yielding</w:t>
      </w:r>
      <w:r w:rsidRPr="00064BB2">
        <w:rPr>
          <w:rFonts w:ascii="Times New Roman" w:hAnsi="Times New Roman" w:cs="Times New Roman"/>
          <w:sz w:val="28"/>
          <w:szCs w:val="28"/>
        </w:rPr>
        <w:t xml:space="preserve"> remarkable results. Both amantadine and </w:t>
      </w:r>
      <w:r w:rsidRPr="00064BB2">
        <w:rPr>
          <w:rFonts w:ascii="Times New Roman" w:hAnsi="Times New Roman" w:cs="Times New Roman"/>
          <w:sz w:val="28"/>
          <w:szCs w:val="28"/>
        </w:rPr>
        <w:lastRenderedPageBreak/>
        <w:t>rimantadine</w:t>
      </w:r>
      <w:r w:rsidR="007B5971" w:rsidRPr="00064BB2">
        <w:rPr>
          <w:rFonts w:ascii="Times New Roman" w:hAnsi="Times New Roman" w:cs="Times New Roman"/>
          <w:sz w:val="28"/>
          <w:szCs w:val="28"/>
        </w:rPr>
        <w:t>, as well as the combinations of redeliver + amantadine, redeliver + rimantadine, and rimantadine alone, inhibited SARS-CoV-2 infection, primarily at the viral level following</w:t>
      </w:r>
      <w:r w:rsidRPr="00064BB2">
        <w:rPr>
          <w:rFonts w:ascii="Times New Roman" w:hAnsi="Times New Roman" w:cs="Times New Roman"/>
          <w:sz w:val="28"/>
          <w:szCs w:val="28"/>
        </w:rPr>
        <w:t xml:space="preserve"> in vitro infection [78]. To sum up, M2-Ion inhibitors were in active use in Western countries to </w:t>
      </w:r>
      <w:r w:rsidR="007B5971" w:rsidRPr="00064BB2">
        <w:rPr>
          <w:rFonts w:ascii="Times New Roman" w:hAnsi="Times New Roman" w:cs="Times New Roman"/>
          <w:sz w:val="28"/>
          <w:szCs w:val="28"/>
        </w:rPr>
        <w:t xml:space="preserve">combat not only seasonal outbreaks of Influenza type A and B viruses but also as an additional treatment against other viral infections, such as Hepatitis C. Furthermore, since the emergence of COVID-19, they have also been used against </w:t>
      </w:r>
      <w:r w:rsidR="00DB1B0D">
        <w:rPr>
          <w:rFonts w:ascii="Times New Roman" w:hAnsi="Times New Roman" w:cs="Times New Roman"/>
          <w:sz w:val="28"/>
          <w:szCs w:val="28"/>
        </w:rPr>
        <w:t>SARS-CoV-2</w:t>
      </w:r>
      <w:r w:rsidRPr="00064BB2">
        <w:rPr>
          <w:rFonts w:ascii="Times New Roman" w:hAnsi="Times New Roman" w:cs="Times New Roman"/>
          <w:sz w:val="28"/>
          <w:szCs w:val="28"/>
        </w:rPr>
        <w:t xml:space="preserve">. The viral </w:t>
      </w:r>
      <w:r w:rsidR="004D3182" w:rsidRPr="00064BB2">
        <w:rPr>
          <w:rFonts w:ascii="Times New Roman" w:hAnsi="Times New Roman" w:cs="Times New Roman"/>
          <w:sz w:val="28"/>
          <w:szCs w:val="28"/>
        </w:rPr>
        <w:t>interiors</w:t>
      </w:r>
      <w:r w:rsidRPr="00064BB2">
        <w:rPr>
          <w:rFonts w:ascii="Times New Roman" w:hAnsi="Times New Roman" w:cs="Times New Roman"/>
          <w:sz w:val="28"/>
          <w:szCs w:val="28"/>
        </w:rPr>
        <w:t xml:space="preserve"> of Influenza A and B and SARS-COV2 are relatively similar; the RNP machinery of replication activation resembles, to some extent, the nucleocapsid protein functions of SARS-COV2-virus that hold together the 30K nucleotides long RNA genome.   According to some studies, </w:t>
      </w:r>
      <w:r w:rsidR="004D3182" w:rsidRPr="00064BB2">
        <w:rPr>
          <w:rFonts w:ascii="Times New Roman" w:hAnsi="Times New Roman" w:cs="Times New Roman"/>
          <w:sz w:val="28"/>
          <w:szCs w:val="28"/>
        </w:rPr>
        <w:t xml:space="preserve">M2-ion channel inhibitors are primarily potent against Influenza </w:t>
      </w:r>
      <w:r w:rsidR="00DB1B0D">
        <w:rPr>
          <w:rFonts w:ascii="Times New Roman" w:hAnsi="Times New Roman" w:cs="Times New Roman"/>
          <w:sz w:val="28"/>
          <w:szCs w:val="28"/>
        </w:rPr>
        <w:t>A and show only partial antiviral activity against Influenza B</w:t>
      </w:r>
      <w:r w:rsidRPr="00064BB2">
        <w:rPr>
          <w:rFonts w:ascii="Times New Roman" w:hAnsi="Times New Roman" w:cs="Times New Roman"/>
          <w:sz w:val="28"/>
          <w:szCs w:val="28"/>
        </w:rPr>
        <w:t xml:space="preserve">. Thus, the primary purpose of antivirals remains </w:t>
      </w:r>
      <w:r w:rsidR="004F6050" w:rsidRPr="00064BB2">
        <w:rPr>
          <w:rFonts w:ascii="Times New Roman" w:hAnsi="Times New Roman" w:cs="Times New Roman"/>
          <w:sz w:val="28"/>
          <w:szCs w:val="28"/>
        </w:rPr>
        <w:t xml:space="preserve">largely ineffective; viral replication can tolerate even 90% of the damage caused by antivirals, a phenomenon that has been consistently </w:t>
      </w:r>
      <w:r w:rsidRPr="00064BB2">
        <w:rPr>
          <w:rFonts w:ascii="Times New Roman" w:hAnsi="Times New Roman" w:cs="Times New Roman"/>
          <w:sz w:val="28"/>
          <w:szCs w:val="28"/>
        </w:rPr>
        <w:t xml:space="preserve">confirmed since the 1980s [71-77].  </w:t>
      </w:r>
    </w:p>
    <w:p w14:paraId="5C026276" w14:textId="17030103" w:rsidR="00890667" w:rsidRDefault="00853685" w:rsidP="00064BB2">
      <w:pPr>
        <w:spacing w:after="0" w:line="240" w:lineRule="auto"/>
        <w:ind w:firstLine="709"/>
        <w:jc w:val="both"/>
        <w:rPr>
          <w:rFonts w:ascii="Times New Roman" w:hAnsi="Times New Roman" w:cs="Times New Roman"/>
          <w:sz w:val="28"/>
          <w:szCs w:val="28"/>
        </w:rPr>
      </w:pPr>
      <w:r w:rsidRPr="00064BB2">
        <w:rPr>
          <w:rFonts w:ascii="Times New Roman" w:hAnsi="Times New Roman" w:cs="Times New Roman"/>
          <w:sz w:val="28"/>
          <w:szCs w:val="28"/>
        </w:rPr>
        <w:t>Ribavirin inhibits Influenza A through multiple mechanisms</w:t>
      </w:r>
      <w:r w:rsidR="004D3182" w:rsidRPr="00064BB2">
        <w:rPr>
          <w:rFonts w:ascii="Times New Roman" w:hAnsi="Times New Roman" w:cs="Times New Roman"/>
          <w:sz w:val="28"/>
          <w:szCs w:val="28"/>
        </w:rPr>
        <w:t>, including the inhibition of viral</w:t>
      </w:r>
      <w:r w:rsidRPr="00064BB2">
        <w:rPr>
          <w:rFonts w:ascii="Times New Roman" w:hAnsi="Times New Roman" w:cs="Times New Roman"/>
          <w:sz w:val="28"/>
          <w:szCs w:val="28"/>
        </w:rPr>
        <w:t xml:space="preserve"> RNA Synthesis. Ribavirin mimics guanosine, </w:t>
      </w:r>
      <w:r w:rsidR="004D3182" w:rsidRPr="00064BB2">
        <w:rPr>
          <w:rFonts w:ascii="Times New Roman" w:hAnsi="Times New Roman" w:cs="Times New Roman"/>
          <w:sz w:val="28"/>
          <w:szCs w:val="28"/>
        </w:rPr>
        <w:t>thereby disrupting the function of viral RNA polymerase</w:t>
      </w:r>
      <w:r w:rsidRPr="00064BB2">
        <w:rPr>
          <w:rFonts w:ascii="Times New Roman" w:hAnsi="Times New Roman" w:cs="Times New Roman"/>
          <w:sz w:val="28"/>
          <w:szCs w:val="28"/>
        </w:rPr>
        <w:t xml:space="preserve">. Causes Lethal Mutagenesis. Introduces mutations </w:t>
      </w:r>
      <w:r w:rsidR="00DB1B0D">
        <w:rPr>
          <w:rFonts w:ascii="Times New Roman" w:hAnsi="Times New Roman" w:cs="Times New Roman"/>
          <w:sz w:val="28"/>
          <w:szCs w:val="28"/>
        </w:rPr>
        <w:t>into viral RNA, thereby reducing the virus's viability</w:t>
      </w:r>
      <w:r w:rsidRPr="00064BB2">
        <w:rPr>
          <w:rFonts w:ascii="Times New Roman" w:hAnsi="Times New Roman" w:cs="Times New Roman"/>
          <w:sz w:val="28"/>
          <w:szCs w:val="28"/>
        </w:rPr>
        <w:t>. Inhibits Host IMPDH Enzyme. Lowers GTP levels, impairing viral replication.</w:t>
      </w:r>
      <w:r w:rsidRPr="00064BB2">
        <w:rPr>
          <w:rFonts w:ascii="Times New Roman" w:hAnsi="Times New Roman" w:cs="Times New Roman"/>
          <w:b/>
          <w:bCs/>
          <w:sz w:val="28"/>
          <w:szCs w:val="28"/>
        </w:rPr>
        <w:t xml:space="preserve"> </w:t>
      </w:r>
      <w:r w:rsidRPr="00064BB2">
        <w:rPr>
          <w:rFonts w:ascii="Times New Roman" w:hAnsi="Times New Roman" w:cs="Times New Roman"/>
          <w:sz w:val="28"/>
          <w:szCs w:val="28"/>
        </w:rPr>
        <w:t xml:space="preserve">Efficacy against Influenza A: In Vitro &amp; Animal Studies: </w:t>
      </w:r>
      <w:r w:rsidR="00014021">
        <w:rPr>
          <w:rFonts w:ascii="Times New Roman" w:hAnsi="Times New Roman" w:cs="Times New Roman"/>
          <w:sz w:val="28"/>
          <w:szCs w:val="28"/>
        </w:rPr>
        <w:t>shows</w:t>
      </w:r>
      <w:r w:rsidRPr="00064BB2">
        <w:rPr>
          <w:rFonts w:ascii="Times New Roman" w:hAnsi="Times New Roman" w:cs="Times New Roman"/>
          <w:sz w:val="28"/>
          <w:szCs w:val="28"/>
        </w:rPr>
        <w:t xml:space="preserve"> inhibition of Influenza A replication. Clinical Studies: Some early studies suggested modest benefits in severe cases. Not as effective as neuraminidase inhibitors (e.g., oseltamivir, zanamivir). </w:t>
      </w:r>
    </w:p>
    <w:p w14:paraId="312AD66F" w14:textId="68C74D0D" w:rsidR="00A3732C" w:rsidRPr="00064BB2" w:rsidRDefault="00853685" w:rsidP="00064BB2">
      <w:pPr>
        <w:spacing w:after="0" w:line="240" w:lineRule="auto"/>
        <w:ind w:firstLine="709"/>
        <w:jc w:val="both"/>
        <w:rPr>
          <w:rFonts w:ascii="Times New Roman" w:hAnsi="Times New Roman" w:cs="Times New Roman"/>
          <w:sz w:val="28"/>
          <w:szCs w:val="28"/>
        </w:rPr>
      </w:pPr>
      <w:r w:rsidRPr="00064BB2">
        <w:rPr>
          <w:rFonts w:ascii="Times New Roman" w:hAnsi="Times New Roman" w:cs="Times New Roman"/>
          <w:sz w:val="28"/>
          <w:szCs w:val="28"/>
        </w:rPr>
        <w:t xml:space="preserve">Resistance &amp; Limitations: high doses required → Increased risk of </w:t>
      </w:r>
      <w:proofErr w:type="spellStart"/>
      <w:r w:rsidRPr="00064BB2">
        <w:rPr>
          <w:rFonts w:ascii="Times New Roman" w:hAnsi="Times New Roman" w:cs="Times New Roman"/>
          <w:sz w:val="28"/>
          <w:szCs w:val="28"/>
        </w:rPr>
        <w:t>hemolytic</w:t>
      </w:r>
      <w:proofErr w:type="spellEnd"/>
      <w:r w:rsidRPr="00064BB2">
        <w:rPr>
          <w:rFonts w:ascii="Times New Roman" w:hAnsi="Times New Roman" w:cs="Times New Roman"/>
          <w:sz w:val="28"/>
          <w:szCs w:val="28"/>
        </w:rPr>
        <w:t xml:space="preserve"> </w:t>
      </w:r>
      <w:r w:rsidR="009874AB" w:rsidRPr="00064BB2">
        <w:rPr>
          <w:rFonts w:ascii="Times New Roman" w:hAnsi="Times New Roman" w:cs="Times New Roman"/>
          <w:sz w:val="28"/>
          <w:szCs w:val="28"/>
        </w:rPr>
        <w:t>anaemia</w:t>
      </w:r>
      <w:r w:rsidRPr="00064BB2">
        <w:rPr>
          <w:rFonts w:ascii="Times New Roman" w:hAnsi="Times New Roman" w:cs="Times New Roman"/>
          <w:sz w:val="28"/>
          <w:szCs w:val="28"/>
        </w:rPr>
        <w:t xml:space="preserve">. Narrow therapeutic index (toxic at high doses). Not widely recommended for standard Influenza A treatment. </w:t>
      </w:r>
      <w:r w:rsidR="00890667">
        <w:rPr>
          <w:rFonts w:ascii="Times New Roman" w:hAnsi="Times New Roman" w:cs="Times New Roman"/>
          <w:sz w:val="28"/>
          <w:szCs w:val="28"/>
        </w:rPr>
        <w:t>Current</w:t>
      </w:r>
      <w:r w:rsidR="00890667" w:rsidRPr="00064BB2">
        <w:rPr>
          <w:rFonts w:ascii="Times New Roman" w:hAnsi="Times New Roman" w:cs="Times New Roman"/>
          <w:sz w:val="28"/>
          <w:szCs w:val="28"/>
        </w:rPr>
        <w:t xml:space="preserve"> role in influenza treatment. </w:t>
      </w:r>
      <w:r w:rsidR="00890667">
        <w:rPr>
          <w:rFonts w:ascii="Times New Roman" w:hAnsi="Times New Roman" w:cs="Times New Roman"/>
          <w:sz w:val="28"/>
          <w:szCs w:val="28"/>
        </w:rPr>
        <w:t>Not</w:t>
      </w:r>
      <w:r w:rsidR="00890667" w:rsidRPr="00064BB2">
        <w:rPr>
          <w:rFonts w:ascii="Times New Roman" w:hAnsi="Times New Roman" w:cs="Times New Roman"/>
          <w:sz w:val="28"/>
          <w:szCs w:val="28"/>
        </w:rPr>
        <w:t xml:space="preserve"> </w:t>
      </w:r>
      <w:r w:rsidRPr="00064BB2">
        <w:rPr>
          <w:rFonts w:ascii="Times New Roman" w:hAnsi="Times New Roman" w:cs="Times New Roman"/>
          <w:sz w:val="28"/>
          <w:szCs w:val="28"/>
        </w:rPr>
        <w:t>first-line therapy for Influenza A due to better alternatives (oseltamivir, peramivir, Baloxavir). Toxicity concerns. Possible use in severe cases or resistant strains, but limited clinical evidence.</w:t>
      </w:r>
      <w:r w:rsidR="00B01FA9" w:rsidRPr="00064BB2">
        <w:rPr>
          <w:rFonts w:ascii="Times New Roman" w:hAnsi="Times New Roman" w:cs="Times New Roman"/>
          <w:sz w:val="28"/>
          <w:szCs w:val="28"/>
        </w:rPr>
        <w:t xml:space="preserve"> </w:t>
      </w:r>
      <w:r w:rsidRPr="00064BB2">
        <w:rPr>
          <w:rFonts w:ascii="Times New Roman" w:hAnsi="Times New Roman" w:cs="Times New Roman"/>
          <w:sz w:val="28"/>
          <w:szCs w:val="28"/>
        </w:rPr>
        <w:t xml:space="preserve">While Ribavirin has in vitro activity against Influenza A, its clinical use is limited due to toxicity, lower efficacy compared to standard treatments, and availability of safer alternatives. Neuraminidase inhibitors (oseltamivir, zanamivir) and cap-dependent endonuclease inhibitors (Baloxavir) remain the preferred treatments for Influenza A. In Figure 9, we can see the </w:t>
      </w:r>
      <w:r w:rsidR="00B01FA9" w:rsidRPr="00064BB2">
        <w:rPr>
          <w:rFonts w:ascii="Times New Roman" w:hAnsi="Times New Roman" w:cs="Times New Roman"/>
          <w:sz w:val="28"/>
          <w:szCs w:val="28"/>
        </w:rPr>
        <w:t>precise</w:t>
      </w:r>
      <w:r w:rsidRPr="00064BB2">
        <w:rPr>
          <w:rFonts w:ascii="Times New Roman" w:hAnsi="Times New Roman" w:cs="Times New Roman"/>
          <w:sz w:val="28"/>
          <w:szCs w:val="28"/>
        </w:rPr>
        <w:t xml:space="preserve"> mechanisms </w:t>
      </w:r>
      <w:r w:rsidR="00C11493">
        <w:rPr>
          <w:rFonts w:ascii="Times New Roman" w:hAnsi="Times New Roman" w:cs="Times New Roman"/>
          <w:sz w:val="28"/>
          <w:szCs w:val="28"/>
        </w:rPr>
        <w:t>underlying the inhibition of Influenza A replication</w:t>
      </w:r>
      <w:r w:rsidRPr="00064BB2">
        <w:rPr>
          <w:rFonts w:ascii="Times New Roman" w:hAnsi="Times New Roman" w:cs="Times New Roman"/>
          <w:sz w:val="28"/>
          <w:szCs w:val="28"/>
        </w:rPr>
        <w:t xml:space="preserve">. </w:t>
      </w:r>
      <w:r w:rsidR="00C11493">
        <w:rPr>
          <w:rFonts w:ascii="Times New Roman" w:hAnsi="Times New Roman" w:cs="Times New Roman"/>
          <w:sz w:val="28"/>
          <w:szCs w:val="28"/>
        </w:rPr>
        <w:t>Although it possesses</w:t>
      </w:r>
      <w:r w:rsidR="0000546B" w:rsidRPr="00064BB2">
        <w:rPr>
          <w:rFonts w:ascii="Times New Roman" w:hAnsi="Times New Roman" w:cs="Times New Roman"/>
          <w:sz w:val="28"/>
          <w:szCs w:val="28"/>
        </w:rPr>
        <w:t xml:space="preserve"> broad-spectrum antiviral activity, Ribavirin faces several significant challenges as an anti-influenza drug, limiting its clinical utility. Like other influenza antivirals, Ribavirin must be administered early in </w:t>
      </w:r>
      <w:r w:rsidR="00C11493">
        <w:rPr>
          <w:rFonts w:ascii="Times New Roman" w:hAnsi="Times New Roman" w:cs="Times New Roman"/>
          <w:sz w:val="28"/>
          <w:szCs w:val="28"/>
        </w:rPr>
        <w:t xml:space="preserve">the course of </w:t>
      </w:r>
      <w:r w:rsidR="0000546B" w:rsidRPr="00064BB2">
        <w:rPr>
          <w:rFonts w:ascii="Times New Roman" w:hAnsi="Times New Roman" w:cs="Times New Roman"/>
          <w:sz w:val="28"/>
          <w:szCs w:val="28"/>
        </w:rPr>
        <w:t xml:space="preserve">infection. </w:t>
      </w:r>
    </w:p>
    <w:p w14:paraId="53104825" w14:textId="3162AA45" w:rsidR="00085E8E" w:rsidRPr="00064BB2" w:rsidRDefault="0000546B" w:rsidP="009B5DDF">
      <w:pPr>
        <w:spacing w:after="0" w:line="240" w:lineRule="auto"/>
        <w:ind w:firstLine="708"/>
        <w:jc w:val="both"/>
        <w:rPr>
          <w:rFonts w:ascii="Times New Roman" w:hAnsi="Times New Roman" w:cs="Times New Roman"/>
          <w:sz w:val="28"/>
          <w:szCs w:val="28"/>
        </w:rPr>
      </w:pPr>
      <w:r w:rsidRPr="00064BB2">
        <w:rPr>
          <w:rFonts w:ascii="Times New Roman" w:hAnsi="Times New Roman" w:cs="Times New Roman"/>
          <w:sz w:val="28"/>
          <w:szCs w:val="28"/>
        </w:rPr>
        <w:t>However, its pharmacokinetics and practical administration challenges often delay treatment, reducing efficacy. Teratogenicity: Ribavirin is contraindicated in pregnancy due to risks of birth defects, restricting its use in a high-risk population (pregnant individuals)</w:t>
      </w:r>
      <w:r w:rsidR="0046110C" w:rsidRPr="00064BB2">
        <w:rPr>
          <w:rFonts w:ascii="Times New Roman" w:hAnsi="Times New Roman" w:cs="Times New Roman"/>
          <w:sz w:val="28"/>
          <w:szCs w:val="28"/>
        </w:rPr>
        <w:t xml:space="preserve"> [41-42]</w:t>
      </w:r>
      <w:r w:rsidRPr="00064BB2">
        <w:rPr>
          <w:rFonts w:ascii="Times New Roman" w:hAnsi="Times New Roman" w:cs="Times New Roman"/>
          <w:sz w:val="28"/>
          <w:szCs w:val="28"/>
        </w:rPr>
        <w:t xml:space="preserve">. Broad-Spectrum Mechanism: As a nucleoside analogue, it interferes with host RNA synthesis, </w:t>
      </w:r>
      <w:r w:rsidR="0046110C" w:rsidRPr="00064BB2">
        <w:rPr>
          <w:rFonts w:ascii="Times New Roman" w:hAnsi="Times New Roman" w:cs="Times New Roman"/>
          <w:sz w:val="28"/>
          <w:szCs w:val="28"/>
        </w:rPr>
        <w:t>resulting in cytotoxicity and side effects such as</w:t>
      </w:r>
      <w:r w:rsidRPr="00064BB2">
        <w:rPr>
          <w:rFonts w:ascii="Times New Roman" w:hAnsi="Times New Roman" w:cs="Times New Roman"/>
          <w:sz w:val="28"/>
          <w:szCs w:val="28"/>
        </w:rPr>
        <w:t xml:space="preserve"> fatigue, nausea, and liver </w:t>
      </w:r>
      <w:r w:rsidR="00437B5F" w:rsidRPr="00064BB2">
        <w:rPr>
          <w:rFonts w:ascii="Times New Roman" w:hAnsi="Times New Roman" w:cs="Times New Roman"/>
          <w:sz w:val="28"/>
          <w:szCs w:val="28"/>
        </w:rPr>
        <w:t xml:space="preserve">toxicity. Ribavirin’s toxicity profile, uncertain clinical efficacy, complex administration, and the availability of safer, more effective alternatives render it a suboptimal choice for influenza treatment. Its use is generally </w:t>
      </w:r>
      <w:r w:rsidR="00437B5F" w:rsidRPr="00064BB2">
        <w:rPr>
          <w:rFonts w:ascii="Times New Roman" w:hAnsi="Times New Roman" w:cs="Times New Roman"/>
          <w:sz w:val="28"/>
          <w:szCs w:val="28"/>
        </w:rPr>
        <w:lastRenderedPageBreak/>
        <w:t xml:space="preserve">reserved for severe cases where benefits outweigh risks, often in combination therapies or research </w:t>
      </w:r>
      <w:r w:rsidR="00D734CE" w:rsidRPr="00064BB2">
        <w:rPr>
          <w:rFonts w:ascii="Times New Roman" w:hAnsi="Times New Roman" w:cs="Times New Roman"/>
          <w:sz w:val="28"/>
          <w:szCs w:val="28"/>
        </w:rPr>
        <w:t xml:space="preserve">settings. Ribavirin could </w:t>
      </w:r>
      <w:r w:rsidR="004F21B4" w:rsidRPr="00064BB2">
        <w:rPr>
          <w:rFonts w:ascii="Times New Roman" w:hAnsi="Times New Roman" w:cs="Times New Roman"/>
          <w:sz w:val="28"/>
          <w:szCs w:val="28"/>
        </w:rPr>
        <w:t xml:space="preserve">inhibit the SARS-CoV2 replication. </w:t>
      </w:r>
      <w:r w:rsidR="00D734CE" w:rsidRPr="00064BB2">
        <w:rPr>
          <w:rFonts w:ascii="Times New Roman" w:hAnsi="Times New Roman" w:cs="Times New Roman"/>
          <w:sz w:val="28"/>
          <w:szCs w:val="28"/>
        </w:rPr>
        <w:t>Most SARS-CoV-2 variants</w:t>
      </w:r>
      <w:r w:rsidR="0046110C" w:rsidRPr="00064BB2">
        <w:rPr>
          <w:rFonts w:ascii="Times New Roman" w:hAnsi="Times New Roman" w:cs="Times New Roman"/>
          <w:sz w:val="28"/>
          <w:szCs w:val="28"/>
        </w:rPr>
        <w:t>, including Alpha,</w:t>
      </w:r>
      <w:r w:rsidR="00D734CE" w:rsidRPr="00064BB2">
        <w:rPr>
          <w:rFonts w:ascii="Times New Roman" w:hAnsi="Times New Roman" w:cs="Times New Roman"/>
          <w:sz w:val="28"/>
          <w:szCs w:val="28"/>
        </w:rPr>
        <w:t xml:space="preserve"> evolved due to natural selection pressures, not ribavirin-induced </w:t>
      </w:r>
      <w:r w:rsidR="00350520" w:rsidRPr="00064BB2">
        <w:rPr>
          <w:rFonts w:ascii="Times New Roman" w:hAnsi="Times New Roman" w:cs="Times New Roman"/>
          <w:sz w:val="28"/>
          <w:szCs w:val="28"/>
        </w:rPr>
        <w:t>mutagenesis.</w:t>
      </w:r>
    </w:p>
    <w:p w14:paraId="34A185EE" w14:textId="146CE58A" w:rsidR="00832447" w:rsidRPr="009B5DDF" w:rsidRDefault="009B5DDF" w:rsidP="009B5DDF">
      <w:pPr>
        <w:spacing w:after="0" w:line="240" w:lineRule="auto"/>
        <w:ind w:firstLine="709"/>
        <w:jc w:val="both"/>
        <w:rPr>
          <w:rFonts w:ascii="Times New Roman" w:hAnsi="Times New Roman" w:cs="Times New Roman"/>
          <w:sz w:val="28"/>
          <w:szCs w:val="28"/>
        </w:rPr>
      </w:pPr>
      <w:r w:rsidRPr="00D81B62">
        <w:rPr>
          <w:rFonts w:ascii="Times New Roman" w:hAnsi="Times New Roman" w:cs="Times New Roman"/>
          <w:sz w:val="28"/>
          <w:szCs w:val="28"/>
        </w:rPr>
        <w:t xml:space="preserve">The M2-M1 Proteins' activity enables viral RNA to </w:t>
      </w:r>
      <w:r w:rsidR="00DB1B0D">
        <w:rPr>
          <w:rFonts w:ascii="Times New Roman" w:hAnsi="Times New Roman" w:cs="Times New Roman"/>
          <w:sz w:val="28"/>
          <w:szCs w:val="28"/>
        </w:rPr>
        <w:t>enter</w:t>
      </w:r>
      <w:r w:rsidRPr="00D81B62">
        <w:rPr>
          <w:rFonts w:ascii="Times New Roman" w:hAnsi="Times New Roman" w:cs="Times New Roman"/>
          <w:sz w:val="28"/>
          <w:szCs w:val="28"/>
        </w:rPr>
        <w:t xml:space="preserve"> the cell cytosol. The importance of acidification by the M2 protein is paramount. The highly viral genome replication begins with M2-acidic activation, without which neither infection nor further viral genome replication is possible. Thus, for many decades M2-inhibitor like amantadine and rimantadine, which block/bind directly to the pores of the M2 protein channel and prevent the replication of the viral genome - while RNP is transported to the target nucleus (lung cells), viral RNA and mRNA-mRNA are produced [79], and then the main proteins of the viral membrane: HA, NA, and M2 are translated from the replicated viral mRNA and carefully inserted into the endoplasmic reticulum (ER). Then, the Golgi trans network (TGN) is transported to the cell surface, and the virus's life cycle is completed. Endonuclease inhibitors would significantly inhibit SARS-CoV-2 Ribosome cleavage and docking </w:t>
      </w:r>
      <w:r w:rsidR="00DB1B0D">
        <w:rPr>
          <w:rFonts w:ascii="Times New Roman" w:hAnsi="Times New Roman" w:cs="Times New Roman"/>
          <w:sz w:val="28"/>
          <w:szCs w:val="28"/>
        </w:rPr>
        <w:t>at the primary stages of nucleotide production</w:t>
      </w:r>
      <w:r w:rsidRPr="00D81B62">
        <w:rPr>
          <w:rFonts w:ascii="Times New Roman" w:hAnsi="Times New Roman" w:cs="Times New Roman"/>
          <w:sz w:val="28"/>
          <w:szCs w:val="28"/>
        </w:rPr>
        <w:t xml:space="preserve">. Additionally, it can hinder the docking of subgenomic RNA on host ribosomes that are capable of producing the structural protein of the SARS-CoV-2 virus. </w:t>
      </w:r>
    </w:p>
    <w:p w14:paraId="5CCCC579" w14:textId="77777777" w:rsidR="00D81B62" w:rsidRDefault="00D81B62" w:rsidP="00D81B62">
      <w:pPr>
        <w:spacing w:after="0" w:line="240" w:lineRule="auto"/>
        <w:jc w:val="center"/>
        <w:rPr>
          <w:rFonts w:ascii="Times New Roman" w:hAnsi="Times New Roman" w:cs="Times New Roman"/>
          <w:sz w:val="24"/>
          <w:szCs w:val="24"/>
          <w:lang w:val="en-US"/>
        </w:rPr>
      </w:pPr>
      <w:r w:rsidRPr="00D81B62">
        <w:rPr>
          <w:rFonts w:ascii="Times New Roman" w:hAnsi="Times New Roman" w:cs="Times New Roman"/>
          <w:noProof/>
          <w:sz w:val="24"/>
          <w:szCs w:val="24"/>
          <w:lang w:val="ru-RU"/>
        </w:rPr>
        <w:drawing>
          <wp:inline distT="0" distB="0" distL="0" distR="0" wp14:anchorId="4E81577E" wp14:editId="55022C89">
            <wp:extent cx="3571875" cy="4982275"/>
            <wp:effectExtent l="0" t="0" r="0" b="8890"/>
            <wp:docPr id="20047732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73229" cy="4984164"/>
                    </a:xfrm>
                    <a:prstGeom prst="rect">
                      <a:avLst/>
                    </a:prstGeom>
                    <a:noFill/>
                    <a:ln>
                      <a:noFill/>
                    </a:ln>
                  </pic:spPr>
                </pic:pic>
              </a:graphicData>
            </a:graphic>
          </wp:inline>
        </w:drawing>
      </w:r>
      <w:bookmarkStart w:id="14" w:name="_Hlk162454766"/>
    </w:p>
    <w:p w14:paraId="52A25212" w14:textId="57BBE882" w:rsidR="001D0229" w:rsidRPr="00625DC3" w:rsidRDefault="00853685" w:rsidP="00625DC3">
      <w:pPr>
        <w:spacing w:after="0" w:line="240" w:lineRule="auto"/>
        <w:ind w:firstLineChars="295" w:firstLine="826"/>
        <w:jc w:val="center"/>
        <w:rPr>
          <w:rFonts w:ascii="Times New Roman" w:hAnsi="Times New Roman" w:cs="Times New Roman"/>
          <w:sz w:val="28"/>
          <w:szCs w:val="28"/>
          <w:lang w:val="en-US"/>
        </w:rPr>
      </w:pPr>
      <w:r w:rsidRPr="00625DC3">
        <w:rPr>
          <w:rFonts w:ascii="Times New Roman" w:hAnsi="Times New Roman" w:cs="Times New Roman"/>
          <w:sz w:val="28"/>
          <w:szCs w:val="28"/>
        </w:rPr>
        <w:t>Figure 9</w:t>
      </w:r>
      <w:r w:rsidRPr="00625DC3">
        <w:rPr>
          <w:rFonts w:ascii="Times New Roman" w:hAnsi="Times New Roman" w:cs="Times New Roman"/>
          <w:b/>
          <w:bCs/>
          <w:sz w:val="28"/>
          <w:szCs w:val="28"/>
        </w:rPr>
        <w:t xml:space="preserve"> </w:t>
      </w:r>
      <w:bookmarkEnd w:id="14"/>
      <w:r w:rsidR="00347737" w:rsidRPr="00625DC3">
        <w:rPr>
          <w:rFonts w:ascii="Times New Roman" w:hAnsi="Times New Roman" w:cs="Times New Roman"/>
          <w:b/>
          <w:bCs/>
          <w:sz w:val="28"/>
          <w:szCs w:val="28"/>
        </w:rPr>
        <w:t>–</w:t>
      </w:r>
      <w:r w:rsidRPr="00625DC3">
        <w:rPr>
          <w:rFonts w:ascii="Times New Roman" w:hAnsi="Times New Roman" w:cs="Times New Roman"/>
          <w:sz w:val="28"/>
          <w:szCs w:val="28"/>
        </w:rPr>
        <w:t xml:space="preserve"> </w:t>
      </w:r>
      <w:r w:rsidR="00347737" w:rsidRPr="00625DC3">
        <w:rPr>
          <w:rFonts w:ascii="Times New Roman" w:hAnsi="Times New Roman" w:cs="Times New Roman"/>
          <w:sz w:val="28"/>
          <w:szCs w:val="28"/>
        </w:rPr>
        <w:t>The general scheme of the typical anti-influenza drug</w:t>
      </w:r>
    </w:p>
    <w:p w14:paraId="6B4252AC" w14:textId="37842F49" w:rsidR="007B5971" w:rsidRPr="00D81B62" w:rsidRDefault="00853685" w:rsidP="00D81B62">
      <w:pPr>
        <w:spacing w:after="0" w:line="240" w:lineRule="auto"/>
        <w:ind w:firstLine="709"/>
        <w:jc w:val="both"/>
        <w:rPr>
          <w:rFonts w:ascii="Times New Roman" w:hAnsi="Times New Roman" w:cs="Times New Roman"/>
          <w:sz w:val="28"/>
          <w:szCs w:val="28"/>
        </w:rPr>
      </w:pPr>
      <w:r w:rsidRPr="00D81B62">
        <w:rPr>
          <w:rFonts w:ascii="Times New Roman" w:hAnsi="Times New Roman" w:cs="Times New Roman"/>
          <w:sz w:val="28"/>
          <w:szCs w:val="28"/>
        </w:rPr>
        <w:lastRenderedPageBreak/>
        <w:t>Baloxavir is a prodrug of Baloxavir marboxil</w:t>
      </w:r>
      <w:bookmarkStart w:id="15" w:name="_Hlk164849480"/>
      <w:r w:rsidR="0046110C" w:rsidRPr="00D81B62">
        <w:rPr>
          <w:rFonts w:ascii="Times New Roman" w:hAnsi="Times New Roman" w:cs="Times New Roman"/>
          <w:sz w:val="28"/>
          <w:szCs w:val="28"/>
        </w:rPr>
        <w:t>, a source of bioactive Baloxavir acid that inhibits the cap-dependent endonuclease, which is crucial for the synthesis of viral mRNA and, subsequently,</w:t>
      </w:r>
      <w:r w:rsidRPr="00D81B62">
        <w:rPr>
          <w:rFonts w:ascii="Times New Roman" w:hAnsi="Times New Roman" w:cs="Times New Roman"/>
          <w:sz w:val="28"/>
          <w:szCs w:val="28"/>
        </w:rPr>
        <w:t xml:space="preserve"> for viral replication [80-84]. The RNA-dependent RNA polymerase in influenza A and B is called the viral ribonucleoprotein complex [84-85]. These complexes replicate both viral mRNA to produce the necessary proteins and </w:t>
      </w:r>
      <w:r w:rsidR="00C11493">
        <w:rPr>
          <w:rFonts w:ascii="Times New Roman" w:hAnsi="Times New Roman" w:cs="Times New Roman"/>
          <w:sz w:val="28"/>
          <w:szCs w:val="28"/>
        </w:rPr>
        <w:t>the</w:t>
      </w:r>
      <w:r w:rsidRPr="00D81B62">
        <w:rPr>
          <w:rFonts w:ascii="Times New Roman" w:hAnsi="Times New Roman" w:cs="Times New Roman"/>
          <w:sz w:val="28"/>
          <w:szCs w:val="28"/>
        </w:rPr>
        <w:t xml:space="preserve"> viral genome for virions.  The RNA-dependent RNA polymerase of influenza A and B </w:t>
      </w:r>
      <w:r w:rsidR="0046110C" w:rsidRPr="00D81B62">
        <w:rPr>
          <w:rFonts w:ascii="Times New Roman" w:hAnsi="Times New Roman" w:cs="Times New Roman"/>
          <w:sz w:val="28"/>
          <w:szCs w:val="28"/>
        </w:rPr>
        <w:t xml:space="preserve">consists of three unique functional subunits: the </w:t>
      </w:r>
      <w:r w:rsidRPr="00D81B62">
        <w:rPr>
          <w:rFonts w:ascii="Times New Roman" w:hAnsi="Times New Roman" w:cs="Times New Roman"/>
          <w:sz w:val="28"/>
          <w:szCs w:val="28"/>
        </w:rPr>
        <w:t xml:space="preserve">acid polymerase protein (PA), the main protein of polymerase 1 (PB1), and the main protein of polymerase 2 (PB2) [86]. The protease activity must be triggered quickly and accurately to bind </w:t>
      </w:r>
      <w:r w:rsidR="00C11493">
        <w:rPr>
          <w:rFonts w:ascii="Times New Roman" w:hAnsi="Times New Roman" w:cs="Times New Roman"/>
          <w:sz w:val="28"/>
          <w:szCs w:val="28"/>
        </w:rPr>
        <w:t xml:space="preserve">the 5'-mRNA capsule, initiating viral mRNA replication and facilitating </w:t>
      </w:r>
      <w:r w:rsidR="0046110C" w:rsidRPr="00D81B62">
        <w:rPr>
          <w:rFonts w:ascii="Times New Roman" w:hAnsi="Times New Roman" w:cs="Times New Roman"/>
          <w:sz w:val="28"/>
          <w:szCs w:val="28"/>
        </w:rPr>
        <w:t>translation of viral nucleoproteins</w:t>
      </w:r>
      <w:r w:rsidRPr="00D81B62">
        <w:rPr>
          <w:rFonts w:ascii="Times New Roman" w:hAnsi="Times New Roman" w:cs="Times New Roman"/>
          <w:sz w:val="28"/>
          <w:szCs w:val="28"/>
        </w:rPr>
        <w:t xml:space="preserve">. Interestingly, the host mRNA mechanism is actively involved; viral RNA has only primers to initiate </w:t>
      </w:r>
      <w:r w:rsidR="00C11493">
        <w:rPr>
          <w:rFonts w:ascii="Times New Roman" w:hAnsi="Times New Roman" w:cs="Times New Roman"/>
          <w:sz w:val="28"/>
          <w:szCs w:val="28"/>
        </w:rPr>
        <w:t>viral mRNA replication, which, in turn, is translated</w:t>
      </w:r>
      <w:r w:rsidRPr="00D81B62">
        <w:rPr>
          <w:rFonts w:ascii="Times New Roman" w:hAnsi="Times New Roman" w:cs="Times New Roman"/>
          <w:sz w:val="28"/>
          <w:szCs w:val="28"/>
        </w:rPr>
        <w:t xml:space="preserve"> into proteins for further structural purposes</w:t>
      </w:r>
      <w:bookmarkEnd w:id="15"/>
      <w:r w:rsidRPr="00D81B62">
        <w:rPr>
          <w:rFonts w:ascii="Times New Roman" w:hAnsi="Times New Roman" w:cs="Times New Roman"/>
          <w:sz w:val="28"/>
          <w:szCs w:val="28"/>
        </w:rPr>
        <w:t xml:space="preserve">. </w:t>
      </w:r>
    </w:p>
    <w:p w14:paraId="3A77669C" w14:textId="6E1DC1FF" w:rsidR="00205A90" w:rsidRPr="00D81B62" w:rsidRDefault="00853685" w:rsidP="00D81B62">
      <w:pPr>
        <w:spacing w:after="0" w:line="240" w:lineRule="auto"/>
        <w:ind w:firstLine="708"/>
        <w:jc w:val="both"/>
        <w:rPr>
          <w:rFonts w:ascii="Times New Roman" w:hAnsi="Times New Roman" w:cs="Times New Roman"/>
          <w:sz w:val="28"/>
          <w:szCs w:val="28"/>
        </w:rPr>
      </w:pPr>
      <w:r w:rsidRPr="00D81B62">
        <w:rPr>
          <w:rFonts w:ascii="Times New Roman" w:hAnsi="Times New Roman" w:cs="Times New Roman"/>
          <w:sz w:val="28"/>
          <w:szCs w:val="28"/>
        </w:rPr>
        <w:t xml:space="preserve">Thus, nucleoside analogues can also have a </w:t>
      </w:r>
      <w:r w:rsidR="0046110C" w:rsidRPr="00D81B62">
        <w:rPr>
          <w:rFonts w:ascii="Times New Roman" w:hAnsi="Times New Roman" w:cs="Times New Roman"/>
          <w:sz w:val="28"/>
          <w:szCs w:val="28"/>
        </w:rPr>
        <w:t xml:space="preserve">significantly negative impact on viral genome fitness, causing fatal errors that disable Influenza A and B from replicating the mature </w:t>
      </w:r>
      <w:r w:rsidR="00D10872" w:rsidRPr="00D81B62">
        <w:rPr>
          <w:rFonts w:ascii="Times New Roman" w:hAnsi="Times New Roman" w:cs="Times New Roman"/>
          <w:sz w:val="28"/>
          <w:szCs w:val="28"/>
        </w:rPr>
        <w:t>RNA. Their</w:t>
      </w:r>
      <w:r w:rsidR="0046110C" w:rsidRPr="00D81B62">
        <w:rPr>
          <w:rFonts w:ascii="Times New Roman" w:hAnsi="Times New Roman" w:cs="Times New Roman"/>
          <w:sz w:val="28"/>
          <w:szCs w:val="28"/>
        </w:rPr>
        <w:t xml:space="preserve"> combination with Baloxavir </w:t>
      </w:r>
      <w:r w:rsidR="00C11493">
        <w:rPr>
          <w:rFonts w:ascii="Times New Roman" w:hAnsi="Times New Roman" w:cs="Times New Roman"/>
          <w:sz w:val="28"/>
          <w:szCs w:val="28"/>
        </w:rPr>
        <w:t>exhibits pharmacokinetic and bioactive (diphosphate and triphosphate</w:t>
      </w:r>
      <w:r w:rsidR="0046110C" w:rsidRPr="00D81B62">
        <w:rPr>
          <w:rFonts w:ascii="Times New Roman" w:hAnsi="Times New Roman" w:cs="Times New Roman"/>
          <w:sz w:val="28"/>
          <w:szCs w:val="28"/>
        </w:rPr>
        <w:t>) inhibitory activity</w:t>
      </w:r>
      <w:r w:rsidRPr="00D81B62">
        <w:rPr>
          <w:rFonts w:ascii="Times New Roman" w:hAnsi="Times New Roman" w:cs="Times New Roman"/>
          <w:sz w:val="28"/>
          <w:szCs w:val="28"/>
        </w:rPr>
        <w:t xml:space="preserve">. Baloxavir is a potent drug against Influenza A and B viruses, </w:t>
      </w:r>
      <w:r w:rsidR="00C11493">
        <w:rPr>
          <w:rFonts w:ascii="Times New Roman" w:hAnsi="Times New Roman" w:cs="Times New Roman"/>
          <w:sz w:val="28"/>
          <w:szCs w:val="28"/>
        </w:rPr>
        <w:t xml:space="preserve">with low cytotoxicity and no drug resistance reported </w:t>
      </w:r>
      <w:r w:rsidRPr="00D81B62">
        <w:rPr>
          <w:rFonts w:ascii="Times New Roman" w:hAnsi="Times New Roman" w:cs="Times New Roman"/>
          <w:sz w:val="28"/>
          <w:szCs w:val="28"/>
        </w:rPr>
        <w:t xml:space="preserve">by 2024 [85]. In addition, it is </w:t>
      </w:r>
      <w:r w:rsidR="0046110C" w:rsidRPr="00D81B62">
        <w:rPr>
          <w:rFonts w:ascii="Times New Roman" w:hAnsi="Times New Roman" w:cs="Times New Roman"/>
          <w:sz w:val="28"/>
          <w:szCs w:val="28"/>
        </w:rPr>
        <w:t xml:space="preserve">typically prescribed for infants </w:t>
      </w:r>
      <w:r w:rsidR="00C11493">
        <w:rPr>
          <w:rFonts w:ascii="Times New Roman" w:hAnsi="Times New Roman" w:cs="Times New Roman"/>
          <w:sz w:val="28"/>
          <w:szCs w:val="28"/>
        </w:rPr>
        <w:t>under 12 and has</w:t>
      </w:r>
      <w:r w:rsidR="0046110C" w:rsidRPr="00D81B62">
        <w:rPr>
          <w:rFonts w:ascii="Times New Roman" w:hAnsi="Times New Roman" w:cs="Times New Roman"/>
          <w:sz w:val="28"/>
          <w:szCs w:val="28"/>
        </w:rPr>
        <w:t xml:space="preserve"> minimal side effects, making it a potential preventive measure</w:t>
      </w:r>
      <w:r w:rsidRPr="00D81B62">
        <w:rPr>
          <w:rFonts w:ascii="Times New Roman" w:hAnsi="Times New Roman" w:cs="Times New Roman"/>
          <w:sz w:val="28"/>
          <w:szCs w:val="28"/>
        </w:rPr>
        <w:t xml:space="preserve"> against seasonal influenza A and B strains. </w:t>
      </w:r>
      <w:r w:rsidR="00C11493">
        <w:rPr>
          <w:rFonts w:ascii="Times New Roman" w:hAnsi="Times New Roman" w:cs="Times New Roman"/>
          <w:sz w:val="28"/>
          <w:szCs w:val="28"/>
        </w:rPr>
        <w:t>Prevention makes sense because, in general</w:t>
      </w:r>
      <w:r w:rsidRPr="00D81B62">
        <w:rPr>
          <w:rFonts w:ascii="Times New Roman" w:hAnsi="Times New Roman" w:cs="Times New Roman"/>
          <w:sz w:val="28"/>
          <w:szCs w:val="28"/>
        </w:rPr>
        <w:t xml:space="preserve">, antiviral drugs are effective </w:t>
      </w:r>
      <w:r w:rsidR="0046110C" w:rsidRPr="00D81B62">
        <w:rPr>
          <w:rFonts w:ascii="Times New Roman" w:hAnsi="Times New Roman" w:cs="Times New Roman"/>
          <w:sz w:val="28"/>
          <w:szCs w:val="28"/>
        </w:rPr>
        <w:t>within the first 48 hours as potent agents to stop the initial viral spread of influenza A and B viruses</w:t>
      </w:r>
      <w:r w:rsidRPr="00D81B62">
        <w:rPr>
          <w:rFonts w:ascii="Times New Roman" w:hAnsi="Times New Roman" w:cs="Times New Roman"/>
          <w:sz w:val="28"/>
          <w:szCs w:val="28"/>
        </w:rPr>
        <w:t xml:space="preserve">, and Baloxavir is no exception. </w:t>
      </w:r>
    </w:p>
    <w:p w14:paraId="1F601421" w14:textId="17CA8E30" w:rsidR="001730D5" w:rsidRPr="00B75453" w:rsidRDefault="00205A90" w:rsidP="00503519">
      <w:pPr>
        <w:spacing w:after="0" w:line="240" w:lineRule="auto"/>
        <w:ind w:firstLine="709"/>
        <w:jc w:val="both"/>
        <w:rPr>
          <w:rFonts w:ascii="Times New Roman" w:hAnsi="Times New Roman" w:cs="Times New Roman"/>
          <w:sz w:val="28"/>
          <w:szCs w:val="28"/>
          <w:lang w:val="en-US"/>
        </w:rPr>
      </w:pPr>
      <w:r w:rsidRPr="00D81B62">
        <w:rPr>
          <w:rFonts w:ascii="Times New Roman" w:hAnsi="Times New Roman" w:cs="Times New Roman"/>
          <w:sz w:val="28"/>
          <w:szCs w:val="28"/>
        </w:rPr>
        <w:t>The</w:t>
      </w:r>
      <w:r w:rsidR="00853685" w:rsidRPr="00D81B62">
        <w:rPr>
          <w:rFonts w:ascii="Times New Roman" w:hAnsi="Times New Roman" w:cs="Times New Roman"/>
          <w:sz w:val="28"/>
          <w:szCs w:val="28"/>
        </w:rPr>
        <w:t xml:space="preserve"> </w:t>
      </w:r>
      <w:r w:rsidR="0046110C" w:rsidRPr="00D81B62">
        <w:rPr>
          <w:rFonts w:ascii="Times New Roman" w:hAnsi="Times New Roman" w:cs="Times New Roman"/>
          <w:sz w:val="28"/>
          <w:szCs w:val="28"/>
        </w:rPr>
        <w:t>administration of antiviral drugs must be closely monitored to prevent the development of persistent drug resistance among circulating viral infection variants annually</w:t>
      </w:r>
      <w:r w:rsidR="00853685" w:rsidRPr="00D81B62">
        <w:rPr>
          <w:rFonts w:ascii="Times New Roman" w:hAnsi="Times New Roman" w:cs="Times New Roman"/>
          <w:sz w:val="28"/>
          <w:szCs w:val="28"/>
        </w:rPr>
        <w:t xml:space="preserve"> [87-89]</w:t>
      </w:r>
      <w:r w:rsidR="00347737" w:rsidRPr="00D81B62">
        <w:rPr>
          <w:rFonts w:ascii="Times New Roman" w:hAnsi="Times New Roman" w:cs="Times New Roman"/>
          <w:sz w:val="28"/>
          <w:szCs w:val="28"/>
        </w:rPr>
        <w:t xml:space="preserve">. </w:t>
      </w:r>
      <w:r w:rsidR="00853685" w:rsidRPr="00D81B62">
        <w:rPr>
          <w:rFonts w:ascii="Times New Roman" w:hAnsi="Times New Roman" w:cs="Times New Roman"/>
          <w:sz w:val="28"/>
          <w:szCs w:val="28"/>
        </w:rPr>
        <w:t xml:space="preserve">Baloxavir and Favipiravir are novel antiviral drugs and the safest ones in </w:t>
      </w:r>
      <w:r w:rsidR="00D10872" w:rsidRPr="00D81B62">
        <w:rPr>
          <w:rFonts w:ascii="Times New Roman" w:hAnsi="Times New Roman" w:cs="Times New Roman"/>
          <w:sz w:val="28"/>
          <w:szCs w:val="28"/>
        </w:rPr>
        <w:t>in vitro</w:t>
      </w:r>
      <w:r w:rsidR="00853685" w:rsidRPr="00D81B62">
        <w:rPr>
          <w:rFonts w:ascii="Times New Roman" w:hAnsi="Times New Roman" w:cs="Times New Roman"/>
          <w:sz w:val="28"/>
          <w:szCs w:val="28"/>
        </w:rPr>
        <w:t xml:space="preserve"> and clinical studies. Favipiravir can also inhibit the polymerase essential protein 1 in </w:t>
      </w:r>
      <w:r w:rsidR="0046110C" w:rsidRPr="00D81B62">
        <w:rPr>
          <w:rFonts w:ascii="Times New Roman" w:hAnsi="Times New Roman" w:cs="Times New Roman"/>
          <w:sz w:val="28"/>
          <w:szCs w:val="28"/>
        </w:rPr>
        <w:t>the influenza RdRP complex</w:t>
      </w:r>
      <w:r w:rsidR="00853685" w:rsidRPr="00D81B62">
        <w:rPr>
          <w:rFonts w:ascii="Times New Roman" w:hAnsi="Times New Roman" w:cs="Times New Roman"/>
          <w:sz w:val="28"/>
          <w:szCs w:val="28"/>
        </w:rPr>
        <w:t xml:space="preserve"> [88</w:t>
      </w:r>
      <w:r w:rsidR="001012BE" w:rsidRPr="001012BE">
        <w:rPr>
          <w:rFonts w:ascii="Times New Roman" w:hAnsi="Times New Roman" w:cs="Times New Roman"/>
          <w:sz w:val="28"/>
          <w:szCs w:val="28"/>
          <w:lang w:val="en-US"/>
        </w:rPr>
        <w:t>-</w:t>
      </w:r>
      <w:r w:rsidR="00853685" w:rsidRPr="00D81B62">
        <w:rPr>
          <w:rFonts w:ascii="Times New Roman" w:hAnsi="Times New Roman" w:cs="Times New Roman"/>
          <w:sz w:val="28"/>
          <w:szCs w:val="28"/>
        </w:rPr>
        <w:t xml:space="preserve">90]. Unlike </w:t>
      </w:r>
      <w:r w:rsidR="0046110C" w:rsidRPr="00D81B62">
        <w:rPr>
          <w:rFonts w:ascii="Times New Roman" w:hAnsi="Times New Roman" w:cs="Times New Roman"/>
          <w:sz w:val="28"/>
          <w:szCs w:val="28"/>
        </w:rPr>
        <w:t>the flu</w:t>
      </w:r>
      <w:r w:rsidR="00C11493">
        <w:rPr>
          <w:rFonts w:ascii="Times New Roman" w:hAnsi="Times New Roman" w:cs="Times New Roman"/>
          <w:sz w:val="28"/>
          <w:szCs w:val="28"/>
        </w:rPr>
        <w:t>, SARS-CoV-2 has a duration of about 7-10 days before antiviral drugs become</w:t>
      </w:r>
      <w:r w:rsidR="0046110C" w:rsidRPr="00D81B62">
        <w:rPr>
          <w:rFonts w:ascii="Times New Roman" w:hAnsi="Times New Roman" w:cs="Times New Roman"/>
          <w:sz w:val="28"/>
          <w:szCs w:val="28"/>
        </w:rPr>
        <w:t xml:space="preserve"> effective</w:t>
      </w:r>
      <w:r w:rsidR="00853685" w:rsidRPr="00D81B62">
        <w:rPr>
          <w:rFonts w:ascii="Times New Roman" w:hAnsi="Times New Roman" w:cs="Times New Roman"/>
          <w:sz w:val="28"/>
          <w:szCs w:val="28"/>
        </w:rPr>
        <w:t>. The new Fabiflu 400mg tablets, along with Baloxavir 40</w:t>
      </w:r>
      <w:r w:rsidR="00D10872" w:rsidRPr="00D81B62">
        <w:rPr>
          <w:rFonts w:ascii="Times New Roman" w:hAnsi="Times New Roman" w:cs="Times New Roman"/>
          <w:sz w:val="28"/>
          <w:szCs w:val="28"/>
        </w:rPr>
        <w:t>mg and 80mg, represent an effective combination against seasonal Influenza A and B, as well as the SARS-CoV-2 virus variant of concern, particularly</w:t>
      </w:r>
      <w:r w:rsidR="0046110C" w:rsidRPr="00D81B62">
        <w:rPr>
          <w:rFonts w:ascii="Times New Roman" w:hAnsi="Times New Roman" w:cs="Times New Roman"/>
          <w:sz w:val="28"/>
          <w:szCs w:val="28"/>
        </w:rPr>
        <w:t xml:space="preserve"> for children and individuals</w:t>
      </w:r>
      <w:r w:rsidR="00853685" w:rsidRPr="00D81B62">
        <w:rPr>
          <w:rFonts w:ascii="Times New Roman" w:hAnsi="Times New Roman" w:cs="Times New Roman"/>
          <w:sz w:val="28"/>
          <w:szCs w:val="28"/>
        </w:rPr>
        <w:t xml:space="preserve"> with compromised immunity.</w:t>
      </w:r>
      <w:r w:rsidR="00437B5F" w:rsidRPr="00D81B62">
        <w:rPr>
          <w:rFonts w:ascii="Times New Roman" w:hAnsi="Times New Roman" w:cs="Times New Roman"/>
          <w:sz w:val="28"/>
          <w:szCs w:val="28"/>
        </w:rPr>
        <w:t xml:space="preserve"> </w:t>
      </w:r>
    </w:p>
    <w:p w14:paraId="265C5160" w14:textId="6729C9E0" w:rsidR="007041EB" w:rsidRPr="00D81B62" w:rsidRDefault="00853685" w:rsidP="00503519">
      <w:pPr>
        <w:spacing w:after="0" w:line="240" w:lineRule="auto"/>
        <w:ind w:firstLine="709"/>
        <w:jc w:val="both"/>
        <w:rPr>
          <w:rFonts w:ascii="Times New Roman" w:hAnsi="Times New Roman" w:cs="Times New Roman"/>
          <w:sz w:val="28"/>
          <w:szCs w:val="28"/>
          <w:lang w:val="en-US"/>
        </w:rPr>
      </w:pPr>
      <w:r w:rsidRPr="00D81B62">
        <w:rPr>
          <w:rFonts w:ascii="Times New Roman" w:hAnsi="Times New Roman" w:cs="Times New Roman"/>
          <w:sz w:val="28"/>
          <w:szCs w:val="28"/>
        </w:rPr>
        <w:t>Finally, the last group of Influenza antiviral drugs</w:t>
      </w:r>
      <w:r w:rsidR="007B5971" w:rsidRPr="00D81B62">
        <w:rPr>
          <w:rFonts w:ascii="Times New Roman" w:hAnsi="Times New Roman" w:cs="Times New Roman"/>
          <w:sz w:val="28"/>
          <w:szCs w:val="28"/>
        </w:rPr>
        <w:t xml:space="preserve"> targets the most fundamental enzyme of Influenza A and B – the neuraminidase,</w:t>
      </w:r>
      <w:r w:rsidRPr="00D81B62">
        <w:rPr>
          <w:rFonts w:ascii="Times New Roman" w:hAnsi="Times New Roman" w:cs="Times New Roman"/>
          <w:sz w:val="28"/>
          <w:szCs w:val="28"/>
        </w:rPr>
        <w:t xml:space="preserve"> located on the surface of viral particles [91].  </w:t>
      </w:r>
      <w:r w:rsidR="00C11493">
        <w:rPr>
          <w:rFonts w:ascii="Times New Roman" w:hAnsi="Times New Roman" w:cs="Times New Roman"/>
          <w:sz w:val="28"/>
          <w:szCs w:val="28"/>
        </w:rPr>
        <w:t xml:space="preserve">Inhibition of this enzyme is paramount </w:t>
      </w:r>
      <w:r w:rsidR="0070425A">
        <w:rPr>
          <w:rFonts w:ascii="Times New Roman" w:hAnsi="Times New Roman" w:cs="Times New Roman"/>
          <w:sz w:val="28"/>
          <w:szCs w:val="28"/>
        </w:rPr>
        <w:t xml:space="preserve">for combating the spread of the flu virus, </w:t>
      </w:r>
      <w:r w:rsidR="007B5971" w:rsidRPr="00D81B62">
        <w:rPr>
          <w:rFonts w:ascii="Times New Roman" w:hAnsi="Times New Roman" w:cs="Times New Roman"/>
          <w:sz w:val="28"/>
          <w:szCs w:val="28"/>
        </w:rPr>
        <w:t xml:space="preserve">whether it is </w:t>
      </w:r>
      <w:r w:rsidR="00E46137">
        <w:rPr>
          <w:rFonts w:ascii="Times New Roman" w:hAnsi="Times New Roman" w:cs="Times New Roman"/>
          <w:sz w:val="28"/>
          <w:szCs w:val="28"/>
        </w:rPr>
        <w:t>influenza A or B</w:t>
      </w:r>
      <w:r w:rsidRPr="00D81B62">
        <w:rPr>
          <w:rFonts w:ascii="Times New Roman" w:hAnsi="Times New Roman" w:cs="Times New Roman"/>
          <w:sz w:val="28"/>
          <w:szCs w:val="28"/>
        </w:rPr>
        <w:t xml:space="preserve">. In sharp contrast to M2-Ion channel inhibitors, the neuraminidase inhibitor </w:t>
      </w:r>
      <w:r w:rsidR="007B5971" w:rsidRPr="00D81B62">
        <w:rPr>
          <w:rFonts w:ascii="Times New Roman" w:hAnsi="Times New Roman" w:cs="Times New Roman"/>
          <w:sz w:val="28"/>
          <w:szCs w:val="28"/>
        </w:rPr>
        <w:t xml:space="preserve">oseltamivir is potent </w:t>
      </w:r>
      <w:r w:rsidR="001730D5">
        <w:rPr>
          <w:rFonts w:ascii="Times New Roman" w:hAnsi="Times New Roman" w:cs="Times New Roman"/>
          <w:sz w:val="28"/>
          <w:szCs w:val="28"/>
        </w:rPr>
        <w:t>at stopping the spread of viral infections caused by</w:t>
      </w:r>
      <w:r w:rsidRPr="00D81B62">
        <w:rPr>
          <w:rFonts w:ascii="Times New Roman" w:hAnsi="Times New Roman" w:cs="Times New Roman"/>
          <w:sz w:val="28"/>
          <w:szCs w:val="28"/>
        </w:rPr>
        <w:t xml:space="preserve"> Influenza types A and B. The type B virus </w:t>
      </w:r>
      <w:r w:rsidR="00C11493">
        <w:rPr>
          <w:rFonts w:ascii="Times New Roman" w:hAnsi="Times New Roman" w:cs="Times New Roman"/>
          <w:sz w:val="28"/>
          <w:szCs w:val="28"/>
        </w:rPr>
        <w:t>lacks an M2 Protein, and drugs such as amantadine or rimantadine have</w:t>
      </w:r>
      <w:r w:rsidR="007B5971" w:rsidRPr="00D81B62">
        <w:rPr>
          <w:rFonts w:ascii="Times New Roman" w:hAnsi="Times New Roman" w:cs="Times New Roman"/>
          <w:sz w:val="28"/>
          <w:szCs w:val="28"/>
        </w:rPr>
        <w:t xml:space="preserve"> no clinical effect in patients with an</w:t>
      </w:r>
      <w:r w:rsidRPr="00D81B62">
        <w:rPr>
          <w:rFonts w:ascii="Times New Roman" w:hAnsi="Times New Roman" w:cs="Times New Roman"/>
          <w:sz w:val="28"/>
          <w:szCs w:val="28"/>
        </w:rPr>
        <w:t xml:space="preserve"> Influenza B virus infection [91-92]. </w:t>
      </w:r>
    </w:p>
    <w:p w14:paraId="14AA10F5" w14:textId="4816ABB4" w:rsidR="0062490A" w:rsidRPr="00D81B62" w:rsidRDefault="00C11493" w:rsidP="0050351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Neuraminidase inhibition occurs during the terminal stage of virion assembly within the host cell; without the active neuraminidase enzyme, the newly produced virus cannot cleave sialic acid and, therefore, cannot</w:t>
      </w:r>
      <w:r w:rsidR="007B5971" w:rsidRPr="00D81B62">
        <w:rPr>
          <w:rFonts w:ascii="Times New Roman" w:hAnsi="Times New Roman" w:cs="Times New Roman"/>
          <w:sz w:val="28"/>
          <w:szCs w:val="28"/>
        </w:rPr>
        <w:t xml:space="preserve"> escape from the infected host cell </w:t>
      </w:r>
      <w:r w:rsidR="007B5971" w:rsidRPr="00D81B62">
        <w:rPr>
          <w:rFonts w:ascii="Times New Roman" w:hAnsi="Times New Roman" w:cs="Times New Roman"/>
          <w:sz w:val="28"/>
          <w:szCs w:val="28"/>
        </w:rPr>
        <w:lastRenderedPageBreak/>
        <w:t xml:space="preserve">in the </w:t>
      </w:r>
      <w:r w:rsidR="00853685" w:rsidRPr="00D81B62">
        <w:rPr>
          <w:rFonts w:ascii="Times New Roman" w:hAnsi="Times New Roman" w:cs="Times New Roman"/>
          <w:sz w:val="28"/>
          <w:szCs w:val="28"/>
        </w:rPr>
        <w:t xml:space="preserve">respiratory tract [92-94]. </w:t>
      </w:r>
      <w:r w:rsidR="00D413CE" w:rsidRPr="00D81B62">
        <w:rPr>
          <w:rFonts w:ascii="Times New Roman" w:hAnsi="Times New Roman" w:cs="Times New Roman"/>
          <w:sz w:val="28"/>
          <w:szCs w:val="28"/>
        </w:rPr>
        <w:t>Oseltamivir</w:t>
      </w:r>
      <w:r w:rsidR="00853685" w:rsidRPr="00D81B62">
        <w:rPr>
          <w:rFonts w:ascii="Times New Roman" w:hAnsi="Times New Roman" w:cs="Times New Roman"/>
          <w:sz w:val="28"/>
          <w:szCs w:val="28"/>
        </w:rPr>
        <w:t xml:space="preserve"> is </w:t>
      </w:r>
      <w:r w:rsidR="00D413CE" w:rsidRPr="00D81B62">
        <w:rPr>
          <w:rFonts w:ascii="Times New Roman" w:hAnsi="Times New Roman" w:cs="Times New Roman"/>
          <w:sz w:val="28"/>
          <w:szCs w:val="28"/>
        </w:rPr>
        <w:t xml:space="preserve">an </w:t>
      </w:r>
      <w:r w:rsidR="00853685" w:rsidRPr="00D81B62">
        <w:rPr>
          <w:rFonts w:ascii="Times New Roman" w:hAnsi="Times New Roman" w:cs="Times New Roman"/>
          <w:sz w:val="28"/>
          <w:szCs w:val="28"/>
        </w:rPr>
        <w:t>antiviral agent. It is a prodrug whose active metabolite</w:t>
      </w:r>
      <w:r w:rsidR="007B5971" w:rsidRPr="00D81B62">
        <w:rPr>
          <w:rFonts w:ascii="Times New Roman" w:hAnsi="Times New Roman" w:cs="Times New Roman"/>
          <w:sz w:val="28"/>
          <w:szCs w:val="28"/>
        </w:rPr>
        <w:t xml:space="preserve">, oseltamivir carboxylate, selectively inhibits the </w:t>
      </w:r>
      <w:r w:rsidR="00853685" w:rsidRPr="00D81B62">
        <w:rPr>
          <w:rFonts w:ascii="Times New Roman" w:hAnsi="Times New Roman" w:cs="Times New Roman"/>
          <w:sz w:val="28"/>
          <w:szCs w:val="28"/>
        </w:rPr>
        <w:t xml:space="preserve">neuraminidase of influenza virus types A and B. Neuraminidase is a glycoprotein that </w:t>
      </w:r>
      <w:r w:rsidR="007B5971" w:rsidRPr="00D81B62">
        <w:rPr>
          <w:rFonts w:ascii="Times New Roman" w:hAnsi="Times New Roman" w:cs="Times New Roman"/>
          <w:sz w:val="28"/>
          <w:szCs w:val="28"/>
        </w:rPr>
        <w:t>catalyses</w:t>
      </w:r>
      <w:r w:rsidR="00853685" w:rsidRPr="00D81B62">
        <w:rPr>
          <w:rFonts w:ascii="Times New Roman" w:hAnsi="Times New Roman" w:cs="Times New Roman"/>
          <w:sz w:val="28"/>
          <w:szCs w:val="28"/>
        </w:rPr>
        <w:t xml:space="preserve"> the cleavage of the bond between </w:t>
      </w:r>
      <w:r w:rsidR="007B5971" w:rsidRPr="00D81B62">
        <w:rPr>
          <w:rFonts w:ascii="Times New Roman" w:hAnsi="Times New Roman" w:cs="Times New Roman"/>
          <w:sz w:val="28"/>
          <w:szCs w:val="28"/>
        </w:rPr>
        <w:t xml:space="preserve">the terminal sialic acid and sugar, thereby facilitating the spread of the virus in the respiratory tract. </w:t>
      </w:r>
    </w:p>
    <w:p w14:paraId="33C4E896" w14:textId="310B3A42" w:rsidR="007041EB" w:rsidRPr="00D81B62" w:rsidRDefault="007B5971" w:rsidP="00D81B62">
      <w:pPr>
        <w:spacing w:after="0" w:line="240" w:lineRule="auto"/>
        <w:ind w:firstLine="709"/>
        <w:jc w:val="both"/>
        <w:rPr>
          <w:rFonts w:ascii="Times New Roman" w:hAnsi="Times New Roman" w:cs="Times New Roman"/>
          <w:sz w:val="28"/>
          <w:szCs w:val="28"/>
          <w:lang w:val="en-US"/>
        </w:rPr>
      </w:pPr>
      <w:r w:rsidRPr="00D81B62">
        <w:rPr>
          <w:rFonts w:ascii="Times New Roman" w:hAnsi="Times New Roman" w:cs="Times New Roman"/>
          <w:sz w:val="28"/>
          <w:szCs w:val="28"/>
        </w:rPr>
        <w:t xml:space="preserve">This process involves the release of virions from an infected cell and their penetration into </w:t>
      </w:r>
      <w:r w:rsidR="001730D5">
        <w:rPr>
          <w:rFonts w:ascii="Times New Roman" w:hAnsi="Times New Roman" w:cs="Times New Roman"/>
          <w:sz w:val="28"/>
          <w:szCs w:val="28"/>
        </w:rPr>
        <w:t xml:space="preserve">the epithelial cells of the respiratory tract, thereby preventing inactivation </w:t>
      </w:r>
      <w:r w:rsidRPr="00D81B62">
        <w:rPr>
          <w:rFonts w:ascii="Times New Roman" w:hAnsi="Times New Roman" w:cs="Times New Roman"/>
          <w:sz w:val="28"/>
          <w:szCs w:val="28"/>
        </w:rPr>
        <w:t>by epithelial mucus</w:t>
      </w:r>
      <w:r w:rsidR="00853685" w:rsidRPr="00D81B62">
        <w:rPr>
          <w:rFonts w:ascii="Times New Roman" w:hAnsi="Times New Roman" w:cs="Times New Roman"/>
          <w:sz w:val="28"/>
          <w:szCs w:val="28"/>
        </w:rPr>
        <w:t xml:space="preserve">. Oseltamivir carboxylate acts outside cells and competitively inhibits viral neuraminidase. It suppresses the growth of the influenza virus in vitro and </w:t>
      </w:r>
      <w:r w:rsidRPr="00D81B62">
        <w:rPr>
          <w:rFonts w:ascii="Times New Roman" w:hAnsi="Times New Roman" w:cs="Times New Roman"/>
          <w:sz w:val="28"/>
          <w:szCs w:val="28"/>
        </w:rPr>
        <w:t xml:space="preserve">inhibits </w:t>
      </w:r>
      <w:r w:rsidR="001730D5">
        <w:rPr>
          <w:rFonts w:ascii="Times New Roman" w:hAnsi="Times New Roman" w:cs="Times New Roman"/>
          <w:sz w:val="28"/>
          <w:szCs w:val="28"/>
        </w:rPr>
        <w:t>its replication and pathogenicity</w:t>
      </w:r>
      <w:r w:rsidR="00853685" w:rsidRPr="00D81B62">
        <w:rPr>
          <w:rFonts w:ascii="Times New Roman" w:hAnsi="Times New Roman" w:cs="Times New Roman"/>
          <w:sz w:val="28"/>
          <w:szCs w:val="28"/>
        </w:rPr>
        <w:t xml:space="preserve"> in vivo. Reduces the release of influenza A and B viruses from the body [90]. According to </w:t>
      </w:r>
      <w:r w:rsidRPr="00D81B62">
        <w:rPr>
          <w:rFonts w:ascii="Times New Roman" w:hAnsi="Times New Roman" w:cs="Times New Roman"/>
          <w:sz w:val="28"/>
          <w:szCs w:val="28"/>
        </w:rPr>
        <w:t xml:space="preserve">recent studies, oseltamivir shows its maximum clinical effect within 36 hours during the 48-hour infection period and significantly reduces symptomatic signs </w:t>
      </w:r>
      <w:r w:rsidR="001730D5">
        <w:rPr>
          <w:rFonts w:ascii="Times New Roman" w:hAnsi="Times New Roman" w:cs="Times New Roman"/>
          <w:sz w:val="28"/>
          <w:szCs w:val="28"/>
        </w:rPr>
        <w:t>when administered on time</w:t>
      </w:r>
      <w:r w:rsidR="00853685" w:rsidRPr="00D81B62">
        <w:rPr>
          <w:rFonts w:ascii="Times New Roman" w:hAnsi="Times New Roman" w:cs="Times New Roman"/>
          <w:sz w:val="28"/>
          <w:szCs w:val="28"/>
        </w:rPr>
        <w:t xml:space="preserve"> [59-89].</w:t>
      </w:r>
    </w:p>
    <w:p w14:paraId="15D60381" w14:textId="77777777" w:rsidR="001012BE" w:rsidRPr="00B75453" w:rsidRDefault="00853685" w:rsidP="00D81B62">
      <w:pPr>
        <w:spacing w:after="0" w:line="240" w:lineRule="auto"/>
        <w:ind w:firstLine="709"/>
        <w:jc w:val="both"/>
        <w:rPr>
          <w:rFonts w:ascii="Times New Roman" w:hAnsi="Times New Roman" w:cs="Times New Roman"/>
          <w:sz w:val="28"/>
          <w:szCs w:val="28"/>
          <w:lang w:val="en-US"/>
        </w:rPr>
      </w:pPr>
      <w:r w:rsidRPr="00D81B62">
        <w:rPr>
          <w:rFonts w:ascii="Times New Roman" w:hAnsi="Times New Roman" w:cs="Times New Roman"/>
          <w:sz w:val="28"/>
          <w:szCs w:val="28"/>
        </w:rPr>
        <w:t xml:space="preserve"> To sum up, oseltamivir 75mg can be used as a prevention medication as much as Baloxavir 40mg during the seasonal influenza outbreak. Both drugs are safe and effective against Influenza A and B types and can be used among vaccinated and </w:t>
      </w:r>
      <w:r w:rsidR="007B5971" w:rsidRPr="00D81B62">
        <w:rPr>
          <w:rFonts w:ascii="Times New Roman" w:hAnsi="Times New Roman" w:cs="Times New Roman"/>
          <w:sz w:val="28"/>
          <w:szCs w:val="28"/>
        </w:rPr>
        <w:t xml:space="preserve">immunocompromised individuals during the </w:t>
      </w:r>
      <w:r w:rsidRPr="00D81B62">
        <w:rPr>
          <w:rFonts w:ascii="Times New Roman" w:hAnsi="Times New Roman" w:cs="Times New Roman"/>
          <w:sz w:val="28"/>
          <w:szCs w:val="28"/>
        </w:rPr>
        <w:t xml:space="preserve">so-called flu season. Baloxavir </w:t>
      </w:r>
      <w:r w:rsidR="007B5971" w:rsidRPr="00D81B62">
        <w:rPr>
          <w:rFonts w:ascii="Times New Roman" w:hAnsi="Times New Roman" w:cs="Times New Roman"/>
          <w:sz w:val="28"/>
          <w:szCs w:val="28"/>
        </w:rPr>
        <w:t xml:space="preserve">exhibits relatively low antiviral resistance, with a resistance rate of only 1%, </w:t>
      </w:r>
      <w:r w:rsidR="00D10872" w:rsidRPr="00D81B62">
        <w:rPr>
          <w:rFonts w:ascii="Times New Roman" w:hAnsi="Times New Roman" w:cs="Times New Roman"/>
          <w:sz w:val="28"/>
          <w:szCs w:val="28"/>
        </w:rPr>
        <w:t>while oseltamivir has a resistance rate of 2%</w:t>
      </w:r>
      <w:r w:rsidRPr="00D81B62">
        <w:rPr>
          <w:rFonts w:ascii="Times New Roman" w:hAnsi="Times New Roman" w:cs="Times New Roman"/>
          <w:sz w:val="28"/>
          <w:szCs w:val="28"/>
        </w:rPr>
        <w:t>.</w:t>
      </w:r>
    </w:p>
    <w:p w14:paraId="00F3D008" w14:textId="63D8EBAA" w:rsidR="007041EB" w:rsidRPr="00D81B62" w:rsidRDefault="00853685" w:rsidP="00D81B62">
      <w:pPr>
        <w:spacing w:after="0" w:line="240" w:lineRule="auto"/>
        <w:ind w:firstLine="709"/>
        <w:jc w:val="both"/>
        <w:rPr>
          <w:rFonts w:ascii="Times New Roman" w:hAnsi="Times New Roman" w:cs="Times New Roman"/>
          <w:sz w:val="28"/>
          <w:szCs w:val="28"/>
          <w:lang w:val="en-US"/>
        </w:rPr>
      </w:pPr>
      <w:r w:rsidRPr="00D81B62">
        <w:rPr>
          <w:rFonts w:ascii="Times New Roman" w:hAnsi="Times New Roman" w:cs="Times New Roman"/>
          <w:sz w:val="28"/>
          <w:szCs w:val="28"/>
        </w:rPr>
        <w:t xml:space="preserve"> The combination treatment with </w:t>
      </w:r>
      <w:r w:rsidR="007B5971" w:rsidRPr="00D81B62">
        <w:rPr>
          <w:rFonts w:ascii="Times New Roman" w:hAnsi="Times New Roman" w:cs="Times New Roman"/>
          <w:sz w:val="28"/>
          <w:szCs w:val="28"/>
        </w:rPr>
        <w:t>Oseltamivir, an Antiviral drug, as an additional (complementary) agent, along with Ribavirin (1200 mg daily)</w:t>
      </w:r>
      <w:r w:rsidR="00A57849" w:rsidRPr="00D81B62">
        <w:rPr>
          <w:rFonts w:ascii="Times New Roman" w:hAnsi="Times New Roman" w:cs="Times New Roman"/>
          <w:sz w:val="28"/>
          <w:szCs w:val="28"/>
        </w:rPr>
        <w:t xml:space="preserve"> [124]</w:t>
      </w:r>
      <w:r w:rsidR="007B5971" w:rsidRPr="00D81B62">
        <w:rPr>
          <w:rFonts w:ascii="Times New Roman" w:hAnsi="Times New Roman" w:cs="Times New Roman"/>
          <w:sz w:val="28"/>
          <w:szCs w:val="28"/>
        </w:rPr>
        <w:t>, showed a relatively high therapeutic effect in clinical trials involving COVID-19-positive patients in mild and severe stages of disease progression, significantly increasing</w:t>
      </w:r>
      <w:r w:rsidRPr="00D81B62">
        <w:rPr>
          <w:rFonts w:ascii="Times New Roman" w:hAnsi="Times New Roman" w:cs="Times New Roman"/>
          <w:sz w:val="28"/>
          <w:szCs w:val="28"/>
        </w:rPr>
        <w:t xml:space="preserve"> recovery and survival rates among patients [92].  Numerous studies in China during the pandemic </w:t>
      </w:r>
      <w:r w:rsidR="00A57849" w:rsidRPr="00D81B62">
        <w:rPr>
          <w:rFonts w:ascii="Times New Roman" w:hAnsi="Times New Roman" w:cs="Times New Roman"/>
          <w:sz w:val="28"/>
          <w:szCs w:val="28"/>
        </w:rPr>
        <w:t>have shown that three antiviral drugs</w:t>
      </w:r>
      <w:r w:rsidR="001730D5">
        <w:rPr>
          <w:rFonts w:ascii="Times New Roman" w:hAnsi="Times New Roman" w:cs="Times New Roman"/>
          <w:sz w:val="28"/>
          <w:szCs w:val="28"/>
        </w:rPr>
        <w:t xml:space="preserve"> —</w:t>
      </w:r>
      <w:r w:rsidR="0076557B">
        <w:rPr>
          <w:rFonts w:ascii="Times New Roman" w:hAnsi="Times New Roman" w:cs="Times New Roman"/>
          <w:sz w:val="28"/>
          <w:szCs w:val="28"/>
        </w:rPr>
        <w:t xml:space="preserve"> remdesivir (a nucleoside analogue), oseltamivir, and zanamivir (a neuraminidase inhibitor) — exhibit</w:t>
      </w:r>
      <w:r w:rsidR="001730D5">
        <w:rPr>
          <w:rFonts w:ascii="Times New Roman" w:hAnsi="Times New Roman" w:cs="Times New Roman"/>
          <w:sz w:val="28"/>
          <w:szCs w:val="28"/>
        </w:rPr>
        <w:t xml:space="preserve"> higher binding energies with the ACE2 Receptor after molecular docking</w:t>
      </w:r>
      <w:r w:rsidRPr="00D81B62">
        <w:rPr>
          <w:rFonts w:ascii="Times New Roman" w:hAnsi="Times New Roman" w:cs="Times New Roman"/>
          <w:sz w:val="28"/>
          <w:szCs w:val="28"/>
        </w:rPr>
        <w:t>.</w:t>
      </w:r>
    </w:p>
    <w:p w14:paraId="16872653" w14:textId="2E47070A" w:rsidR="007041EB" w:rsidRPr="00D81B62" w:rsidRDefault="00853685" w:rsidP="00D81B62">
      <w:pPr>
        <w:spacing w:after="0" w:line="240" w:lineRule="auto"/>
        <w:ind w:firstLine="709"/>
        <w:jc w:val="both"/>
        <w:rPr>
          <w:rFonts w:ascii="Times New Roman" w:hAnsi="Times New Roman" w:cs="Times New Roman"/>
          <w:sz w:val="28"/>
          <w:szCs w:val="28"/>
          <w:lang w:val="en-US"/>
        </w:rPr>
      </w:pPr>
      <w:r w:rsidRPr="00D81B62">
        <w:rPr>
          <w:rFonts w:ascii="Times New Roman" w:hAnsi="Times New Roman" w:cs="Times New Roman"/>
          <w:sz w:val="28"/>
          <w:szCs w:val="28"/>
        </w:rPr>
        <w:t xml:space="preserve"> Thus, the sialic acid enzyme inactivation activities interfere with the SARS-CoV2 entry by silencing the </w:t>
      </w:r>
      <w:r w:rsidR="009844A6" w:rsidRPr="00D81B62">
        <w:rPr>
          <w:rFonts w:ascii="Times New Roman" w:hAnsi="Times New Roman" w:cs="Times New Roman"/>
          <w:sz w:val="28"/>
          <w:szCs w:val="28"/>
        </w:rPr>
        <w:t>ACE2 receptor</w:t>
      </w:r>
      <w:r w:rsidRPr="00D81B62">
        <w:rPr>
          <w:rFonts w:ascii="Times New Roman" w:hAnsi="Times New Roman" w:cs="Times New Roman"/>
          <w:sz w:val="28"/>
          <w:szCs w:val="28"/>
        </w:rPr>
        <w:t xml:space="preserve"> on the host cell membrane [92-93].  It is also worth </w:t>
      </w:r>
      <w:r w:rsidR="001730D5">
        <w:rPr>
          <w:rFonts w:ascii="Times New Roman" w:hAnsi="Times New Roman" w:cs="Times New Roman"/>
          <w:sz w:val="28"/>
          <w:szCs w:val="28"/>
        </w:rPr>
        <w:t xml:space="preserve">noting that oseltamivir can regulate the migration and activation of neutrophil immune cells, significantly reducing the risk of </w:t>
      </w:r>
      <w:r w:rsidR="00D10872" w:rsidRPr="00D81B62">
        <w:rPr>
          <w:rFonts w:ascii="Times New Roman" w:hAnsi="Times New Roman" w:cs="Times New Roman"/>
          <w:sz w:val="28"/>
          <w:szCs w:val="28"/>
        </w:rPr>
        <w:t>sepsis and other neutrophil-related cell damage during COVID-19 progression in both humans and mice, via ROS production in target cells</w:t>
      </w:r>
      <w:r w:rsidRPr="00D81B62">
        <w:rPr>
          <w:rFonts w:ascii="Times New Roman" w:hAnsi="Times New Roman" w:cs="Times New Roman"/>
          <w:sz w:val="28"/>
          <w:szCs w:val="28"/>
        </w:rPr>
        <w:t xml:space="preserve"> [95].</w:t>
      </w:r>
    </w:p>
    <w:p w14:paraId="71B46378" w14:textId="30E9C24F" w:rsidR="007041EB" w:rsidRPr="00D81B62" w:rsidRDefault="00853685" w:rsidP="00D81B62">
      <w:pPr>
        <w:spacing w:after="0" w:line="240" w:lineRule="auto"/>
        <w:ind w:firstLine="709"/>
        <w:jc w:val="both"/>
        <w:rPr>
          <w:rFonts w:ascii="Times New Roman" w:hAnsi="Times New Roman" w:cs="Times New Roman"/>
          <w:sz w:val="28"/>
          <w:szCs w:val="28"/>
          <w:lang w:val="en-US"/>
        </w:rPr>
      </w:pPr>
      <w:r w:rsidRPr="00D81B62">
        <w:rPr>
          <w:rFonts w:ascii="Times New Roman" w:hAnsi="Times New Roman" w:cs="Times New Roman"/>
          <w:sz w:val="28"/>
          <w:szCs w:val="28"/>
        </w:rPr>
        <w:t xml:space="preserve"> Overall, the neuraminidase </w:t>
      </w:r>
      <w:r w:rsidR="001730D5">
        <w:rPr>
          <w:rFonts w:ascii="Times New Roman" w:hAnsi="Times New Roman" w:cs="Times New Roman"/>
          <w:sz w:val="28"/>
          <w:szCs w:val="28"/>
        </w:rPr>
        <w:t>inhibitor oseltamivir exhibits broad-spectrum</w:t>
      </w:r>
      <w:r w:rsidR="00A57849" w:rsidRPr="00D81B62">
        <w:rPr>
          <w:rFonts w:ascii="Times New Roman" w:hAnsi="Times New Roman" w:cs="Times New Roman"/>
          <w:sz w:val="28"/>
          <w:szCs w:val="28"/>
        </w:rPr>
        <w:t xml:space="preserve"> antiviral activity, particularly during seasonal outbreaks of Influenza A and B, as a preventive therapy, and in cellular immune responses during both </w:t>
      </w:r>
      <w:r w:rsidRPr="00D81B62">
        <w:rPr>
          <w:rFonts w:ascii="Times New Roman" w:hAnsi="Times New Roman" w:cs="Times New Roman"/>
          <w:sz w:val="28"/>
          <w:szCs w:val="28"/>
        </w:rPr>
        <w:t xml:space="preserve">mild and severe stages of COVID-19.  The oseltamivir carboxylate outside the cell acts as </w:t>
      </w:r>
      <w:r w:rsidR="00D10872" w:rsidRPr="00D81B62">
        <w:rPr>
          <w:rFonts w:ascii="Times New Roman" w:hAnsi="Times New Roman" w:cs="Times New Roman"/>
          <w:sz w:val="28"/>
          <w:szCs w:val="28"/>
        </w:rPr>
        <w:t>an immunoglobulin</w:t>
      </w:r>
      <w:r w:rsidR="00D413CE" w:rsidRPr="00D81B62">
        <w:rPr>
          <w:rFonts w:ascii="Times New Roman" w:hAnsi="Times New Roman" w:cs="Times New Roman"/>
          <w:sz w:val="28"/>
          <w:szCs w:val="28"/>
        </w:rPr>
        <w:t xml:space="preserve">, </w:t>
      </w:r>
      <w:r w:rsidR="001730D5">
        <w:rPr>
          <w:rFonts w:ascii="Times New Roman" w:hAnsi="Times New Roman" w:cs="Times New Roman"/>
          <w:sz w:val="28"/>
          <w:szCs w:val="28"/>
        </w:rPr>
        <w:t>significantly hindering the further spread of the virus without triggering an additional immune response and without compromising</w:t>
      </w:r>
      <w:r w:rsidRPr="00D81B62">
        <w:rPr>
          <w:rFonts w:ascii="Times New Roman" w:hAnsi="Times New Roman" w:cs="Times New Roman"/>
          <w:sz w:val="28"/>
          <w:szCs w:val="28"/>
        </w:rPr>
        <w:t xml:space="preserve"> the secondary or active immunity functions.   </w:t>
      </w:r>
      <w:r w:rsidR="00B45DCA" w:rsidRPr="00D81B62">
        <w:rPr>
          <w:rFonts w:ascii="Times New Roman" w:hAnsi="Times New Roman" w:cs="Times New Roman"/>
          <w:sz w:val="28"/>
          <w:szCs w:val="28"/>
        </w:rPr>
        <w:t>Additionally, the antiviral drug oseltamivir has a relatively low rate of viral resistance</w:t>
      </w:r>
      <w:r w:rsidR="0076557B">
        <w:rPr>
          <w:rFonts w:ascii="Times New Roman" w:hAnsi="Times New Roman" w:cs="Times New Roman"/>
          <w:sz w:val="28"/>
          <w:szCs w:val="28"/>
        </w:rPr>
        <w:t>—approximately 2%</w:t>
      </w:r>
      <w:r w:rsidR="001730D5">
        <w:rPr>
          <w:rFonts w:ascii="Times New Roman" w:hAnsi="Times New Roman" w:cs="Times New Roman"/>
          <w:sz w:val="28"/>
          <w:szCs w:val="28"/>
        </w:rPr>
        <w:t>—</w:t>
      </w:r>
      <w:r w:rsidR="00B45DCA" w:rsidRPr="00D81B62">
        <w:rPr>
          <w:rFonts w:ascii="Times New Roman" w:hAnsi="Times New Roman" w:cs="Times New Roman"/>
          <w:sz w:val="28"/>
          <w:szCs w:val="28"/>
        </w:rPr>
        <w:t>and in Kazakhstan, this rate</w:t>
      </w:r>
      <w:r w:rsidR="00D413CE" w:rsidRPr="00D81B62">
        <w:rPr>
          <w:rFonts w:ascii="Times New Roman" w:hAnsi="Times New Roman" w:cs="Times New Roman"/>
          <w:sz w:val="28"/>
          <w:szCs w:val="28"/>
        </w:rPr>
        <w:t xml:space="preserve"> may be</w:t>
      </w:r>
      <w:r w:rsidRPr="00D81B62">
        <w:rPr>
          <w:rFonts w:ascii="Times New Roman" w:hAnsi="Times New Roman" w:cs="Times New Roman"/>
          <w:sz w:val="28"/>
          <w:szCs w:val="28"/>
        </w:rPr>
        <w:t xml:space="preserve"> even lower. Generally speaking, all Influenza antivirals make great medication backup strategies for clinicians because the discussed drug types, in most cases, are safe and </w:t>
      </w:r>
      <w:r w:rsidRPr="00D81B62">
        <w:rPr>
          <w:rFonts w:ascii="Times New Roman" w:hAnsi="Times New Roman" w:cs="Times New Roman"/>
          <w:sz w:val="28"/>
          <w:szCs w:val="28"/>
        </w:rPr>
        <w:lastRenderedPageBreak/>
        <w:t xml:space="preserve">primarily treat Influenza A and B, whose incubation period or efficacy threshold or anti-viral effective window is potent </w:t>
      </w:r>
      <w:r w:rsidR="00D413CE" w:rsidRPr="00D81B62">
        <w:rPr>
          <w:rFonts w:ascii="Times New Roman" w:hAnsi="Times New Roman" w:cs="Times New Roman"/>
          <w:sz w:val="28"/>
          <w:szCs w:val="28"/>
        </w:rPr>
        <w:t xml:space="preserve">in the </w:t>
      </w:r>
      <w:r w:rsidRPr="00D81B62">
        <w:rPr>
          <w:rFonts w:ascii="Times New Roman" w:hAnsi="Times New Roman" w:cs="Times New Roman"/>
          <w:sz w:val="28"/>
          <w:szCs w:val="28"/>
        </w:rPr>
        <w:t xml:space="preserve">first 48 hours, whereas SARS-CoV2 has 7-10days to be treated effectively by anti-viral active drugs with various combination options. </w:t>
      </w:r>
    </w:p>
    <w:p w14:paraId="5AC2B34B" w14:textId="183BD196" w:rsidR="007041EB" w:rsidRPr="00D81B62" w:rsidRDefault="00853685" w:rsidP="00D16516">
      <w:pPr>
        <w:spacing w:after="0" w:line="240" w:lineRule="auto"/>
        <w:ind w:firstLine="708"/>
        <w:jc w:val="both"/>
        <w:rPr>
          <w:rFonts w:ascii="Times New Roman" w:hAnsi="Times New Roman" w:cs="Times New Roman"/>
          <w:sz w:val="28"/>
          <w:szCs w:val="28"/>
          <w:lang w:val="en-US"/>
        </w:rPr>
      </w:pPr>
      <w:r w:rsidRPr="00D81B62">
        <w:rPr>
          <w:rFonts w:ascii="Times New Roman" w:hAnsi="Times New Roman" w:cs="Times New Roman"/>
          <w:sz w:val="28"/>
          <w:szCs w:val="28"/>
        </w:rPr>
        <w:t xml:space="preserve">The </w:t>
      </w:r>
      <w:r w:rsidR="007B5971" w:rsidRPr="00D81B62">
        <w:rPr>
          <w:rFonts w:ascii="Times New Roman" w:hAnsi="Times New Roman" w:cs="Times New Roman"/>
          <w:sz w:val="28"/>
          <w:szCs w:val="28"/>
        </w:rPr>
        <w:t xml:space="preserve">SARS-CoV-2 treatment combination with oseltamivir can, in some cases, replace the </w:t>
      </w:r>
      <w:r w:rsidR="00D10872" w:rsidRPr="00D81B62">
        <w:rPr>
          <w:rFonts w:ascii="Times New Roman" w:hAnsi="Times New Roman" w:cs="Times New Roman"/>
          <w:sz w:val="28"/>
          <w:szCs w:val="28"/>
        </w:rPr>
        <w:t>dantrolene</w:t>
      </w:r>
      <w:r w:rsidR="007B5971" w:rsidRPr="00D81B62">
        <w:rPr>
          <w:rFonts w:ascii="Times New Roman" w:hAnsi="Times New Roman" w:cs="Times New Roman"/>
          <w:sz w:val="28"/>
          <w:szCs w:val="28"/>
        </w:rPr>
        <w:t xml:space="preserve"> adjustment in severe COVID-19 patients</w:t>
      </w:r>
      <w:r w:rsidRPr="00D81B62">
        <w:rPr>
          <w:rFonts w:ascii="Times New Roman" w:hAnsi="Times New Roman" w:cs="Times New Roman"/>
          <w:sz w:val="28"/>
          <w:szCs w:val="28"/>
        </w:rPr>
        <w:t xml:space="preserve"> in </w:t>
      </w:r>
      <w:r w:rsidR="00D10872" w:rsidRPr="00D81B62">
        <w:rPr>
          <w:rFonts w:ascii="Times New Roman" w:hAnsi="Times New Roman" w:cs="Times New Roman"/>
          <w:sz w:val="28"/>
          <w:szCs w:val="28"/>
        </w:rPr>
        <w:t xml:space="preserve">intensive care </w:t>
      </w:r>
      <w:r w:rsidR="001730D5">
        <w:rPr>
          <w:rFonts w:ascii="Times New Roman" w:hAnsi="Times New Roman" w:cs="Times New Roman"/>
          <w:sz w:val="28"/>
          <w:szCs w:val="28"/>
        </w:rPr>
        <w:t>units (ICUs)</w:t>
      </w:r>
      <w:r w:rsidRPr="00D81B62">
        <w:rPr>
          <w:rFonts w:ascii="Times New Roman" w:hAnsi="Times New Roman" w:cs="Times New Roman"/>
          <w:sz w:val="28"/>
          <w:szCs w:val="28"/>
        </w:rPr>
        <w:t>. 10/22/2020 The U.S. Food and Drug Administration (FDA) has approved the antiviral drug Remdesivir for use in adults and children 12 years of age and older</w:t>
      </w:r>
      <w:r w:rsidR="001730D5">
        <w:rPr>
          <w:rFonts w:ascii="Times New Roman" w:hAnsi="Times New Roman" w:cs="Times New Roman"/>
          <w:sz w:val="28"/>
          <w:szCs w:val="28"/>
        </w:rPr>
        <w:t xml:space="preserve"> who weigh at least 40 kg (approximately 88 pounds)</w:t>
      </w:r>
      <w:r w:rsidRPr="00D81B62">
        <w:rPr>
          <w:rFonts w:ascii="Times New Roman" w:hAnsi="Times New Roman" w:cs="Times New Roman"/>
          <w:sz w:val="28"/>
          <w:szCs w:val="28"/>
        </w:rPr>
        <w:t xml:space="preserve"> to treat COVID-19 that requires </w:t>
      </w:r>
      <w:r w:rsidR="00D413CE" w:rsidRPr="00D81B62">
        <w:rPr>
          <w:rFonts w:ascii="Times New Roman" w:hAnsi="Times New Roman" w:cs="Times New Roman"/>
          <w:sz w:val="28"/>
          <w:szCs w:val="28"/>
        </w:rPr>
        <w:t>hospitalisation</w:t>
      </w:r>
      <w:r w:rsidRPr="00D81B62">
        <w:rPr>
          <w:rFonts w:ascii="Times New Roman" w:hAnsi="Times New Roman" w:cs="Times New Roman"/>
          <w:sz w:val="28"/>
          <w:szCs w:val="28"/>
        </w:rPr>
        <w:t xml:space="preserve">. According to the FDA, Remdesivir should only be administered in a hospital or health care setting that can provide emergency care comparable to inpatient hospital care. Remdesivir is the first COVID-19 treatment to receive FDA approval [94]. Remdesivir can be efficiently </w:t>
      </w:r>
      <w:r w:rsidR="00D413CE" w:rsidRPr="00D81B62">
        <w:rPr>
          <w:rFonts w:ascii="Times New Roman" w:hAnsi="Times New Roman" w:cs="Times New Roman"/>
          <w:sz w:val="28"/>
          <w:szCs w:val="28"/>
        </w:rPr>
        <w:t>metabolised</w:t>
      </w:r>
      <w:r w:rsidRPr="00D81B62">
        <w:rPr>
          <w:rFonts w:ascii="Times New Roman" w:hAnsi="Times New Roman" w:cs="Times New Roman"/>
          <w:sz w:val="28"/>
          <w:szCs w:val="28"/>
        </w:rPr>
        <w:t xml:space="preserve"> to active nucleoside triphosphate in several human cell lines [96]. In vitro</w:t>
      </w:r>
      <w:r w:rsidR="007B5971" w:rsidRPr="00D81B62">
        <w:rPr>
          <w:rFonts w:ascii="Times New Roman" w:hAnsi="Times New Roman" w:cs="Times New Roman"/>
          <w:sz w:val="28"/>
          <w:szCs w:val="28"/>
        </w:rPr>
        <w:t xml:space="preserve"> studies have demonstrated that the nucleoside triphosphate functions as an incorporation competitor for adenosine triphosphate, confusing </w:t>
      </w:r>
      <w:r w:rsidR="00D413CE" w:rsidRPr="00D81B62">
        <w:rPr>
          <w:rFonts w:ascii="Times New Roman" w:hAnsi="Times New Roman" w:cs="Times New Roman"/>
          <w:sz w:val="28"/>
          <w:szCs w:val="28"/>
        </w:rPr>
        <w:t xml:space="preserve">the viral RdRP and acting as a delayed RNA chain terminator against the Ebola virus [97,98]. </w:t>
      </w:r>
    </w:p>
    <w:p w14:paraId="6EABC7A6" w14:textId="7D4D0DEF" w:rsidR="00FB0D59" w:rsidRPr="00D81B62" w:rsidRDefault="00D413CE" w:rsidP="00D16516">
      <w:pPr>
        <w:spacing w:after="0" w:line="240" w:lineRule="auto"/>
        <w:ind w:firstLine="709"/>
        <w:jc w:val="both"/>
        <w:rPr>
          <w:rFonts w:ascii="Times New Roman" w:hAnsi="Times New Roman" w:cs="Times New Roman"/>
          <w:sz w:val="28"/>
          <w:szCs w:val="28"/>
          <w:lang w:val="en-US"/>
        </w:rPr>
      </w:pPr>
      <w:r w:rsidRPr="00D81B62">
        <w:rPr>
          <w:rFonts w:ascii="Times New Roman" w:hAnsi="Times New Roman" w:cs="Times New Roman"/>
          <w:sz w:val="28"/>
          <w:szCs w:val="28"/>
        </w:rPr>
        <w:t xml:space="preserve">This mechanism evades viral exoribonuclease testing and </w:t>
      </w:r>
      <w:r w:rsidR="001730D5">
        <w:rPr>
          <w:rFonts w:ascii="Times New Roman" w:hAnsi="Times New Roman" w:cs="Times New Roman"/>
          <w:sz w:val="28"/>
          <w:szCs w:val="28"/>
        </w:rPr>
        <w:t>reduces</w:t>
      </w:r>
      <w:r w:rsidR="00853685" w:rsidRPr="00D81B62">
        <w:rPr>
          <w:rFonts w:ascii="Times New Roman" w:hAnsi="Times New Roman" w:cs="Times New Roman"/>
          <w:sz w:val="28"/>
          <w:szCs w:val="28"/>
        </w:rPr>
        <w:t xml:space="preserve"> viral RNA synthesis. Recently, remdesivir has been </w:t>
      </w:r>
      <w:r w:rsidR="007B5971" w:rsidRPr="00D81B62">
        <w:rPr>
          <w:rFonts w:ascii="Times New Roman" w:hAnsi="Times New Roman" w:cs="Times New Roman"/>
          <w:sz w:val="28"/>
          <w:szCs w:val="28"/>
        </w:rPr>
        <w:t>shown to exhibit antiviral activity following viral</w:t>
      </w:r>
      <w:r w:rsidR="00853685" w:rsidRPr="00D81B62">
        <w:rPr>
          <w:rFonts w:ascii="Times New Roman" w:hAnsi="Times New Roman" w:cs="Times New Roman"/>
          <w:sz w:val="28"/>
          <w:szCs w:val="28"/>
        </w:rPr>
        <w:t xml:space="preserve"> entry in Vero E6 cells, supporting its </w:t>
      </w:r>
      <w:r w:rsidR="001730D5">
        <w:rPr>
          <w:rFonts w:ascii="Times New Roman" w:hAnsi="Times New Roman" w:cs="Times New Roman"/>
          <w:sz w:val="28"/>
          <w:szCs w:val="28"/>
        </w:rPr>
        <w:t>mechanism of action</w:t>
      </w:r>
      <w:r w:rsidR="00853685" w:rsidRPr="00D81B62">
        <w:rPr>
          <w:rFonts w:ascii="Times New Roman" w:hAnsi="Times New Roman" w:cs="Times New Roman"/>
          <w:sz w:val="28"/>
          <w:szCs w:val="28"/>
        </w:rPr>
        <w:t xml:space="preserve"> as a nucleotide analogue [99]. The relevance of antigenic shift between Influenza A and SARS-CoV-2 lies in understanding their distinct evolutionary mechanisms, pandemic potential, and implications for public health strategies.  To sum up, Influenza antivirals tend to act on </w:t>
      </w:r>
      <w:r w:rsidR="0046110C" w:rsidRPr="00D81B62">
        <w:rPr>
          <w:rFonts w:ascii="Times New Roman" w:hAnsi="Times New Roman" w:cs="Times New Roman"/>
          <w:sz w:val="28"/>
          <w:szCs w:val="28"/>
        </w:rPr>
        <w:t xml:space="preserve">SARS-CoV-2 in the same way as they do </w:t>
      </w:r>
      <w:r w:rsidR="00853685" w:rsidRPr="00D81B62">
        <w:rPr>
          <w:rFonts w:ascii="Times New Roman" w:hAnsi="Times New Roman" w:cs="Times New Roman"/>
          <w:sz w:val="28"/>
          <w:szCs w:val="28"/>
        </w:rPr>
        <w:t xml:space="preserve">against Influenza A or B. This drug category </w:t>
      </w:r>
      <w:r w:rsidR="0046110C" w:rsidRPr="00D81B62">
        <w:rPr>
          <w:rFonts w:ascii="Times New Roman" w:hAnsi="Times New Roman" w:cs="Times New Roman"/>
          <w:sz w:val="28"/>
          <w:szCs w:val="28"/>
        </w:rPr>
        <w:t xml:space="preserve">is of </w:t>
      </w:r>
      <w:r w:rsidR="001730D5">
        <w:rPr>
          <w:rFonts w:ascii="Times New Roman" w:hAnsi="Times New Roman" w:cs="Times New Roman"/>
          <w:sz w:val="28"/>
          <w:szCs w:val="28"/>
        </w:rPr>
        <w:t>particular interest because it can act quickly and cause less cytotoxicity</w:t>
      </w:r>
      <w:r w:rsidR="00853685" w:rsidRPr="00D81B62">
        <w:rPr>
          <w:rFonts w:ascii="Times New Roman" w:hAnsi="Times New Roman" w:cs="Times New Roman"/>
          <w:sz w:val="28"/>
          <w:szCs w:val="28"/>
        </w:rPr>
        <w:t xml:space="preserve">. </w:t>
      </w:r>
    </w:p>
    <w:p w14:paraId="7CA92741" w14:textId="5C1CE572" w:rsidR="00A81757" w:rsidRDefault="00FB0D59" w:rsidP="0070425A">
      <w:pPr>
        <w:spacing w:after="0" w:line="240" w:lineRule="auto"/>
        <w:ind w:firstLine="709"/>
        <w:jc w:val="both"/>
        <w:rPr>
          <w:rFonts w:ascii="Times New Roman" w:hAnsi="Times New Roman" w:cs="Times New Roman"/>
          <w:sz w:val="28"/>
          <w:szCs w:val="28"/>
        </w:rPr>
      </w:pPr>
      <w:r w:rsidRPr="00D81B62">
        <w:rPr>
          <w:rFonts w:ascii="Times New Roman" w:hAnsi="Times New Roman" w:cs="Times New Roman"/>
          <w:sz w:val="28"/>
          <w:szCs w:val="28"/>
          <w:lang w:val="en-US"/>
        </w:rPr>
        <w:t>In addition</w:t>
      </w:r>
      <w:r w:rsidR="00853685" w:rsidRPr="00D81B62">
        <w:rPr>
          <w:rFonts w:ascii="Times New Roman" w:hAnsi="Times New Roman" w:cs="Times New Roman"/>
          <w:sz w:val="28"/>
          <w:szCs w:val="28"/>
        </w:rPr>
        <w:t xml:space="preserve">, their antiviral effects are better </w:t>
      </w:r>
      <w:r w:rsidR="0046110C" w:rsidRPr="00D81B62">
        <w:rPr>
          <w:rFonts w:ascii="Times New Roman" w:hAnsi="Times New Roman" w:cs="Times New Roman"/>
          <w:sz w:val="28"/>
          <w:szCs w:val="28"/>
        </w:rPr>
        <w:t xml:space="preserve">understood, and their </w:t>
      </w:r>
      <w:r w:rsidR="00FC66E8">
        <w:rPr>
          <w:rFonts w:ascii="Times New Roman" w:hAnsi="Times New Roman" w:cs="Times New Roman"/>
          <w:sz w:val="28"/>
          <w:szCs w:val="28"/>
        </w:rPr>
        <w:t xml:space="preserve">increases in drug concentration </w:t>
      </w:r>
      <w:r w:rsidR="001730D5">
        <w:rPr>
          <w:rFonts w:ascii="Times New Roman" w:hAnsi="Times New Roman" w:cs="Times New Roman"/>
          <w:sz w:val="28"/>
          <w:szCs w:val="28"/>
        </w:rPr>
        <w:t>are less hazardous than those</w:t>
      </w:r>
      <w:r w:rsidR="0046110C" w:rsidRPr="00D81B62">
        <w:rPr>
          <w:rFonts w:ascii="Times New Roman" w:hAnsi="Times New Roman" w:cs="Times New Roman"/>
          <w:sz w:val="28"/>
          <w:szCs w:val="28"/>
        </w:rPr>
        <w:t xml:space="preserve"> of </w:t>
      </w:r>
      <w:r w:rsidR="00853685" w:rsidRPr="00D81B62">
        <w:rPr>
          <w:rFonts w:ascii="Times New Roman" w:hAnsi="Times New Roman" w:cs="Times New Roman"/>
          <w:sz w:val="28"/>
          <w:szCs w:val="28"/>
        </w:rPr>
        <w:t>Ribavirin or Tenvir.</w:t>
      </w:r>
      <w:r w:rsidR="005E677B" w:rsidRPr="00D81B62">
        <w:rPr>
          <w:rFonts w:ascii="Times New Roman" w:hAnsi="Times New Roman" w:cs="Times New Roman"/>
          <w:sz w:val="28"/>
          <w:szCs w:val="28"/>
        </w:rPr>
        <w:t xml:space="preserve"> So, putting it all together, the special aspects are their targeted approach </w:t>
      </w:r>
      <w:r w:rsidR="0046110C" w:rsidRPr="00D81B62">
        <w:rPr>
          <w:rFonts w:ascii="Times New Roman" w:hAnsi="Times New Roman" w:cs="Times New Roman"/>
          <w:sz w:val="28"/>
          <w:szCs w:val="28"/>
        </w:rPr>
        <w:t>to</w:t>
      </w:r>
      <w:r w:rsidR="005E677B" w:rsidRPr="00D81B62">
        <w:rPr>
          <w:rFonts w:ascii="Times New Roman" w:hAnsi="Times New Roman" w:cs="Times New Roman"/>
          <w:sz w:val="28"/>
          <w:szCs w:val="28"/>
        </w:rPr>
        <w:t xml:space="preserve"> specific viral mechanisms, the need for precision to avoid host toxicity, dealing with rapid viral mutation and resistance, often narrow spectrum, critical timing in administration, use in combinations, and the complexity in developing drugs that can effectively interrupt viral processes without harming the host. Antivirals are </w:t>
      </w:r>
      <w:r w:rsidR="00D413CE" w:rsidRPr="00D81B62">
        <w:rPr>
          <w:rFonts w:ascii="Times New Roman" w:hAnsi="Times New Roman" w:cs="Times New Roman"/>
          <w:sz w:val="28"/>
          <w:szCs w:val="28"/>
        </w:rPr>
        <w:t>specialised</w:t>
      </w:r>
      <w:r w:rsidR="005E677B" w:rsidRPr="00D81B62">
        <w:rPr>
          <w:rFonts w:ascii="Times New Roman" w:hAnsi="Times New Roman" w:cs="Times New Roman"/>
          <w:sz w:val="28"/>
          <w:szCs w:val="28"/>
        </w:rPr>
        <w:t xml:space="preserve"> tools requiring precise targeting, strategic use to combat resistance, and tailored development for each virus, reflecting their complex interplay with host biology.</w:t>
      </w:r>
    </w:p>
    <w:p w14:paraId="35180890" w14:textId="77777777" w:rsidR="000320A1" w:rsidRPr="000320A1" w:rsidRDefault="000320A1" w:rsidP="0070425A">
      <w:pPr>
        <w:spacing w:after="0" w:line="240" w:lineRule="auto"/>
        <w:ind w:firstLine="709"/>
        <w:jc w:val="both"/>
        <w:rPr>
          <w:rFonts w:ascii="Times New Roman" w:hAnsi="Times New Roman" w:cs="Times New Roman"/>
          <w:sz w:val="28"/>
          <w:szCs w:val="28"/>
        </w:rPr>
      </w:pPr>
    </w:p>
    <w:p w14:paraId="0C0FBE7C" w14:textId="10BE9526" w:rsidR="00A81757" w:rsidRPr="00D81B62" w:rsidRDefault="002D185C" w:rsidP="0070425A">
      <w:pPr>
        <w:pStyle w:val="af1"/>
        <w:numPr>
          <w:ilvl w:val="1"/>
          <w:numId w:val="76"/>
        </w:numPr>
        <w:spacing w:after="0" w:line="240" w:lineRule="auto"/>
        <w:ind w:hanging="72"/>
        <w:jc w:val="both"/>
        <w:rPr>
          <w:rFonts w:ascii="Times New Roman" w:hAnsi="Times New Roman" w:cs="Times New Roman"/>
          <w:b/>
          <w:bCs/>
          <w:sz w:val="28"/>
          <w:szCs w:val="28"/>
        </w:rPr>
      </w:pPr>
      <w:r w:rsidRPr="00D81B62">
        <w:rPr>
          <w:rFonts w:ascii="Times New Roman" w:hAnsi="Times New Roman" w:cs="Times New Roman"/>
          <w:b/>
          <w:bCs/>
          <w:sz w:val="28"/>
          <w:szCs w:val="28"/>
        </w:rPr>
        <w:t>Cell viability</w:t>
      </w:r>
      <w:r w:rsidR="00470B3E" w:rsidRPr="00D81B62">
        <w:rPr>
          <w:rFonts w:ascii="Times New Roman" w:hAnsi="Times New Roman" w:cs="Times New Roman"/>
          <w:b/>
          <w:bCs/>
          <w:sz w:val="28"/>
          <w:szCs w:val="28"/>
        </w:rPr>
        <w:t xml:space="preserve"> and antiviral assay</w:t>
      </w:r>
      <w:r w:rsidRPr="00D81B62">
        <w:rPr>
          <w:rFonts w:ascii="Times New Roman" w:hAnsi="Times New Roman" w:cs="Times New Roman"/>
          <w:b/>
          <w:bCs/>
          <w:sz w:val="28"/>
          <w:szCs w:val="28"/>
        </w:rPr>
        <w:t xml:space="preserve"> – MTT and CCK8 methods </w:t>
      </w:r>
    </w:p>
    <w:p w14:paraId="28285408" w14:textId="29DC7DF6" w:rsidR="002D185C" w:rsidRPr="00D81B62" w:rsidRDefault="002D185C" w:rsidP="0070425A">
      <w:pPr>
        <w:spacing w:after="0" w:line="240" w:lineRule="auto"/>
        <w:ind w:firstLine="709"/>
        <w:jc w:val="both"/>
        <w:rPr>
          <w:rFonts w:ascii="Times New Roman" w:hAnsi="Times New Roman" w:cs="Times New Roman"/>
          <w:sz w:val="28"/>
          <w:szCs w:val="28"/>
        </w:rPr>
      </w:pPr>
      <w:r w:rsidRPr="00D81B62">
        <w:rPr>
          <w:rFonts w:ascii="Times New Roman" w:hAnsi="Times New Roman" w:cs="Times New Roman"/>
          <w:sz w:val="28"/>
          <w:szCs w:val="28"/>
        </w:rPr>
        <w:t xml:space="preserve">The MTT assay protocol is based on the conversion of water-soluble MTT (3-(4,5-dimethylthiazol-2-yl)-2,5-diphenyltetrazolium bromide) compound to an insoluble formazan product. NB: MTT is also a free molecule as </w:t>
      </w:r>
      <w:r w:rsidRPr="00D81B62">
        <w:rPr>
          <w:rFonts w:ascii="Times New Roman" w:hAnsi="Times New Roman" w:cs="Times New Roman"/>
          <w:i/>
          <w:iCs/>
          <w:sz w:val="28"/>
          <w:szCs w:val="28"/>
        </w:rPr>
        <w:t>ab146345</w:t>
      </w:r>
      <w:r w:rsidRPr="00D81B62">
        <w:rPr>
          <w:rFonts w:ascii="Times New Roman" w:hAnsi="Times New Roman" w:cs="Times New Roman"/>
          <w:sz w:val="28"/>
          <w:szCs w:val="28"/>
        </w:rPr>
        <w:t xml:space="preserve"> (Thiazolyl blue tetrazolium bromide). Viable cells with active metabolism convert MTT into formazan. Dead cells lose this ability and, therefore, show no signal. Thus, colour formation is a valuable and convenient marker of only viable cells. The absorbance at </w:t>
      </w:r>
      <w:r w:rsidR="00FC66E8">
        <w:rPr>
          <w:rFonts w:ascii="Times New Roman" w:hAnsi="Times New Roman" w:cs="Times New Roman"/>
          <w:sz w:val="28"/>
          <w:szCs w:val="28"/>
        </w:rPr>
        <w:t xml:space="preserve">590 nm (OD) </w:t>
      </w:r>
      <w:r w:rsidR="00F70C0E" w:rsidRPr="00D81B62">
        <w:rPr>
          <w:rFonts w:ascii="Times New Roman" w:hAnsi="Times New Roman" w:cs="Times New Roman"/>
          <w:sz w:val="28"/>
          <w:szCs w:val="28"/>
        </w:rPr>
        <w:t xml:space="preserve">is directly </w:t>
      </w:r>
      <w:r w:rsidRPr="00D81B62">
        <w:rPr>
          <w:rFonts w:ascii="Times New Roman" w:hAnsi="Times New Roman" w:cs="Times New Roman"/>
          <w:sz w:val="28"/>
          <w:szCs w:val="28"/>
        </w:rPr>
        <w:t xml:space="preserve">proportional to the number of viable cells. The MTT assay measures the metabolic activity of the cells </w:t>
      </w:r>
      <w:r w:rsidR="005E4C41" w:rsidRPr="00D81B62">
        <w:rPr>
          <w:rFonts w:ascii="Times New Roman" w:hAnsi="Times New Roman" w:cs="Times New Roman"/>
          <w:sz w:val="28"/>
          <w:szCs w:val="28"/>
        </w:rPr>
        <w:t xml:space="preserve">being </w:t>
      </w:r>
      <w:r w:rsidR="00FF3D5A" w:rsidRPr="00D81B62">
        <w:rPr>
          <w:rFonts w:ascii="Times New Roman" w:hAnsi="Times New Roman" w:cs="Times New Roman"/>
          <w:sz w:val="28"/>
          <w:szCs w:val="28"/>
        </w:rPr>
        <w:t>analysed</w:t>
      </w:r>
      <w:r w:rsidR="005E4C41" w:rsidRPr="00D81B62">
        <w:rPr>
          <w:rFonts w:ascii="Times New Roman" w:hAnsi="Times New Roman" w:cs="Times New Roman"/>
          <w:sz w:val="28"/>
          <w:szCs w:val="28"/>
        </w:rPr>
        <w:t>; the more significant the</w:t>
      </w:r>
      <w:r w:rsidRPr="00D81B62">
        <w:rPr>
          <w:rFonts w:ascii="Times New Roman" w:hAnsi="Times New Roman" w:cs="Times New Roman"/>
          <w:sz w:val="28"/>
          <w:szCs w:val="28"/>
        </w:rPr>
        <w:t xml:space="preserve"> </w:t>
      </w:r>
      <w:r w:rsidRPr="00D81B62">
        <w:rPr>
          <w:rFonts w:ascii="Times New Roman" w:hAnsi="Times New Roman" w:cs="Times New Roman"/>
          <w:sz w:val="28"/>
          <w:szCs w:val="28"/>
        </w:rPr>
        <w:lastRenderedPageBreak/>
        <w:t xml:space="preserve">metabolic activity in the sample, the higher the signal. This should be </w:t>
      </w:r>
      <w:r w:rsidR="005E4C41" w:rsidRPr="00D81B62">
        <w:rPr>
          <w:rFonts w:ascii="Times New Roman" w:hAnsi="Times New Roman" w:cs="Times New Roman"/>
          <w:sz w:val="28"/>
          <w:szCs w:val="28"/>
        </w:rPr>
        <w:t>taken into account</w:t>
      </w:r>
      <w:r w:rsidRPr="00D81B62">
        <w:rPr>
          <w:rFonts w:ascii="Times New Roman" w:hAnsi="Times New Roman" w:cs="Times New Roman"/>
          <w:sz w:val="28"/>
          <w:szCs w:val="28"/>
        </w:rPr>
        <w:t xml:space="preserve"> when interpreting the assay's results. Reagent Preparation: Briefly </w:t>
      </w:r>
      <w:r w:rsidR="00FE04CE" w:rsidRPr="00D81B62">
        <w:rPr>
          <w:rFonts w:ascii="Times New Roman" w:hAnsi="Times New Roman" w:cs="Times New Roman"/>
          <w:sz w:val="28"/>
          <w:szCs w:val="28"/>
        </w:rPr>
        <w:t>centrifuge</w:t>
      </w:r>
      <w:r w:rsidRPr="00D81B62">
        <w:rPr>
          <w:rFonts w:ascii="Times New Roman" w:hAnsi="Times New Roman" w:cs="Times New Roman"/>
          <w:sz w:val="28"/>
          <w:szCs w:val="28"/>
        </w:rPr>
        <w:t xml:space="preserve"> small vials at low speed before opening [104].</w:t>
      </w:r>
    </w:p>
    <w:p w14:paraId="640D17DC" w14:textId="1F74AB08" w:rsidR="00104D4C" w:rsidRPr="00D81B62" w:rsidRDefault="00D31B26" w:rsidP="00D81B62">
      <w:pPr>
        <w:spacing w:after="0" w:line="240" w:lineRule="auto"/>
        <w:ind w:firstLine="709"/>
        <w:jc w:val="both"/>
        <w:rPr>
          <w:rFonts w:ascii="Times New Roman" w:hAnsi="Times New Roman" w:cs="Times New Roman"/>
          <w:sz w:val="28"/>
          <w:szCs w:val="28"/>
        </w:rPr>
      </w:pPr>
      <w:r w:rsidRPr="00D81B62">
        <w:rPr>
          <w:rFonts w:ascii="Times New Roman" w:hAnsi="Times New Roman" w:cs="Times New Roman"/>
          <w:sz w:val="28"/>
          <w:szCs w:val="28"/>
        </w:rPr>
        <w:t xml:space="preserve">Dojindo’s highly water-soluble tetrazolium salt, </w:t>
      </w:r>
      <w:r w:rsidR="00E72232" w:rsidRPr="00D81B62">
        <w:rPr>
          <w:rFonts w:ascii="Times New Roman" w:hAnsi="Times New Roman" w:cs="Times New Roman"/>
          <w:sz w:val="28"/>
          <w:szCs w:val="28"/>
        </w:rPr>
        <w:t>WST-8</w:t>
      </w:r>
      <w:r w:rsidRPr="00D81B62">
        <w:rPr>
          <w:rFonts w:ascii="Times New Roman" w:hAnsi="Times New Roman" w:cs="Times New Roman"/>
          <w:sz w:val="28"/>
          <w:szCs w:val="28"/>
        </w:rPr>
        <w:t xml:space="preserve">, is reduced by cell dehydrogenase activities to </w:t>
      </w:r>
      <w:r w:rsidR="005E4C41" w:rsidRPr="00D81B62">
        <w:rPr>
          <w:rFonts w:ascii="Times New Roman" w:hAnsi="Times New Roman" w:cs="Times New Roman"/>
          <w:sz w:val="28"/>
          <w:szCs w:val="28"/>
        </w:rPr>
        <w:t xml:space="preserve">form a yellow-coloured formazan dye soluble in </w:t>
      </w:r>
      <w:r w:rsidRPr="00D81B62">
        <w:rPr>
          <w:rFonts w:ascii="Times New Roman" w:hAnsi="Times New Roman" w:cs="Times New Roman"/>
          <w:sz w:val="28"/>
          <w:szCs w:val="28"/>
        </w:rPr>
        <w:t xml:space="preserve">tissue culture media. The amount of </w:t>
      </w:r>
      <w:r w:rsidR="001730D5">
        <w:rPr>
          <w:rFonts w:ascii="Times New Roman" w:hAnsi="Times New Roman" w:cs="Times New Roman"/>
          <w:sz w:val="28"/>
          <w:szCs w:val="28"/>
        </w:rPr>
        <w:t>formazan dye generated by dehydrogenase activity</w:t>
      </w:r>
      <w:r w:rsidRPr="00D81B62">
        <w:rPr>
          <w:rFonts w:ascii="Times New Roman" w:hAnsi="Times New Roman" w:cs="Times New Roman"/>
          <w:sz w:val="28"/>
          <w:szCs w:val="28"/>
        </w:rPr>
        <w:t xml:space="preserve"> in cells is directly proportional to the number of living cells. </w:t>
      </w:r>
    </w:p>
    <w:p w14:paraId="5D408C74" w14:textId="4EAE773F" w:rsidR="00EE72D4" w:rsidRPr="00D81B62" w:rsidRDefault="005E4C41" w:rsidP="00D81B62">
      <w:pPr>
        <w:spacing w:after="0" w:line="240" w:lineRule="auto"/>
        <w:ind w:firstLine="708"/>
        <w:jc w:val="both"/>
        <w:rPr>
          <w:rFonts w:ascii="Times New Roman" w:hAnsi="Times New Roman" w:cs="Times New Roman"/>
          <w:sz w:val="28"/>
          <w:szCs w:val="28"/>
        </w:rPr>
      </w:pPr>
      <w:r w:rsidRPr="00D81B62">
        <w:rPr>
          <w:rFonts w:ascii="Times New Roman" w:hAnsi="Times New Roman" w:cs="Times New Roman"/>
          <w:sz w:val="28"/>
          <w:szCs w:val="28"/>
        </w:rPr>
        <w:t xml:space="preserve">Cell Counting Kit-8 (CCK-8) enables sensitive </w:t>
      </w:r>
      <w:r w:rsidR="00E72232" w:rsidRPr="00D81B62">
        <w:rPr>
          <w:rFonts w:ascii="Times New Roman" w:hAnsi="Times New Roman" w:cs="Times New Roman"/>
          <w:sz w:val="28"/>
          <w:szCs w:val="28"/>
        </w:rPr>
        <w:t>colourimetric</w:t>
      </w:r>
      <w:r w:rsidRPr="00D81B62">
        <w:rPr>
          <w:rFonts w:ascii="Times New Roman" w:hAnsi="Times New Roman" w:cs="Times New Roman"/>
          <w:sz w:val="28"/>
          <w:szCs w:val="28"/>
        </w:rPr>
        <w:t xml:space="preserve"> assays to determine cell viability in cell proliferation and cytotoxicity studies. Dojindo’s highly water-soluble tetrazolium salt, </w:t>
      </w:r>
      <w:r w:rsidR="00E72232" w:rsidRPr="00D81B62">
        <w:rPr>
          <w:rFonts w:ascii="Times New Roman" w:hAnsi="Times New Roman" w:cs="Times New Roman"/>
          <w:sz w:val="28"/>
          <w:szCs w:val="28"/>
        </w:rPr>
        <w:t>WST-8</w:t>
      </w:r>
      <w:r w:rsidRPr="00D81B62">
        <w:rPr>
          <w:rFonts w:ascii="Times New Roman" w:hAnsi="Times New Roman" w:cs="Times New Roman"/>
          <w:sz w:val="28"/>
          <w:szCs w:val="28"/>
        </w:rPr>
        <w:t xml:space="preserve">, is reduced by cell dehydrogenase activities to form a yellow-coloured formazan dye soluble in tissue culture media. The amount of </w:t>
      </w:r>
      <w:r w:rsidR="001730D5">
        <w:rPr>
          <w:rFonts w:ascii="Times New Roman" w:hAnsi="Times New Roman" w:cs="Times New Roman"/>
          <w:sz w:val="28"/>
          <w:szCs w:val="28"/>
        </w:rPr>
        <w:t>formazan dye generated by dehydrogenase activity</w:t>
      </w:r>
      <w:r w:rsidRPr="00D81B62">
        <w:rPr>
          <w:rFonts w:ascii="Times New Roman" w:hAnsi="Times New Roman" w:cs="Times New Roman"/>
          <w:sz w:val="28"/>
          <w:szCs w:val="28"/>
        </w:rPr>
        <w:t xml:space="preserve"> in cells is directly proportional to the number of living cells. The detection sensitivity of CCK-8 is higher than that of other tetrazolium salts, such as MTT, XTT, MTS, or </w:t>
      </w:r>
      <w:r w:rsidR="00E72232" w:rsidRPr="00D81B62">
        <w:rPr>
          <w:rFonts w:ascii="Times New Roman" w:hAnsi="Times New Roman" w:cs="Times New Roman"/>
          <w:sz w:val="28"/>
          <w:szCs w:val="28"/>
        </w:rPr>
        <w:t>WST-1</w:t>
      </w:r>
      <w:r w:rsidRPr="00D81B62">
        <w:rPr>
          <w:rFonts w:ascii="Times New Roman" w:hAnsi="Times New Roman" w:cs="Times New Roman"/>
          <w:sz w:val="28"/>
          <w:szCs w:val="28"/>
        </w:rPr>
        <w:t xml:space="preserve"> [100]. </w:t>
      </w:r>
    </w:p>
    <w:p w14:paraId="52AE312A" w14:textId="68D53805" w:rsidR="00E81373" w:rsidRPr="00D81B62" w:rsidRDefault="00EE72D4" w:rsidP="00D81B62">
      <w:pPr>
        <w:spacing w:after="0" w:line="240" w:lineRule="auto"/>
        <w:ind w:firstLine="708"/>
        <w:jc w:val="both"/>
        <w:rPr>
          <w:rFonts w:ascii="Times New Roman" w:hAnsi="Times New Roman" w:cs="Times New Roman"/>
          <w:sz w:val="28"/>
          <w:szCs w:val="28"/>
          <w:lang w:val="en-US"/>
        </w:rPr>
      </w:pPr>
      <w:r w:rsidRPr="00D81B62">
        <w:rPr>
          <w:rFonts w:ascii="Times New Roman" w:hAnsi="Times New Roman" w:cs="Times New Roman"/>
          <w:sz w:val="28"/>
          <w:szCs w:val="28"/>
        </w:rPr>
        <w:t xml:space="preserve">It was advantageous because the cell viability results could be delivered on the same day. The main principles of the CCK8 </w:t>
      </w:r>
      <w:r w:rsidR="00D10872" w:rsidRPr="00D81B62">
        <w:rPr>
          <w:rFonts w:ascii="Times New Roman" w:hAnsi="Times New Roman" w:cs="Times New Roman"/>
          <w:sz w:val="28"/>
          <w:szCs w:val="28"/>
        </w:rPr>
        <w:t>assay are depicted in Figures 10 and 11</w:t>
      </w:r>
      <w:r w:rsidR="005E4C41" w:rsidRPr="00D81B62">
        <w:rPr>
          <w:rFonts w:ascii="Times New Roman" w:hAnsi="Times New Roman" w:cs="Times New Roman"/>
          <w:sz w:val="28"/>
          <w:szCs w:val="28"/>
        </w:rPr>
        <w:t xml:space="preserve">. In addition, the UV-spectrometer enabled </w:t>
      </w:r>
      <w:r w:rsidR="00117270" w:rsidRPr="00D81B62">
        <w:rPr>
          <w:rFonts w:ascii="Times New Roman" w:hAnsi="Times New Roman" w:cs="Times New Roman"/>
          <w:sz w:val="28"/>
          <w:szCs w:val="28"/>
        </w:rPr>
        <w:t>the team</w:t>
      </w:r>
      <w:r w:rsidR="005E4C41" w:rsidRPr="00D81B62">
        <w:rPr>
          <w:rFonts w:ascii="Times New Roman" w:hAnsi="Times New Roman" w:cs="Times New Roman"/>
          <w:sz w:val="28"/>
          <w:szCs w:val="28"/>
        </w:rPr>
        <w:t xml:space="preserve"> to take </w:t>
      </w:r>
      <w:r w:rsidR="00117270" w:rsidRPr="00D81B62">
        <w:rPr>
          <w:rFonts w:ascii="Times New Roman" w:hAnsi="Times New Roman" w:cs="Times New Roman"/>
          <w:sz w:val="28"/>
          <w:szCs w:val="28"/>
        </w:rPr>
        <w:t>numerous vital measurements in support of the thesis aim, allowing them</w:t>
      </w:r>
      <w:r w:rsidR="005E4C41" w:rsidRPr="00D81B62">
        <w:rPr>
          <w:rFonts w:ascii="Times New Roman" w:hAnsi="Times New Roman" w:cs="Times New Roman"/>
          <w:sz w:val="28"/>
          <w:szCs w:val="28"/>
        </w:rPr>
        <w:t xml:space="preserve"> to determine CE and Cell viability more quickly, especially with CCK8 Kits in BSL4 labs, where the SARS-CoV-2 virus had to be kept intact. </w:t>
      </w:r>
    </w:p>
    <w:p w14:paraId="0935C519" w14:textId="0C03826A" w:rsidR="00470B3E" w:rsidRPr="00CF5D83" w:rsidRDefault="00470B3E" w:rsidP="00D81B62">
      <w:pPr>
        <w:spacing w:after="0" w:line="240" w:lineRule="auto"/>
        <w:rPr>
          <w:rFonts w:ascii="Times New Roman" w:hAnsi="Times New Roman" w:cs="Times New Roman"/>
          <w:sz w:val="28"/>
          <w:szCs w:val="28"/>
        </w:rPr>
      </w:pPr>
      <w:r w:rsidRPr="00CF5D83">
        <w:rPr>
          <w:rFonts w:ascii="Times New Roman" w:hAnsi="Times New Roman" w:cs="Times New Roman"/>
          <w:sz w:val="28"/>
          <w:szCs w:val="28"/>
        </w:rPr>
        <w:t>Cytotoxicity (antiviral drugs)</w:t>
      </w:r>
      <w:r w:rsidR="00CF5D83">
        <w:rPr>
          <w:rFonts w:ascii="Times New Roman" w:hAnsi="Times New Roman" w:cs="Times New Roman"/>
          <w:sz w:val="28"/>
          <w:szCs w:val="28"/>
        </w:rPr>
        <w:t>.</w:t>
      </w:r>
    </w:p>
    <w:p w14:paraId="6ED71790" w14:textId="2D10301A" w:rsidR="00470B3E" w:rsidRPr="00D81B62" w:rsidRDefault="00470B3E" w:rsidP="00D81B62">
      <w:pPr>
        <w:spacing w:after="0" w:line="240" w:lineRule="auto"/>
        <w:ind w:firstLine="708"/>
        <w:jc w:val="both"/>
        <w:rPr>
          <w:rFonts w:ascii="Times New Roman" w:hAnsi="Times New Roman" w:cs="Times New Roman"/>
          <w:sz w:val="28"/>
          <w:szCs w:val="28"/>
          <w:lang w:val="en-US"/>
        </w:rPr>
      </w:pPr>
      <w:r w:rsidRPr="00D81B62">
        <w:rPr>
          <w:rFonts w:ascii="Times New Roman" w:hAnsi="Times New Roman" w:cs="Times New Roman"/>
          <w:sz w:val="28"/>
          <w:szCs w:val="28"/>
        </w:rPr>
        <w:t xml:space="preserve">The cell-killing property of an RNA-dependent RNA polymerase inhibitor (Nucleotide or Nucleoside), independent of the mechanism of cell death, is </w:t>
      </w:r>
      <w:r w:rsidR="001730D5">
        <w:rPr>
          <w:rFonts w:ascii="Times New Roman" w:hAnsi="Times New Roman" w:cs="Times New Roman"/>
          <w:sz w:val="28"/>
          <w:szCs w:val="28"/>
        </w:rPr>
        <w:t>called</w:t>
      </w:r>
      <w:r w:rsidRPr="00D81B62">
        <w:rPr>
          <w:rFonts w:ascii="Times New Roman" w:hAnsi="Times New Roman" w:cs="Times New Roman"/>
          <w:sz w:val="28"/>
          <w:szCs w:val="28"/>
        </w:rPr>
        <w:t xml:space="preserve"> cytotoxicity. Establishing that </w:t>
      </w:r>
      <w:r w:rsidR="001730D5">
        <w:rPr>
          <w:rFonts w:ascii="Times New Roman" w:hAnsi="Times New Roman" w:cs="Times New Roman"/>
          <w:sz w:val="28"/>
          <w:szCs w:val="28"/>
        </w:rPr>
        <w:t>an inhibitor's activity</w:t>
      </w:r>
      <w:r w:rsidRPr="00D81B62">
        <w:rPr>
          <w:rFonts w:ascii="Times New Roman" w:hAnsi="Times New Roman" w:cs="Times New Roman"/>
          <w:sz w:val="28"/>
          <w:szCs w:val="28"/>
        </w:rPr>
        <w:t xml:space="preserve"> occurs at concentrations that do not cause cytotoxicity is a critical component of demonstrating that the measured antiviral effect is virus-specific. It </w:t>
      </w:r>
      <w:r w:rsidR="00567A45">
        <w:rPr>
          <w:rFonts w:ascii="Times New Roman" w:hAnsi="Times New Roman" w:cs="Times New Roman"/>
          <w:sz w:val="28"/>
          <w:szCs w:val="28"/>
        </w:rPr>
        <w:t>serves as a</w:t>
      </w:r>
      <w:r w:rsidRPr="00D81B62">
        <w:rPr>
          <w:rFonts w:ascii="Times New Roman" w:hAnsi="Times New Roman" w:cs="Times New Roman"/>
          <w:sz w:val="28"/>
          <w:szCs w:val="28"/>
        </w:rPr>
        <w:t xml:space="preserve"> cornerstone in selecting a potential drug candidate for further development. The cytotoxic effect of an inhibitor can be determined by calculating the median 50</w:t>
      </w:r>
      <w:r w:rsidR="005E4C41" w:rsidRPr="00D81B62">
        <w:rPr>
          <w:rFonts w:ascii="Times New Roman" w:hAnsi="Times New Roman" w:cs="Times New Roman"/>
          <w:sz w:val="28"/>
          <w:szCs w:val="28"/>
        </w:rPr>
        <w:t>% cytotoxic concentration (CC50), defined as the concentration of the test inhibitor that results in a 50</w:t>
      </w:r>
      <w:r w:rsidRPr="00D81B62">
        <w:rPr>
          <w:rFonts w:ascii="Times New Roman" w:hAnsi="Times New Roman" w:cs="Times New Roman"/>
          <w:sz w:val="28"/>
          <w:szCs w:val="28"/>
        </w:rPr>
        <w:t xml:space="preserve">% reduction in cell viability. Inhibitors that act in the middle of the cycle may affect one or more of the many processes involved in viral replication. For example, the polymerase inhibitor T-705 inhibits </w:t>
      </w:r>
      <w:r w:rsidR="00FC66E8">
        <w:rPr>
          <w:rFonts w:ascii="Times New Roman" w:hAnsi="Times New Roman" w:cs="Times New Roman"/>
          <w:sz w:val="28"/>
          <w:szCs w:val="28"/>
        </w:rPr>
        <w:t xml:space="preserve">viral replication when added to viral cultures within 6 hours of </w:t>
      </w:r>
      <w:r w:rsidRPr="00D81B62">
        <w:rPr>
          <w:rFonts w:ascii="Times New Roman" w:hAnsi="Times New Roman" w:cs="Times New Roman"/>
          <w:sz w:val="28"/>
          <w:szCs w:val="28"/>
        </w:rPr>
        <w:t xml:space="preserve">infection [93]. </w:t>
      </w:r>
      <w:r w:rsidR="00FC66E8">
        <w:rPr>
          <w:rFonts w:ascii="Times New Roman" w:hAnsi="Times New Roman" w:cs="Times New Roman"/>
          <w:sz w:val="28"/>
          <w:szCs w:val="28"/>
        </w:rPr>
        <w:t>Once cell viability is ensured, we can use various drug concentrations, considering the viral load (measured in MOI) and, as shown in Figure 12</w:t>
      </w:r>
      <w:r w:rsidRPr="00D81B62">
        <w:rPr>
          <w:rFonts w:ascii="Times New Roman" w:hAnsi="Times New Roman" w:cs="Times New Roman"/>
          <w:sz w:val="28"/>
          <w:szCs w:val="28"/>
        </w:rPr>
        <w:t>, Favipiravir’s EC</w:t>
      </w:r>
      <w:r w:rsidRPr="00D81B62">
        <w:rPr>
          <w:rFonts w:ascii="Times New Roman" w:hAnsi="Times New Roman" w:cs="Times New Roman"/>
          <w:sz w:val="28"/>
          <w:szCs w:val="28"/>
          <w:vertAlign w:val="subscript"/>
        </w:rPr>
        <w:t xml:space="preserve">50, which </w:t>
      </w:r>
      <w:r w:rsidRPr="00D81B62">
        <w:rPr>
          <w:rFonts w:ascii="Times New Roman" w:hAnsi="Times New Roman" w:cs="Times New Roman"/>
          <w:sz w:val="28"/>
          <w:szCs w:val="28"/>
        </w:rPr>
        <w:t xml:space="preserve">depends on intact viral particles.  </w:t>
      </w:r>
    </w:p>
    <w:p w14:paraId="099274DE" w14:textId="77777777" w:rsidR="00B70543" w:rsidRPr="00D81B62" w:rsidRDefault="00B70543" w:rsidP="00D81B62">
      <w:pPr>
        <w:spacing w:line="240" w:lineRule="auto"/>
        <w:ind w:firstLine="708"/>
        <w:jc w:val="both"/>
        <w:rPr>
          <w:rFonts w:ascii="Times New Roman" w:hAnsi="Times New Roman" w:cs="Times New Roman"/>
          <w:sz w:val="28"/>
          <w:szCs w:val="28"/>
          <w:lang w:val="en-US"/>
        </w:rPr>
      </w:pPr>
    </w:p>
    <w:p w14:paraId="4CAFD417" w14:textId="77777777" w:rsidR="00470B3E" w:rsidRPr="006531C9" w:rsidRDefault="00470B3E" w:rsidP="001D469D">
      <w:pPr>
        <w:pStyle w:val="af1"/>
        <w:spacing w:after="0" w:line="360" w:lineRule="auto"/>
        <w:ind w:leftChars="-327" w:left="1" w:hangingChars="300" w:hanging="720"/>
        <w:jc w:val="center"/>
        <w:rPr>
          <w:rFonts w:ascii="Times New Roman" w:hAnsi="Times New Roman" w:cs="Times New Roman"/>
          <w:b/>
          <w:bCs/>
          <w:sz w:val="24"/>
          <w:szCs w:val="24"/>
        </w:rPr>
      </w:pPr>
      <w:r w:rsidRPr="006531C9">
        <w:rPr>
          <w:rFonts w:ascii="Times New Roman" w:hAnsi="Times New Roman" w:cs="Times New Roman"/>
          <w:noProof/>
          <w:sz w:val="24"/>
          <w:szCs w:val="24"/>
        </w:rPr>
        <w:lastRenderedPageBreak/>
        <w:drawing>
          <wp:inline distT="0" distB="0" distL="0" distR="0" wp14:anchorId="2CBF5EA3" wp14:editId="0D36DFFA">
            <wp:extent cx="4751067" cy="2686050"/>
            <wp:effectExtent l="0" t="0" r="0" b="0"/>
            <wp:docPr id="15303976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397668" name="Рисунок 1"/>
                    <pic:cNvPicPr>
                      <a:picLocks noChangeAspect="1"/>
                    </pic:cNvPicPr>
                  </pic:nvPicPr>
                  <pic:blipFill>
                    <a:blip r:embed="rId20"/>
                    <a:srcRect l="27878" t="47185" r="32096" b="12578"/>
                    <a:stretch>
                      <a:fillRect/>
                    </a:stretch>
                  </pic:blipFill>
                  <pic:spPr>
                    <a:xfrm>
                      <a:off x="0" y="0"/>
                      <a:ext cx="4881954" cy="2760048"/>
                    </a:xfrm>
                    <a:prstGeom prst="rect">
                      <a:avLst/>
                    </a:prstGeom>
                    <a:ln>
                      <a:noFill/>
                    </a:ln>
                  </pic:spPr>
                </pic:pic>
              </a:graphicData>
            </a:graphic>
          </wp:inline>
        </w:drawing>
      </w:r>
    </w:p>
    <w:p w14:paraId="5367D6B5" w14:textId="25C1BFF9" w:rsidR="00D81B62" w:rsidRPr="00D81B62" w:rsidRDefault="00470B3E" w:rsidP="00B7155D">
      <w:pPr>
        <w:pStyle w:val="af1"/>
        <w:spacing w:after="0" w:line="240" w:lineRule="auto"/>
        <w:ind w:left="0"/>
        <w:jc w:val="center"/>
        <w:rPr>
          <w:rFonts w:ascii="Times New Roman" w:hAnsi="Times New Roman" w:cs="Times New Roman"/>
          <w:sz w:val="28"/>
          <w:szCs w:val="28"/>
        </w:rPr>
      </w:pPr>
      <w:r w:rsidRPr="00D81B62">
        <w:rPr>
          <w:rFonts w:ascii="Times New Roman" w:hAnsi="Times New Roman" w:cs="Times New Roman"/>
          <w:sz w:val="28"/>
          <w:szCs w:val="28"/>
        </w:rPr>
        <w:t>Figure 1</w:t>
      </w:r>
      <w:r w:rsidR="006242E8" w:rsidRPr="00D81B62">
        <w:rPr>
          <w:rFonts w:ascii="Times New Roman" w:hAnsi="Times New Roman" w:cs="Times New Roman"/>
          <w:sz w:val="28"/>
          <w:szCs w:val="28"/>
        </w:rPr>
        <w:t>0</w:t>
      </w:r>
      <w:r w:rsidR="00A06537" w:rsidRPr="00D81B62">
        <w:rPr>
          <w:rFonts w:ascii="Times New Roman" w:hAnsi="Times New Roman" w:cs="Times New Roman"/>
          <w:sz w:val="28"/>
          <w:szCs w:val="28"/>
        </w:rPr>
        <w:t xml:space="preserve"> </w:t>
      </w:r>
      <w:r w:rsidRPr="00D81B62">
        <w:rPr>
          <w:rFonts w:ascii="Times New Roman" w:hAnsi="Times New Roman" w:cs="Times New Roman"/>
          <w:sz w:val="28"/>
          <w:szCs w:val="28"/>
        </w:rPr>
        <w:t>—</w:t>
      </w:r>
      <w:r w:rsidR="00A06537" w:rsidRPr="00D81B62">
        <w:rPr>
          <w:rFonts w:ascii="Times New Roman" w:hAnsi="Times New Roman" w:cs="Times New Roman"/>
          <w:sz w:val="28"/>
          <w:szCs w:val="28"/>
        </w:rPr>
        <w:t xml:space="preserve"> </w:t>
      </w:r>
      <w:r w:rsidR="005E4C41" w:rsidRPr="00D81B62">
        <w:rPr>
          <w:rFonts w:ascii="Times New Roman" w:hAnsi="Times New Roman" w:cs="Times New Roman"/>
          <w:sz w:val="28"/>
          <w:szCs w:val="28"/>
        </w:rPr>
        <w:t>Example of the Effect of MOI 0.001, 0.01, and 0.1</w:t>
      </w:r>
      <w:r w:rsidRPr="00D81B62">
        <w:rPr>
          <w:rFonts w:ascii="Times New Roman" w:hAnsi="Times New Roman" w:cs="Times New Roman"/>
          <w:sz w:val="28"/>
          <w:szCs w:val="28"/>
        </w:rPr>
        <w:t xml:space="preserve"> on the EC50 of T-705 or Favipiravir</w:t>
      </w:r>
      <w:r w:rsidR="00A06537" w:rsidRPr="00D81B62">
        <w:rPr>
          <w:rFonts w:ascii="Times New Roman" w:hAnsi="Times New Roman" w:cs="Times New Roman"/>
          <w:sz w:val="28"/>
          <w:szCs w:val="28"/>
        </w:rPr>
        <w:t xml:space="preserve"> </w:t>
      </w:r>
    </w:p>
    <w:p w14:paraId="4634A447" w14:textId="77777777" w:rsidR="00D81B62" w:rsidRDefault="00D81B62" w:rsidP="00B7155D">
      <w:pPr>
        <w:pStyle w:val="af1"/>
        <w:spacing w:after="0" w:line="240" w:lineRule="auto"/>
        <w:ind w:left="0"/>
        <w:jc w:val="center"/>
        <w:rPr>
          <w:rFonts w:ascii="Times New Roman" w:hAnsi="Times New Roman" w:cs="Times New Roman"/>
          <w:sz w:val="24"/>
          <w:szCs w:val="24"/>
        </w:rPr>
      </w:pPr>
    </w:p>
    <w:p w14:paraId="7A6E618A" w14:textId="5C54B371" w:rsidR="00A06537" w:rsidRPr="00D81B62" w:rsidRDefault="00A06537" w:rsidP="00D81B62">
      <w:pPr>
        <w:pStyle w:val="af1"/>
        <w:spacing w:after="0" w:line="240" w:lineRule="auto"/>
        <w:ind w:left="0" w:firstLine="708"/>
        <w:rPr>
          <w:rFonts w:ascii="Times New Roman" w:hAnsi="Times New Roman" w:cs="Times New Roman"/>
          <w:sz w:val="28"/>
          <w:szCs w:val="28"/>
        </w:rPr>
      </w:pPr>
      <w:r w:rsidRPr="00D81B62">
        <w:rPr>
          <w:rFonts w:ascii="Times New Roman" w:hAnsi="Times New Roman" w:cs="Times New Roman"/>
          <w:sz w:val="28"/>
          <w:szCs w:val="28"/>
        </w:rPr>
        <w:t xml:space="preserve">The dose–response curves illustrate the </w:t>
      </w:r>
      <w:r w:rsidR="001F1848">
        <w:rPr>
          <w:rFonts w:ascii="Times New Roman" w:hAnsi="Times New Roman" w:cs="Times New Roman"/>
          <w:sz w:val="28"/>
          <w:szCs w:val="28"/>
        </w:rPr>
        <w:t xml:space="preserve">compound's inhibitory effect </w:t>
      </w:r>
      <w:r w:rsidRPr="00D81B62">
        <w:rPr>
          <w:rFonts w:ascii="Times New Roman" w:hAnsi="Times New Roman" w:cs="Times New Roman"/>
          <w:sz w:val="28"/>
          <w:szCs w:val="28"/>
        </w:rPr>
        <w:t>on viral replication at different multiplicities of infection (MOI). Per cent inhibition is plotted against inhibitor concentration on a logarithmic scale, with EC₅₀ values derived from sigmoidal curve fitting</w:t>
      </w:r>
      <w:r w:rsidR="00D81B62">
        <w:rPr>
          <w:rFonts w:ascii="Times New Roman" w:hAnsi="Times New Roman" w:cs="Times New Roman"/>
          <w:sz w:val="28"/>
          <w:szCs w:val="28"/>
        </w:rPr>
        <w:t xml:space="preserve">. </w:t>
      </w:r>
      <w:r w:rsidRPr="00D81B62">
        <w:rPr>
          <w:rFonts w:ascii="Times New Roman" w:hAnsi="Times New Roman" w:cs="Times New Roman"/>
          <w:sz w:val="28"/>
          <w:szCs w:val="28"/>
        </w:rPr>
        <w:t xml:space="preserve">At a low MOI of 0.001, the compound exhibits high potency </w:t>
      </w:r>
      <w:r w:rsidR="001F1848">
        <w:rPr>
          <w:rFonts w:ascii="Times New Roman" w:hAnsi="Times New Roman" w:cs="Times New Roman"/>
          <w:sz w:val="28"/>
          <w:szCs w:val="28"/>
        </w:rPr>
        <w:t>(EC₅₀ = 0.2 μM); however, at an MOI of 0.01, potency decreases to 0.6 μM (EC₅₀)</w:t>
      </w:r>
      <w:r w:rsidR="005F29C7" w:rsidRPr="00D81B62">
        <w:rPr>
          <w:rFonts w:ascii="Times New Roman" w:hAnsi="Times New Roman" w:cs="Times New Roman"/>
          <w:sz w:val="28"/>
          <w:szCs w:val="28"/>
        </w:rPr>
        <w:t>.</w:t>
      </w:r>
      <w:r w:rsidRPr="00D81B62">
        <w:rPr>
          <w:rFonts w:ascii="Times New Roman" w:hAnsi="Times New Roman" w:cs="Times New Roman"/>
          <w:sz w:val="28"/>
          <w:szCs w:val="28"/>
        </w:rPr>
        <w:t xml:space="preserve"> </w:t>
      </w:r>
    </w:p>
    <w:p w14:paraId="0216874D" w14:textId="5B699E2B" w:rsidR="0005298F" w:rsidRPr="00D81B62" w:rsidRDefault="00A06537" w:rsidP="00D81B62">
      <w:pPr>
        <w:pStyle w:val="af1"/>
        <w:spacing w:after="0" w:line="240" w:lineRule="auto"/>
        <w:ind w:left="0" w:firstLine="708"/>
        <w:jc w:val="both"/>
        <w:rPr>
          <w:rFonts w:ascii="Times New Roman" w:hAnsi="Times New Roman" w:cs="Times New Roman"/>
          <w:sz w:val="28"/>
          <w:szCs w:val="28"/>
          <w:vertAlign w:val="subscript"/>
          <w:lang w:val="en-US"/>
        </w:rPr>
      </w:pPr>
      <w:r w:rsidRPr="00D81B62">
        <w:rPr>
          <w:rFonts w:ascii="Times New Roman" w:hAnsi="Times New Roman" w:cs="Times New Roman"/>
          <w:sz w:val="28"/>
          <w:szCs w:val="28"/>
        </w:rPr>
        <w:t>At the highest tested MOI of 0.1, inhibition is not achieved within the tested concentration range, with an EC₅₀ value exceeding 100 μM. These findings indicate that antiviral efficacy is strongly influenced by viral input, with higher infection loads diminishing the apparent potency of the inhibitor.</w:t>
      </w:r>
      <w:r w:rsidR="00470B3E" w:rsidRPr="00D81B62">
        <w:rPr>
          <w:rFonts w:ascii="Times New Roman" w:hAnsi="Times New Roman" w:cs="Times New Roman"/>
          <w:sz w:val="28"/>
          <w:szCs w:val="28"/>
        </w:rPr>
        <w:t xml:space="preserve"> [92-93]. In Figure 1</w:t>
      </w:r>
      <w:r w:rsidRPr="00D81B62">
        <w:rPr>
          <w:rFonts w:ascii="Times New Roman" w:hAnsi="Times New Roman" w:cs="Times New Roman"/>
          <w:sz w:val="28"/>
          <w:szCs w:val="28"/>
        </w:rPr>
        <w:t>0</w:t>
      </w:r>
      <w:r w:rsidR="00470B3E" w:rsidRPr="00D81B62">
        <w:rPr>
          <w:rFonts w:ascii="Times New Roman" w:hAnsi="Times New Roman" w:cs="Times New Roman"/>
          <w:sz w:val="28"/>
          <w:szCs w:val="28"/>
        </w:rPr>
        <w:t xml:space="preserve">, </w:t>
      </w:r>
      <w:r w:rsidR="00297C56" w:rsidRPr="00D81B62">
        <w:rPr>
          <w:rFonts w:ascii="Times New Roman" w:hAnsi="Times New Roman" w:cs="Times New Roman"/>
          <w:sz w:val="28"/>
          <w:szCs w:val="28"/>
        </w:rPr>
        <w:t>it</w:t>
      </w:r>
      <w:r w:rsidR="00470B3E" w:rsidRPr="00D81B62">
        <w:rPr>
          <w:rFonts w:ascii="Times New Roman" w:hAnsi="Times New Roman" w:cs="Times New Roman"/>
          <w:sz w:val="28"/>
          <w:szCs w:val="28"/>
        </w:rPr>
        <w:t xml:space="preserve"> </w:t>
      </w:r>
      <w:r w:rsidR="00570F52" w:rsidRPr="00D81B62">
        <w:rPr>
          <w:rFonts w:ascii="Times New Roman" w:hAnsi="Times New Roman" w:cs="Times New Roman"/>
          <w:sz w:val="28"/>
          <w:szCs w:val="28"/>
        </w:rPr>
        <w:t>is evident</w:t>
      </w:r>
      <w:r w:rsidR="00297C56" w:rsidRPr="00D81B62">
        <w:rPr>
          <w:rFonts w:ascii="Times New Roman" w:hAnsi="Times New Roman" w:cs="Times New Roman"/>
          <w:sz w:val="28"/>
          <w:szCs w:val="28"/>
        </w:rPr>
        <w:t xml:space="preserve"> that the explicit dependence of MOI on EC50 increases</w:t>
      </w:r>
      <w:r w:rsidR="00470B3E" w:rsidRPr="00D81B62">
        <w:rPr>
          <w:rFonts w:ascii="Times New Roman" w:hAnsi="Times New Roman" w:cs="Times New Roman"/>
          <w:sz w:val="28"/>
          <w:szCs w:val="28"/>
        </w:rPr>
        <w:t xml:space="preserve">. The percentage of inhibition </w:t>
      </w:r>
      <w:r w:rsidR="00B8718B" w:rsidRPr="00D81B62">
        <w:rPr>
          <w:rFonts w:ascii="Times New Roman" w:hAnsi="Times New Roman" w:cs="Times New Roman"/>
          <w:sz w:val="28"/>
          <w:szCs w:val="28"/>
        </w:rPr>
        <w:t xml:space="preserve">reaches 50% at </w:t>
      </w:r>
      <w:r w:rsidR="001F1848">
        <w:rPr>
          <w:rFonts w:ascii="Times New Roman" w:hAnsi="Times New Roman" w:cs="Times New Roman"/>
          <w:sz w:val="28"/>
          <w:szCs w:val="28"/>
        </w:rPr>
        <w:t>MOIs of 0.001 and 0.01, respectively, within relatively comparable value ranges, namely 0.2-</w:t>
      </w:r>
      <w:r w:rsidR="00B8718B" w:rsidRPr="00D81B62">
        <w:rPr>
          <w:rFonts w:ascii="Times New Roman" w:hAnsi="Times New Roman" w:cs="Times New Roman"/>
          <w:sz w:val="28"/>
          <w:szCs w:val="28"/>
        </w:rPr>
        <w:t>0.6 µM</w:t>
      </w:r>
      <w:r w:rsidR="00470B3E" w:rsidRPr="00D81B62">
        <w:rPr>
          <w:rFonts w:ascii="Times New Roman" w:hAnsi="Times New Roman" w:cs="Times New Roman"/>
          <w:sz w:val="28"/>
          <w:szCs w:val="28"/>
        </w:rPr>
        <w:t xml:space="preserve">. Still, when MOI </w:t>
      </w:r>
      <w:r w:rsidR="001F1848">
        <w:rPr>
          <w:rFonts w:ascii="Times New Roman" w:hAnsi="Times New Roman" w:cs="Times New Roman"/>
          <w:sz w:val="28"/>
          <w:szCs w:val="28"/>
        </w:rPr>
        <w:t>reaches 0.1, the drug concentration reaches almost 100 µM, representing a more than 100-fold increase in EC50</w:t>
      </w:r>
      <w:r w:rsidR="00470B3E" w:rsidRPr="00D81B62">
        <w:rPr>
          <w:rFonts w:ascii="Times New Roman" w:hAnsi="Times New Roman" w:cs="Times New Roman"/>
          <w:sz w:val="28"/>
          <w:szCs w:val="28"/>
        </w:rPr>
        <w:t>. IC</w:t>
      </w:r>
      <w:r w:rsidR="00470B3E" w:rsidRPr="00D81B62">
        <w:rPr>
          <w:rFonts w:ascii="Times New Roman" w:hAnsi="Times New Roman" w:cs="Times New Roman"/>
          <w:sz w:val="28"/>
          <w:szCs w:val="28"/>
          <w:vertAlign w:val="subscript"/>
        </w:rPr>
        <w:t>99</w:t>
      </w:r>
      <w:r w:rsidR="00B8718B" w:rsidRPr="00D81B62">
        <w:rPr>
          <w:rFonts w:ascii="Times New Roman" w:hAnsi="Times New Roman" w:cs="Times New Roman"/>
          <w:sz w:val="28"/>
          <w:szCs w:val="28"/>
          <w:vertAlign w:val="subscript"/>
        </w:rPr>
        <w:t xml:space="preserve"> </w:t>
      </w:r>
      <w:r w:rsidR="00B8718B" w:rsidRPr="00D81B62">
        <w:rPr>
          <w:rFonts w:ascii="Times New Roman" w:hAnsi="Times New Roman" w:cs="Times New Roman"/>
          <w:sz w:val="28"/>
          <w:szCs w:val="28"/>
        </w:rPr>
        <w:t xml:space="preserve">is the inhibitor concentration required to stop viral replication; it is typically 100 times more than the </w:t>
      </w:r>
      <w:r w:rsidR="00470B3E" w:rsidRPr="00D81B62">
        <w:rPr>
          <w:rFonts w:ascii="Times New Roman" w:hAnsi="Times New Roman" w:cs="Times New Roman"/>
          <w:sz w:val="28"/>
          <w:szCs w:val="28"/>
        </w:rPr>
        <w:t>EC</w:t>
      </w:r>
      <w:r w:rsidR="00470B3E" w:rsidRPr="00D81B62">
        <w:rPr>
          <w:rFonts w:ascii="Times New Roman" w:hAnsi="Times New Roman" w:cs="Times New Roman"/>
          <w:sz w:val="28"/>
          <w:szCs w:val="28"/>
          <w:vertAlign w:val="subscript"/>
        </w:rPr>
        <w:t xml:space="preserve">50. </w:t>
      </w:r>
    </w:p>
    <w:p w14:paraId="251E6E7B" w14:textId="473D0E52" w:rsidR="00D81B62" w:rsidRDefault="00470B3E" w:rsidP="00D81B62">
      <w:pPr>
        <w:pStyle w:val="af1"/>
        <w:spacing w:after="0" w:line="240" w:lineRule="auto"/>
        <w:ind w:left="0" w:firstLine="708"/>
        <w:jc w:val="both"/>
        <w:rPr>
          <w:rFonts w:ascii="Times New Roman" w:hAnsi="Times New Roman" w:cs="Times New Roman"/>
          <w:sz w:val="28"/>
          <w:szCs w:val="28"/>
        </w:rPr>
      </w:pPr>
      <w:r w:rsidRPr="00D81B62">
        <w:rPr>
          <w:rFonts w:ascii="Times New Roman" w:hAnsi="Times New Roman" w:cs="Times New Roman"/>
          <w:sz w:val="28"/>
          <w:szCs w:val="28"/>
        </w:rPr>
        <w:t xml:space="preserve">The relationship between inhibitor concentration (nM) and the percentage of inhibition at three multiplicities of infection (MOI): 0.001, 0.01, and 0.1. It also includes a table </w:t>
      </w:r>
      <w:r w:rsidR="00D10872" w:rsidRPr="00D81B62">
        <w:rPr>
          <w:rFonts w:ascii="Times New Roman" w:hAnsi="Times New Roman" w:cs="Times New Roman"/>
          <w:sz w:val="28"/>
          <w:szCs w:val="28"/>
        </w:rPr>
        <w:t>summarising</w:t>
      </w:r>
      <w:r w:rsidRPr="00D81B62">
        <w:rPr>
          <w:rFonts w:ascii="Times New Roman" w:hAnsi="Times New Roman" w:cs="Times New Roman"/>
          <w:sz w:val="28"/>
          <w:szCs w:val="28"/>
        </w:rPr>
        <w:t xml:space="preserve"> each MOI's EC</w:t>
      </w:r>
      <w:r w:rsidRPr="00D81B62">
        <w:rPr>
          <w:rFonts w:ascii="Times New Roman" w:hAnsi="Times New Roman" w:cs="Times New Roman"/>
          <w:sz w:val="28"/>
          <w:szCs w:val="28"/>
          <w:vertAlign w:val="subscript"/>
        </w:rPr>
        <w:t xml:space="preserve">50 </w:t>
      </w:r>
      <w:r w:rsidR="001F1848">
        <w:rPr>
          <w:rFonts w:ascii="Times New Roman" w:hAnsi="Times New Roman" w:cs="Times New Roman"/>
          <w:sz w:val="28"/>
          <w:szCs w:val="28"/>
        </w:rPr>
        <w:t xml:space="preserve">value (the </w:t>
      </w:r>
      <w:r w:rsidRPr="00D81B62">
        <w:rPr>
          <w:rFonts w:ascii="Times New Roman" w:hAnsi="Times New Roman" w:cs="Times New Roman"/>
          <w:sz w:val="28"/>
          <w:szCs w:val="28"/>
        </w:rPr>
        <w:t xml:space="preserve">effective concentration required to achieve 50% inhibition). At MOI = 0.001, the curve rises steeply, reaching 50% inhibition at 200 nM (EC50 = 0.2 µM). This indicates high sensitivity to the inhibitor at this </w:t>
      </w:r>
      <w:r w:rsidR="00DA378B" w:rsidRPr="00D81B62">
        <w:rPr>
          <w:rFonts w:ascii="Times New Roman" w:hAnsi="Times New Roman" w:cs="Times New Roman"/>
          <w:sz w:val="28"/>
          <w:szCs w:val="28"/>
        </w:rPr>
        <w:t>level of infection</w:t>
      </w:r>
      <w:r w:rsidRPr="00D81B62">
        <w:rPr>
          <w:rFonts w:ascii="Times New Roman" w:hAnsi="Times New Roman" w:cs="Times New Roman"/>
          <w:sz w:val="28"/>
          <w:szCs w:val="28"/>
        </w:rPr>
        <w:t xml:space="preserve">. For MOI = 0.01, the curve shifts to the right, requiring higher concentrations to reach the same effect. </w:t>
      </w:r>
    </w:p>
    <w:p w14:paraId="7F3D5511" w14:textId="79D848D7" w:rsidR="00470B3E" w:rsidRPr="00D81B62" w:rsidRDefault="00470B3E" w:rsidP="00D81B62">
      <w:pPr>
        <w:pStyle w:val="af1"/>
        <w:spacing w:after="0" w:line="240" w:lineRule="auto"/>
        <w:ind w:left="0" w:firstLine="708"/>
        <w:jc w:val="both"/>
        <w:rPr>
          <w:rFonts w:ascii="Times New Roman" w:hAnsi="Times New Roman" w:cs="Times New Roman"/>
          <w:sz w:val="28"/>
          <w:szCs w:val="28"/>
        </w:rPr>
      </w:pPr>
      <w:r w:rsidRPr="00D81B62">
        <w:rPr>
          <w:rFonts w:ascii="Times New Roman" w:hAnsi="Times New Roman" w:cs="Times New Roman"/>
          <w:sz w:val="28"/>
          <w:szCs w:val="28"/>
        </w:rPr>
        <w:t>The EC50 value is 600 nM (0.6 µM), showing reduced sensitivity compared to MOI = 0.001. At MOI = 0.1, the curve flattens significantly, and even at high concentrations (&gt;100 µM), it does not reach 50% inhibition. The table lists EC</w:t>
      </w:r>
      <w:r w:rsidRPr="00D81B62">
        <w:rPr>
          <w:rFonts w:ascii="Times New Roman" w:hAnsi="Times New Roman" w:cs="Times New Roman"/>
          <w:sz w:val="28"/>
          <w:szCs w:val="28"/>
          <w:vertAlign w:val="subscript"/>
        </w:rPr>
        <w:t xml:space="preserve">50 </w:t>
      </w:r>
      <w:r w:rsidRPr="00D81B62">
        <w:rPr>
          <w:rFonts w:ascii="Times New Roman" w:hAnsi="Times New Roman" w:cs="Times New Roman"/>
          <w:sz w:val="28"/>
          <w:szCs w:val="28"/>
        </w:rPr>
        <w:t xml:space="preserve">for this MOI as "&gt;100 µM," indicating minimal effectiveness. In summary, the </w:t>
      </w:r>
      <w:r w:rsidR="001F1848">
        <w:rPr>
          <w:rFonts w:ascii="Times New Roman" w:hAnsi="Times New Roman" w:cs="Times New Roman"/>
          <w:sz w:val="28"/>
          <w:szCs w:val="28"/>
        </w:rPr>
        <w:t>inhibitor's efficacy decreases with increasing MOI</w:t>
      </w:r>
      <w:r w:rsidRPr="00D81B62">
        <w:rPr>
          <w:rFonts w:ascii="Times New Roman" w:hAnsi="Times New Roman" w:cs="Times New Roman"/>
          <w:sz w:val="28"/>
          <w:szCs w:val="28"/>
        </w:rPr>
        <w:t xml:space="preserve">, requiring higher concentrations for </w:t>
      </w:r>
      <w:r w:rsidR="00BE1B5F" w:rsidRPr="00D81B62">
        <w:rPr>
          <w:rFonts w:ascii="Times New Roman" w:hAnsi="Times New Roman" w:cs="Times New Roman"/>
          <w:sz w:val="28"/>
          <w:szCs w:val="28"/>
        </w:rPr>
        <w:t xml:space="preserve">inhibition </w:t>
      </w:r>
      <w:r w:rsidR="00BE1B5F" w:rsidRPr="00D81B62">
        <w:rPr>
          <w:rFonts w:ascii="Times New Roman" w:hAnsi="Times New Roman" w:cs="Times New Roman"/>
          <w:sz w:val="28"/>
          <w:szCs w:val="28"/>
        </w:rPr>
        <w:lastRenderedPageBreak/>
        <w:t>[101-104</w:t>
      </w:r>
      <w:r w:rsidR="00FB167A" w:rsidRPr="00D81B62">
        <w:rPr>
          <w:rFonts w:ascii="Times New Roman" w:hAnsi="Times New Roman" w:cs="Times New Roman"/>
          <w:sz w:val="28"/>
          <w:szCs w:val="28"/>
        </w:rPr>
        <w:t>].</w:t>
      </w:r>
      <w:r w:rsidRPr="00D81B62">
        <w:rPr>
          <w:rFonts w:ascii="Times New Roman" w:hAnsi="Times New Roman" w:cs="Times New Roman"/>
          <w:sz w:val="28"/>
          <w:szCs w:val="28"/>
        </w:rPr>
        <w:t xml:space="preserve"> The inhibitor is highly potent at low MOI</w:t>
      </w:r>
      <w:r w:rsidR="00625DC3">
        <w:rPr>
          <w:rFonts w:ascii="Times New Roman" w:hAnsi="Times New Roman" w:cs="Times New Roman"/>
          <w:sz w:val="28"/>
          <w:szCs w:val="28"/>
        </w:rPr>
        <w:t>, but its effect diminishes significantly at higher MOI</w:t>
      </w:r>
      <w:r w:rsidR="00D952C3" w:rsidRPr="00D81B62">
        <w:rPr>
          <w:rFonts w:ascii="Times New Roman" w:hAnsi="Times New Roman" w:cs="Times New Roman"/>
          <w:sz w:val="28"/>
          <w:szCs w:val="28"/>
        </w:rPr>
        <w:t>.</w:t>
      </w:r>
      <w:r w:rsidRPr="00D81B62">
        <w:rPr>
          <w:rFonts w:ascii="Times New Roman" w:hAnsi="Times New Roman" w:cs="Times New Roman"/>
          <w:sz w:val="28"/>
          <w:szCs w:val="28"/>
        </w:rPr>
        <w:t xml:space="preserve"> </w:t>
      </w:r>
    </w:p>
    <w:p w14:paraId="0E8A3CF8" w14:textId="78F7E6D7" w:rsidR="00716823" w:rsidRPr="00D81B62" w:rsidRDefault="00470B3E" w:rsidP="00D81B62">
      <w:pPr>
        <w:spacing w:after="0" w:line="240" w:lineRule="auto"/>
        <w:ind w:firstLine="709"/>
        <w:jc w:val="both"/>
        <w:rPr>
          <w:rFonts w:ascii="Times New Roman" w:hAnsi="Times New Roman" w:cs="Times New Roman"/>
          <w:sz w:val="28"/>
          <w:szCs w:val="28"/>
        </w:rPr>
      </w:pPr>
      <w:r w:rsidRPr="00D81B62">
        <w:rPr>
          <w:rFonts w:ascii="Times New Roman" w:hAnsi="Times New Roman" w:cs="Times New Roman"/>
          <w:sz w:val="28"/>
          <w:szCs w:val="28"/>
        </w:rPr>
        <w:t>MOI (Multiplicity of Infection), TCID50, PFU/</w:t>
      </w:r>
      <w:r w:rsidR="00DA378B" w:rsidRPr="00D81B62">
        <w:rPr>
          <w:rFonts w:ascii="Times New Roman" w:hAnsi="Times New Roman" w:cs="Times New Roman"/>
          <w:sz w:val="28"/>
          <w:szCs w:val="28"/>
        </w:rPr>
        <w:t>mL, or IU/mL is related to EC50 (the concentration of a drug that causes a semi-maximal response</w:t>
      </w:r>
      <w:r w:rsidRPr="00D81B62">
        <w:rPr>
          <w:rFonts w:ascii="Times New Roman" w:hAnsi="Times New Roman" w:cs="Times New Roman"/>
          <w:sz w:val="28"/>
          <w:szCs w:val="28"/>
        </w:rPr>
        <w:t xml:space="preserve">). Using a four-parameter regression method (a statistical </w:t>
      </w:r>
      <w:r w:rsidR="00DA378B" w:rsidRPr="00D81B62">
        <w:rPr>
          <w:rFonts w:ascii="Times New Roman" w:hAnsi="Times New Roman" w:cs="Times New Roman"/>
          <w:sz w:val="28"/>
          <w:szCs w:val="28"/>
        </w:rPr>
        <w:t>technique for fitting a curve), mathematics enables us to conduct experiments and translate their results into something understandable, comparable, and meaningful</w:t>
      </w:r>
      <w:r w:rsidRPr="00D81B62">
        <w:rPr>
          <w:rFonts w:ascii="Times New Roman" w:hAnsi="Times New Roman" w:cs="Times New Roman"/>
          <w:sz w:val="28"/>
          <w:szCs w:val="28"/>
        </w:rPr>
        <w:t>. When converting TCID50</w:t>
      </w:r>
      <w:r w:rsidR="00DA378B" w:rsidRPr="00D81B62">
        <w:rPr>
          <w:rFonts w:ascii="Times New Roman" w:hAnsi="Times New Roman" w:cs="Times New Roman"/>
          <w:sz w:val="28"/>
          <w:szCs w:val="28"/>
        </w:rPr>
        <w:t xml:space="preserve">/ml (tissue culture infectious dose, the amount of virus required to kill 50% of the cells in the culture) to PFU/ml (plaque-forming units, the number of viable virus particles), we </w:t>
      </w:r>
      <w:r w:rsidRPr="00D81B62">
        <w:rPr>
          <w:rFonts w:ascii="Times New Roman" w:hAnsi="Times New Roman" w:cs="Times New Roman"/>
          <w:sz w:val="28"/>
          <w:szCs w:val="28"/>
        </w:rPr>
        <w:t xml:space="preserve">multiply by 0.7. </w:t>
      </w:r>
      <w:r w:rsidR="00DA378B" w:rsidRPr="00D81B62">
        <w:rPr>
          <w:rFonts w:ascii="Times New Roman" w:hAnsi="Times New Roman" w:cs="Times New Roman"/>
          <w:sz w:val="28"/>
          <w:szCs w:val="28"/>
        </w:rPr>
        <w:t>Typically, we terminate the PCR (polymerase chain reaction) after approximately</w:t>
      </w:r>
      <w:r w:rsidRPr="00D81B62">
        <w:rPr>
          <w:rFonts w:ascii="Times New Roman" w:hAnsi="Times New Roman" w:cs="Times New Roman"/>
          <w:sz w:val="28"/>
          <w:szCs w:val="28"/>
        </w:rPr>
        <w:t xml:space="preserve"> 40 cycles (Figure 1</w:t>
      </w:r>
      <w:r w:rsidR="00CD02A7" w:rsidRPr="00D81B62">
        <w:rPr>
          <w:rFonts w:ascii="Times New Roman" w:hAnsi="Times New Roman" w:cs="Times New Roman"/>
          <w:sz w:val="28"/>
          <w:szCs w:val="28"/>
        </w:rPr>
        <w:t>1</w:t>
      </w:r>
      <w:r w:rsidRPr="00D81B62">
        <w:rPr>
          <w:rFonts w:ascii="Times New Roman" w:hAnsi="Times New Roman" w:cs="Times New Roman"/>
          <w:sz w:val="28"/>
          <w:szCs w:val="28"/>
        </w:rPr>
        <w:t xml:space="preserve">). </w:t>
      </w:r>
    </w:p>
    <w:p w14:paraId="0BEC3684" w14:textId="2E472203" w:rsidR="00470B3E" w:rsidRDefault="00AA2354" w:rsidP="00DA696E">
      <w:pPr>
        <w:spacing w:after="0" w:line="240" w:lineRule="auto"/>
        <w:ind w:firstLine="709"/>
        <w:jc w:val="both"/>
        <w:rPr>
          <w:rFonts w:ascii="Times New Roman" w:hAnsi="Times New Roman" w:cs="Times New Roman"/>
          <w:sz w:val="28"/>
          <w:szCs w:val="28"/>
        </w:rPr>
      </w:pPr>
      <w:r w:rsidRPr="00D81B62">
        <w:rPr>
          <w:rFonts w:ascii="Times New Roman" w:hAnsi="Times New Roman" w:cs="Times New Roman"/>
          <w:sz w:val="28"/>
          <w:szCs w:val="28"/>
        </w:rPr>
        <w:t>The image (Figure 11) illustrates the concept of the multiplicity of infection (MOI), specifically an MOI of 10. It visually represents the ratio of viral particles to target cells, showing that 10 million viruses are used to infect 1 million cells, meaning each cell is exposed to an average of 10 viral particles. The MOI value reflects the infection intensity in an experimental setup</w:t>
      </w:r>
      <w:r w:rsidR="008C0D12">
        <w:rPr>
          <w:rFonts w:ascii="Times New Roman" w:hAnsi="Times New Roman" w:cs="Times New Roman"/>
          <w:sz w:val="28"/>
          <w:szCs w:val="28"/>
        </w:rPr>
        <w:t>; higher MOI levels typically ensure</w:t>
      </w:r>
      <w:r w:rsidRPr="00D81B62">
        <w:rPr>
          <w:rFonts w:ascii="Times New Roman" w:hAnsi="Times New Roman" w:cs="Times New Roman"/>
          <w:sz w:val="28"/>
          <w:szCs w:val="28"/>
        </w:rPr>
        <w:t xml:space="preserve"> that most cells become infected simultaneously. This approach is commonly used in virology and cell culture experiments to study viral replication dynamics, cytopathic effects, or antiviral responses under controlled infection conditions. The clear graphical depiction effectively conveys the proportional relationship between virus and host cell numbers, making it a valuable educational tool for explaining the kinetics of infection.</w:t>
      </w:r>
    </w:p>
    <w:p w14:paraId="7C12A907" w14:textId="77777777" w:rsidR="00DA696E" w:rsidRPr="00DA696E" w:rsidRDefault="00DA696E" w:rsidP="00DA696E">
      <w:pPr>
        <w:spacing w:after="0" w:line="240" w:lineRule="auto"/>
        <w:ind w:firstLine="709"/>
        <w:jc w:val="both"/>
        <w:rPr>
          <w:rFonts w:ascii="Times New Roman" w:hAnsi="Times New Roman" w:cs="Times New Roman"/>
          <w:sz w:val="28"/>
          <w:szCs w:val="28"/>
        </w:rPr>
      </w:pPr>
    </w:p>
    <w:p w14:paraId="51EAE95B" w14:textId="72EB6E39" w:rsidR="00470B3E" w:rsidRPr="00DA696E" w:rsidRDefault="00DA696E" w:rsidP="00DA696E">
      <w:pPr>
        <w:spacing w:after="0" w:line="360" w:lineRule="auto"/>
        <w:jc w:val="center"/>
        <w:rPr>
          <w:rFonts w:ascii="Times New Roman" w:hAnsi="Times New Roman" w:cs="Times New Roman"/>
          <w:b/>
          <w:bCs/>
          <w:sz w:val="24"/>
          <w:szCs w:val="24"/>
          <w:lang w:val="en-US"/>
        </w:rPr>
      </w:pPr>
      <w:r w:rsidRPr="00DA696E">
        <w:rPr>
          <w:rFonts w:ascii="Times New Roman" w:hAnsi="Times New Roman" w:cs="Times New Roman"/>
          <w:b/>
          <w:bCs/>
          <w:noProof/>
          <w:sz w:val="24"/>
          <w:szCs w:val="24"/>
          <w:lang w:val="ru-RU"/>
        </w:rPr>
        <w:drawing>
          <wp:inline distT="0" distB="0" distL="0" distR="0" wp14:anchorId="4E488ABB" wp14:editId="070E91F6">
            <wp:extent cx="4099560" cy="2732898"/>
            <wp:effectExtent l="0" t="0" r="0" b="0"/>
            <wp:docPr id="65900391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18302" cy="2745392"/>
                    </a:xfrm>
                    <a:prstGeom prst="rect">
                      <a:avLst/>
                    </a:prstGeom>
                    <a:noFill/>
                    <a:ln>
                      <a:noFill/>
                    </a:ln>
                  </pic:spPr>
                </pic:pic>
              </a:graphicData>
            </a:graphic>
          </wp:inline>
        </w:drawing>
      </w:r>
    </w:p>
    <w:p w14:paraId="3D3E6E0E" w14:textId="18E09B5B" w:rsidR="00DA696E" w:rsidRDefault="00470B3E" w:rsidP="0005298F">
      <w:pPr>
        <w:spacing w:line="240" w:lineRule="auto"/>
        <w:jc w:val="center"/>
        <w:rPr>
          <w:rFonts w:ascii="Times New Roman" w:hAnsi="Times New Roman" w:cs="Times New Roman"/>
          <w:sz w:val="28"/>
          <w:szCs w:val="28"/>
        </w:rPr>
      </w:pPr>
      <w:r w:rsidRPr="00DA696E">
        <w:rPr>
          <w:rFonts w:ascii="Times New Roman" w:hAnsi="Times New Roman" w:cs="Times New Roman"/>
          <w:sz w:val="28"/>
          <w:szCs w:val="28"/>
        </w:rPr>
        <w:t>Figure 1</w:t>
      </w:r>
      <w:r w:rsidR="006242E8" w:rsidRPr="00DA696E">
        <w:rPr>
          <w:rFonts w:ascii="Times New Roman" w:hAnsi="Times New Roman" w:cs="Times New Roman"/>
          <w:sz w:val="28"/>
          <w:szCs w:val="28"/>
        </w:rPr>
        <w:t>1</w:t>
      </w:r>
      <w:r w:rsidRPr="00DA696E">
        <w:rPr>
          <w:rFonts w:ascii="Times New Roman" w:hAnsi="Times New Roman" w:cs="Times New Roman"/>
          <w:sz w:val="28"/>
          <w:szCs w:val="28"/>
        </w:rPr>
        <w:t xml:space="preserve"> — MOI count, in our case, </w:t>
      </w:r>
      <w:r w:rsidR="00DA378B" w:rsidRPr="00DA696E">
        <w:rPr>
          <w:rFonts w:ascii="Times New Roman" w:hAnsi="Times New Roman" w:cs="Times New Roman"/>
          <w:sz w:val="28"/>
          <w:szCs w:val="28"/>
        </w:rPr>
        <w:t>0.2 mL or 200 µL of intact virus volume,</w:t>
      </w:r>
      <w:r w:rsidRPr="00DA696E">
        <w:rPr>
          <w:rFonts w:ascii="Times New Roman" w:hAnsi="Times New Roman" w:cs="Times New Roman"/>
          <w:sz w:val="28"/>
          <w:szCs w:val="28"/>
        </w:rPr>
        <w:t xml:space="preserve"> </w:t>
      </w:r>
      <w:r w:rsidR="00884675" w:rsidRPr="00DA696E">
        <w:rPr>
          <w:rFonts w:ascii="Times New Roman" w:hAnsi="Times New Roman" w:cs="Times New Roman"/>
          <w:sz w:val="28"/>
          <w:szCs w:val="28"/>
        </w:rPr>
        <w:t>corresponding to an</w:t>
      </w:r>
      <w:r w:rsidRPr="00DA696E">
        <w:rPr>
          <w:rFonts w:ascii="Times New Roman" w:hAnsi="Times New Roman" w:cs="Times New Roman"/>
          <w:sz w:val="28"/>
          <w:szCs w:val="28"/>
        </w:rPr>
        <w:t xml:space="preserve"> MOI of 2</w:t>
      </w:r>
    </w:p>
    <w:p w14:paraId="6593FDA1" w14:textId="77777777" w:rsidR="00DA696E" w:rsidRPr="00DA696E" w:rsidRDefault="00DA696E" w:rsidP="0005298F">
      <w:pPr>
        <w:spacing w:line="240" w:lineRule="auto"/>
        <w:jc w:val="center"/>
        <w:rPr>
          <w:rFonts w:ascii="Times New Roman" w:hAnsi="Times New Roman" w:cs="Times New Roman"/>
          <w:sz w:val="28"/>
          <w:szCs w:val="28"/>
        </w:rPr>
      </w:pPr>
    </w:p>
    <w:p w14:paraId="0F7CAFF2" w14:textId="38CDD308" w:rsidR="0058304B" w:rsidRPr="00DA696E" w:rsidRDefault="00DA696E" w:rsidP="00DA696E">
      <w:pPr>
        <w:spacing w:line="240" w:lineRule="auto"/>
        <w:ind w:firstLine="708"/>
        <w:jc w:val="both"/>
        <w:rPr>
          <w:rFonts w:ascii="Times New Roman" w:hAnsi="Times New Roman" w:cs="Times New Roman"/>
          <w:sz w:val="28"/>
          <w:szCs w:val="28"/>
        </w:rPr>
      </w:pPr>
      <w:r w:rsidRPr="00DA696E">
        <w:rPr>
          <w:rFonts w:ascii="Times New Roman" w:hAnsi="Times New Roman" w:cs="Times New Roman"/>
          <w:sz w:val="28"/>
          <w:szCs w:val="28"/>
        </w:rPr>
        <w:t>The</w:t>
      </w:r>
      <w:r w:rsidR="00470B3E" w:rsidRPr="00DA696E">
        <w:rPr>
          <w:rFonts w:ascii="Times New Roman" w:hAnsi="Times New Roman" w:cs="Times New Roman"/>
          <w:sz w:val="28"/>
          <w:szCs w:val="28"/>
        </w:rPr>
        <w:t xml:space="preserve"> lower the MOI, the </w:t>
      </w:r>
      <w:r w:rsidR="00DA378B" w:rsidRPr="00DA696E">
        <w:rPr>
          <w:rFonts w:ascii="Times New Roman" w:hAnsi="Times New Roman" w:cs="Times New Roman"/>
          <w:sz w:val="28"/>
          <w:szCs w:val="28"/>
        </w:rPr>
        <w:t>more sensitive the test for</w:t>
      </w:r>
      <w:r w:rsidR="00470B3E" w:rsidRPr="00DA696E">
        <w:rPr>
          <w:rFonts w:ascii="Times New Roman" w:hAnsi="Times New Roman" w:cs="Times New Roman"/>
          <w:sz w:val="28"/>
          <w:szCs w:val="28"/>
        </w:rPr>
        <w:t xml:space="preserve"> viral activity. If we have a high MOI</w:t>
      </w:r>
      <w:r w:rsidR="001F1848">
        <w:rPr>
          <w:rFonts w:ascii="Times New Roman" w:hAnsi="Times New Roman" w:cs="Times New Roman"/>
          <w:sz w:val="28"/>
          <w:szCs w:val="28"/>
        </w:rPr>
        <w:t>, the CC50 cannot be determined because CPE can kill</w:t>
      </w:r>
      <w:r w:rsidR="00470B3E" w:rsidRPr="00DA696E">
        <w:rPr>
          <w:rFonts w:ascii="Times New Roman" w:hAnsi="Times New Roman" w:cs="Times New Roman"/>
          <w:sz w:val="28"/>
          <w:szCs w:val="28"/>
        </w:rPr>
        <w:t xml:space="preserve"> all available cells, and a higher antiviral concentration would be needed.  For our purposes, </w:t>
      </w:r>
      <w:r w:rsidR="00931040" w:rsidRPr="00DA696E">
        <w:rPr>
          <w:rFonts w:ascii="Times New Roman" w:hAnsi="Times New Roman" w:cs="Times New Roman"/>
          <w:sz w:val="28"/>
          <w:szCs w:val="28"/>
        </w:rPr>
        <w:t>it is not necessary</w:t>
      </w:r>
      <w:r w:rsidR="00470B3E" w:rsidRPr="00DA696E">
        <w:rPr>
          <w:rFonts w:ascii="Times New Roman" w:hAnsi="Times New Roman" w:cs="Times New Roman"/>
          <w:sz w:val="28"/>
          <w:szCs w:val="28"/>
        </w:rPr>
        <w:t xml:space="preserve"> to </w:t>
      </w:r>
      <w:r w:rsidR="00DA378B" w:rsidRPr="00DA696E">
        <w:rPr>
          <w:rFonts w:ascii="Times New Roman" w:hAnsi="Times New Roman" w:cs="Times New Roman"/>
          <w:sz w:val="28"/>
          <w:szCs w:val="28"/>
        </w:rPr>
        <w:t>concern ourselves with the number of viruses</w:t>
      </w:r>
      <w:r w:rsidR="00470B3E" w:rsidRPr="00DA696E">
        <w:rPr>
          <w:rFonts w:ascii="Times New Roman" w:hAnsi="Times New Roman" w:cs="Times New Roman"/>
          <w:sz w:val="28"/>
          <w:szCs w:val="28"/>
        </w:rPr>
        <w:t xml:space="preserve"> in a single cell</w:t>
      </w:r>
      <w:r w:rsidRPr="00DA696E">
        <w:rPr>
          <w:rFonts w:ascii="Times New Roman" w:hAnsi="Times New Roman" w:cs="Times New Roman"/>
          <w:sz w:val="28"/>
          <w:szCs w:val="28"/>
        </w:rPr>
        <w:t>.</w:t>
      </w:r>
    </w:p>
    <w:p w14:paraId="35270193" w14:textId="49B58372" w:rsidR="009947D1" w:rsidRPr="00DA696E" w:rsidRDefault="00470B3E" w:rsidP="00DA696E">
      <w:pPr>
        <w:spacing w:line="240" w:lineRule="auto"/>
        <w:ind w:firstLine="709"/>
        <w:jc w:val="both"/>
        <w:rPr>
          <w:rFonts w:ascii="Times New Roman" w:hAnsi="Times New Roman" w:cs="Times New Roman"/>
          <w:sz w:val="28"/>
          <w:szCs w:val="28"/>
          <w:lang w:val="en-US"/>
        </w:rPr>
      </w:pPr>
      <w:r w:rsidRPr="00DA696E">
        <w:rPr>
          <w:rFonts w:ascii="Times New Roman" w:hAnsi="Times New Roman" w:cs="Times New Roman"/>
          <w:sz w:val="28"/>
          <w:szCs w:val="28"/>
        </w:rPr>
        <w:lastRenderedPageBreak/>
        <w:t>What we need to understand</w:t>
      </w:r>
      <w:r w:rsidR="001F6AE2">
        <w:rPr>
          <w:rFonts w:ascii="Times New Roman" w:hAnsi="Times New Roman" w:cs="Times New Roman"/>
          <w:sz w:val="28"/>
          <w:szCs w:val="28"/>
        </w:rPr>
        <w:t>—and what the Poisson distribution helps us with—are two key points: if</w:t>
      </w:r>
      <w:r w:rsidRPr="00DA696E">
        <w:rPr>
          <w:rFonts w:ascii="Times New Roman" w:hAnsi="Times New Roman" w:cs="Times New Roman"/>
          <w:sz w:val="28"/>
          <w:szCs w:val="28"/>
        </w:rPr>
        <w:t xml:space="preserve"> some cells get more than one virus, others will not. For any given MOI (the average number of viruses per cell),</w:t>
      </w:r>
      <w:r w:rsidR="00DA378B" w:rsidRPr="00DA696E">
        <w:rPr>
          <w:rFonts w:ascii="Times New Roman" w:hAnsi="Times New Roman" w:cs="Times New Roman"/>
          <w:sz w:val="28"/>
          <w:szCs w:val="28"/>
        </w:rPr>
        <w:t xml:space="preserve"> we can calculate the </w:t>
      </w:r>
      <w:r w:rsidR="002C6E7F">
        <w:rPr>
          <w:rFonts w:ascii="Times New Roman" w:hAnsi="Times New Roman" w:cs="Times New Roman"/>
          <w:sz w:val="28"/>
          <w:szCs w:val="28"/>
        </w:rPr>
        <w:t>probability that a cell is</w:t>
      </w:r>
      <w:r w:rsidR="001F6AE2">
        <w:rPr>
          <w:rFonts w:ascii="Times New Roman" w:hAnsi="Times New Roman" w:cs="Times New Roman"/>
          <w:sz w:val="28"/>
          <w:szCs w:val="28"/>
        </w:rPr>
        <w:t xml:space="preserve"> not infected with any virus, denoted </w:t>
      </w:r>
      <w:proofErr w:type="gramStart"/>
      <w:r w:rsidR="001F6AE2">
        <w:rPr>
          <w:rFonts w:ascii="Times New Roman" w:hAnsi="Times New Roman" w:cs="Times New Roman"/>
          <w:sz w:val="28"/>
          <w:szCs w:val="28"/>
        </w:rPr>
        <w:t>P</w:t>
      </w:r>
      <w:r w:rsidR="00351160" w:rsidRPr="00DA696E">
        <w:rPr>
          <w:rFonts w:ascii="Times New Roman" w:hAnsi="Times New Roman" w:cs="Times New Roman"/>
          <w:sz w:val="28"/>
          <w:szCs w:val="28"/>
        </w:rPr>
        <w:t>(</w:t>
      </w:r>
      <w:proofErr w:type="gramEnd"/>
      <w:r w:rsidRPr="00DA696E">
        <w:rPr>
          <w:rFonts w:ascii="Times New Roman" w:hAnsi="Times New Roman" w:cs="Times New Roman"/>
          <w:sz w:val="28"/>
          <w:szCs w:val="28"/>
        </w:rPr>
        <w:t>0).   P (0) is simplified and presented in formula (2). Logically, if the proportion of cells that will</w:t>
      </w:r>
      <w:r w:rsidR="00DA378B" w:rsidRPr="00DA696E">
        <w:rPr>
          <w:rFonts w:ascii="Times New Roman" w:hAnsi="Times New Roman" w:cs="Times New Roman"/>
          <w:sz w:val="28"/>
          <w:szCs w:val="28"/>
        </w:rPr>
        <w:t xml:space="preserve"> not be infected is known, subtract this value from 100%. What proportion of cells will be infected, regardless of the number of viruses each infected cell receives?</w:t>
      </w:r>
      <w:r w:rsidRPr="00DA696E">
        <w:rPr>
          <w:rFonts w:ascii="Times New Roman" w:hAnsi="Times New Roman" w:cs="Times New Roman"/>
          <w:sz w:val="28"/>
          <w:szCs w:val="28"/>
        </w:rPr>
        <w:t> </w:t>
      </w:r>
    </w:p>
    <w:p w14:paraId="06B25C13" w14:textId="77777777" w:rsidR="007236C0" w:rsidRPr="008D2366" w:rsidRDefault="007236C0" w:rsidP="00576210">
      <w:pPr>
        <w:spacing w:line="360" w:lineRule="auto"/>
        <w:ind w:firstLine="708"/>
        <w:jc w:val="both"/>
        <w:rPr>
          <w:rFonts w:ascii="Times New Roman" w:hAnsi="Times New Roman" w:cs="Times New Roman"/>
          <w:sz w:val="24"/>
          <w:szCs w:val="24"/>
          <w:lang w:val="en-US"/>
        </w:rPr>
      </w:pPr>
    </w:p>
    <w:p w14:paraId="0C7E5320" w14:textId="62C0B8E7" w:rsidR="009947D1" w:rsidRDefault="00470B3E" w:rsidP="00BE6210">
      <w:pPr>
        <w:spacing w:line="360" w:lineRule="auto"/>
        <w:jc w:val="center"/>
        <w:rPr>
          <w:rFonts w:ascii="Times New Roman" w:hAnsi="Times New Roman" w:cs="Times New Roman"/>
          <w:b/>
          <w:bCs/>
          <w:sz w:val="24"/>
          <w:szCs w:val="24"/>
        </w:rPr>
      </w:pPr>
      <w:r w:rsidRPr="006531C9">
        <w:rPr>
          <w:rFonts w:ascii="Times New Roman" w:hAnsi="Times New Roman" w:cs="Times New Roman"/>
          <w:b/>
          <w:bCs/>
          <w:sz w:val="24"/>
          <w:szCs w:val="24"/>
        </w:rPr>
        <w:t>P (0) = e</w:t>
      </w:r>
      <w:r w:rsidRPr="006531C9">
        <w:rPr>
          <w:rFonts w:ascii="Times New Roman" w:hAnsi="Times New Roman" w:cs="Times New Roman"/>
          <w:b/>
          <w:bCs/>
          <w:sz w:val="24"/>
          <w:szCs w:val="24"/>
          <w:vertAlign w:val="superscript"/>
        </w:rPr>
        <w:t>-MOI</w:t>
      </w:r>
      <w:r w:rsidRPr="006531C9">
        <w:rPr>
          <w:rFonts w:ascii="Times New Roman" w:hAnsi="Times New Roman" w:cs="Times New Roman"/>
          <w:b/>
          <w:bCs/>
          <w:sz w:val="24"/>
          <w:szCs w:val="24"/>
        </w:rPr>
        <w:t xml:space="preserve"> (2)</w:t>
      </w:r>
    </w:p>
    <w:p w14:paraId="48FBF8FF" w14:textId="77777777" w:rsidR="00A81757" w:rsidRPr="006531C9" w:rsidRDefault="00A81757" w:rsidP="00BE6210">
      <w:pPr>
        <w:spacing w:line="360" w:lineRule="auto"/>
        <w:jc w:val="center"/>
        <w:rPr>
          <w:rFonts w:ascii="Times New Roman" w:hAnsi="Times New Roman" w:cs="Times New Roman"/>
          <w:b/>
          <w:bCs/>
          <w:sz w:val="24"/>
          <w:szCs w:val="24"/>
        </w:rPr>
      </w:pPr>
    </w:p>
    <w:p w14:paraId="6A866A90" w14:textId="77777777" w:rsidR="00470B3E" w:rsidRPr="00503519" w:rsidRDefault="00470B3E" w:rsidP="00503519">
      <w:pPr>
        <w:pStyle w:val="af1"/>
        <w:spacing w:after="0" w:line="240" w:lineRule="auto"/>
        <w:ind w:leftChars="-327" w:left="-719" w:firstLine="719"/>
        <w:rPr>
          <w:rFonts w:ascii="Times New Roman" w:hAnsi="Times New Roman" w:cs="Times New Roman"/>
          <w:i/>
          <w:iCs/>
          <w:sz w:val="28"/>
          <w:szCs w:val="28"/>
          <w:u w:val="single"/>
        </w:rPr>
      </w:pPr>
      <w:r w:rsidRPr="00503519">
        <w:rPr>
          <w:rFonts w:ascii="Times New Roman" w:hAnsi="Times New Roman" w:cs="Times New Roman"/>
          <w:i/>
          <w:iCs/>
          <w:sz w:val="28"/>
          <w:szCs w:val="28"/>
          <w:u w:val="single"/>
        </w:rPr>
        <w:t xml:space="preserve">Viral stock of MOI of 2 </w:t>
      </w:r>
    </w:p>
    <w:p w14:paraId="0BD8B5A2" w14:textId="77777777" w:rsidR="00470B3E" w:rsidRPr="00503519" w:rsidRDefault="00470B3E" w:rsidP="00503519">
      <w:pPr>
        <w:spacing w:after="0" w:line="240" w:lineRule="auto"/>
        <w:jc w:val="both"/>
        <w:rPr>
          <w:rFonts w:ascii="Times New Roman" w:hAnsi="Times New Roman" w:cs="Times New Roman"/>
          <w:sz w:val="28"/>
          <w:szCs w:val="28"/>
        </w:rPr>
      </w:pPr>
      <w:r w:rsidRPr="00503519">
        <w:rPr>
          <w:rFonts w:ascii="Times New Roman" w:hAnsi="Times New Roman" w:cs="Times New Roman"/>
          <w:sz w:val="28"/>
          <w:szCs w:val="28"/>
        </w:rPr>
        <w:t>At an MOI of 2, without any experiment, we expect 86% of cells to become infected.</w:t>
      </w:r>
    </w:p>
    <w:p w14:paraId="2AE86B7C" w14:textId="1ADB246D" w:rsidR="007236C0" w:rsidRPr="00DA696E" w:rsidRDefault="00470B3E" w:rsidP="00DA696E">
      <w:pPr>
        <w:pStyle w:val="af1"/>
        <w:spacing w:line="240" w:lineRule="auto"/>
        <w:ind w:firstLineChars="709" w:firstLine="1985"/>
        <w:jc w:val="both"/>
        <w:rPr>
          <w:rFonts w:ascii="Times New Roman" w:hAnsi="Times New Roman" w:cs="Times New Roman"/>
          <w:sz w:val="28"/>
          <w:szCs w:val="28"/>
          <w:lang w:val="en-US"/>
        </w:rPr>
      </w:pPr>
      <w:r w:rsidRPr="00DA696E">
        <w:rPr>
          <w:rFonts w:ascii="Times New Roman" w:hAnsi="Times New Roman" w:cs="Times New Roman"/>
          <w:sz w:val="28"/>
          <w:szCs w:val="28"/>
        </w:rPr>
        <w:t>Using the formula (2), we gain:</w:t>
      </w:r>
    </w:p>
    <w:p w14:paraId="49E71D23" w14:textId="77777777" w:rsidR="00470B3E" w:rsidRPr="006531C9" w:rsidRDefault="00470B3E" w:rsidP="000B4B42">
      <w:pPr>
        <w:pStyle w:val="af1"/>
        <w:spacing w:line="360" w:lineRule="auto"/>
        <w:ind w:firstLineChars="709" w:firstLine="1702"/>
        <w:rPr>
          <w:rFonts w:ascii="Times New Roman" w:hAnsi="Times New Roman" w:cs="Times New Roman"/>
          <w:sz w:val="24"/>
          <w:szCs w:val="24"/>
        </w:rPr>
      </w:pPr>
    </w:p>
    <w:p w14:paraId="42559EDB" w14:textId="77777777" w:rsidR="00470B3E" w:rsidRPr="00503519" w:rsidRDefault="00470B3E" w:rsidP="00503519">
      <w:pPr>
        <w:pStyle w:val="af1"/>
        <w:spacing w:line="240" w:lineRule="auto"/>
        <w:ind w:leftChars="-327" w:left="119" w:hangingChars="298" w:hanging="838"/>
        <w:jc w:val="center"/>
        <w:rPr>
          <w:rFonts w:ascii="Times New Roman" w:hAnsi="Times New Roman" w:cs="Times New Roman"/>
          <w:b/>
          <w:bCs/>
          <w:sz w:val="28"/>
          <w:szCs w:val="28"/>
        </w:rPr>
      </w:pPr>
      <w:r w:rsidRPr="00503519">
        <w:rPr>
          <w:rFonts w:ascii="Times New Roman" w:hAnsi="Times New Roman" w:cs="Times New Roman"/>
          <w:b/>
          <w:bCs/>
          <w:sz w:val="28"/>
          <w:szCs w:val="28"/>
        </w:rPr>
        <w:t>P (0) = e</w:t>
      </w:r>
      <w:r w:rsidRPr="00503519">
        <w:rPr>
          <w:rFonts w:ascii="Times New Roman" w:hAnsi="Times New Roman" w:cs="Times New Roman"/>
          <w:b/>
          <w:bCs/>
          <w:sz w:val="28"/>
          <w:szCs w:val="28"/>
          <w:vertAlign w:val="superscript"/>
        </w:rPr>
        <w:t>-MOI</w:t>
      </w:r>
      <w:r w:rsidRPr="00503519">
        <w:rPr>
          <w:rFonts w:ascii="Times New Roman" w:hAnsi="Times New Roman" w:cs="Times New Roman"/>
          <w:b/>
          <w:bCs/>
          <w:sz w:val="28"/>
          <w:szCs w:val="28"/>
        </w:rPr>
        <w:t> = e</w:t>
      </w:r>
      <w:r w:rsidRPr="00503519">
        <w:rPr>
          <w:rFonts w:ascii="Times New Roman" w:hAnsi="Times New Roman" w:cs="Times New Roman"/>
          <w:b/>
          <w:bCs/>
          <w:sz w:val="28"/>
          <w:szCs w:val="28"/>
          <w:vertAlign w:val="superscript"/>
        </w:rPr>
        <w:t>-2</w:t>
      </w:r>
      <w:r w:rsidRPr="00503519">
        <w:rPr>
          <w:rFonts w:ascii="Times New Roman" w:hAnsi="Times New Roman" w:cs="Times New Roman"/>
          <w:b/>
          <w:bCs/>
          <w:sz w:val="28"/>
          <w:szCs w:val="28"/>
        </w:rPr>
        <w:t> = 1 / e</w:t>
      </w:r>
      <w:r w:rsidRPr="00503519">
        <w:rPr>
          <w:rFonts w:ascii="Times New Roman" w:hAnsi="Times New Roman" w:cs="Times New Roman"/>
          <w:b/>
          <w:bCs/>
          <w:sz w:val="28"/>
          <w:szCs w:val="28"/>
          <w:vertAlign w:val="superscript"/>
        </w:rPr>
        <w:t>2</w:t>
      </w:r>
      <w:r w:rsidRPr="00503519">
        <w:rPr>
          <w:rFonts w:ascii="Times New Roman" w:hAnsi="Times New Roman" w:cs="Times New Roman"/>
          <w:b/>
          <w:bCs/>
          <w:sz w:val="28"/>
          <w:szCs w:val="28"/>
        </w:rPr>
        <w:t> = 1 / 2.71828</w:t>
      </w:r>
      <w:r w:rsidRPr="00503519">
        <w:rPr>
          <w:rFonts w:ascii="Times New Roman" w:hAnsi="Times New Roman" w:cs="Times New Roman"/>
          <w:b/>
          <w:bCs/>
          <w:sz w:val="28"/>
          <w:szCs w:val="28"/>
          <w:vertAlign w:val="superscript"/>
        </w:rPr>
        <w:t>2</w:t>
      </w:r>
      <w:r w:rsidRPr="00503519">
        <w:rPr>
          <w:rFonts w:ascii="Times New Roman" w:hAnsi="Times New Roman" w:cs="Times New Roman"/>
          <w:b/>
          <w:bCs/>
          <w:sz w:val="28"/>
          <w:szCs w:val="28"/>
        </w:rPr>
        <w:t> = 1 / 7.389 = 0.1353</w:t>
      </w:r>
    </w:p>
    <w:p w14:paraId="69BC1AE9" w14:textId="77777777" w:rsidR="00470B3E" w:rsidRPr="00503519" w:rsidRDefault="00470B3E" w:rsidP="00503519">
      <w:pPr>
        <w:pStyle w:val="af1"/>
        <w:spacing w:line="240" w:lineRule="auto"/>
        <w:ind w:leftChars="-327" w:left="121" w:hangingChars="300" w:hanging="840"/>
        <w:jc w:val="center"/>
        <w:rPr>
          <w:rFonts w:ascii="Times New Roman" w:hAnsi="Times New Roman" w:cs="Times New Roman"/>
          <w:sz w:val="28"/>
          <w:szCs w:val="28"/>
        </w:rPr>
      </w:pPr>
      <w:r w:rsidRPr="00503519">
        <w:rPr>
          <w:rFonts w:ascii="Times New Roman" w:hAnsi="Times New Roman" w:cs="Times New Roman"/>
          <w:sz w:val="28"/>
          <w:szCs w:val="28"/>
        </w:rPr>
        <w:t xml:space="preserve"> (~14% of cells not infected)</w:t>
      </w:r>
    </w:p>
    <w:p w14:paraId="7061574D" w14:textId="77777777" w:rsidR="00470B3E" w:rsidRPr="00503519" w:rsidRDefault="00470B3E" w:rsidP="00503519">
      <w:pPr>
        <w:pStyle w:val="af1"/>
        <w:spacing w:line="240" w:lineRule="auto"/>
        <w:ind w:firstLineChars="709" w:firstLine="1993"/>
        <w:rPr>
          <w:rFonts w:ascii="Times New Roman" w:hAnsi="Times New Roman" w:cs="Times New Roman"/>
          <w:sz w:val="28"/>
          <w:szCs w:val="28"/>
        </w:rPr>
      </w:pPr>
      <w:r w:rsidRPr="00503519">
        <w:rPr>
          <w:rFonts w:ascii="Times New Roman" w:hAnsi="Times New Roman" w:cs="Times New Roman"/>
          <w:b/>
          <w:bCs/>
          <w:sz w:val="28"/>
          <w:szCs w:val="28"/>
        </w:rPr>
        <w:t> </w:t>
      </w:r>
    </w:p>
    <w:p w14:paraId="615F0C13" w14:textId="77777777" w:rsidR="00470B3E" w:rsidRPr="00503519" w:rsidRDefault="00470B3E" w:rsidP="00503519">
      <w:pPr>
        <w:pStyle w:val="af1"/>
        <w:spacing w:line="240" w:lineRule="auto"/>
        <w:ind w:leftChars="-327" w:left="121" w:hangingChars="300" w:hanging="840"/>
        <w:rPr>
          <w:rFonts w:ascii="Times New Roman" w:hAnsi="Times New Roman" w:cs="Times New Roman"/>
          <w:sz w:val="28"/>
          <w:szCs w:val="28"/>
        </w:rPr>
      </w:pPr>
      <w:r w:rsidRPr="00503519">
        <w:rPr>
          <w:rFonts w:ascii="Times New Roman" w:hAnsi="Times New Roman" w:cs="Times New Roman"/>
          <w:sz w:val="28"/>
          <w:szCs w:val="28"/>
        </w:rPr>
        <w:t>By subtraction: 100% – 14% = 86% infected</w:t>
      </w:r>
    </w:p>
    <w:p w14:paraId="165F0C59" w14:textId="77777777" w:rsidR="00470B3E" w:rsidRPr="00503519" w:rsidRDefault="00470B3E" w:rsidP="00503519">
      <w:pPr>
        <w:pStyle w:val="af1"/>
        <w:spacing w:line="240" w:lineRule="auto"/>
        <w:ind w:firstLineChars="709" w:firstLine="1985"/>
        <w:rPr>
          <w:rFonts w:ascii="Times New Roman" w:hAnsi="Times New Roman" w:cs="Times New Roman"/>
          <w:sz w:val="28"/>
          <w:szCs w:val="28"/>
        </w:rPr>
      </w:pPr>
    </w:p>
    <w:p w14:paraId="576964D5" w14:textId="389898B0" w:rsidR="00470B3E" w:rsidRPr="00503519" w:rsidRDefault="00470B3E" w:rsidP="00C6742C">
      <w:pPr>
        <w:pStyle w:val="af1"/>
        <w:spacing w:after="0" w:line="240" w:lineRule="auto"/>
        <w:ind w:leftChars="-1" w:left="-1" w:hanging="1"/>
        <w:rPr>
          <w:rFonts w:ascii="Times New Roman" w:hAnsi="Times New Roman" w:cs="Times New Roman"/>
          <w:sz w:val="28"/>
          <w:szCs w:val="28"/>
        </w:rPr>
      </w:pPr>
      <w:r w:rsidRPr="00503519">
        <w:rPr>
          <w:rFonts w:ascii="Times New Roman" w:hAnsi="Times New Roman" w:cs="Times New Roman"/>
          <w:sz w:val="28"/>
          <w:szCs w:val="28"/>
        </w:rPr>
        <w:t xml:space="preserve">Subsequently, if we </w:t>
      </w:r>
      <w:r w:rsidR="00FD089C" w:rsidRPr="00503519">
        <w:rPr>
          <w:rFonts w:ascii="Times New Roman" w:hAnsi="Times New Roman" w:cs="Times New Roman"/>
          <w:sz w:val="28"/>
          <w:szCs w:val="28"/>
        </w:rPr>
        <w:t>examine MOIs lower than 1, we observe that, for instance, at an MOI of 0.5, we achieve a 40% infection rate, and at an MOI of 0.1, we achieve a 10% infection rate</w:t>
      </w:r>
      <w:r w:rsidRPr="00503519">
        <w:rPr>
          <w:rFonts w:ascii="Times New Roman" w:hAnsi="Times New Roman" w:cs="Times New Roman"/>
          <w:sz w:val="28"/>
          <w:szCs w:val="28"/>
        </w:rPr>
        <w:t>. </w:t>
      </w:r>
    </w:p>
    <w:p w14:paraId="014E298E" w14:textId="77777777" w:rsidR="00470B3E" w:rsidRPr="00503519" w:rsidRDefault="00470B3E" w:rsidP="00C6742C">
      <w:pPr>
        <w:pStyle w:val="af1"/>
        <w:spacing w:after="0" w:line="240" w:lineRule="auto"/>
        <w:ind w:firstLineChars="709" w:firstLine="1985"/>
        <w:rPr>
          <w:rFonts w:ascii="Times New Roman" w:hAnsi="Times New Roman" w:cs="Times New Roman"/>
          <w:sz w:val="28"/>
          <w:szCs w:val="28"/>
        </w:rPr>
      </w:pPr>
    </w:p>
    <w:p w14:paraId="2E9CEED3" w14:textId="77777777" w:rsidR="00470B3E" w:rsidRPr="00503519" w:rsidRDefault="00470B3E" w:rsidP="00C6742C">
      <w:pPr>
        <w:pStyle w:val="af1"/>
        <w:spacing w:after="0" w:line="240" w:lineRule="auto"/>
        <w:ind w:leftChars="-1" w:left="-2" w:firstLine="1"/>
        <w:rPr>
          <w:rFonts w:ascii="Times New Roman" w:hAnsi="Times New Roman" w:cs="Times New Roman"/>
          <w:i/>
          <w:iCs/>
          <w:sz w:val="28"/>
          <w:szCs w:val="28"/>
          <w:u w:val="single"/>
        </w:rPr>
      </w:pPr>
      <w:r w:rsidRPr="00503519">
        <w:rPr>
          <w:rFonts w:ascii="Times New Roman" w:hAnsi="Times New Roman" w:cs="Times New Roman"/>
          <w:i/>
          <w:iCs/>
          <w:sz w:val="28"/>
          <w:szCs w:val="28"/>
          <w:u w:val="single"/>
        </w:rPr>
        <w:t>Converting from TCID50 to IU</w:t>
      </w:r>
    </w:p>
    <w:p w14:paraId="188BD167" w14:textId="77777777" w:rsidR="00470B3E" w:rsidRPr="00503519" w:rsidRDefault="00470B3E" w:rsidP="00503519">
      <w:pPr>
        <w:spacing w:after="0" w:line="240" w:lineRule="auto"/>
        <w:rPr>
          <w:rFonts w:ascii="Times New Roman" w:hAnsi="Times New Roman" w:cs="Times New Roman"/>
          <w:sz w:val="28"/>
          <w:szCs w:val="28"/>
        </w:rPr>
      </w:pPr>
      <w:r w:rsidRPr="00503519">
        <w:rPr>
          <w:rFonts w:ascii="Times New Roman" w:hAnsi="Times New Roman" w:cs="Times New Roman"/>
          <w:sz w:val="28"/>
          <w:szCs w:val="28"/>
        </w:rPr>
        <w:t>Since the MOI can ultimately be described in terms of infectious units, our P (0) = e</w:t>
      </w:r>
      <w:r w:rsidRPr="00503519">
        <w:rPr>
          <w:rFonts w:ascii="Times New Roman" w:hAnsi="Times New Roman" w:cs="Times New Roman"/>
          <w:sz w:val="28"/>
          <w:szCs w:val="28"/>
          <w:vertAlign w:val="superscript"/>
        </w:rPr>
        <w:t>-MOI</w:t>
      </w:r>
      <w:r w:rsidRPr="00503519">
        <w:rPr>
          <w:rFonts w:ascii="Times New Roman" w:hAnsi="Times New Roman" w:cs="Times New Roman"/>
          <w:sz w:val="28"/>
          <w:szCs w:val="28"/>
        </w:rPr>
        <w:t> can also be written as:</w:t>
      </w:r>
    </w:p>
    <w:p w14:paraId="46ED0FF8" w14:textId="77777777" w:rsidR="00470B3E" w:rsidRPr="00503519" w:rsidRDefault="00470B3E" w:rsidP="00503519">
      <w:pPr>
        <w:pStyle w:val="af1"/>
        <w:spacing w:line="240" w:lineRule="auto"/>
        <w:ind w:firstLineChars="709" w:firstLine="1993"/>
        <w:jc w:val="center"/>
        <w:rPr>
          <w:rFonts w:ascii="Times New Roman" w:hAnsi="Times New Roman" w:cs="Times New Roman"/>
          <w:b/>
          <w:bCs/>
          <w:sz w:val="28"/>
          <w:szCs w:val="28"/>
        </w:rPr>
      </w:pPr>
    </w:p>
    <w:p w14:paraId="7EC35D03" w14:textId="6BD6FE2F" w:rsidR="007236C0" w:rsidRPr="00503519" w:rsidRDefault="00470B3E" w:rsidP="00503519">
      <w:pPr>
        <w:pStyle w:val="af1"/>
        <w:spacing w:line="240" w:lineRule="auto"/>
        <w:ind w:leftChars="-327" w:left="119" w:hangingChars="298" w:hanging="838"/>
        <w:jc w:val="center"/>
        <w:rPr>
          <w:rFonts w:ascii="Times New Roman" w:hAnsi="Times New Roman" w:cs="Times New Roman"/>
          <w:b/>
          <w:bCs/>
          <w:sz w:val="28"/>
          <w:szCs w:val="28"/>
          <w:lang w:val="en-US"/>
        </w:rPr>
      </w:pPr>
      <w:r w:rsidRPr="00503519">
        <w:rPr>
          <w:rFonts w:ascii="Times New Roman" w:hAnsi="Times New Roman" w:cs="Times New Roman"/>
          <w:b/>
          <w:bCs/>
          <w:sz w:val="28"/>
          <w:szCs w:val="28"/>
        </w:rPr>
        <w:t>P (0) = e </w:t>
      </w:r>
      <w:r w:rsidRPr="00503519">
        <w:rPr>
          <w:rFonts w:ascii="Times New Roman" w:hAnsi="Times New Roman" w:cs="Times New Roman"/>
          <w:b/>
          <w:bCs/>
          <w:sz w:val="28"/>
          <w:szCs w:val="28"/>
          <w:vertAlign w:val="superscript"/>
        </w:rPr>
        <w:t>-IU/ml</w:t>
      </w:r>
      <w:r w:rsidRPr="00503519">
        <w:rPr>
          <w:rFonts w:ascii="Times New Roman" w:hAnsi="Times New Roman" w:cs="Times New Roman"/>
          <w:b/>
          <w:bCs/>
          <w:sz w:val="28"/>
          <w:szCs w:val="28"/>
        </w:rPr>
        <w:t xml:space="preserve"> (3) </w:t>
      </w:r>
    </w:p>
    <w:p w14:paraId="4F5844F1" w14:textId="77777777" w:rsidR="007236C0" w:rsidRPr="00503519" w:rsidRDefault="007236C0" w:rsidP="00503519">
      <w:pPr>
        <w:pStyle w:val="af1"/>
        <w:spacing w:line="240" w:lineRule="auto"/>
        <w:ind w:leftChars="-327" w:left="119" w:hangingChars="298" w:hanging="838"/>
        <w:jc w:val="center"/>
        <w:rPr>
          <w:rFonts w:ascii="Times New Roman" w:hAnsi="Times New Roman" w:cs="Times New Roman"/>
          <w:b/>
          <w:bCs/>
          <w:sz w:val="28"/>
          <w:szCs w:val="28"/>
          <w:lang w:val="en-US"/>
        </w:rPr>
      </w:pPr>
    </w:p>
    <w:p w14:paraId="4644C347" w14:textId="1BD06E27" w:rsidR="00470B3E" w:rsidRPr="00503519" w:rsidRDefault="00470B3E" w:rsidP="00503519">
      <w:pPr>
        <w:pStyle w:val="af1"/>
        <w:spacing w:line="240" w:lineRule="auto"/>
        <w:ind w:leftChars="-2" w:left="-4" w:firstLineChars="1" w:firstLine="3"/>
        <w:rPr>
          <w:rFonts w:ascii="Times New Roman" w:hAnsi="Times New Roman" w:cs="Times New Roman"/>
          <w:sz w:val="28"/>
          <w:szCs w:val="28"/>
        </w:rPr>
      </w:pPr>
      <w:r w:rsidRPr="00503519">
        <w:rPr>
          <w:rFonts w:ascii="Times New Roman" w:hAnsi="Times New Roman" w:cs="Times New Roman"/>
          <w:sz w:val="28"/>
          <w:szCs w:val="28"/>
        </w:rPr>
        <w:t xml:space="preserve">Re-arrange this equation from TCID50 to infectious units to determine the number of </w:t>
      </w:r>
      <w:r w:rsidR="00BE6210" w:rsidRPr="00503519">
        <w:rPr>
          <w:rFonts w:ascii="Times New Roman" w:hAnsi="Times New Roman" w:cs="Times New Roman"/>
          <w:sz w:val="28"/>
          <w:szCs w:val="28"/>
        </w:rPr>
        <w:t>contagious</w:t>
      </w:r>
      <w:r w:rsidR="00D10872" w:rsidRPr="00503519">
        <w:rPr>
          <w:rFonts w:ascii="Times New Roman" w:hAnsi="Times New Roman" w:cs="Times New Roman"/>
          <w:sz w:val="28"/>
          <w:szCs w:val="28"/>
        </w:rPr>
        <w:t xml:space="preserve"> units when we know </w:t>
      </w:r>
      <w:r w:rsidR="00BE6210" w:rsidRPr="00503519">
        <w:rPr>
          <w:rFonts w:ascii="Times New Roman" w:hAnsi="Times New Roman" w:cs="Times New Roman"/>
          <w:sz w:val="28"/>
          <w:szCs w:val="28"/>
        </w:rPr>
        <w:t>P (</w:t>
      </w:r>
      <w:r w:rsidRPr="00503519">
        <w:rPr>
          <w:rFonts w:ascii="Times New Roman" w:hAnsi="Times New Roman" w:cs="Times New Roman"/>
          <w:sz w:val="28"/>
          <w:szCs w:val="28"/>
        </w:rPr>
        <w:t xml:space="preserve">0). Remember that P (0) is the probability of not being infected by formula </w:t>
      </w:r>
      <w:r w:rsidR="00D10872" w:rsidRPr="00503519">
        <w:rPr>
          <w:rFonts w:ascii="Times New Roman" w:hAnsi="Times New Roman" w:cs="Times New Roman"/>
          <w:sz w:val="28"/>
          <w:szCs w:val="28"/>
        </w:rPr>
        <w:t>three</w:t>
      </w:r>
      <w:r w:rsidR="00BE6210" w:rsidRPr="00503519">
        <w:rPr>
          <w:rFonts w:ascii="Times New Roman" w:hAnsi="Times New Roman" w:cs="Times New Roman"/>
          <w:sz w:val="28"/>
          <w:szCs w:val="28"/>
        </w:rPr>
        <w:t>,</w:t>
      </w:r>
      <w:r w:rsidRPr="00503519">
        <w:rPr>
          <w:rFonts w:ascii="Times New Roman" w:hAnsi="Times New Roman" w:cs="Times New Roman"/>
          <w:sz w:val="28"/>
          <w:szCs w:val="28"/>
        </w:rPr>
        <w:t xml:space="preserve"> and we get: </w:t>
      </w:r>
    </w:p>
    <w:p w14:paraId="57044306" w14:textId="77777777" w:rsidR="00470B3E" w:rsidRPr="00503519" w:rsidRDefault="00470B3E" w:rsidP="00503519">
      <w:pPr>
        <w:pStyle w:val="af1"/>
        <w:spacing w:line="240" w:lineRule="auto"/>
        <w:ind w:leftChars="-327" w:left="119" w:hangingChars="298" w:hanging="838"/>
        <w:jc w:val="center"/>
        <w:rPr>
          <w:rFonts w:ascii="Times New Roman" w:hAnsi="Times New Roman" w:cs="Times New Roman"/>
          <w:b/>
          <w:bCs/>
          <w:sz w:val="28"/>
          <w:szCs w:val="28"/>
        </w:rPr>
      </w:pPr>
      <w:r w:rsidRPr="00503519">
        <w:rPr>
          <w:rFonts w:ascii="Times New Roman" w:hAnsi="Times New Roman" w:cs="Times New Roman"/>
          <w:b/>
          <w:bCs/>
          <w:sz w:val="28"/>
          <w:szCs w:val="28"/>
        </w:rPr>
        <w:t> </w:t>
      </w:r>
    </w:p>
    <w:p w14:paraId="598C1AEA" w14:textId="77777777" w:rsidR="00470B3E" w:rsidRPr="00503519" w:rsidRDefault="00470B3E" w:rsidP="00503519">
      <w:pPr>
        <w:pStyle w:val="af1"/>
        <w:spacing w:line="240" w:lineRule="auto"/>
        <w:ind w:leftChars="-327" w:left="119" w:hangingChars="298" w:hanging="838"/>
        <w:jc w:val="center"/>
        <w:rPr>
          <w:rFonts w:ascii="Times New Roman" w:hAnsi="Times New Roman" w:cs="Times New Roman"/>
          <w:b/>
          <w:bCs/>
          <w:sz w:val="28"/>
          <w:szCs w:val="28"/>
        </w:rPr>
      </w:pPr>
      <w:r w:rsidRPr="00503519">
        <w:rPr>
          <w:rFonts w:ascii="Times New Roman" w:hAnsi="Times New Roman" w:cs="Times New Roman"/>
          <w:b/>
          <w:bCs/>
          <w:sz w:val="28"/>
          <w:szCs w:val="28"/>
        </w:rPr>
        <w:t>P (0) = e </w:t>
      </w:r>
      <w:r w:rsidRPr="00503519">
        <w:rPr>
          <w:rFonts w:ascii="Times New Roman" w:hAnsi="Times New Roman" w:cs="Times New Roman"/>
          <w:b/>
          <w:bCs/>
          <w:sz w:val="28"/>
          <w:szCs w:val="28"/>
          <w:vertAlign w:val="superscript"/>
        </w:rPr>
        <w:t>–IU/ml</w:t>
      </w:r>
      <w:r w:rsidRPr="00503519">
        <w:rPr>
          <w:rFonts w:ascii="Times New Roman" w:hAnsi="Times New Roman" w:cs="Times New Roman"/>
          <w:b/>
          <w:bCs/>
          <w:sz w:val="28"/>
          <w:szCs w:val="28"/>
        </w:rPr>
        <w:t xml:space="preserve"> becomes IU/ml = –</w:t>
      </w:r>
      <w:proofErr w:type="spellStart"/>
      <w:r w:rsidRPr="00503519">
        <w:rPr>
          <w:rFonts w:ascii="Times New Roman" w:hAnsi="Times New Roman" w:cs="Times New Roman"/>
          <w:b/>
          <w:bCs/>
          <w:sz w:val="28"/>
          <w:szCs w:val="28"/>
        </w:rPr>
        <w:t>ln</w:t>
      </w:r>
      <w:r w:rsidRPr="00503519">
        <w:rPr>
          <w:rFonts w:ascii="Times New Roman" w:hAnsi="Times New Roman" w:cs="Times New Roman"/>
          <w:b/>
          <w:bCs/>
          <w:sz w:val="28"/>
          <w:szCs w:val="28"/>
          <w:vertAlign w:val="subscript"/>
        </w:rPr>
        <w:t>e</w:t>
      </w:r>
      <w:proofErr w:type="spellEnd"/>
      <w:r w:rsidRPr="00503519">
        <w:rPr>
          <w:rFonts w:ascii="Times New Roman" w:hAnsi="Times New Roman" w:cs="Times New Roman"/>
          <w:b/>
          <w:bCs/>
          <w:sz w:val="28"/>
          <w:szCs w:val="28"/>
        </w:rPr>
        <w:t xml:space="preserve"> P (0) (4) </w:t>
      </w:r>
    </w:p>
    <w:p w14:paraId="6EF165C3" w14:textId="77777777" w:rsidR="00470B3E" w:rsidRPr="00503519" w:rsidRDefault="00470B3E" w:rsidP="00503519">
      <w:pPr>
        <w:pStyle w:val="af1"/>
        <w:spacing w:line="240" w:lineRule="auto"/>
        <w:ind w:leftChars="-327" w:left="119" w:hangingChars="298" w:hanging="838"/>
        <w:jc w:val="center"/>
        <w:rPr>
          <w:rFonts w:ascii="Times New Roman" w:hAnsi="Times New Roman" w:cs="Times New Roman"/>
          <w:b/>
          <w:bCs/>
          <w:sz w:val="28"/>
          <w:szCs w:val="28"/>
        </w:rPr>
      </w:pPr>
    </w:p>
    <w:p w14:paraId="6884E150" w14:textId="4FC4E933" w:rsidR="00470B3E" w:rsidRPr="00503519" w:rsidRDefault="00470B3E" w:rsidP="00503519">
      <w:pPr>
        <w:pStyle w:val="af1"/>
        <w:spacing w:line="240" w:lineRule="auto"/>
        <w:ind w:leftChars="-1" w:left="-2" w:firstLine="711"/>
        <w:jc w:val="both"/>
        <w:rPr>
          <w:rFonts w:ascii="Times New Roman" w:hAnsi="Times New Roman" w:cs="Times New Roman"/>
          <w:sz w:val="28"/>
          <w:szCs w:val="28"/>
          <w:lang w:val="en-US"/>
        </w:rPr>
      </w:pPr>
      <w:r w:rsidRPr="00503519">
        <w:rPr>
          <w:rFonts w:ascii="Times New Roman" w:hAnsi="Times New Roman" w:cs="Times New Roman"/>
          <w:sz w:val="28"/>
          <w:szCs w:val="28"/>
        </w:rPr>
        <w:t xml:space="preserve">Now consider our TCID50: the virus concentration </w:t>
      </w:r>
      <w:r w:rsidR="001E7693" w:rsidRPr="00503519">
        <w:rPr>
          <w:rFonts w:ascii="Times New Roman" w:hAnsi="Times New Roman" w:cs="Times New Roman"/>
          <w:sz w:val="28"/>
          <w:szCs w:val="28"/>
        </w:rPr>
        <w:t>at which there is</w:t>
      </w:r>
      <w:r w:rsidRPr="00503519">
        <w:rPr>
          <w:rFonts w:ascii="Times New Roman" w:hAnsi="Times New Roman" w:cs="Times New Roman"/>
          <w:sz w:val="28"/>
          <w:szCs w:val="28"/>
        </w:rPr>
        <w:t xml:space="preserve"> a 50% chance of infection. At the limiting dilution of our TCID50 assay, we have a 50% chance of disease</w:t>
      </w:r>
      <w:r w:rsidR="00BE0D04">
        <w:rPr>
          <w:rFonts w:ascii="Times New Roman" w:hAnsi="Times New Roman" w:cs="Times New Roman"/>
          <w:sz w:val="28"/>
          <w:szCs w:val="28"/>
        </w:rPr>
        <w:t xml:space="preserve"> (i.e., a 50% chance of non-infection)</w:t>
      </w:r>
      <w:r w:rsidR="001F6AE2">
        <w:rPr>
          <w:rFonts w:ascii="Times New Roman" w:hAnsi="Times New Roman" w:cs="Times New Roman"/>
          <w:sz w:val="28"/>
          <w:szCs w:val="28"/>
        </w:rPr>
        <w:t xml:space="preserve">; therefore, </w:t>
      </w:r>
      <w:r w:rsidR="00BE0D04">
        <w:rPr>
          <w:rFonts w:ascii="Times New Roman" w:hAnsi="Times New Roman" w:cs="Times New Roman"/>
          <w:sz w:val="28"/>
          <w:szCs w:val="28"/>
        </w:rPr>
        <w:t>P</w:t>
      </w:r>
      <w:r w:rsidR="00BE0D04" w:rsidRPr="00503519">
        <w:rPr>
          <w:rFonts w:ascii="Times New Roman" w:hAnsi="Times New Roman" w:cs="Times New Roman"/>
          <w:sz w:val="28"/>
          <w:szCs w:val="28"/>
        </w:rPr>
        <w:t xml:space="preserve"> (</w:t>
      </w:r>
      <w:r w:rsidRPr="00503519">
        <w:rPr>
          <w:rFonts w:ascii="Times New Roman" w:hAnsi="Times New Roman" w:cs="Times New Roman"/>
          <w:sz w:val="28"/>
          <w:szCs w:val="28"/>
        </w:rPr>
        <w:t xml:space="preserve">0) = 0.5. Now, substituting </w:t>
      </w:r>
      <w:r w:rsidRPr="00503519">
        <w:rPr>
          <w:rFonts w:ascii="Cambria Math" w:hAnsi="Cambria Math" w:cs="Cambria Math"/>
          <w:sz w:val="28"/>
          <w:szCs w:val="28"/>
        </w:rPr>
        <w:t>𝑃</w:t>
      </w:r>
      <w:r w:rsidRPr="00503519">
        <w:rPr>
          <w:rFonts w:ascii="Times New Roman" w:hAnsi="Times New Roman" w:cs="Times New Roman"/>
          <w:sz w:val="28"/>
          <w:szCs w:val="28"/>
        </w:rPr>
        <w:t xml:space="preserve"> (0) = 0.5 into the rearranged equation:</w:t>
      </w:r>
    </w:p>
    <w:p w14:paraId="41F460B2" w14:textId="77777777" w:rsidR="007236C0" w:rsidRPr="00503519" w:rsidRDefault="007236C0" w:rsidP="00503519">
      <w:pPr>
        <w:pStyle w:val="af1"/>
        <w:spacing w:line="240" w:lineRule="auto"/>
        <w:ind w:leftChars="-1" w:left="-1" w:hanging="1"/>
        <w:jc w:val="both"/>
        <w:rPr>
          <w:rFonts w:ascii="Times New Roman" w:hAnsi="Times New Roman" w:cs="Times New Roman"/>
          <w:sz w:val="28"/>
          <w:szCs w:val="28"/>
          <w:lang w:val="en-US"/>
        </w:rPr>
      </w:pPr>
    </w:p>
    <w:p w14:paraId="4CC4BBD6" w14:textId="77777777" w:rsidR="00470B3E" w:rsidRPr="00503519" w:rsidRDefault="00470B3E" w:rsidP="00503519">
      <w:pPr>
        <w:pStyle w:val="af1"/>
        <w:spacing w:line="240" w:lineRule="auto"/>
        <w:ind w:leftChars="-1" w:left="-2" w:firstLine="1"/>
        <w:jc w:val="center"/>
        <w:rPr>
          <w:rFonts w:ascii="Times New Roman" w:hAnsi="Times New Roman" w:cs="Times New Roman"/>
          <w:b/>
          <w:bCs/>
          <w:sz w:val="28"/>
          <w:szCs w:val="28"/>
        </w:rPr>
      </w:pPr>
      <w:r w:rsidRPr="00503519">
        <w:rPr>
          <w:rFonts w:ascii="Times New Roman" w:hAnsi="Times New Roman" w:cs="Times New Roman"/>
          <w:b/>
          <w:bCs/>
          <w:sz w:val="28"/>
          <w:szCs w:val="28"/>
        </w:rPr>
        <w:t>IU/ml = –</w:t>
      </w:r>
      <w:proofErr w:type="spellStart"/>
      <w:r w:rsidRPr="00503519">
        <w:rPr>
          <w:rFonts w:ascii="Times New Roman" w:hAnsi="Times New Roman" w:cs="Times New Roman"/>
          <w:b/>
          <w:bCs/>
          <w:sz w:val="28"/>
          <w:szCs w:val="28"/>
        </w:rPr>
        <w:t>ln</w:t>
      </w:r>
      <w:r w:rsidRPr="00503519">
        <w:rPr>
          <w:rFonts w:ascii="Times New Roman" w:hAnsi="Times New Roman" w:cs="Times New Roman"/>
          <w:b/>
          <w:bCs/>
          <w:sz w:val="28"/>
          <w:szCs w:val="28"/>
          <w:vertAlign w:val="subscript"/>
        </w:rPr>
        <w:t>e</w:t>
      </w:r>
      <w:proofErr w:type="spellEnd"/>
      <w:r w:rsidRPr="00503519">
        <w:rPr>
          <w:rFonts w:ascii="Times New Roman" w:hAnsi="Times New Roman" w:cs="Times New Roman"/>
          <w:b/>
          <w:bCs/>
          <w:sz w:val="28"/>
          <w:szCs w:val="28"/>
        </w:rPr>
        <w:t> (0.5)</w:t>
      </w:r>
    </w:p>
    <w:p w14:paraId="3266F1A9" w14:textId="77777777" w:rsidR="00470B3E" w:rsidRPr="00503519" w:rsidRDefault="00470B3E" w:rsidP="00503519">
      <w:pPr>
        <w:pStyle w:val="af1"/>
        <w:spacing w:line="240" w:lineRule="auto"/>
        <w:ind w:leftChars="-1" w:left="-2" w:firstLine="1"/>
        <w:jc w:val="center"/>
        <w:rPr>
          <w:rFonts w:ascii="Times New Roman" w:hAnsi="Times New Roman" w:cs="Times New Roman"/>
          <w:b/>
          <w:bCs/>
          <w:sz w:val="28"/>
          <w:szCs w:val="28"/>
        </w:rPr>
      </w:pPr>
    </w:p>
    <w:p w14:paraId="3251AFF8" w14:textId="77777777" w:rsidR="00470B3E" w:rsidRPr="00503519" w:rsidRDefault="00470B3E" w:rsidP="00503519">
      <w:pPr>
        <w:pStyle w:val="af1"/>
        <w:spacing w:line="240" w:lineRule="auto"/>
        <w:ind w:leftChars="-1" w:left="-2" w:firstLine="1"/>
        <w:jc w:val="center"/>
        <w:rPr>
          <w:rFonts w:ascii="Times New Roman" w:hAnsi="Times New Roman" w:cs="Times New Roman"/>
          <w:b/>
          <w:bCs/>
          <w:sz w:val="28"/>
          <w:szCs w:val="28"/>
        </w:rPr>
      </w:pPr>
      <w:proofErr w:type="spellStart"/>
      <w:r w:rsidRPr="00503519">
        <w:rPr>
          <w:rFonts w:ascii="Times New Roman" w:hAnsi="Times New Roman" w:cs="Times New Roman"/>
          <w:b/>
          <w:bCs/>
          <w:sz w:val="28"/>
          <w:szCs w:val="28"/>
        </w:rPr>
        <w:t>ln</w:t>
      </w:r>
      <w:r w:rsidRPr="00503519">
        <w:rPr>
          <w:rFonts w:ascii="Times New Roman" w:hAnsi="Times New Roman" w:cs="Times New Roman"/>
          <w:b/>
          <w:bCs/>
          <w:sz w:val="28"/>
          <w:szCs w:val="28"/>
          <w:vertAlign w:val="subscript"/>
        </w:rPr>
        <w:t>e</w:t>
      </w:r>
      <w:proofErr w:type="spellEnd"/>
      <w:r w:rsidRPr="00503519">
        <w:rPr>
          <w:rFonts w:ascii="Times New Roman" w:hAnsi="Times New Roman" w:cs="Times New Roman"/>
          <w:b/>
          <w:bCs/>
          <w:sz w:val="28"/>
          <w:szCs w:val="28"/>
          <w:vertAlign w:val="subscript"/>
        </w:rPr>
        <w:t xml:space="preserve"> </w:t>
      </w:r>
      <w:r w:rsidRPr="00503519">
        <w:rPr>
          <w:rFonts w:ascii="Times New Roman" w:hAnsi="Times New Roman" w:cs="Times New Roman"/>
          <w:b/>
          <w:bCs/>
          <w:sz w:val="28"/>
          <w:szCs w:val="28"/>
        </w:rPr>
        <w:t>(0.5) = –0.693</w:t>
      </w:r>
    </w:p>
    <w:p w14:paraId="02D89331" w14:textId="77777777" w:rsidR="00470B3E" w:rsidRPr="00503519" w:rsidRDefault="00470B3E" w:rsidP="00503519">
      <w:pPr>
        <w:pStyle w:val="af1"/>
        <w:spacing w:line="240" w:lineRule="auto"/>
        <w:ind w:leftChars="-1" w:left="-2" w:firstLine="1"/>
        <w:jc w:val="center"/>
        <w:rPr>
          <w:rFonts w:ascii="Times New Roman" w:hAnsi="Times New Roman" w:cs="Times New Roman"/>
          <w:b/>
          <w:bCs/>
          <w:sz w:val="28"/>
          <w:szCs w:val="28"/>
        </w:rPr>
      </w:pPr>
    </w:p>
    <w:p w14:paraId="499366F6" w14:textId="77777777" w:rsidR="00470B3E" w:rsidRPr="00503519" w:rsidRDefault="00470B3E" w:rsidP="00503519">
      <w:pPr>
        <w:pStyle w:val="af1"/>
        <w:spacing w:line="240" w:lineRule="auto"/>
        <w:ind w:leftChars="-1" w:left="-2" w:firstLine="1"/>
        <w:jc w:val="center"/>
        <w:rPr>
          <w:rFonts w:ascii="Times New Roman" w:hAnsi="Times New Roman" w:cs="Times New Roman"/>
          <w:b/>
          <w:bCs/>
          <w:sz w:val="28"/>
          <w:szCs w:val="28"/>
        </w:rPr>
      </w:pPr>
      <w:r w:rsidRPr="00503519">
        <w:rPr>
          <w:rFonts w:ascii="Times New Roman" w:hAnsi="Times New Roman" w:cs="Times New Roman"/>
          <w:b/>
          <w:bCs/>
          <w:sz w:val="28"/>
          <w:szCs w:val="28"/>
        </w:rPr>
        <w:t>So, IU/ml = −(−0.693) = 0.693 (5)</w:t>
      </w:r>
    </w:p>
    <w:p w14:paraId="36E1D2FF" w14:textId="77777777" w:rsidR="00470B3E" w:rsidRPr="00503519" w:rsidRDefault="00470B3E" w:rsidP="00503519">
      <w:pPr>
        <w:pStyle w:val="af1"/>
        <w:spacing w:line="240" w:lineRule="auto"/>
        <w:ind w:firstLineChars="709" w:firstLine="1985"/>
        <w:rPr>
          <w:rFonts w:ascii="Times New Roman" w:hAnsi="Times New Roman" w:cs="Times New Roman"/>
          <w:sz w:val="28"/>
          <w:szCs w:val="28"/>
        </w:rPr>
      </w:pPr>
      <w:r w:rsidRPr="00503519">
        <w:rPr>
          <w:rFonts w:ascii="Times New Roman" w:hAnsi="Times New Roman" w:cs="Times New Roman"/>
          <w:sz w:val="28"/>
          <w:szCs w:val="28"/>
        </w:rPr>
        <w:t> </w:t>
      </w:r>
    </w:p>
    <w:p w14:paraId="6EA11F60" w14:textId="00F84851" w:rsidR="00470B3E" w:rsidRPr="00DA696E" w:rsidRDefault="00470B3E" w:rsidP="00DA696E">
      <w:pPr>
        <w:spacing w:after="0" w:line="240" w:lineRule="auto"/>
        <w:ind w:firstLine="708"/>
        <w:jc w:val="both"/>
        <w:rPr>
          <w:rFonts w:ascii="Times New Roman" w:hAnsi="Times New Roman" w:cs="Times New Roman"/>
          <w:sz w:val="28"/>
          <w:szCs w:val="28"/>
        </w:rPr>
      </w:pPr>
      <w:r w:rsidRPr="00DA696E">
        <w:rPr>
          <w:rFonts w:ascii="Times New Roman" w:hAnsi="Times New Roman" w:cs="Times New Roman"/>
          <w:sz w:val="28"/>
          <w:szCs w:val="28"/>
        </w:rPr>
        <w:t xml:space="preserve">This is often rounded to 0.7 for simplicity. Therefore, at </w:t>
      </w:r>
      <w:r w:rsidR="00FD089C" w:rsidRPr="00DA696E">
        <w:rPr>
          <w:rFonts w:ascii="Times New Roman" w:hAnsi="Times New Roman" w:cs="Times New Roman"/>
          <w:sz w:val="28"/>
          <w:szCs w:val="28"/>
        </w:rPr>
        <w:t>a 50% infection rate</w:t>
      </w:r>
      <w:r w:rsidRPr="00DA696E">
        <w:rPr>
          <w:rFonts w:ascii="Times New Roman" w:hAnsi="Times New Roman" w:cs="Times New Roman"/>
          <w:sz w:val="28"/>
          <w:szCs w:val="28"/>
        </w:rPr>
        <w:t xml:space="preserve">, we have approximately 0.7 </w:t>
      </w:r>
      <w:r w:rsidR="00F35381" w:rsidRPr="00DA696E">
        <w:rPr>
          <w:rFonts w:ascii="Times New Roman" w:hAnsi="Times New Roman" w:cs="Times New Roman"/>
          <w:sz w:val="28"/>
          <w:szCs w:val="28"/>
        </w:rPr>
        <w:t>infectious units (IU)</w:t>
      </w:r>
      <w:r w:rsidRPr="00DA696E">
        <w:rPr>
          <w:rFonts w:ascii="Times New Roman" w:hAnsi="Times New Roman" w:cs="Times New Roman"/>
          <w:sz w:val="28"/>
          <w:szCs w:val="28"/>
        </w:rPr>
        <w:t xml:space="preserve"> per cell. </w:t>
      </w:r>
      <w:r w:rsidR="00F35381" w:rsidRPr="00DA696E">
        <w:rPr>
          <w:rFonts w:ascii="Times New Roman" w:hAnsi="Times New Roman" w:cs="Times New Roman"/>
          <w:sz w:val="28"/>
          <w:szCs w:val="28"/>
        </w:rPr>
        <w:t>Alternatively,</w:t>
      </w:r>
      <w:r w:rsidRPr="00DA696E">
        <w:rPr>
          <w:rFonts w:ascii="Times New Roman" w:hAnsi="Times New Roman" w:cs="Times New Roman"/>
          <w:sz w:val="28"/>
          <w:szCs w:val="28"/>
        </w:rPr>
        <w:t xml:space="preserve"> 1 TCID50 corresponds to 0.7 IU. Hence, whenever we need to convert TCID50/ml values </w:t>
      </w:r>
      <w:r w:rsidR="001F6AE2">
        <w:rPr>
          <w:rFonts w:ascii="Times New Roman" w:hAnsi="Times New Roman" w:cs="Times New Roman"/>
          <w:sz w:val="28"/>
          <w:szCs w:val="28"/>
        </w:rPr>
        <w:t>to IU/ml</w:t>
      </w:r>
      <w:r w:rsidRPr="00DA696E">
        <w:rPr>
          <w:rFonts w:ascii="Times New Roman" w:hAnsi="Times New Roman" w:cs="Times New Roman"/>
          <w:sz w:val="28"/>
          <w:szCs w:val="28"/>
        </w:rPr>
        <w:t xml:space="preserve">, we multiply by 0.7. Therefore, it is always important to report the unit of measure </w:t>
      </w:r>
      <w:r w:rsidR="00DA378B" w:rsidRPr="00DA696E">
        <w:rPr>
          <w:rFonts w:ascii="Times New Roman" w:hAnsi="Times New Roman" w:cs="Times New Roman"/>
          <w:sz w:val="28"/>
          <w:szCs w:val="28"/>
        </w:rPr>
        <w:t>(TCID50 or IU), as this</w:t>
      </w:r>
      <w:r w:rsidRPr="00DA696E">
        <w:rPr>
          <w:rFonts w:ascii="Times New Roman" w:hAnsi="Times New Roman" w:cs="Times New Roman"/>
          <w:sz w:val="28"/>
          <w:szCs w:val="28"/>
        </w:rPr>
        <w:t xml:space="preserve"> provides information on the amount of infectious virus and the assay used to determine it.</w:t>
      </w:r>
    </w:p>
    <w:p w14:paraId="17CF9AAC" w14:textId="77777777" w:rsidR="00DA696E" w:rsidRDefault="00470B3E" w:rsidP="00DA696E">
      <w:pPr>
        <w:spacing w:after="0" w:line="240" w:lineRule="auto"/>
        <w:ind w:firstLine="708"/>
        <w:jc w:val="both"/>
        <w:rPr>
          <w:rFonts w:ascii="Times New Roman" w:hAnsi="Times New Roman" w:cs="Times New Roman"/>
          <w:sz w:val="28"/>
          <w:szCs w:val="28"/>
        </w:rPr>
      </w:pPr>
      <w:r w:rsidRPr="00DA696E">
        <w:rPr>
          <w:rFonts w:ascii="Times New Roman" w:hAnsi="Times New Roman" w:cs="Times New Roman"/>
          <w:sz w:val="28"/>
          <w:szCs w:val="28"/>
        </w:rPr>
        <w:t xml:space="preserve">The cell culture monolayer was infected with </w:t>
      </w:r>
      <w:r w:rsidR="00DA378B" w:rsidRPr="00DA696E">
        <w:rPr>
          <w:rFonts w:ascii="Times New Roman" w:hAnsi="Times New Roman" w:cs="Times New Roman"/>
          <w:sz w:val="28"/>
          <w:szCs w:val="28"/>
        </w:rPr>
        <w:t xml:space="preserve">SARS-CoV-2 at a multiplicity of infection (MOI) of 2, using the SARS-CoV-2/human/KAZ/B1.1/2021 and SARS-CoV-2/human/KAZ/Britain/2021 strains, respectively, with an infectious </w:t>
      </w:r>
      <w:r w:rsidR="00A70107" w:rsidRPr="00DA696E">
        <w:rPr>
          <w:rFonts w:ascii="Times New Roman" w:hAnsi="Times New Roman" w:cs="Times New Roman"/>
          <w:sz w:val="28"/>
          <w:szCs w:val="28"/>
        </w:rPr>
        <w:t>titer</w:t>
      </w:r>
      <w:r w:rsidR="00FD089C" w:rsidRPr="00DA696E">
        <w:rPr>
          <w:rFonts w:ascii="Times New Roman" w:hAnsi="Times New Roman" w:cs="Times New Roman"/>
          <w:sz w:val="28"/>
          <w:szCs w:val="28"/>
        </w:rPr>
        <w:t xml:space="preserve"> of 7 logs</w:t>
      </w:r>
      <w:r w:rsidRPr="00DA696E">
        <w:rPr>
          <w:rFonts w:ascii="Times New Roman" w:hAnsi="Times New Roman" w:cs="Times New Roman"/>
          <w:sz w:val="28"/>
          <w:szCs w:val="28"/>
        </w:rPr>
        <w:t xml:space="preserve"> TCID50/ml. After </w:t>
      </w:r>
      <w:r w:rsidR="0058304B" w:rsidRPr="00DA696E">
        <w:rPr>
          <w:rFonts w:ascii="Times New Roman" w:hAnsi="Times New Roman" w:cs="Times New Roman"/>
          <w:sz w:val="28"/>
          <w:szCs w:val="28"/>
        </w:rPr>
        <w:t>one</w:t>
      </w:r>
      <w:r w:rsidRPr="00DA696E">
        <w:rPr>
          <w:rFonts w:ascii="Times New Roman" w:hAnsi="Times New Roman" w:cs="Times New Roman"/>
          <w:sz w:val="28"/>
          <w:szCs w:val="28"/>
        </w:rPr>
        <w:t xml:space="preserve"> </w:t>
      </w:r>
      <w:r w:rsidR="0058304B" w:rsidRPr="00DA696E">
        <w:rPr>
          <w:rFonts w:ascii="Times New Roman" w:hAnsi="Times New Roman" w:cs="Times New Roman"/>
          <w:sz w:val="28"/>
          <w:szCs w:val="28"/>
        </w:rPr>
        <w:t>hour</w:t>
      </w:r>
      <w:r w:rsidRPr="00DA696E">
        <w:rPr>
          <w:rFonts w:ascii="Times New Roman" w:hAnsi="Times New Roman" w:cs="Times New Roman"/>
          <w:sz w:val="28"/>
          <w:szCs w:val="28"/>
        </w:rPr>
        <w:t xml:space="preserve"> of virus contact with the cells at 37°C, the cell monolayer was washed three times with phosphate-buffered saline </w:t>
      </w:r>
      <w:r w:rsidR="00DA378B" w:rsidRPr="00DA696E">
        <w:rPr>
          <w:rFonts w:ascii="Times New Roman" w:hAnsi="Times New Roman" w:cs="Times New Roman"/>
          <w:sz w:val="28"/>
          <w:szCs w:val="28"/>
        </w:rPr>
        <w:t>(pH 7.2)</w:t>
      </w:r>
      <w:r w:rsidRPr="00DA696E">
        <w:rPr>
          <w:rFonts w:ascii="Times New Roman" w:hAnsi="Times New Roman" w:cs="Times New Roman"/>
          <w:sz w:val="28"/>
          <w:szCs w:val="28"/>
        </w:rPr>
        <w:t xml:space="preserve">. </w:t>
      </w:r>
    </w:p>
    <w:p w14:paraId="749AD049" w14:textId="75F820DC" w:rsidR="00470B3E" w:rsidRPr="00DA696E" w:rsidRDefault="00470B3E" w:rsidP="00DA696E">
      <w:pPr>
        <w:spacing w:after="0" w:line="240" w:lineRule="auto"/>
        <w:ind w:firstLine="708"/>
        <w:jc w:val="both"/>
        <w:rPr>
          <w:rFonts w:ascii="Times New Roman" w:hAnsi="Times New Roman" w:cs="Times New Roman"/>
          <w:sz w:val="28"/>
          <w:szCs w:val="28"/>
          <w:lang w:val="en-US"/>
        </w:rPr>
      </w:pPr>
      <w:r w:rsidRPr="00DA696E">
        <w:rPr>
          <w:rFonts w:ascii="Times New Roman" w:hAnsi="Times New Roman" w:cs="Times New Roman"/>
          <w:sz w:val="28"/>
          <w:szCs w:val="28"/>
        </w:rPr>
        <w:t xml:space="preserve">The studied drugs </w:t>
      </w:r>
      <w:r w:rsidR="00DA378B" w:rsidRPr="00DA696E">
        <w:rPr>
          <w:rFonts w:ascii="Times New Roman" w:hAnsi="Times New Roman" w:cs="Times New Roman"/>
          <w:sz w:val="28"/>
          <w:szCs w:val="28"/>
        </w:rPr>
        <w:t>were applied to the infected cells at different concentrations (</w:t>
      </w:r>
      <w:r w:rsidR="00D10872" w:rsidRPr="00DA696E">
        <w:rPr>
          <w:rFonts w:ascii="Times New Roman" w:hAnsi="Times New Roman" w:cs="Times New Roman"/>
          <w:sz w:val="28"/>
          <w:szCs w:val="28"/>
        </w:rPr>
        <w:t>experimental group) or in the maintenance medium (control group</w:t>
      </w:r>
      <w:r w:rsidR="00DA378B" w:rsidRPr="00DA696E">
        <w:rPr>
          <w:rFonts w:ascii="Times New Roman" w:hAnsi="Times New Roman" w:cs="Times New Roman"/>
          <w:sz w:val="28"/>
          <w:szCs w:val="28"/>
        </w:rPr>
        <w:t xml:space="preserve">), and the plastic panels were then </w:t>
      </w:r>
      <w:r w:rsidRPr="00DA696E">
        <w:rPr>
          <w:rFonts w:ascii="Times New Roman" w:hAnsi="Times New Roman" w:cs="Times New Roman"/>
          <w:sz w:val="28"/>
          <w:szCs w:val="28"/>
        </w:rPr>
        <w:t xml:space="preserve">placed in a CO2 incubator for 5 days. The antiviral effect of the drugs was calculated </w:t>
      </w:r>
      <w:r w:rsidR="008C0D12">
        <w:rPr>
          <w:rFonts w:ascii="Times New Roman" w:hAnsi="Times New Roman" w:cs="Times New Roman"/>
          <w:sz w:val="28"/>
          <w:szCs w:val="28"/>
        </w:rPr>
        <w:t xml:space="preserve">as the ratio of the virus's infectious activity </w:t>
      </w:r>
      <w:r w:rsidRPr="00DA696E">
        <w:rPr>
          <w:rFonts w:ascii="Times New Roman" w:hAnsi="Times New Roman" w:cs="Times New Roman"/>
          <w:sz w:val="28"/>
          <w:szCs w:val="28"/>
        </w:rPr>
        <w:t xml:space="preserve">in the experimental and control samples. All experiments were performed in triplicate. The main criteria for assessing the </w:t>
      </w:r>
      <w:r w:rsidR="008C0D12">
        <w:rPr>
          <w:rFonts w:ascii="Times New Roman" w:hAnsi="Times New Roman" w:cs="Times New Roman"/>
          <w:sz w:val="28"/>
          <w:szCs w:val="28"/>
        </w:rPr>
        <w:t>in vitro effectiveness of the drugs were the following indicators [100]: a decrease in the infectious titer of the virus under the influence of the drug (D, lg), the inhibition coefficient (Ci, %),</w:t>
      </w:r>
      <w:r w:rsidRPr="00DA696E">
        <w:rPr>
          <w:rFonts w:ascii="Times New Roman" w:hAnsi="Times New Roman" w:cs="Times New Roman"/>
          <w:sz w:val="28"/>
          <w:szCs w:val="28"/>
        </w:rPr>
        <w:t xml:space="preserve"> and the chemotherapeutic index (CTI). The decrease in the level of virus accumulation under the influence of the drug (D, lg) was determined by the formula: </w:t>
      </w:r>
    </w:p>
    <w:p w14:paraId="71985DF0" w14:textId="77777777" w:rsidR="007236C0" w:rsidRPr="008D2366" w:rsidRDefault="007236C0" w:rsidP="00BE6210">
      <w:pPr>
        <w:spacing w:line="360" w:lineRule="auto"/>
        <w:ind w:firstLine="708"/>
        <w:jc w:val="both"/>
        <w:rPr>
          <w:rFonts w:ascii="Times New Roman" w:hAnsi="Times New Roman" w:cs="Times New Roman"/>
          <w:sz w:val="24"/>
          <w:szCs w:val="24"/>
          <w:lang w:val="en-US"/>
        </w:rPr>
      </w:pPr>
    </w:p>
    <w:p w14:paraId="1424F957" w14:textId="2F33EA27" w:rsidR="007236C0" w:rsidRDefault="00470B3E" w:rsidP="00B7155D">
      <w:pPr>
        <w:spacing w:line="360" w:lineRule="auto"/>
        <w:jc w:val="center"/>
        <w:rPr>
          <w:rFonts w:ascii="Times New Roman" w:hAnsi="Times New Roman" w:cs="Times New Roman"/>
          <w:b/>
          <w:bCs/>
          <w:sz w:val="24"/>
          <w:szCs w:val="24"/>
        </w:rPr>
      </w:pPr>
      <w:r w:rsidRPr="006531C9">
        <w:rPr>
          <w:rFonts w:ascii="Times New Roman" w:hAnsi="Times New Roman" w:cs="Times New Roman"/>
          <w:b/>
          <w:bCs/>
          <w:sz w:val="24"/>
          <w:szCs w:val="24"/>
        </w:rPr>
        <w:t>D = Ak – Ao (6)</w:t>
      </w:r>
    </w:p>
    <w:p w14:paraId="04D40213" w14:textId="77777777" w:rsidR="00C6742C" w:rsidRPr="008D2366" w:rsidRDefault="00C6742C" w:rsidP="00B7155D">
      <w:pPr>
        <w:spacing w:line="360" w:lineRule="auto"/>
        <w:jc w:val="center"/>
        <w:rPr>
          <w:rFonts w:ascii="Times New Roman" w:hAnsi="Times New Roman" w:cs="Times New Roman"/>
          <w:b/>
          <w:bCs/>
          <w:sz w:val="24"/>
          <w:szCs w:val="24"/>
          <w:lang w:val="en-US"/>
        </w:rPr>
      </w:pPr>
    </w:p>
    <w:p w14:paraId="771F6E69" w14:textId="4971CA23" w:rsidR="0058304B" w:rsidRPr="00DA696E" w:rsidRDefault="008C0D12" w:rsidP="00DA696E">
      <w:pPr>
        <w:spacing w:line="240" w:lineRule="auto"/>
        <w:jc w:val="both"/>
        <w:rPr>
          <w:rFonts w:ascii="Times New Roman" w:hAnsi="Times New Roman" w:cs="Times New Roman"/>
          <w:sz w:val="28"/>
          <w:szCs w:val="28"/>
          <w:lang w:val="en-US"/>
        </w:rPr>
      </w:pPr>
      <w:r>
        <w:rPr>
          <w:rFonts w:ascii="Times New Roman" w:hAnsi="Times New Roman" w:cs="Times New Roman"/>
          <w:sz w:val="28"/>
          <w:szCs w:val="28"/>
        </w:rPr>
        <w:t>Where</w:t>
      </w:r>
      <w:r w:rsidR="00470B3E" w:rsidRPr="00DA696E">
        <w:rPr>
          <w:rFonts w:ascii="Times New Roman" w:hAnsi="Times New Roman" w:cs="Times New Roman"/>
          <w:sz w:val="28"/>
          <w:szCs w:val="28"/>
        </w:rPr>
        <w:t xml:space="preserve"> Ak is the level of virus accumulation during cultivation without the addition of the studied drug to the nutrient medium (in lg TCID50/ml); Ao is the level of virus accumulation during cultivation with the addition of the studied drug to the nutrient medium (in lg TCID50/ml). The formula calculated Ki: </w:t>
      </w:r>
    </w:p>
    <w:p w14:paraId="5B5565CA" w14:textId="77777777" w:rsidR="007236C0" w:rsidRPr="008D2366" w:rsidRDefault="007236C0" w:rsidP="00576210">
      <w:pPr>
        <w:spacing w:line="360" w:lineRule="auto"/>
        <w:jc w:val="both"/>
        <w:rPr>
          <w:rFonts w:ascii="Times New Roman" w:hAnsi="Times New Roman" w:cs="Times New Roman"/>
          <w:sz w:val="24"/>
          <w:szCs w:val="24"/>
          <w:lang w:val="en-US"/>
        </w:rPr>
      </w:pPr>
    </w:p>
    <w:p w14:paraId="029B7D05" w14:textId="235AA8E6" w:rsidR="0058304B" w:rsidRPr="008D2366" w:rsidRDefault="00470B3E" w:rsidP="00576210">
      <w:pPr>
        <w:spacing w:line="360" w:lineRule="auto"/>
        <w:jc w:val="center"/>
        <w:rPr>
          <w:rFonts w:ascii="Times New Roman" w:hAnsi="Times New Roman" w:cs="Times New Roman"/>
          <w:b/>
          <w:bCs/>
          <w:sz w:val="24"/>
          <w:szCs w:val="24"/>
          <w:lang w:val="en-US"/>
        </w:rPr>
      </w:pPr>
      <w:r w:rsidRPr="006531C9">
        <w:rPr>
          <w:rFonts w:ascii="Times New Roman" w:hAnsi="Times New Roman" w:cs="Times New Roman"/>
          <w:b/>
          <w:bCs/>
          <w:sz w:val="24"/>
          <w:szCs w:val="24"/>
        </w:rPr>
        <w:t>Ki = (Ak – Ao)/Ak • 100% (7)</w:t>
      </w:r>
    </w:p>
    <w:p w14:paraId="1AED1D29" w14:textId="77777777" w:rsidR="007236C0" w:rsidRPr="008D2366" w:rsidRDefault="007236C0" w:rsidP="00576210">
      <w:pPr>
        <w:spacing w:line="360" w:lineRule="auto"/>
        <w:jc w:val="center"/>
        <w:rPr>
          <w:rFonts w:ascii="Times New Roman" w:hAnsi="Times New Roman" w:cs="Times New Roman"/>
          <w:b/>
          <w:bCs/>
          <w:sz w:val="24"/>
          <w:szCs w:val="24"/>
          <w:lang w:val="en-US"/>
        </w:rPr>
      </w:pPr>
    </w:p>
    <w:p w14:paraId="1CAE055B" w14:textId="3A6BC2E2" w:rsidR="00470B3E" w:rsidRPr="00DA696E" w:rsidRDefault="00470B3E" w:rsidP="00DA696E">
      <w:pPr>
        <w:spacing w:after="0" w:line="240" w:lineRule="auto"/>
        <w:ind w:firstLine="709"/>
        <w:jc w:val="both"/>
        <w:rPr>
          <w:rFonts w:ascii="Times New Roman" w:hAnsi="Times New Roman" w:cs="Times New Roman"/>
          <w:sz w:val="28"/>
          <w:szCs w:val="28"/>
        </w:rPr>
      </w:pPr>
      <w:r w:rsidRPr="00DA696E">
        <w:rPr>
          <w:rFonts w:ascii="Times New Roman" w:hAnsi="Times New Roman" w:cs="Times New Roman"/>
          <w:sz w:val="28"/>
          <w:szCs w:val="28"/>
        </w:rPr>
        <w:t xml:space="preserve">The MIC/IEC ratio was </w:t>
      </w:r>
      <w:r w:rsidR="00D10872" w:rsidRPr="00DA696E">
        <w:rPr>
          <w:rFonts w:ascii="Times New Roman" w:hAnsi="Times New Roman" w:cs="Times New Roman"/>
          <w:sz w:val="28"/>
          <w:szCs w:val="28"/>
        </w:rPr>
        <w:t>defined as the drug's CTI value, where IEC is the minimum effective virus-inhibiting concentration that reduces the virus titer by at least two log</w:t>
      </w:r>
      <w:r w:rsidRPr="00DA696E">
        <w:rPr>
          <w:rFonts w:ascii="Times New Roman" w:hAnsi="Times New Roman" w:cs="Times New Roman"/>
          <w:sz w:val="28"/>
          <w:szCs w:val="28"/>
        </w:rPr>
        <w:t xml:space="preserve"> TCID50 [99]. </w:t>
      </w:r>
    </w:p>
    <w:p w14:paraId="652FEE10" w14:textId="680E4B15" w:rsidR="009947D1" w:rsidRPr="00DA696E" w:rsidRDefault="00470B3E" w:rsidP="00DA696E">
      <w:pPr>
        <w:spacing w:after="0" w:line="240" w:lineRule="auto"/>
        <w:ind w:firstLine="709"/>
        <w:jc w:val="both"/>
        <w:rPr>
          <w:rFonts w:ascii="Times New Roman" w:hAnsi="Times New Roman" w:cs="Times New Roman"/>
          <w:sz w:val="28"/>
          <w:szCs w:val="28"/>
        </w:rPr>
      </w:pPr>
      <w:r w:rsidRPr="00DA696E">
        <w:rPr>
          <w:rFonts w:ascii="Times New Roman" w:hAnsi="Times New Roman" w:cs="Times New Roman"/>
          <w:sz w:val="28"/>
          <w:szCs w:val="28"/>
        </w:rPr>
        <w:lastRenderedPageBreak/>
        <w:t xml:space="preserve">A continuous culture of Vero cells, highly sensitive to the SARS-CoV2 virus, was used to </w:t>
      </w:r>
      <w:r w:rsidR="00DA378B" w:rsidRPr="00DA696E">
        <w:rPr>
          <w:rFonts w:ascii="Times New Roman" w:hAnsi="Times New Roman" w:cs="Times New Roman"/>
          <w:sz w:val="28"/>
          <w:szCs w:val="28"/>
        </w:rPr>
        <w:t>analyse</w:t>
      </w:r>
      <w:r w:rsidRPr="00DA696E">
        <w:rPr>
          <w:rFonts w:ascii="Times New Roman" w:hAnsi="Times New Roman" w:cs="Times New Roman"/>
          <w:sz w:val="28"/>
          <w:szCs w:val="28"/>
        </w:rPr>
        <w:t xml:space="preserve"> the preparations' antiviral activity in vitro. The cells were cultured in 24-well plastic </w:t>
      </w:r>
      <w:r w:rsidR="00DA378B" w:rsidRPr="00DA696E">
        <w:rPr>
          <w:rFonts w:ascii="Times New Roman" w:hAnsi="Times New Roman" w:cs="Times New Roman"/>
          <w:sz w:val="28"/>
          <w:szCs w:val="28"/>
        </w:rPr>
        <w:t>plates using RPMI 199 medium and supplemented with</w:t>
      </w:r>
      <w:r w:rsidRPr="00DA696E">
        <w:rPr>
          <w:rFonts w:ascii="Times New Roman" w:hAnsi="Times New Roman" w:cs="Times New Roman"/>
          <w:sz w:val="28"/>
          <w:szCs w:val="28"/>
        </w:rPr>
        <w:t xml:space="preserve"> 10% fetal bovine serum and 100 U/ml gentamicin. The maintenance medium contained the same mixture but with the addition of 1% fetal serum.  </w:t>
      </w:r>
    </w:p>
    <w:p w14:paraId="50109F94" w14:textId="753A4E99" w:rsidR="009947D1" w:rsidRPr="00DA696E" w:rsidRDefault="009947D1" w:rsidP="00DA696E">
      <w:pPr>
        <w:spacing w:after="0" w:line="240" w:lineRule="auto"/>
        <w:ind w:firstLine="709"/>
        <w:jc w:val="both"/>
        <w:rPr>
          <w:rFonts w:ascii="Times New Roman" w:hAnsi="Times New Roman" w:cs="Times New Roman"/>
          <w:sz w:val="28"/>
          <w:szCs w:val="28"/>
        </w:rPr>
      </w:pPr>
      <w:r w:rsidRPr="00DA696E">
        <w:rPr>
          <w:rFonts w:ascii="Times New Roman" w:hAnsi="Times New Roman" w:cs="Times New Roman"/>
          <w:sz w:val="28"/>
          <w:szCs w:val="28"/>
        </w:rPr>
        <w:t>To evaluate the antiviral effect of any substance, it is necessary to determine the CC</w:t>
      </w:r>
      <w:r w:rsidRPr="00DA696E">
        <w:rPr>
          <w:rFonts w:ascii="Times New Roman" w:hAnsi="Times New Roman" w:cs="Times New Roman"/>
          <w:sz w:val="28"/>
          <w:szCs w:val="28"/>
          <w:vertAlign w:val="subscript"/>
        </w:rPr>
        <w:t>50</w:t>
      </w:r>
      <w:r w:rsidRPr="00DA696E">
        <w:rPr>
          <w:rFonts w:ascii="Times New Roman" w:hAnsi="Times New Roman" w:cs="Times New Roman"/>
          <w:sz w:val="28"/>
          <w:szCs w:val="28"/>
        </w:rPr>
        <w:t xml:space="preserve"> value, which is the concentration at which the substance kills 50% of cells. The CC50 value is calculated mathematically, not visually, using the formula</w:t>
      </w:r>
      <w:r w:rsidR="00503519">
        <w:rPr>
          <w:rFonts w:ascii="Times New Roman" w:hAnsi="Times New Roman" w:cs="Times New Roman"/>
          <w:sz w:val="28"/>
          <w:szCs w:val="28"/>
        </w:rPr>
        <w:t>.</w:t>
      </w:r>
      <w:r w:rsidRPr="00DA696E">
        <w:rPr>
          <w:rFonts w:ascii="Times New Roman" w:hAnsi="Times New Roman" w:cs="Times New Roman"/>
          <w:sz w:val="28"/>
          <w:szCs w:val="28"/>
        </w:rPr>
        <w:t xml:space="preserve"> </w:t>
      </w:r>
    </w:p>
    <w:p w14:paraId="506FA511" w14:textId="77777777" w:rsidR="00B7155D" w:rsidRPr="006531C9" w:rsidRDefault="00B7155D" w:rsidP="00B7155D">
      <w:pPr>
        <w:spacing w:after="0" w:line="360" w:lineRule="auto"/>
        <w:ind w:firstLine="709"/>
        <w:jc w:val="both"/>
        <w:rPr>
          <w:rFonts w:ascii="Times New Roman" w:hAnsi="Times New Roman" w:cs="Times New Roman"/>
          <w:sz w:val="24"/>
          <w:szCs w:val="24"/>
        </w:rPr>
      </w:pPr>
    </w:p>
    <w:p w14:paraId="28C6C8F5" w14:textId="038FDD48" w:rsidR="009947D1" w:rsidRDefault="009947D1" w:rsidP="00BE6210">
      <w:pPr>
        <w:spacing w:line="360" w:lineRule="auto"/>
        <w:jc w:val="center"/>
        <w:rPr>
          <w:rFonts w:ascii="Times New Roman" w:hAnsi="Times New Roman" w:cs="Times New Roman"/>
          <w:b/>
          <w:bCs/>
          <w:sz w:val="24"/>
          <w:szCs w:val="24"/>
        </w:rPr>
      </w:pPr>
      <w:r w:rsidRPr="006531C9">
        <w:rPr>
          <w:rFonts w:ascii="Times New Roman" w:hAnsi="Times New Roman" w:cs="Times New Roman"/>
          <w:b/>
          <w:bCs/>
          <w:sz w:val="24"/>
          <w:szCs w:val="24"/>
        </w:rPr>
        <w:object w:dxaOrig="3915" w:dyaOrig="675" w14:anchorId="1BD053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6.35pt;height:33.65pt" o:ole="">
            <v:imagedata r:id="rId22" o:title=""/>
          </v:shape>
          <o:OLEObject Type="Embed" ProgID="Equation.3" ShapeID="_x0000_i1025" DrawAspect="Content" ObjectID="_1826344662" r:id="rId23"/>
        </w:object>
      </w:r>
      <w:r w:rsidRPr="006531C9">
        <w:rPr>
          <w:rFonts w:ascii="Times New Roman" w:hAnsi="Times New Roman" w:cs="Times New Roman"/>
          <w:b/>
          <w:bCs/>
          <w:sz w:val="24"/>
          <w:szCs w:val="24"/>
        </w:rPr>
        <w:t xml:space="preserve"> (8) </w:t>
      </w:r>
    </w:p>
    <w:p w14:paraId="6A766CC6" w14:textId="77777777" w:rsidR="00B7155D" w:rsidRPr="006531C9" w:rsidRDefault="00B7155D" w:rsidP="00BE6210">
      <w:pPr>
        <w:spacing w:line="360" w:lineRule="auto"/>
        <w:jc w:val="center"/>
        <w:rPr>
          <w:rFonts w:ascii="Times New Roman" w:hAnsi="Times New Roman" w:cs="Times New Roman"/>
          <w:b/>
          <w:bCs/>
          <w:sz w:val="24"/>
          <w:szCs w:val="24"/>
        </w:rPr>
      </w:pPr>
    </w:p>
    <w:p w14:paraId="6D1830D3" w14:textId="77777777" w:rsidR="009947D1" w:rsidRPr="00DA696E" w:rsidRDefault="009947D1" w:rsidP="00DA696E">
      <w:pPr>
        <w:spacing w:after="0" w:line="240" w:lineRule="auto"/>
        <w:jc w:val="both"/>
        <w:rPr>
          <w:rFonts w:ascii="Times New Roman" w:hAnsi="Times New Roman" w:cs="Times New Roman"/>
          <w:sz w:val="28"/>
          <w:szCs w:val="28"/>
        </w:rPr>
      </w:pPr>
      <w:r w:rsidRPr="00DA696E">
        <w:rPr>
          <w:rFonts w:ascii="Times New Roman" w:hAnsi="Times New Roman" w:cs="Times New Roman"/>
          <w:sz w:val="28"/>
          <w:szCs w:val="28"/>
        </w:rPr>
        <w:t xml:space="preserve">where - </w:t>
      </w:r>
      <w:r w:rsidRPr="00DA696E">
        <w:rPr>
          <w:rFonts w:ascii="Times New Roman" w:hAnsi="Times New Roman" w:cs="Times New Roman"/>
          <w:sz w:val="28"/>
          <w:szCs w:val="28"/>
        </w:rPr>
        <w:object w:dxaOrig="315" w:dyaOrig="345" w14:anchorId="22183A6A">
          <v:shape id="_x0000_i1026" type="#_x0000_t75" style="width:16.35pt;height:16.35pt" o:ole="">
            <v:imagedata r:id="rId24" o:title=""/>
          </v:shape>
          <o:OLEObject Type="Embed" ProgID="Equation.3" ShapeID="_x0000_i1026" DrawAspect="Content" ObjectID="_1826344663" r:id="rId25"/>
        </w:object>
      </w:r>
      <w:r w:rsidRPr="00DA696E">
        <w:rPr>
          <w:rFonts w:ascii="Times New Roman" w:hAnsi="Times New Roman" w:cs="Times New Roman"/>
          <w:sz w:val="28"/>
          <w:szCs w:val="28"/>
        </w:rPr>
        <w:t xml:space="preserve"> more than 50 % of surviving cells; </w:t>
      </w:r>
    </w:p>
    <w:p w14:paraId="5415F5FA" w14:textId="77777777" w:rsidR="009947D1" w:rsidRPr="00DA696E" w:rsidRDefault="009947D1" w:rsidP="00DA696E">
      <w:pPr>
        <w:spacing w:after="0" w:line="240" w:lineRule="auto"/>
        <w:jc w:val="both"/>
        <w:rPr>
          <w:rFonts w:ascii="Times New Roman" w:hAnsi="Times New Roman" w:cs="Times New Roman"/>
          <w:sz w:val="28"/>
          <w:szCs w:val="28"/>
        </w:rPr>
      </w:pPr>
      <w:r w:rsidRPr="00DA696E">
        <w:rPr>
          <w:rFonts w:ascii="Times New Roman" w:hAnsi="Times New Roman" w:cs="Times New Roman"/>
          <w:sz w:val="28"/>
          <w:szCs w:val="28"/>
        </w:rPr>
        <w:t xml:space="preserve">  - </w:t>
      </w:r>
      <w:r w:rsidRPr="00DA696E">
        <w:rPr>
          <w:rFonts w:ascii="Times New Roman" w:hAnsi="Times New Roman" w:cs="Times New Roman"/>
          <w:sz w:val="28"/>
          <w:szCs w:val="28"/>
        </w:rPr>
        <w:object w:dxaOrig="360" w:dyaOrig="345" w14:anchorId="1685CA01">
          <v:shape id="_x0000_i1027" type="#_x0000_t75" style="width:18.7pt;height:16.35pt" o:ole="">
            <v:imagedata r:id="rId26" o:title=""/>
          </v:shape>
          <o:OLEObject Type="Embed" ProgID="Equation.3" ShapeID="_x0000_i1027" DrawAspect="Content" ObjectID="_1826344664" r:id="rId27"/>
        </w:object>
      </w:r>
      <w:r w:rsidRPr="00DA696E">
        <w:rPr>
          <w:rFonts w:ascii="Times New Roman" w:hAnsi="Times New Roman" w:cs="Times New Roman"/>
          <w:sz w:val="28"/>
          <w:szCs w:val="28"/>
        </w:rPr>
        <w:t xml:space="preserve">less than 50 % of surviving cells; </w:t>
      </w:r>
    </w:p>
    <w:p w14:paraId="698A643D" w14:textId="77777777" w:rsidR="009947D1" w:rsidRPr="00DA696E" w:rsidRDefault="009947D1" w:rsidP="00DA696E">
      <w:pPr>
        <w:spacing w:after="0" w:line="240" w:lineRule="auto"/>
        <w:jc w:val="both"/>
        <w:rPr>
          <w:rFonts w:ascii="Times New Roman" w:hAnsi="Times New Roman" w:cs="Times New Roman"/>
          <w:sz w:val="28"/>
          <w:szCs w:val="28"/>
        </w:rPr>
      </w:pPr>
      <w:r w:rsidRPr="00DA696E">
        <w:rPr>
          <w:rFonts w:ascii="Times New Roman" w:hAnsi="Times New Roman" w:cs="Times New Roman"/>
          <w:sz w:val="28"/>
          <w:szCs w:val="28"/>
        </w:rPr>
        <w:t xml:space="preserve">  - </w:t>
      </w:r>
      <w:r w:rsidRPr="00DA696E">
        <w:rPr>
          <w:rFonts w:ascii="Times New Roman" w:hAnsi="Times New Roman" w:cs="Times New Roman"/>
          <w:sz w:val="28"/>
          <w:szCs w:val="28"/>
        </w:rPr>
        <w:object w:dxaOrig="435" w:dyaOrig="345" w14:anchorId="25A34582">
          <v:shape id="_x0000_i1028" type="#_x0000_t75" style="width:22.45pt;height:16.35pt" o:ole="">
            <v:imagedata r:id="rId28" o:title=""/>
          </v:shape>
          <o:OLEObject Type="Embed" ProgID="Equation.3" ShapeID="_x0000_i1028" DrawAspect="Content" ObjectID="_1826344665" r:id="rId29"/>
        </w:object>
      </w:r>
      <w:r w:rsidRPr="00DA696E">
        <w:rPr>
          <w:rFonts w:ascii="Times New Roman" w:hAnsi="Times New Roman" w:cs="Times New Roman"/>
          <w:sz w:val="28"/>
          <w:szCs w:val="28"/>
        </w:rPr>
        <w:t xml:space="preserve">concentration of substance where more than 50 % of cells survived; </w:t>
      </w:r>
    </w:p>
    <w:p w14:paraId="1ED10642" w14:textId="72D487DF" w:rsidR="009947D1" w:rsidRPr="00DA696E" w:rsidRDefault="009947D1" w:rsidP="00DA696E">
      <w:pPr>
        <w:spacing w:after="0" w:line="240" w:lineRule="auto"/>
        <w:jc w:val="both"/>
        <w:rPr>
          <w:rFonts w:ascii="Times New Roman" w:hAnsi="Times New Roman" w:cs="Times New Roman"/>
          <w:sz w:val="28"/>
          <w:szCs w:val="28"/>
        </w:rPr>
      </w:pPr>
      <w:r w:rsidRPr="00DA696E">
        <w:rPr>
          <w:rFonts w:ascii="Times New Roman" w:hAnsi="Times New Roman" w:cs="Times New Roman"/>
          <w:sz w:val="28"/>
          <w:szCs w:val="28"/>
        </w:rPr>
        <w:t xml:space="preserve">  - </w:t>
      </w:r>
      <w:r w:rsidRPr="00DA696E">
        <w:rPr>
          <w:rFonts w:ascii="Times New Roman" w:hAnsi="Times New Roman" w:cs="Times New Roman"/>
          <w:sz w:val="28"/>
          <w:szCs w:val="28"/>
        </w:rPr>
        <w:object w:dxaOrig="465" w:dyaOrig="345" w14:anchorId="03AE4819">
          <v:shape id="_x0000_i1029" type="#_x0000_t75" style="width:23.4pt;height:16.35pt" o:ole="">
            <v:imagedata r:id="rId30" o:title=""/>
          </v:shape>
          <o:OLEObject Type="Embed" ProgID="Equation.3" ShapeID="_x0000_i1029" DrawAspect="Content" ObjectID="_1826344666" r:id="rId31"/>
        </w:object>
      </w:r>
      <w:r w:rsidRPr="00DA696E">
        <w:rPr>
          <w:rFonts w:ascii="Times New Roman" w:hAnsi="Times New Roman" w:cs="Times New Roman"/>
          <w:sz w:val="28"/>
          <w:szCs w:val="28"/>
        </w:rPr>
        <w:t>concentration of substance where less than 50 % of cells survived.</w:t>
      </w:r>
    </w:p>
    <w:p w14:paraId="236EF558" w14:textId="7309D6A2" w:rsidR="00470B3E" w:rsidRPr="00503519" w:rsidRDefault="00470B3E" w:rsidP="00503519">
      <w:pPr>
        <w:spacing w:after="0" w:line="240" w:lineRule="auto"/>
        <w:ind w:firstLine="708"/>
        <w:jc w:val="both"/>
        <w:rPr>
          <w:rFonts w:ascii="Times New Roman" w:hAnsi="Times New Roman" w:cs="Times New Roman"/>
          <w:sz w:val="28"/>
          <w:szCs w:val="28"/>
        </w:rPr>
      </w:pPr>
      <w:r w:rsidRPr="00DA696E">
        <w:rPr>
          <w:rFonts w:ascii="Times New Roman" w:hAnsi="Times New Roman" w:cs="Times New Roman"/>
          <w:sz w:val="28"/>
          <w:szCs w:val="28"/>
        </w:rPr>
        <w:t>Cytotoxicity Assays (CC₅₀, SI -</w:t>
      </w:r>
      <w:r w:rsidR="00DA378B" w:rsidRPr="00DA696E">
        <w:rPr>
          <w:rFonts w:ascii="Times New Roman" w:hAnsi="Times New Roman" w:cs="Times New Roman"/>
          <w:sz w:val="28"/>
          <w:szCs w:val="28"/>
        </w:rPr>
        <w:t xml:space="preserve"> SI-evaluate drug toxicity in host cells) were performed using this assay</w:t>
      </w:r>
      <w:r w:rsidR="006242E8" w:rsidRPr="00DA696E">
        <w:rPr>
          <w:rFonts w:ascii="Times New Roman" w:hAnsi="Times New Roman" w:cs="Times New Roman"/>
          <w:sz w:val="28"/>
          <w:szCs w:val="28"/>
        </w:rPr>
        <w:t xml:space="preserve"> (formula 8)</w:t>
      </w:r>
      <w:r w:rsidR="00DA378B" w:rsidRPr="00DA696E">
        <w:rPr>
          <w:rFonts w:ascii="Times New Roman" w:hAnsi="Times New Roman" w:cs="Times New Roman"/>
          <w:sz w:val="28"/>
          <w:szCs w:val="28"/>
        </w:rPr>
        <w:t>. CC₅₀ (Cytotoxic Concentration 50%): The concentration of the drug that</w:t>
      </w:r>
      <w:r w:rsidRPr="00DA696E">
        <w:rPr>
          <w:rFonts w:ascii="Times New Roman" w:hAnsi="Times New Roman" w:cs="Times New Roman"/>
          <w:sz w:val="28"/>
          <w:szCs w:val="28"/>
        </w:rPr>
        <w:t xml:space="preserve"> </w:t>
      </w:r>
      <w:r w:rsidR="00DA378B" w:rsidRPr="00DA696E">
        <w:rPr>
          <w:rFonts w:ascii="Times New Roman" w:hAnsi="Times New Roman" w:cs="Times New Roman"/>
          <w:sz w:val="28"/>
          <w:szCs w:val="28"/>
        </w:rPr>
        <w:t>causes</w:t>
      </w:r>
      <w:r w:rsidRPr="00DA696E">
        <w:rPr>
          <w:rFonts w:ascii="Times New Roman" w:hAnsi="Times New Roman" w:cs="Times New Roman"/>
          <w:sz w:val="28"/>
          <w:szCs w:val="28"/>
        </w:rPr>
        <w:t xml:space="preserve"> 50% cell death. Selectivity Index (SI) = CC₅₀ / IC₅₀ (higher SI </w:t>
      </w:r>
      <w:r w:rsidR="00DA378B" w:rsidRPr="00DA696E">
        <w:rPr>
          <w:rFonts w:ascii="Times New Roman" w:hAnsi="Times New Roman" w:cs="Times New Roman"/>
          <w:sz w:val="28"/>
          <w:szCs w:val="28"/>
        </w:rPr>
        <w:t xml:space="preserve">indicates a better antiviral effect with lower toxicity). This </w:t>
      </w:r>
      <w:r w:rsidR="008329A7" w:rsidRPr="00DA696E">
        <w:rPr>
          <w:rFonts w:ascii="Times New Roman" w:hAnsi="Times New Roman" w:cs="Times New Roman"/>
          <w:sz w:val="28"/>
          <w:szCs w:val="28"/>
        </w:rPr>
        <w:t xml:space="preserve">evaluation was conducted </w:t>
      </w:r>
      <w:r w:rsidR="008329A7" w:rsidRPr="00503519">
        <w:rPr>
          <w:rFonts w:ascii="Times New Roman" w:hAnsi="Times New Roman" w:cs="Times New Roman"/>
          <w:sz w:val="28"/>
          <w:szCs w:val="28"/>
        </w:rPr>
        <w:t>using two methods: in Kazakhstan, the CCK-8 method was employed, and in China, the MTT assay was performed</w:t>
      </w:r>
      <w:r w:rsidRPr="00503519">
        <w:rPr>
          <w:rFonts w:ascii="Times New Roman" w:hAnsi="Times New Roman" w:cs="Times New Roman"/>
          <w:sz w:val="28"/>
          <w:szCs w:val="28"/>
        </w:rPr>
        <w:t xml:space="preserve">. Our antiviral drug assays were based on </w:t>
      </w:r>
      <w:r w:rsidR="00DA378B" w:rsidRPr="00503519">
        <w:rPr>
          <w:rFonts w:ascii="Times New Roman" w:hAnsi="Times New Roman" w:cs="Times New Roman"/>
          <w:sz w:val="28"/>
          <w:szCs w:val="28"/>
        </w:rPr>
        <w:t xml:space="preserve">potent antivirals </w:t>
      </w:r>
      <w:r w:rsidR="00980329" w:rsidRPr="00503519">
        <w:rPr>
          <w:rFonts w:ascii="Times New Roman" w:hAnsi="Times New Roman" w:cs="Times New Roman"/>
          <w:sz w:val="28"/>
          <w:szCs w:val="28"/>
        </w:rPr>
        <w:t>characterised</w:t>
      </w:r>
      <w:r w:rsidR="00DA378B" w:rsidRPr="00503519">
        <w:rPr>
          <w:rFonts w:ascii="Times New Roman" w:hAnsi="Times New Roman" w:cs="Times New Roman"/>
          <w:sz w:val="28"/>
          <w:szCs w:val="28"/>
        </w:rPr>
        <w:t xml:space="preserve"> by low IC₅₀ values, high selectivity indices (SI)</w:t>
      </w:r>
      <w:r w:rsidRPr="00503519">
        <w:rPr>
          <w:rFonts w:ascii="Times New Roman" w:hAnsi="Times New Roman" w:cs="Times New Roman"/>
          <w:sz w:val="28"/>
          <w:szCs w:val="28"/>
        </w:rPr>
        <w:t xml:space="preserve">, rapid viral clearance, and improved patient survival. Toxic Drugs: low SI (high cytotoxicity). Ineffective Drugs: No significant </w:t>
      </w:r>
      <w:r w:rsidR="00DA378B" w:rsidRPr="00503519">
        <w:rPr>
          <w:rFonts w:ascii="Times New Roman" w:hAnsi="Times New Roman" w:cs="Times New Roman"/>
          <w:sz w:val="28"/>
          <w:szCs w:val="28"/>
        </w:rPr>
        <w:t xml:space="preserve">reduction in viral load or clinical improvement was observed </w:t>
      </w:r>
      <w:r w:rsidRPr="00503519">
        <w:rPr>
          <w:rFonts w:ascii="Times New Roman" w:hAnsi="Times New Roman" w:cs="Times New Roman"/>
          <w:sz w:val="28"/>
          <w:szCs w:val="28"/>
        </w:rPr>
        <w:t>[103</w:t>
      </w:r>
      <w:r w:rsidR="00DA378B" w:rsidRPr="00503519">
        <w:rPr>
          <w:rFonts w:ascii="Times New Roman" w:hAnsi="Times New Roman" w:cs="Times New Roman"/>
          <w:sz w:val="28"/>
          <w:szCs w:val="28"/>
        </w:rPr>
        <w:t>–</w:t>
      </w:r>
      <w:r w:rsidRPr="00503519">
        <w:rPr>
          <w:rFonts w:ascii="Times New Roman" w:hAnsi="Times New Roman" w:cs="Times New Roman"/>
          <w:sz w:val="28"/>
          <w:szCs w:val="28"/>
        </w:rPr>
        <w:t>104].</w:t>
      </w:r>
    </w:p>
    <w:p w14:paraId="77CA8CDC" w14:textId="191C1D8D" w:rsidR="00115A74" w:rsidRPr="00503519" w:rsidRDefault="00115A74" w:rsidP="00625DC3">
      <w:pPr>
        <w:spacing w:after="0" w:line="240" w:lineRule="auto"/>
        <w:ind w:firstLine="708"/>
        <w:jc w:val="both"/>
        <w:rPr>
          <w:rFonts w:ascii="Times New Roman" w:hAnsi="Times New Roman" w:cs="Times New Roman"/>
          <w:sz w:val="28"/>
          <w:szCs w:val="28"/>
        </w:rPr>
      </w:pPr>
      <w:r w:rsidRPr="00503519">
        <w:rPr>
          <w:rFonts w:ascii="Times New Roman" w:hAnsi="Times New Roman" w:cs="Times New Roman"/>
          <w:sz w:val="28"/>
          <w:szCs w:val="28"/>
        </w:rPr>
        <w:t>To determine the MOI (Multiplicity of Infection), you need </w:t>
      </w:r>
      <w:r w:rsidRPr="00503519">
        <w:rPr>
          <w:rStyle w:val="af5"/>
          <w:rFonts w:ascii="Times New Roman" w:hAnsi="Times New Roman" w:cs="Times New Roman"/>
          <w:b w:val="0"/>
          <w:bCs w:val="0"/>
          <w:sz w:val="28"/>
          <w:szCs w:val="28"/>
        </w:rPr>
        <w:t>both the number of plaque-forming units (PFU)</w:t>
      </w:r>
      <w:r w:rsidRPr="00503519">
        <w:rPr>
          <w:rFonts w:ascii="Times New Roman" w:hAnsi="Times New Roman" w:cs="Times New Roman"/>
          <w:b/>
          <w:bCs/>
          <w:sz w:val="28"/>
          <w:szCs w:val="28"/>
        </w:rPr>
        <w:t> </w:t>
      </w:r>
      <w:r w:rsidRPr="00503519">
        <w:rPr>
          <w:rFonts w:ascii="Times New Roman" w:hAnsi="Times New Roman" w:cs="Times New Roman"/>
          <w:sz w:val="28"/>
          <w:szCs w:val="28"/>
        </w:rPr>
        <w:t>and</w:t>
      </w:r>
      <w:r w:rsidRPr="00503519">
        <w:rPr>
          <w:rFonts w:ascii="Times New Roman" w:hAnsi="Times New Roman" w:cs="Times New Roman"/>
          <w:b/>
          <w:bCs/>
          <w:sz w:val="28"/>
          <w:szCs w:val="28"/>
        </w:rPr>
        <w:t> </w:t>
      </w:r>
      <w:r w:rsidRPr="00503519">
        <w:rPr>
          <w:rStyle w:val="af5"/>
          <w:rFonts w:ascii="Times New Roman" w:hAnsi="Times New Roman" w:cs="Times New Roman"/>
          <w:b w:val="0"/>
          <w:bCs w:val="0"/>
          <w:sz w:val="28"/>
          <w:szCs w:val="28"/>
        </w:rPr>
        <w:t>the number of target cells</w:t>
      </w:r>
      <w:r w:rsidRPr="00503519">
        <w:rPr>
          <w:rFonts w:ascii="Times New Roman" w:hAnsi="Times New Roman" w:cs="Times New Roman"/>
          <w:b/>
          <w:bCs/>
          <w:sz w:val="28"/>
          <w:szCs w:val="28"/>
        </w:rPr>
        <w:t xml:space="preserve">. </w:t>
      </w:r>
      <w:r w:rsidRPr="00503519">
        <w:rPr>
          <w:rFonts w:ascii="Times New Roman" w:hAnsi="Times New Roman" w:cs="Times New Roman"/>
          <w:sz w:val="28"/>
          <w:szCs w:val="28"/>
        </w:rPr>
        <w:t>MOI is calculated as:</w:t>
      </w:r>
    </w:p>
    <w:p w14:paraId="72994404" w14:textId="77777777" w:rsidR="00DA696E" w:rsidRPr="00503519" w:rsidRDefault="00DA696E" w:rsidP="00503519">
      <w:pPr>
        <w:spacing w:after="0" w:line="240" w:lineRule="auto"/>
        <w:jc w:val="both"/>
        <w:rPr>
          <w:rFonts w:ascii="Times New Roman" w:hAnsi="Times New Roman" w:cs="Times New Roman"/>
          <w:sz w:val="28"/>
          <w:szCs w:val="28"/>
        </w:rPr>
      </w:pPr>
    </w:p>
    <w:p w14:paraId="66A65D2C" w14:textId="4B82A6F8" w:rsidR="00115A74" w:rsidRPr="00503519" w:rsidRDefault="00115A74" w:rsidP="00503519">
      <w:pPr>
        <w:spacing w:after="0" w:line="240" w:lineRule="auto"/>
        <w:jc w:val="center"/>
        <w:rPr>
          <w:rFonts w:ascii="Times New Roman" w:hAnsi="Times New Roman" w:cs="Times New Roman"/>
          <w:sz w:val="28"/>
          <w:szCs w:val="28"/>
        </w:rPr>
      </w:pPr>
      <w:r w:rsidRPr="00503519">
        <w:rPr>
          <w:rFonts w:ascii="Times New Roman" w:hAnsi="Times New Roman" w:cs="Times New Roman"/>
          <w:sz w:val="28"/>
          <w:szCs w:val="28"/>
        </w:rPr>
        <w:t>MOI=PFU</w:t>
      </w:r>
      <w:r w:rsidR="00110379" w:rsidRPr="00503519">
        <w:rPr>
          <w:rFonts w:ascii="Times New Roman" w:hAnsi="Times New Roman" w:cs="Times New Roman"/>
          <w:sz w:val="28"/>
          <w:szCs w:val="28"/>
        </w:rPr>
        <w:t xml:space="preserve"> </w:t>
      </w:r>
      <w:r w:rsidRPr="00503519">
        <w:rPr>
          <w:rFonts w:ascii="Times New Roman" w:hAnsi="Times New Roman" w:cs="Times New Roman"/>
          <w:sz w:val="28"/>
          <w:szCs w:val="28"/>
        </w:rPr>
        <w:t>/</w:t>
      </w:r>
      <w:r w:rsidR="00110379" w:rsidRPr="00503519">
        <w:rPr>
          <w:rFonts w:ascii="Times New Roman" w:hAnsi="Times New Roman" w:cs="Times New Roman"/>
          <w:sz w:val="28"/>
          <w:szCs w:val="28"/>
        </w:rPr>
        <w:t xml:space="preserve"> </w:t>
      </w:r>
      <w:r w:rsidRPr="00503519">
        <w:rPr>
          <w:rFonts w:ascii="Times New Roman" w:hAnsi="Times New Roman" w:cs="Times New Roman"/>
          <w:sz w:val="28"/>
          <w:szCs w:val="28"/>
        </w:rPr>
        <w:t>number of cells</w:t>
      </w:r>
    </w:p>
    <w:p w14:paraId="44753436" w14:textId="2D7FB00F" w:rsidR="00115A74" w:rsidRPr="00503519" w:rsidRDefault="00115A74" w:rsidP="00366195">
      <w:pPr>
        <w:spacing w:after="0" w:line="240" w:lineRule="auto"/>
        <w:ind w:firstLineChars="607" w:firstLine="1700"/>
        <w:jc w:val="both"/>
        <w:rPr>
          <w:rFonts w:ascii="Times New Roman" w:hAnsi="Times New Roman" w:cs="Times New Roman"/>
          <w:sz w:val="28"/>
          <w:szCs w:val="28"/>
        </w:rPr>
      </w:pPr>
      <w:r w:rsidRPr="00503519">
        <w:rPr>
          <w:rFonts w:ascii="Times New Roman" w:hAnsi="Times New Roman" w:cs="Times New Roman"/>
          <w:sz w:val="28"/>
          <w:szCs w:val="28"/>
        </w:rPr>
        <w:t>Thus, if you have </w:t>
      </w:r>
      <w:r w:rsidRPr="00503519">
        <w:rPr>
          <w:rStyle w:val="af5"/>
          <w:rFonts w:ascii="Times New Roman" w:hAnsi="Times New Roman" w:cs="Times New Roman"/>
          <w:b w:val="0"/>
          <w:bCs w:val="0"/>
          <w:sz w:val="28"/>
          <w:szCs w:val="28"/>
        </w:rPr>
        <w:t>4 × 10⁵ PFU</w:t>
      </w:r>
      <w:r w:rsidRPr="00503519">
        <w:rPr>
          <w:rFonts w:ascii="Times New Roman" w:hAnsi="Times New Roman" w:cs="Times New Roman"/>
          <w:b/>
          <w:bCs/>
          <w:sz w:val="28"/>
          <w:szCs w:val="28"/>
        </w:rPr>
        <w:t> </w:t>
      </w:r>
      <w:r w:rsidRPr="00503519">
        <w:rPr>
          <w:rFonts w:ascii="Times New Roman" w:hAnsi="Times New Roman" w:cs="Times New Roman"/>
          <w:sz w:val="28"/>
          <w:szCs w:val="28"/>
        </w:rPr>
        <w:t>and</w:t>
      </w:r>
      <w:r w:rsidRPr="00503519">
        <w:rPr>
          <w:rFonts w:ascii="Times New Roman" w:hAnsi="Times New Roman" w:cs="Times New Roman"/>
          <w:b/>
          <w:bCs/>
          <w:sz w:val="28"/>
          <w:szCs w:val="28"/>
        </w:rPr>
        <w:t> </w:t>
      </w:r>
      <w:r w:rsidRPr="00503519">
        <w:rPr>
          <w:rStyle w:val="af5"/>
          <w:rFonts w:ascii="Times New Roman" w:hAnsi="Times New Roman" w:cs="Times New Roman"/>
          <w:b w:val="0"/>
          <w:bCs w:val="0"/>
          <w:sz w:val="28"/>
          <w:szCs w:val="28"/>
        </w:rPr>
        <w:t>1 × 10⁵ cells</w:t>
      </w:r>
      <w:r w:rsidRPr="00503519">
        <w:rPr>
          <w:rFonts w:ascii="Times New Roman" w:hAnsi="Times New Roman" w:cs="Times New Roman"/>
          <w:sz w:val="28"/>
          <w:szCs w:val="28"/>
        </w:rPr>
        <w:t xml:space="preserve">, the MOI would be 4 </w:t>
      </w:r>
    </w:p>
    <w:p w14:paraId="0DE7908C" w14:textId="77777777" w:rsidR="00DA696E" w:rsidRPr="008B1377" w:rsidRDefault="00DA696E" w:rsidP="002B741A">
      <w:pPr>
        <w:spacing w:after="0" w:line="240" w:lineRule="auto"/>
        <w:jc w:val="both"/>
        <w:rPr>
          <w:rFonts w:ascii="Times New Roman" w:hAnsi="Times New Roman" w:cs="Times New Roman"/>
          <w:color w:val="404040"/>
          <w:sz w:val="28"/>
          <w:szCs w:val="28"/>
          <w:lang w:val="en-US"/>
        </w:rPr>
      </w:pPr>
    </w:p>
    <w:p w14:paraId="1597A053" w14:textId="77777777" w:rsidR="00115A74" w:rsidRPr="00503519" w:rsidRDefault="00115A74" w:rsidP="00503519">
      <w:pPr>
        <w:spacing w:after="0" w:line="240" w:lineRule="auto"/>
        <w:ind w:firstLine="709"/>
        <w:jc w:val="both"/>
        <w:rPr>
          <w:rFonts w:ascii="Times New Roman" w:hAnsi="Times New Roman" w:cs="Times New Roman"/>
          <w:sz w:val="28"/>
          <w:szCs w:val="28"/>
        </w:rPr>
      </w:pPr>
      <w:r w:rsidRPr="00503519">
        <w:rPr>
          <w:rFonts w:ascii="Times New Roman" w:hAnsi="Times New Roman" w:cs="Times New Roman"/>
          <w:sz w:val="28"/>
          <w:szCs w:val="28"/>
        </w:rPr>
        <w:t>MOI (Multiplicity of Infection) from TCID₅₀/ml, you need two additional pieces of information:</w:t>
      </w:r>
    </w:p>
    <w:p w14:paraId="74EE5C6D" w14:textId="77777777" w:rsidR="00115A74" w:rsidRPr="00503519" w:rsidRDefault="00115A74" w:rsidP="007D7214">
      <w:pPr>
        <w:numPr>
          <w:ilvl w:val="0"/>
          <w:numId w:val="10"/>
        </w:numPr>
        <w:spacing w:after="0" w:line="240" w:lineRule="auto"/>
        <w:ind w:leftChars="-1" w:left="-2" w:firstLine="710"/>
        <w:jc w:val="both"/>
        <w:rPr>
          <w:rFonts w:ascii="Times New Roman" w:hAnsi="Times New Roman" w:cs="Times New Roman"/>
          <w:sz w:val="28"/>
          <w:szCs w:val="28"/>
        </w:rPr>
      </w:pPr>
      <w:r w:rsidRPr="00503519">
        <w:rPr>
          <w:rFonts w:ascii="Times New Roman" w:hAnsi="Times New Roman" w:cs="Times New Roman"/>
          <w:sz w:val="28"/>
          <w:szCs w:val="28"/>
        </w:rPr>
        <w:t>The number of target cells (e.g., cells per well or flask).</w:t>
      </w:r>
    </w:p>
    <w:p w14:paraId="775CBE5A" w14:textId="47782995" w:rsidR="00115A74" w:rsidRPr="00503519" w:rsidRDefault="00115A74" w:rsidP="007D7214">
      <w:pPr>
        <w:numPr>
          <w:ilvl w:val="0"/>
          <w:numId w:val="10"/>
        </w:numPr>
        <w:spacing w:after="0" w:line="240" w:lineRule="auto"/>
        <w:ind w:leftChars="-1" w:left="-2" w:firstLine="710"/>
        <w:jc w:val="both"/>
        <w:rPr>
          <w:rFonts w:ascii="Times New Roman" w:hAnsi="Times New Roman" w:cs="Times New Roman"/>
          <w:sz w:val="28"/>
          <w:szCs w:val="28"/>
        </w:rPr>
      </w:pPr>
      <w:r w:rsidRPr="00503519">
        <w:rPr>
          <w:rFonts w:ascii="Times New Roman" w:hAnsi="Times New Roman" w:cs="Times New Roman"/>
          <w:sz w:val="28"/>
          <w:szCs w:val="28"/>
        </w:rPr>
        <w:t xml:space="preserve">The volume of virus inoculum used (e.g., in </w:t>
      </w:r>
      <w:r w:rsidR="00C75483" w:rsidRPr="00503519">
        <w:rPr>
          <w:rFonts w:ascii="Times New Roman" w:hAnsi="Times New Roman" w:cs="Times New Roman"/>
          <w:sz w:val="28"/>
          <w:szCs w:val="28"/>
        </w:rPr>
        <w:t>millilitres</w:t>
      </w:r>
      <w:r w:rsidRPr="00503519">
        <w:rPr>
          <w:rFonts w:ascii="Times New Roman" w:hAnsi="Times New Roman" w:cs="Times New Roman"/>
          <w:sz w:val="28"/>
          <w:szCs w:val="28"/>
        </w:rPr>
        <w:t>).</w:t>
      </w:r>
    </w:p>
    <w:p w14:paraId="5115A75A" w14:textId="6F9F4F01" w:rsidR="00115A74" w:rsidRPr="00503519" w:rsidRDefault="00115A74" w:rsidP="00503519">
      <w:pPr>
        <w:spacing w:after="0" w:line="240" w:lineRule="auto"/>
        <w:jc w:val="center"/>
        <w:rPr>
          <w:rFonts w:ascii="Times New Roman" w:hAnsi="Times New Roman" w:cs="Times New Roman"/>
          <w:sz w:val="28"/>
          <w:szCs w:val="28"/>
        </w:rPr>
      </w:pPr>
      <w:r w:rsidRPr="00503519">
        <w:rPr>
          <w:rFonts w:ascii="Times New Roman" w:hAnsi="Times New Roman" w:cs="Times New Roman"/>
          <w:sz w:val="28"/>
          <w:szCs w:val="28"/>
        </w:rPr>
        <w:t>MOI is calculated as:</w:t>
      </w:r>
    </w:p>
    <w:p w14:paraId="5A69F242" w14:textId="73C77F38" w:rsidR="00115A74" w:rsidRPr="00503519" w:rsidRDefault="00D10872" w:rsidP="00503519">
      <w:pPr>
        <w:spacing w:after="0" w:line="240" w:lineRule="auto"/>
        <w:rPr>
          <w:rFonts w:ascii="Times New Roman" w:hAnsi="Times New Roman" w:cs="Times New Roman"/>
          <w:sz w:val="28"/>
          <w:szCs w:val="28"/>
        </w:rPr>
      </w:pPr>
      <w:r w:rsidRPr="00503519">
        <w:rPr>
          <w:rFonts w:ascii="Times New Roman" w:hAnsi="Times New Roman" w:cs="Times New Roman"/>
          <w:sz w:val="28"/>
          <w:szCs w:val="28"/>
        </w:rPr>
        <w:t>MOI</w:t>
      </w:r>
      <w:r w:rsidR="00115A74" w:rsidRPr="00503519">
        <w:rPr>
          <w:rFonts w:ascii="Times New Roman" w:hAnsi="Times New Roman" w:cs="Times New Roman"/>
          <w:sz w:val="28"/>
          <w:szCs w:val="28"/>
        </w:rPr>
        <w:t xml:space="preserve"> total infectious </w:t>
      </w:r>
      <w:r w:rsidR="00C75483" w:rsidRPr="00503519">
        <w:rPr>
          <w:rFonts w:ascii="Times New Roman" w:hAnsi="Times New Roman" w:cs="Times New Roman"/>
          <w:sz w:val="28"/>
          <w:szCs w:val="28"/>
        </w:rPr>
        <w:t>units/number</w:t>
      </w:r>
      <w:r w:rsidR="00115A74" w:rsidRPr="00503519">
        <w:rPr>
          <w:rFonts w:ascii="Times New Roman" w:hAnsi="Times New Roman" w:cs="Times New Roman"/>
          <w:sz w:val="28"/>
          <w:szCs w:val="28"/>
        </w:rPr>
        <w:t xml:space="preserve"> of cells</w:t>
      </w:r>
    </w:p>
    <w:p w14:paraId="5DE0AB80" w14:textId="77777777" w:rsidR="00503519" w:rsidRPr="00503519" w:rsidRDefault="00110379" w:rsidP="00503519">
      <w:pPr>
        <w:spacing w:after="0" w:line="240" w:lineRule="auto"/>
        <w:rPr>
          <w:rFonts w:ascii="Times New Roman" w:eastAsia="Times New Roman" w:hAnsi="Times New Roman" w:cs="Times New Roman"/>
          <w:sz w:val="28"/>
          <w:szCs w:val="28"/>
          <w:lang w:val="en-US"/>
        </w:rPr>
      </w:pPr>
      <w:r w:rsidRPr="00503519">
        <w:rPr>
          <w:rFonts w:ascii="Times New Roman" w:eastAsia="Times New Roman" w:hAnsi="Times New Roman" w:cs="Times New Roman"/>
          <w:sz w:val="28"/>
          <w:szCs w:val="28"/>
        </w:rPr>
        <w:t>Conversion Factor:</w:t>
      </w:r>
      <w:r w:rsidRPr="00503519">
        <w:rPr>
          <w:rFonts w:ascii="Times New Roman" w:eastAsia="Times New Roman" w:hAnsi="Times New Roman" w:cs="Times New Roman"/>
          <w:sz w:val="28"/>
          <w:szCs w:val="28"/>
        </w:rPr>
        <w:br/>
        <w:t xml:space="preserve">TCID₅₀ is a statistical measure of viral </w:t>
      </w:r>
      <w:r w:rsidR="00D10872" w:rsidRPr="00503519">
        <w:rPr>
          <w:rFonts w:ascii="Times New Roman" w:eastAsia="Times New Roman" w:hAnsi="Times New Roman" w:cs="Times New Roman"/>
          <w:sz w:val="28"/>
          <w:szCs w:val="28"/>
        </w:rPr>
        <w:t>titer</w:t>
      </w:r>
      <w:r w:rsidRPr="00503519">
        <w:rPr>
          <w:rFonts w:ascii="Times New Roman" w:eastAsia="Times New Roman" w:hAnsi="Times New Roman" w:cs="Times New Roman"/>
          <w:sz w:val="28"/>
          <w:szCs w:val="28"/>
        </w:rPr>
        <w:t>.</w:t>
      </w:r>
      <w:r w:rsidRPr="00503519">
        <w:rPr>
          <w:rFonts w:ascii="Times New Roman" w:eastAsia="Times New Roman" w:hAnsi="Times New Roman" w:cs="Times New Roman"/>
          <w:sz w:val="28"/>
          <w:szCs w:val="28"/>
        </w:rPr>
        <w:br/>
        <w:t>1 TCID₅₀ ≈ 0.69 infectious units (derived from the Poisson distribution).</w:t>
      </w:r>
    </w:p>
    <w:p w14:paraId="07E27D15" w14:textId="733BF2DB" w:rsidR="00110379" w:rsidRPr="00DA696E" w:rsidRDefault="00110379" w:rsidP="00503519">
      <w:pPr>
        <w:spacing w:after="0" w:line="240" w:lineRule="auto"/>
        <w:rPr>
          <w:rFonts w:ascii="Times New Roman" w:eastAsia="Times New Roman" w:hAnsi="Times New Roman" w:cs="Times New Roman"/>
          <w:sz w:val="28"/>
          <w:szCs w:val="28"/>
        </w:rPr>
      </w:pPr>
      <w:r w:rsidRPr="00DA696E">
        <w:rPr>
          <w:rFonts w:ascii="Times New Roman" w:eastAsia="Times New Roman" w:hAnsi="Times New Roman" w:cs="Times New Roman"/>
          <w:sz w:val="28"/>
          <w:szCs w:val="28"/>
        </w:rPr>
        <w:lastRenderedPageBreak/>
        <w:t>Suppose you have:</w:t>
      </w:r>
    </w:p>
    <w:p w14:paraId="16E53CB6" w14:textId="77777777" w:rsidR="00110379" w:rsidRPr="00DA696E" w:rsidRDefault="00110379" w:rsidP="007D7214">
      <w:pPr>
        <w:spacing w:after="0" w:line="240" w:lineRule="auto"/>
        <w:ind w:left="720"/>
        <w:rPr>
          <w:rFonts w:ascii="Times New Roman" w:eastAsia="Times New Roman" w:hAnsi="Times New Roman" w:cs="Times New Roman"/>
          <w:sz w:val="28"/>
          <w:szCs w:val="28"/>
        </w:rPr>
      </w:pPr>
      <w:r w:rsidRPr="00DA696E">
        <w:rPr>
          <w:rFonts w:ascii="Times New Roman" w:eastAsia="Times New Roman" w:hAnsi="Times New Roman" w:cs="Times New Roman"/>
          <w:sz w:val="28"/>
          <w:szCs w:val="28"/>
        </w:rPr>
        <w:t>1.2 × 10⁵ TCID₅₀/ml viral stock,</w:t>
      </w:r>
    </w:p>
    <w:p w14:paraId="7356E0CA" w14:textId="77777777" w:rsidR="00110379" w:rsidRPr="00DA696E" w:rsidRDefault="00110379" w:rsidP="007D7214">
      <w:pPr>
        <w:spacing w:after="0" w:line="240" w:lineRule="auto"/>
        <w:ind w:left="720"/>
        <w:rPr>
          <w:rFonts w:ascii="Times New Roman" w:eastAsia="Times New Roman" w:hAnsi="Times New Roman" w:cs="Times New Roman"/>
          <w:sz w:val="28"/>
          <w:szCs w:val="28"/>
        </w:rPr>
      </w:pPr>
      <w:r w:rsidRPr="00DA696E">
        <w:rPr>
          <w:rFonts w:ascii="Times New Roman" w:eastAsia="Times New Roman" w:hAnsi="Times New Roman" w:cs="Times New Roman"/>
          <w:sz w:val="28"/>
          <w:szCs w:val="28"/>
        </w:rPr>
        <w:t>1 × 10⁵ cells,</w:t>
      </w:r>
    </w:p>
    <w:p w14:paraId="66FA9AF1" w14:textId="77777777" w:rsidR="00110379" w:rsidRPr="00DA696E" w:rsidRDefault="00110379" w:rsidP="007D7214">
      <w:pPr>
        <w:spacing w:after="0" w:line="240" w:lineRule="auto"/>
        <w:ind w:left="720"/>
        <w:rPr>
          <w:rFonts w:ascii="Times New Roman" w:eastAsia="Times New Roman" w:hAnsi="Times New Roman" w:cs="Times New Roman"/>
          <w:sz w:val="28"/>
          <w:szCs w:val="28"/>
        </w:rPr>
      </w:pPr>
      <w:r w:rsidRPr="00DA696E">
        <w:rPr>
          <w:rFonts w:ascii="Times New Roman" w:eastAsia="Times New Roman" w:hAnsi="Times New Roman" w:cs="Times New Roman"/>
          <w:sz w:val="28"/>
          <w:szCs w:val="28"/>
        </w:rPr>
        <w:t>1 ml of virus added.</w:t>
      </w:r>
    </w:p>
    <w:p w14:paraId="37170F9B" w14:textId="77777777" w:rsidR="00110379" w:rsidRPr="00DA696E" w:rsidRDefault="00110379" w:rsidP="00894C7D">
      <w:pPr>
        <w:numPr>
          <w:ilvl w:val="0"/>
          <w:numId w:val="12"/>
        </w:numPr>
        <w:tabs>
          <w:tab w:val="clear" w:pos="720"/>
        </w:tabs>
        <w:spacing w:after="0" w:line="240" w:lineRule="auto"/>
        <w:ind w:hanging="720"/>
        <w:rPr>
          <w:rFonts w:ascii="Times New Roman" w:eastAsia="Times New Roman" w:hAnsi="Times New Roman" w:cs="Times New Roman"/>
          <w:sz w:val="28"/>
          <w:szCs w:val="28"/>
        </w:rPr>
      </w:pPr>
      <w:r w:rsidRPr="00DA696E">
        <w:rPr>
          <w:rFonts w:ascii="Times New Roman" w:eastAsia="Times New Roman" w:hAnsi="Times New Roman" w:cs="Times New Roman"/>
          <w:sz w:val="28"/>
          <w:szCs w:val="28"/>
        </w:rPr>
        <w:t>Convert TCID₅₀ to infectious units:</w:t>
      </w:r>
    </w:p>
    <w:p w14:paraId="0ABE710C" w14:textId="77777777" w:rsidR="00110379" w:rsidRPr="00DA696E" w:rsidRDefault="00110379" w:rsidP="00894C7D">
      <w:pPr>
        <w:spacing w:after="0" w:line="240" w:lineRule="auto"/>
        <w:ind w:left="720"/>
        <w:rPr>
          <w:rFonts w:ascii="Times New Roman" w:eastAsia="Times New Roman" w:hAnsi="Times New Roman" w:cs="Times New Roman"/>
          <w:sz w:val="28"/>
          <w:szCs w:val="28"/>
        </w:rPr>
      </w:pPr>
      <w:r w:rsidRPr="00DA696E">
        <w:rPr>
          <w:rFonts w:ascii="Times New Roman" w:eastAsia="Times New Roman" w:hAnsi="Times New Roman" w:cs="Times New Roman"/>
          <w:sz w:val="28"/>
          <w:szCs w:val="28"/>
          <w:bdr w:val="none" w:sz="0" w:space="0" w:color="auto" w:frame="1"/>
        </w:rPr>
        <w:t>1.2×105 TCID₅₀/ml×0.69=8.28×10</w:t>
      </w:r>
      <w:r w:rsidRPr="00DA696E">
        <w:rPr>
          <w:rFonts w:ascii="Times New Roman" w:eastAsia="Times New Roman" w:hAnsi="Times New Roman" w:cs="Times New Roman"/>
          <w:sz w:val="28"/>
          <w:szCs w:val="28"/>
          <w:bdr w:val="none" w:sz="0" w:space="0" w:color="auto" w:frame="1"/>
          <w:vertAlign w:val="superscript"/>
        </w:rPr>
        <w:t>4</w:t>
      </w:r>
      <w:r w:rsidRPr="00DA696E">
        <w:rPr>
          <w:rFonts w:ascii="Times New Roman" w:eastAsia="Times New Roman" w:hAnsi="Times New Roman" w:cs="Times New Roman"/>
          <w:sz w:val="28"/>
          <w:szCs w:val="28"/>
          <w:bdr w:val="none" w:sz="0" w:space="0" w:color="auto" w:frame="1"/>
        </w:rPr>
        <w:t> infectious units/ml</w:t>
      </w:r>
      <w:r w:rsidRPr="00DA696E">
        <w:rPr>
          <w:rFonts w:ascii="Times New Roman" w:eastAsia="Times New Roman" w:hAnsi="Times New Roman" w:cs="Times New Roman"/>
          <w:sz w:val="28"/>
          <w:szCs w:val="28"/>
        </w:rPr>
        <w:t>1.2×10</w:t>
      </w:r>
      <w:r w:rsidRPr="00DA696E">
        <w:rPr>
          <w:rFonts w:ascii="Times New Roman" w:eastAsia="Times New Roman" w:hAnsi="Times New Roman" w:cs="Times New Roman"/>
          <w:sz w:val="28"/>
          <w:szCs w:val="28"/>
          <w:vertAlign w:val="superscript"/>
        </w:rPr>
        <w:t>5</w:t>
      </w:r>
      <w:r w:rsidRPr="00DA696E">
        <w:rPr>
          <w:rFonts w:ascii="Times New Roman" w:eastAsia="Times New Roman" w:hAnsi="Times New Roman" w:cs="Times New Roman"/>
          <w:sz w:val="28"/>
          <w:szCs w:val="28"/>
        </w:rPr>
        <w:t>TCID₅₀/ml×0.69=8.28×10</w:t>
      </w:r>
      <w:r w:rsidRPr="00DA696E">
        <w:rPr>
          <w:rFonts w:ascii="Times New Roman" w:eastAsia="Times New Roman" w:hAnsi="Times New Roman" w:cs="Times New Roman"/>
          <w:sz w:val="28"/>
          <w:szCs w:val="28"/>
          <w:vertAlign w:val="superscript"/>
        </w:rPr>
        <w:t>4</w:t>
      </w:r>
      <w:r w:rsidRPr="00DA696E">
        <w:rPr>
          <w:rFonts w:ascii="Times New Roman" w:eastAsia="Times New Roman" w:hAnsi="Times New Roman" w:cs="Times New Roman"/>
          <w:sz w:val="28"/>
          <w:szCs w:val="28"/>
        </w:rPr>
        <w:t>infectious units/ml</w:t>
      </w:r>
    </w:p>
    <w:p w14:paraId="470394A1" w14:textId="77777777" w:rsidR="00110379" w:rsidRPr="00DA696E" w:rsidRDefault="00110379" w:rsidP="00DA696E">
      <w:pPr>
        <w:numPr>
          <w:ilvl w:val="0"/>
          <w:numId w:val="12"/>
        </w:numPr>
        <w:spacing w:after="0" w:line="240" w:lineRule="auto"/>
        <w:ind w:leftChars="-1" w:left="-1" w:hanging="1"/>
        <w:rPr>
          <w:rFonts w:ascii="Times New Roman" w:eastAsia="Times New Roman" w:hAnsi="Times New Roman" w:cs="Times New Roman"/>
          <w:sz w:val="28"/>
          <w:szCs w:val="28"/>
        </w:rPr>
      </w:pPr>
      <w:r w:rsidRPr="00DA696E">
        <w:rPr>
          <w:rFonts w:ascii="Times New Roman" w:eastAsia="Times New Roman" w:hAnsi="Times New Roman" w:cs="Times New Roman"/>
          <w:sz w:val="28"/>
          <w:szCs w:val="28"/>
        </w:rPr>
        <w:t>Total infectious units used:</w:t>
      </w:r>
    </w:p>
    <w:p w14:paraId="6F69B1F6" w14:textId="77777777" w:rsidR="00110379" w:rsidRPr="00DA696E" w:rsidRDefault="00110379" w:rsidP="00DA696E">
      <w:pPr>
        <w:spacing w:after="0" w:line="240" w:lineRule="auto"/>
        <w:ind w:left="720" w:firstLineChars="709" w:firstLine="1985"/>
        <w:rPr>
          <w:rFonts w:ascii="Times New Roman" w:eastAsia="Times New Roman" w:hAnsi="Times New Roman" w:cs="Times New Roman"/>
          <w:sz w:val="28"/>
          <w:szCs w:val="28"/>
        </w:rPr>
      </w:pPr>
      <w:r w:rsidRPr="00DA696E">
        <w:rPr>
          <w:rFonts w:ascii="Times New Roman" w:eastAsia="Times New Roman" w:hAnsi="Times New Roman" w:cs="Times New Roman"/>
          <w:sz w:val="28"/>
          <w:szCs w:val="28"/>
          <w:bdr w:val="none" w:sz="0" w:space="0" w:color="auto" w:frame="1"/>
        </w:rPr>
        <w:t>8.28×10</w:t>
      </w:r>
      <w:r w:rsidRPr="00DA696E">
        <w:rPr>
          <w:rFonts w:ascii="Times New Roman" w:eastAsia="Times New Roman" w:hAnsi="Times New Roman" w:cs="Times New Roman"/>
          <w:sz w:val="28"/>
          <w:szCs w:val="28"/>
          <w:bdr w:val="none" w:sz="0" w:space="0" w:color="auto" w:frame="1"/>
          <w:vertAlign w:val="superscript"/>
        </w:rPr>
        <w:t>4</w:t>
      </w:r>
      <w:r w:rsidRPr="00DA696E">
        <w:rPr>
          <w:rFonts w:ascii="Times New Roman" w:eastAsia="Times New Roman" w:hAnsi="Times New Roman" w:cs="Times New Roman"/>
          <w:sz w:val="28"/>
          <w:szCs w:val="28"/>
          <w:bdr w:val="none" w:sz="0" w:space="0" w:color="auto" w:frame="1"/>
        </w:rPr>
        <w:t> infectious units/ml×1 ml=8.28×104 infectious units</w:t>
      </w:r>
      <w:r w:rsidRPr="00DA696E">
        <w:rPr>
          <w:rFonts w:ascii="Times New Roman" w:eastAsia="Times New Roman" w:hAnsi="Times New Roman" w:cs="Times New Roman"/>
          <w:sz w:val="28"/>
          <w:szCs w:val="28"/>
        </w:rPr>
        <w:t>8.28×10</w:t>
      </w:r>
      <w:r w:rsidRPr="00DA696E">
        <w:rPr>
          <w:rFonts w:ascii="Times New Roman" w:eastAsia="Times New Roman" w:hAnsi="Times New Roman" w:cs="Times New Roman"/>
          <w:sz w:val="28"/>
          <w:szCs w:val="28"/>
          <w:vertAlign w:val="superscript"/>
        </w:rPr>
        <w:t>4</w:t>
      </w:r>
      <w:r w:rsidRPr="00DA696E">
        <w:rPr>
          <w:rFonts w:ascii="Times New Roman" w:eastAsia="Times New Roman" w:hAnsi="Times New Roman" w:cs="Times New Roman"/>
          <w:sz w:val="28"/>
          <w:szCs w:val="28"/>
        </w:rPr>
        <w:t>infectious units/ml×1ml=8.28×10</w:t>
      </w:r>
      <w:r w:rsidRPr="00DA696E">
        <w:rPr>
          <w:rFonts w:ascii="Times New Roman" w:eastAsia="Times New Roman" w:hAnsi="Times New Roman" w:cs="Times New Roman"/>
          <w:sz w:val="28"/>
          <w:szCs w:val="28"/>
          <w:vertAlign w:val="superscript"/>
        </w:rPr>
        <w:t>4</w:t>
      </w:r>
      <w:r w:rsidRPr="00DA696E">
        <w:rPr>
          <w:rFonts w:ascii="Times New Roman" w:eastAsia="Times New Roman" w:hAnsi="Times New Roman" w:cs="Times New Roman"/>
          <w:sz w:val="28"/>
          <w:szCs w:val="28"/>
        </w:rPr>
        <w:t>infectious units</w:t>
      </w:r>
    </w:p>
    <w:p w14:paraId="44DD2387" w14:textId="77777777" w:rsidR="00110379" w:rsidRDefault="00110379" w:rsidP="00DA696E">
      <w:pPr>
        <w:numPr>
          <w:ilvl w:val="0"/>
          <w:numId w:val="12"/>
        </w:numPr>
        <w:spacing w:after="0" w:line="240" w:lineRule="auto"/>
        <w:ind w:leftChars="-1" w:left="-1" w:hanging="1"/>
        <w:rPr>
          <w:rFonts w:ascii="Times New Roman" w:eastAsia="Times New Roman" w:hAnsi="Times New Roman" w:cs="Times New Roman"/>
          <w:sz w:val="28"/>
          <w:szCs w:val="28"/>
        </w:rPr>
      </w:pPr>
      <w:r w:rsidRPr="00DA696E">
        <w:rPr>
          <w:rFonts w:ascii="Times New Roman" w:eastAsia="Times New Roman" w:hAnsi="Times New Roman" w:cs="Times New Roman"/>
          <w:sz w:val="28"/>
          <w:szCs w:val="28"/>
        </w:rPr>
        <w:t>Calculate MOI:</w:t>
      </w:r>
    </w:p>
    <w:p w14:paraId="28567085" w14:textId="77777777" w:rsidR="00DA696E" w:rsidRPr="00DA696E" w:rsidRDefault="00DA696E" w:rsidP="00503519">
      <w:pPr>
        <w:spacing w:after="0" w:line="240" w:lineRule="auto"/>
        <w:ind w:left="-1"/>
        <w:rPr>
          <w:rFonts w:ascii="Times New Roman" w:eastAsia="Times New Roman" w:hAnsi="Times New Roman" w:cs="Times New Roman"/>
          <w:sz w:val="28"/>
          <w:szCs w:val="28"/>
        </w:rPr>
      </w:pPr>
    </w:p>
    <w:p w14:paraId="73E06F8A" w14:textId="245CEF81" w:rsidR="00110379" w:rsidRPr="00004B21" w:rsidRDefault="00110379" w:rsidP="00004B21">
      <w:pPr>
        <w:spacing w:after="100" w:afterAutospacing="1" w:line="240" w:lineRule="auto"/>
        <w:ind w:leftChars="-1" w:left="-1" w:hanging="1"/>
        <w:jc w:val="center"/>
        <w:rPr>
          <w:rFonts w:ascii="Times New Roman" w:eastAsia="Times New Roman" w:hAnsi="Times New Roman" w:cs="Times New Roman"/>
          <w:sz w:val="28"/>
          <w:szCs w:val="28"/>
        </w:rPr>
      </w:pPr>
      <w:r w:rsidRPr="00004B21">
        <w:rPr>
          <w:rFonts w:ascii="Times New Roman" w:eastAsia="Times New Roman" w:hAnsi="Times New Roman" w:cs="Times New Roman"/>
          <w:sz w:val="28"/>
          <w:szCs w:val="28"/>
          <w:bdr w:val="none" w:sz="0" w:space="0" w:color="auto" w:frame="1"/>
        </w:rPr>
        <w:t>MOI=8.28×10</w:t>
      </w:r>
      <w:r w:rsidRPr="00004B21">
        <w:rPr>
          <w:rFonts w:ascii="Times New Roman" w:eastAsia="Times New Roman" w:hAnsi="Times New Roman" w:cs="Times New Roman"/>
          <w:sz w:val="28"/>
          <w:szCs w:val="28"/>
          <w:bdr w:val="none" w:sz="0" w:space="0" w:color="auto" w:frame="1"/>
          <w:vertAlign w:val="superscript"/>
        </w:rPr>
        <w:t>4</w:t>
      </w:r>
      <w:r w:rsidR="005C451A" w:rsidRPr="00004B21">
        <w:rPr>
          <w:rFonts w:ascii="Times New Roman" w:eastAsia="Times New Roman" w:hAnsi="Times New Roman" w:cs="Times New Roman"/>
          <w:sz w:val="28"/>
          <w:szCs w:val="28"/>
          <w:bdr w:val="none" w:sz="0" w:space="0" w:color="auto" w:frame="1"/>
        </w:rPr>
        <w:t>/1</w:t>
      </w:r>
      <w:r w:rsidRPr="00004B21">
        <w:rPr>
          <w:rFonts w:ascii="Times New Roman" w:eastAsia="Times New Roman" w:hAnsi="Times New Roman" w:cs="Times New Roman"/>
          <w:sz w:val="28"/>
          <w:szCs w:val="28"/>
          <w:bdr w:val="none" w:sz="0" w:space="0" w:color="auto" w:frame="1"/>
        </w:rPr>
        <w:t>×10</w:t>
      </w:r>
      <w:r w:rsidRPr="00004B21">
        <w:rPr>
          <w:rFonts w:ascii="Times New Roman" w:eastAsia="Times New Roman" w:hAnsi="Times New Roman" w:cs="Times New Roman"/>
          <w:sz w:val="28"/>
          <w:szCs w:val="28"/>
          <w:bdr w:val="none" w:sz="0" w:space="0" w:color="auto" w:frame="1"/>
          <w:vertAlign w:val="superscript"/>
        </w:rPr>
        <w:t>5</w:t>
      </w:r>
      <w:r w:rsidRPr="00004B21">
        <w:rPr>
          <w:rFonts w:ascii="Times New Roman" w:eastAsia="Times New Roman" w:hAnsi="Times New Roman" w:cs="Times New Roman"/>
          <w:sz w:val="28"/>
          <w:szCs w:val="28"/>
          <w:bdr w:val="none" w:sz="0" w:space="0" w:color="auto" w:frame="1"/>
        </w:rPr>
        <w:t>=0.828</w:t>
      </w:r>
      <w:r w:rsidRPr="00004B21">
        <w:rPr>
          <w:rFonts w:ascii="Times New Roman" w:eastAsia="Times New Roman" w:hAnsi="Times New Roman" w:cs="Times New Roman"/>
          <w:sz w:val="28"/>
          <w:szCs w:val="28"/>
        </w:rPr>
        <w:br/>
      </w:r>
    </w:p>
    <w:p w14:paraId="5D3FAA79" w14:textId="2EB84033" w:rsidR="00DA696E" w:rsidRPr="008B1377" w:rsidRDefault="005C451A" w:rsidP="00503519">
      <w:pPr>
        <w:spacing w:after="100" w:afterAutospacing="1" w:line="240" w:lineRule="auto"/>
        <w:ind w:leftChars="-1" w:left="-1" w:hanging="1"/>
        <w:jc w:val="center"/>
        <w:rPr>
          <w:rFonts w:ascii="Times New Roman" w:eastAsia="Times New Roman" w:hAnsi="Times New Roman" w:cs="Times New Roman"/>
          <w:sz w:val="28"/>
          <w:szCs w:val="28"/>
          <w:lang w:val="en-US"/>
        </w:rPr>
      </w:pPr>
      <w:r w:rsidRPr="00503519">
        <w:rPr>
          <w:rFonts w:ascii="Times New Roman" w:eastAsia="Times New Roman" w:hAnsi="Times New Roman" w:cs="Times New Roman"/>
          <w:sz w:val="28"/>
          <w:szCs w:val="28"/>
        </w:rPr>
        <w:t>Therefore 1.2 X10</w:t>
      </w:r>
      <w:r w:rsidRPr="00503519">
        <w:rPr>
          <w:rFonts w:ascii="Times New Roman" w:eastAsia="Times New Roman" w:hAnsi="Times New Roman" w:cs="Times New Roman"/>
          <w:sz w:val="28"/>
          <w:szCs w:val="28"/>
          <w:vertAlign w:val="superscript"/>
        </w:rPr>
        <w:t>5</w:t>
      </w:r>
      <w:r w:rsidRPr="00503519">
        <w:rPr>
          <w:rFonts w:ascii="Times New Roman" w:eastAsia="Times New Roman" w:hAnsi="Times New Roman" w:cs="Times New Roman"/>
          <w:sz w:val="28"/>
          <w:szCs w:val="28"/>
        </w:rPr>
        <w:t xml:space="preserve"> TCID</w:t>
      </w:r>
      <w:r w:rsidRPr="00503519">
        <w:rPr>
          <w:rFonts w:ascii="Times New Roman" w:eastAsia="Times New Roman" w:hAnsi="Times New Roman" w:cs="Times New Roman"/>
          <w:sz w:val="28"/>
          <w:szCs w:val="28"/>
          <w:vertAlign w:val="subscript"/>
        </w:rPr>
        <w:t>50</w:t>
      </w:r>
      <w:r w:rsidRPr="00503519">
        <w:rPr>
          <w:rFonts w:ascii="Times New Roman" w:eastAsia="Times New Roman" w:hAnsi="Times New Roman" w:cs="Times New Roman"/>
          <w:sz w:val="28"/>
          <w:szCs w:val="28"/>
        </w:rPr>
        <w:t>/</w:t>
      </w:r>
      <w:r w:rsidR="009B2B6D" w:rsidRPr="00503519">
        <w:rPr>
          <w:rFonts w:ascii="Times New Roman" w:eastAsia="Times New Roman" w:hAnsi="Times New Roman" w:cs="Times New Roman"/>
          <w:sz w:val="28"/>
          <w:szCs w:val="28"/>
        </w:rPr>
        <w:t xml:space="preserve">ml </w:t>
      </w:r>
      <w:r w:rsidR="009B2B6D" w:rsidRPr="00503519">
        <w:rPr>
          <w:rFonts w:ascii="Times New Roman" w:eastAsia="Times New Roman" w:hAnsi="Times New Roman" w:cs="Times New Roman"/>
          <w:sz w:val="28"/>
          <w:szCs w:val="28"/>
          <w:vertAlign w:val="subscript"/>
        </w:rPr>
        <w:t>is</w:t>
      </w:r>
      <w:r w:rsidRPr="00503519">
        <w:rPr>
          <w:rFonts w:ascii="Times New Roman" w:eastAsia="Times New Roman" w:hAnsi="Times New Roman" w:cs="Times New Roman"/>
          <w:sz w:val="28"/>
          <w:szCs w:val="28"/>
        </w:rPr>
        <w:t xml:space="preserve"> MOI of 1</w:t>
      </w:r>
      <w:r w:rsidR="006B3567" w:rsidRPr="00503519">
        <w:rPr>
          <w:rFonts w:ascii="Times New Roman" w:eastAsia="Times New Roman" w:hAnsi="Times New Roman" w:cs="Times New Roman"/>
          <w:sz w:val="28"/>
          <w:szCs w:val="28"/>
        </w:rPr>
        <w:t>[101-108]</w:t>
      </w:r>
    </w:p>
    <w:p w14:paraId="132FE21B" w14:textId="77777777" w:rsidR="00BE6210" w:rsidRPr="00DA696E" w:rsidRDefault="008F4DA5" w:rsidP="00503519">
      <w:pPr>
        <w:spacing w:before="100" w:beforeAutospacing="1" w:after="100" w:afterAutospacing="1" w:line="240" w:lineRule="auto"/>
        <w:ind w:firstLine="709"/>
        <w:rPr>
          <w:rFonts w:ascii="Times New Roman" w:eastAsia="Times New Roman" w:hAnsi="Times New Roman" w:cs="Times New Roman"/>
          <w:sz w:val="28"/>
          <w:szCs w:val="28"/>
          <w:lang w:eastAsia="ru-RU"/>
        </w:rPr>
      </w:pPr>
      <w:r w:rsidRPr="00DA696E">
        <w:rPr>
          <w:rFonts w:ascii="Times New Roman" w:eastAsia="Times New Roman" w:hAnsi="Times New Roman" w:cs="Times New Roman"/>
          <w:sz w:val="28"/>
          <w:szCs w:val="28"/>
          <w:lang w:eastAsia="ru-RU"/>
        </w:rPr>
        <w:t>The number of cells being infected, and the volume used (in mL), to express the PFU per mL. Step-by-Step Conversion</w:t>
      </w:r>
    </w:p>
    <w:p w14:paraId="3AE6D10B" w14:textId="53D0FABC" w:rsidR="008F4DA5" w:rsidRDefault="008F4DA5" w:rsidP="00503519">
      <w:pPr>
        <w:spacing w:before="100" w:beforeAutospacing="1" w:after="0" w:line="240" w:lineRule="auto"/>
        <w:rPr>
          <w:rFonts w:ascii="Times New Roman" w:eastAsia="Times New Roman" w:hAnsi="Times New Roman" w:cs="Times New Roman"/>
          <w:sz w:val="28"/>
          <w:szCs w:val="28"/>
          <w:lang w:eastAsia="ru-RU"/>
        </w:rPr>
      </w:pPr>
      <w:r w:rsidRPr="00DA696E">
        <w:rPr>
          <w:rFonts w:ascii="Times New Roman" w:eastAsia="Times New Roman" w:hAnsi="Times New Roman" w:cs="Times New Roman"/>
          <w:sz w:val="28"/>
          <w:szCs w:val="28"/>
          <w:lang w:eastAsia="ru-RU"/>
        </w:rPr>
        <w:t>Suppose you are infecting:</w:t>
      </w:r>
    </w:p>
    <w:p w14:paraId="1D3CA0FA" w14:textId="77777777" w:rsidR="00DA696E" w:rsidRPr="00DA696E" w:rsidRDefault="00DA696E" w:rsidP="00DA696E">
      <w:pPr>
        <w:spacing w:before="100" w:beforeAutospacing="1" w:after="0" w:line="240" w:lineRule="auto"/>
        <w:rPr>
          <w:rFonts w:ascii="Times New Roman" w:eastAsia="Times New Roman" w:hAnsi="Times New Roman" w:cs="Times New Roman"/>
          <w:sz w:val="28"/>
          <w:szCs w:val="28"/>
          <w:lang w:eastAsia="ru-RU"/>
        </w:rPr>
      </w:pPr>
    </w:p>
    <w:p w14:paraId="43EE6EEF" w14:textId="77777777" w:rsidR="008F4DA5" w:rsidRPr="00503519" w:rsidRDefault="008F4DA5" w:rsidP="00503519">
      <w:pPr>
        <w:spacing w:before="100" w:beforeAutospacing="1" w:after="0" w:line="240" w:lineRule="auto"/>
        <w:ind w:left="720"/>
        <w:jc w:val="center"/>
        <w:rPr>
          <w:rFonts w:ascii="Times New Roman" w:eastAsia="Times New Roman" w:hAnsi="Times New Roman" w:cs="Times New Roman"/>
          <w:b/>
          <w:bCs/>
          <w:sz w:val="28"/>
          <w:szCs w:val="28"/>
          <w:lang w:eastAsia="ru-RU"/>
        </w:rPr>
      </w:pPr>
      <w:r w:rsidRPr="00503519">
        <w:rPr>
          <w:rFonts w:ascii="Times New Roman" w:eastAsia="Times New Roman" w:hAnsi="Times New Roman" w:cs="Times New Roman"/>
          <w:b/>
          <w:bCs/>
          <w:sz w:val="28"/>
          <w:szCs w:val="28"/>
          <w:lang w:eastAsia="ru-RU"/>
        </w:rPr>
        <w:t>1 × 10⁶ cells (1 million cells)</w:t>
      </w:r>
    </w:p>
    <w:p w14:paraId="2D229BCB" w14:textId="77777777" w:rsidR="008F4DA5" w:rsidRPr="00503519" w:rsidRDefault="008F4DA5" w:rsidP="00503519">
      <w:pPr>
        <w:spacing w:before="100" w:beforeAutospacing="1" w:after="0" w:line="240" w:lineRule="auto"/>
        <w:ind w:left="720"/>
        <w:jc w:val="center"/>
        <w:rPr>
          <w:rFonts w:ascii="Times New Roman" w:eastAsia="Times New Roman" w:hAnsi="Times New Roman" w:cs="Times New Roman"/>
          <w:b/>
          <w:bCs/>
          <w:sz w:val="28"/>
          <w:szCs w:val="28"/>
          <w:lang w:eastAsia="ru-RU"/>
        </w:rPr>
      </w:pPr>
      <w:r w:rsidRPr="00503519">
        <w:rPr>
          <w:rFonts w:ascii="Times New Roman" w:eastAsia="Times New Roman" w:hAnsi="Times New Roman" w:cs="Times New Roman"/>
          <w:b/>
          <w:bCs/>
          <w:sz w:val="28"/>
          <w:szCs w:val="28"/>
          <w:lang w:eastAsia="ru-RU"/>
        </w:rPr>
        <w:t>In a volume of 1 mL</w:t>
      </w:r>
    </w:p>
    <w:p w14:paraId="0577F516" w14:textId="77777777" w:rsidR="00DA696E" w:rsidRPr="00503519" w:rsidRDefault="00DA696E" w:rsidP="00503519">
      <w:pPr>
        <w:spacing w:before="100" w:beforeAutospacing="1" w:after="0" w:line="240" w:lineRule="auto"/>
        <w:ind w:left="720"/>
        <w:jc w:val="center"/>
        <w:rPr>
          <w:rFonts w:ascii="Times New Roman" w:eastAsia="Times New Roman" w:hAnsi="Times New Roman" w:cs="Times New Roman"/>
          <w:b/>
          <w:bCs/>
          <w:sz w:val="28"/>
          <w:szCs w:val="28"/>
          <w:lang w:eastAsia="ru-RU"/>
        </w:rPr>
      </w:pPr>
    </w:p>
    <w:p w14:paraId="1C4BC190" w14:textId="125948FB" w:rsidR="00576210" w:rsidRPr="00DA696E" w:rsidRDefault="008F4DA5" w:rsidP="006D07E0">
      <w:pPr>
        <w:spacing w:after="0" w:line="240" w:lineRule="auto"/>
        <w:ind w:firstLine="709"/>
        <w:rPr>
          <w:rFonts w:ascii="Times New Roman" w:eastAsia="Times New Roman" w:hAnsi="Times New Roman" w:cs="Times New Roman"/>
          <w:sz w:val="28"/>
          <w:szCs w:val="28"/>
          <w:lang w:eastAsia="ru-RU"/>
        </w:rPr>
      </w:pPr>
      <w:r w:rsidRPr="00DA696E">
        <w:rPr>
          <w:rFonts w:ascii="Times New Roman" w:eastAsia="Times New Roman" w:hAnsi="Times New Roman" w:cs="Times New Roman"/>
          <w:sz w:val="28"/>
          <w:szCs w:val="28"/>
          <w:lang w:eastAsia="ru-RU"/>
        </w:rPr>
        <w:t>An MOI of 2, infecting 1 million cells in 1 mL, corresponds to 2 × 10⁶ PFU/mL.</w:t>
      </w:r>
      <w:r w:rsidR="00BE6210" w:rsidRPr="00DA696E">
        <w:rPr>
          <w:rFonts w:ascii="Times New Roman" w:eastAsia="Times New Roman" w:hAnsi="Times New Roman" w:cs="Times New Roman"/>
          <w:sz w:val="28"/>
          <w:szCs w:val="28"/>
          <w:lang w:eastAsia="ru-RU"/>
        </w:rPr>
        <w:t xml:space="preserve"> </w:t>
      </w:r>
      <w:r w:rsidRPr="00DA696E">
        <w:rPr>
          <w:rFonts w:ascii="Times New Roman" w:eastAsia="Times New Roman" w:hAnsi="Times New Roman" w:cs="Times New Roman"/>
          <w:sz w:val="28"/>
          <w:szCs w:val="28"/>
          <w:lang w:eastAsia="ru-RU"/>
        </w:rPr>
        <w:t xml:space="preserve">If your infection volume is different (e.g., 0.5 mL), </w:t>
      </w:r>
      <w:r w:rsidR="00C61E85" w:rsidRPr="00DA696E">
        <w:rPr>
          <w:rFonts w:ascii="Times New Roman" w:eastAsia="Times New Roman" w:hAnsi="Times New Roman" w:cs="Times New Roman"/>
          <w:sz w:val="28"/>
          <w:szCs w:val="28"/>
          <w:lang w:eastAsia="ru-RU"/>
        </w:rPr>
        <w:t xml:space="preserve">the PFU/mL would be: 4 × 10^6 PFU/mL. Always specify the </w:t>
      </w:r>
      <w:r w:rsidRPr="00DA696E">
        <w:rPr>
          <w:rFonts w:ascii="Times New Roman" w:eastAsia="Times New Roman" w:hAnsi="Times New Roman" w:cs="Times New Roman"/>
          <w:sz w:val="28"/>
          <w:szCs w:val="28"/>
          <w:lang w:eastAsia="ru-RU"/>
        </w:rPr>
        <w:t>cell count and volume for accurate conversion</w:t>
      </w:r>
      <w:r w:rsidR="00BE6210" w:rsidRPr="00DA696E">
        <w:rPr>
          <w:rFonts w:ascii="Times New Roman" w:eastAsia="Times New Roman" w:hAnsi="Times New Roman" w:cs="Times New Roman"/>
          <w:sz w:val="28"/>
          <w:szCs w:val="28"/>
          <w:lang w:eastAsia="ru-RU"/>
        </w:rPr>
        <w:t>.</w:t>
      </w:r>
    </w:p>
    <w:p w14:paraId="2C9E7392" w14:textId="77777777" w:rsidR="00AA1EAD" w:rsidRDefault="00885424" w:rsidP="00AA1EAD">
      <w:pPr>
        <w:spacing w:after="0" w:line="360" w:lineRule="auto"/>
        <w:ind w:firstLine="709"/>
        <w:rPr>
          <w:rFonts w:ascii="Times New Roman" w:eastAsia="Times New Roman" w:hAnsi="Times New Roman" w:cs="Times New Roman"/>
          <w:i/>
          <w:iCs/>
          <w:sz w:val="28"/>
          <w:szCs w:val="28"/>
          <w:u w:val="single"/>
        </w:rPr>
      </w:pPr>
      <w:r w:rsidRPr="00DA696E">
        <w:rPr>
          <w:rFonts w:ascii="Times New Roman" w:eastAsia="Times New Roman" w:hAnsi="Times New Roman" w:cs="Times New Roman"/>
          <w:i/>
          <w:iCs/>
          <w:sz w:val="28"/>
          <w:szCs w:val="28"/>
          <w:u w:val="single"/>
        </w:rPr>
        <w:t>Converting the average value of Ct into the MOI of RT-qPCR</w:t>
      </w:r>
    </w:p>
    <w:p w14:paraId="427D5E76" w14:textId="56FE2B0C" w:rsidR="00224C52" w:rsidRPr="00AA1EAD" w:rsidRDefault="00224C52" w:rsidP="00AA1EAD">
      <w:pPr>
        <w:spacing w:after="0" w:line="360" w:lineRule="auto"/>
        <w:ind w:firstLine="709"/>
        <w:rPr>
          <w:rFonts w:ascii="Times New Roman" w:eastAsia="Times New Roman" w:hAnsi="Times New Roman" w:cs="Times New Roman"/>
          <w:i/>
          <w:iCs/>
          <w:sz w:val="28"/>
          <w:szCs w:val="28"/>
          <w:u w:val="single"/>
        </w:rPr>
      </w:pPr>
      <w:r w:rsidRPr="00DA696E">
        <w:rPr>
          <w:rFonts w:ascii="Times New Roman" w:eastAsia="Times New Roman" w:hAnsi="Times New Roman" w:cs="Times New Roman"/>
          <w:sz w:val="28"/>
          <w:szCs w:val="28"/>
        </w:rPr>
        <w:t>Ct Value is the Cycle threshold</w:t>
      </w:r>
      <w:r w:rsidR="009F331D">
        <w:rPr>
          <w:rFonts w:ascii="Times New Roman" w:eastAsia="Times New Roman" w:hAnsi="Times New Roman" w:cs="Times New Roman"/>
          <w:sz w:val="28"/>
          <w:szCs w:val="28"/>
        </w:rPr>
        <w:t xml:space="preserve"> —the PCR cycle at which</w:t>
      </w:r>
      <w:r w:rsidRPr="00DA696E">
        <w:rPr>
          <w:rFonts w:ascii="Times New Roman" w:eastAsia="Times New Roman" w:hAnsi="Times New Roman" w:cs="Times New Roman"/>
          <w:sz w:val="28"/>
          <w:szCs w:val="28"/>
        </w:rPr>
        <w:t xml:space="preserve"> fluorescence crosses the detection threshold.</w:t>
      </w:r>
      <w:r w:rsidR="00B7155D" w:rsidRPr="00DA696E">
        <w:rPr>
          <w:rFonts w:ascii="Times New Roman" w:eastAsia="Times New Roman" w:hAnsi="Times New Roman" w:cs="Times New Roman"/>
          <w:sz w:val="28"/>
          <w:szCs w:val="28"/>
        </w:rPr>
        <w:t xml:space="preserve"> The relationship is inversely proportional to the starting nucleic acid quantity, as shown in Figure 12</w:t>
      </w:r>
      <w:r w:rsidRPr="00DA696E">
        <w:rPr>
          <w:rFonts w:ascii="Times New Roman" w:eastAsia="Times New Roman" w:hAnsi="Times New Roman" w:cs="Times New Roman"/>
          <w:sz w:val="28"/>
          <w:szCs w:val="28"/>
        </w:rPr>
        <w:t>.</w:t>
      </w:r>
    </w:p>
    <w:p w14:paraId="596BCF98" w14:textId="77777777" w:rsidR="00D7653F" w:rsidRPr="00B7155D" w:rsidRDefault="00D7653F" w:rsidP="00B7155D">
      <w:pPr>
        <w:spacing w:after="0" w:line="360" w:lineRule="auto"/>
        <w:ind w:firstLine="708"/>
        <w:rPr>
          <w:rFonts w:ascii="Times New Roman" w:eastAsia="Times New Roman" w:hAnsi="Times New Roman" w:cs="Times New Roman"/>
          <w:color w:val="404040"/>
          <w:sz w:val="24"/>
          <w:szCs w:val="24"/>
          <w:lang w:val="en-US"/>
        </w:rPr>
      </w:pPr>
    </w:p>
    <w:p w14:paraId="0A0E903C" w14:textId="2F207DA4" w:rsidR="008F4DA5" w:rsidRDefault="00C857DE" w:rsidP="005C588C">
      <w:pPr>
        <w:spacing w:after="0" w:line="360" w:lineRule="auto"/>
        <w:jc w:val="center"/>
        <w:rPr>
          <w:rFonts w:ascii="Times New Roman" w:eastAsia="Times New Roman" w:hAnsi="Times New Roman" w:cs="Times New Roman"/>
          <w:color w:val="404040"/>
          <w:sz w:val="24"/>
          <w:szCs w:val="24"/>
          <w:lang w:val="ru-RU"/>
        </w:rPr>
      </w:pPr>
      <w:r w:rsidRPr="006531C9">
        <w:rPr>
          <w:rFonts w:ascii="Times New Roman" w:hAnsi="Times New Roman" w:cs="Times New Roman"/>
          <w:noProof/>
          <w:sz w:val="24"/>
          <w:szCs w:val="24"/>
        </w:rPr>
        <w:lastRenderedPageBreak/>
        <w:drawing>
          <wp:inline distT="0" distB="0" distL="0" distR="0" wp14:anchorId="0C80BD52" wp14:editId="2B61FB1C">
            <wp:extent cx="3619302" cy="3695700"/>
            <wp:effectExtent l="0" t="0" r="635" b="0"/>
            <wp:docPr id="17231564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156420" name=""/>
                    <pic:cNvPicPr/>
                  </pic:nvPicPr>
                  <pic:blipFill rotWithShape="1">
                    <a:blip r:embed="rId32"/>
                    <a:srcRect l="37139" t="16655" r="24489" b="21698"/>
                    <a:stretch/>
                  </pic:blipFill>
                  <pic:spPr bwMode="auto">
                    <a:xfrm>
                      <a:off x="0" y="0"/>
                      <a:ext cx="3675003" cy="3752576"/>
                    </a:xfrm>
                    <a:prstGeom prst="rect">
                      <a:avLst/>
                    </a:prstGeom>
                    <a:ln>
                      <a:noFill/>
                    </a:ln>
                    <a:extLst>
                      <a:ext uri="{53640926-AAD7-44D8-BBD7-CCE9431645EC}">
                        <a14:shadowObscured xmlns:a14="http://schemas.microsoft.com/office/drawing/2010/main"/>
                      </a:ext>
                    </a:extLst>
                  </pic:spPr>
                </pic:pic>
              </a:graphicData>
            </a:graphic>
          </wp:inline>
        </w:drawing>
      </w:r>
    </w:p>
    <w:p w14:paraId="7FDEB966" w14:textId="77777777" w:rsidR="00FC66E8" w:rsidRPr="00FC66E8" w:rsidRDefault="00FC66E8" w:rsidP="005C588C">
      <w:pPr>
        <w:spacing w:after="0" w:line="360" w:lineRule="auto"/>
        <w:jc w:val="center"/>
        <w:rPr>
          <w:rFonts w:ascii="Times New Roman" w:eastAsia="Times New Roman" w:hAnsi="Times New Roman" w:cs="Times New Roman"/>
          <w:color w:val="404040"/>
          <w:sz w:val="24"/>
          <w:szCs w:val="24"/>
          <w:lang w:val="ru-RU"/>
        </w:rPr>
      </w:pPr>
    </w:p>
    <w:p w14:paraId="64FD7CB5" w14:textId="4B6A22B9" w:rsidR="00B7155D" w:rsidRPr="008B1377" w:rsidRDefault="00C857DE" w:rsidP="00DA696E">
      <w:pPr>
        <w:spacing w:after="0" w:line="240" w:lineRule="auto"/>
        <w:jc w:val="center"/>
        <w:rPr>
          <w:rFonts w:ascii="Times New Roman" w:hAnsi="Times New Roman" w:cs="Times New Roman"/>
          <w:sz w:val="28"/>
          <w:szCs w:val="28"/>
          <w:lang w:val="en-US"/>
        </w:rPr>
      </w:pPr>
      <w:r w:rsidRPr="00DA696E">
        <w:rPr>
          <w:rFonts w:ascii="Times New Roman" w:hAnsi="Times New Roman" w:cs="Times New Roman"/>
          <w:sz w:val="28"/>
          <w:szCs w:val="28"/>
        </w:rPr>
        <w:t>Figure 1</w:t>
      </w:r>
      <w:r w:rsidR="007B5CB0" w:rsidRPr="00DA696E">
        <w:rPr>
          <w:rFonts w:ascii="Times New Roman" w:hAnsi="Times New Roman" w:cs="Times New Roman"/>
          <w:sz w:val="28"/>
          <w:szCs w:val="28"/>
        </w:rPr>
        <w:t>2</w:t>
      </w:r>
      <w:r w:rsidRPr="00DA696E">
        <w:rPr>
          <w:rFonts w:ascii="Times New Roman" w:hAnsi="Times New Roman" w:cs="Times New Roman"/>
          <w:sz w:val="28"/>
          <w:szCs w:val="28"/>
        </w:rPr>
        <w:t xml:space="preserve"> – Conversion formula for RNA copies from the average Ct-value</w:t>
      </w:r>
    </w:p>
    <w:p w14:paraId="5DE90A98" w14:textId="77777777" w:rsidR="00B7155D" w:rsidRPr="00DA696E" w:rsidRDefault="00B7155D" w:rsidP="00DA696E">
      <w:pPr>
        <w:spacing w:after="0" w:line="240" w:lineRule="auto"/>
        <w:jc w:val="center"/>
        <w:rPr>
          <w:rFonts w:ascii="Times New Roman" w:hAnsi="Times New Roman" w:cs="Times New Roman"/>
          <w:sz w:val="28"/>
          <w:szCs w:val="28"/>
        </w:rPr>
      </w:pPr>
    </w:p>
    <w:p w14:paraId="13A8EDFE" w14:textId="1CABFEF1" w:rsidR="00A1680B" w:rsidRPr="00DA696E" w:rsidRDefault="00A1680B" w:rsidP="00DA696E">
      <w:pPr>
        <w:spacing w:after="0" w:line="240" w:lineRule="auto"/>
        <w:ind w:firstLine="708"/>
        <w:jc w:val="both"/>
        <w:rPr>
          <w:rFonts w:ascii="Times New Roman" w:hAnsi="Times New Roman" w:cs="Times New Roman"/>
          <w:sz w:val="28"/>
          <w:szCs w:val="28"/>
        </w:rPr>
      </w:pPr>
      <w:r w:rsidRPr="00DA696E">
        <w:rPr>
          <w:rFonts w:ascii="Times New Roman" w:hAnsi="Times New Roman" w:cs="Times New Roman"/>
          <w:sz w:val="28"/>
          <w:szCs w:val="28"/>
        </w:rPr>
        <w:t xml:space="preserve">The figure outlines the procedure for converting qPCR cycle threshold (Ct) values into RNA copy numbers using a standard curve equation and subsequent adjustment for reaction volume. First, RNA copies are calculated by applying the equation: where </w:t>
      </w:r>
      <w:r w:rsidRPr="00DA696E">
        <w:rPr>
          <w:rFonts w:ascii="Times New Roman" w:hAnsi="Times New Roman" w:cs="Times New Roman"/>
          <w:i/>
          <w:iCs/>
          <w:sz w:val="28"/>
          <w:szCs w:val="28"/>
        </w:rPr>
        <w:t>m</w:t>
      </w:r>
      <w:r w:rsidRPr="00DA696E">
        <w:rPr>
          <w:rFonts w:ascii="Times New Roman" w:hAnsi="Times New Roman" w:cs="Times New Roman"/>
          <w:sz w:val="28"/>
          <w:szCs w:val="28"/>
        </w:rPr>
        <w:t xml:space="preserve"> is the slope of the standard curve (typically </w:t>
      </w:r>
      <w:r w:rsidR="00716823" w:rsidRPr="00DA696E">
        <w:rPr>
          <w:rFonts w:ascii="Times New Roman" w:hAnsi="Times New Roman" w:cs="Times New Roman"/>
          <w:sz w:val="28"/>
          <w:szCs w:val="28"/>
        </w:rPr>
        <w:t xml:space="preserve">-3.0 to </w:t>
      </w:r>
      <w:r w:rsidR="00FD2E80">
        <w:rPr>
          <w:rFonts w:ascii="Times New Roman" w:hAnsi="Times New Roman" w:cs="Times New Roman"/>
          <w:sz w:val="28"/>
          <w:szCs w:val="28"/>
        </w:rPr>
        <w:t>-3.5</w:t>
      </w:r>
      <w:r w:rsidRPr="00DA696E">
        <w:rPr>
          <w:rFonts w:ascii="Times New Roman" w:hAnsi="Times New Roman" w:cs="Times New Roman"/>
          <w:sz w:val="28"/>
          <w:szCs w:val="28"/>
        </w:rPr>
        <w:t xml:space="preserve">) and </w:t>
      </w:r>
      <w:r w:rsidRPr="00DA696E">
        <w:rPr>
          <w:rFonts w:ascii="Times New Roman" w:hAnsi="Times New Roman" w:cs="Times New Roman"/>
          <w:i/>
          <w:iCs/>
          <w:sz w:val="28"/>
          <w:szCs w:val="28"/>
        </w:rPr>
        <w:t>b</w:t>
      </w:r>
      <w:r w:rsidRPr="00DA696E">
        <w:rPr>
          <w:rFonts w:ascii="Times New Roman" w:hAnsi="Times New Roman" w:cs="Times New Roman"/>
          <w:sz w:val="28"/>
          <w:szCs w:val="28"/>
        </w:rPr>
        <w:t xml:space="preserve"> is the y-intercept. For example, with Ct = 25.0, </w:t>
      </w:r>
      <w:r w:rsidRPr="00DA696E">
        <w:rPr>
          <w:rFonts w:ascii="Times New Roman" w:hAnsi="Times New Roman" w:cs="Times New Roman"/>
          <w:i/>
          <w:iCs/>
          <w:sz w:val="28"/>
          <w:szCs w:val="28"/>
        </w:rPr>
        <w:t>m</w:t>
      </w:r>
      <w:r w:rsidRPr="00DA696E">
        <w:rPr>
          <w:rFonts w:ascii="Times New Roman" w:hAnsi="Times New Roman" w:cs="Times New Roman"/>
          <w:sz w:val="28"/>
          <w:szCs w:val="28"/>
        </w:rPr>
        <w:t xml:space="preserve"> = –3.4, and </w:t>
      </w:r>
      <w:r w:rsidRPr="00DA696E">
        <w:rPr>
          <w:rFonts w:ascii="Times New Roman" w:hAnsi="Times New Roman" w:cs="Times New Roman"/>
          <w:i/>
          <w:iCs/>
          <w:sz w:val="28"/>
          <w:szCs w:val="28"/>
        </w:rPr>
        <w:t>b</w:t>
      </w:r>
      <w:r w:rsidRPr="00DA696E">
        <w:rPr>
          <w:rFonts w:ascii="Times New Roman" w:hAnsi="Times New Roman" w:cs="Times New Roman"/>
          <w:sz w:val="28"/>
          <w:szCs w:val="28"/>
        </w:rPr>
        <w:t xml:space="preserve"> = 40, the calculation yields approximately 25,700 RNA copies per reaction. In the second step, this value is adjusted to account for the total RNA volume by multiplying by the ratio of the total RNA volume to the reaction volume. Using an example with a total RNA volume of 50 μL and a reaction volume of 5 μL, the calculation </w:t>
      </w:r>
      <w:r w:rsidR="00FC66E8">
        <w:rPr>
          <w:rFonts w:ascii="Times New Roman" w:hAnsi="Times New Roman" w:cs="Times New Roman"/>
          <w:sz w:val="28"/>
          <w:szCs w:val="28"/>
        </w:rPr>
        <w:t>yields</w:t>
      </w:r>
      <w:r w:rsidRPr="00DA696E">
        <w:rPr>
          <w:rFonts w:ascii="Times New Roman" w:hAnsi="Times New Roman" w:cs="Times New Roman"/>
          <w:sz w:val="28"/>
          <w:szCs w:val="28"/>
        </w:rPr>
        <w:t xml:space="preserve"> approximately 257,000 RNA copies. This method enables the accurate quantification of RNA molecules in a sample by utilising standard curve calibration and reaction scaling</w:t>
      </w:r>
      <w:r w:rsidR="008A23D9" w:rsidRPr="00DA696E">
        <w:rPr>
          <w:rFonts w:ascii="Times New Roman" w:hAnsi="Times New Roman" w:cs="Times New Roman"/>
          <w:sz w:val="28"/>
          <w:szCs w:val="28"/>
        </w:rPr>
        <w:t>.</w:t>
      </w:r>
    </w:p>
    <w:p w14:paraId="3E7F3488" w14:textId="2C4D8FC4" w:rsidR="00A1680B" w:rsidRPr="00DA696E" w:rsidRDefault="00A1680B" w:rsidP="00DA696E">
      <w:pPr>
        <w:spacing w:after="0" w:line="240" w:lineRule="auto"/>
        <w:ind w:firstLine="708"/>
        <w:jc w:val="both"/>
        <w:rPr>
          <w:rFonts w:ascii="Times New Roman" w:hAnsi="Times New Roman" w:cs="Times New Roman"/>
          <w:sz w:val="28"/>
          <w:szCs w:val="28"/>
        </w:rPr>
      </w:pPr>
      <w:r w:rsidRPr="00DA696E">
        <w:rPr>
          <w:rFonts w:ascii="Times New Roman" w:hAnsi="Times New Roman" w:cs="Times New Roman"/>
          <w:sz w:val="28"/>
          <w:szCs w:val="28"/>
        </w:rPr>
        <w:t xml:space="preserve">The presented scheme demonstrates a standardised approach for converting Ct values obtained in qPCR assays into RNA copy numbers, ensuring quantitative accuracy. The two-step procedure—first calculating RNA copies from the standard curve and then adjusting for reaction volume—allows normalisation across experiments and sample inputs. The example calculations illustrate how relatively small differences in Ct values, when processed through the logarithmic transformation of the standard curve, translate into significant differences in RNA copy number. This emphasises both the sensitivity and the exponential nature of qPCR quantification. The final adjustment for total RNA volume ensures that the reported copy numbers reflect the </w:t>
      </w:r>
      <w:r w:rsidR="008C0D12">
        <w:rPr>
          <w:rFonts w:ascii="Times New Roman" w:hAnsi="Times New Roman" w:cs="Times New Roman"/>
          <w:sz w:val="28"/>
          <w:szCs w:val="28"/>
        </w:rPr>
        <w:t>sample's accurate molecular content</w:t>
      </w:r>
      <w:r w:rsidRPr="00DA696E">
        <w:rPr>
          <w:rFonts w:ascii="Times New Roman" w:hAnsi="Times New Roman" w:cs="Times New Roman"/>
          <w:sz w:val="28"/>
          <w:szCs w:val="28"/>
        </w:rPr>
        <w:t>, making the method suitable for inter-sample comparisons and reproducible viral load assessments.</w:t>
      </w:r>
    </w:p>
    <w:p w14:paraId="11A1C339" w14:textId="20FA0B56" w:rsidR="00D7653F" w:rsidRPr="008B1377" w:rsidRDefault="00C857DE" w:rsidP="00503519">
      <w:pPr>
        <w:spacing w:after="100" w:afterAutospacing="1" w:line="240" w:lineRule="auto"/>
        <w:ind w:firstLine="708"/>
        <w:rPr>
          <w:rFonts w:ascii="Times New Roman" w:eastAsia="Times New Roman" w:hAnsi="Times New Roman" w:cs="Times New Roman"/>
          <w:sz w:val="28"/>
          <w:szCs w:val="28"/>
          <w:lang w:val="en-US"/>
        </w:rPr>
      </w:pPr>
      <w:r w:rsidRPr="00DA696E">
        <w:rPr>
          <w:rFonts w:ascii="Times New Roman" w:eastAsia="Times New Roman" w:hAnsi="Times New Roman" w:cs="Times New Roman"/>
          <w:sz w:val="28"/>
          <w:szCs w:val="28"/>
        </w:rPr>
        <w:lastRenderedPageBreak/>
        <w:t>Standard Curve relates Ct values to known template quantities (log-scale). Generated</w:t>
      </w:r>
      <w:r w:rsidR="003737B5">
        <w:rPr>
          <w:rFonts w:ascii="Times New Roman" w:eastAsia="Times New Roman" w:hAnsi="Times New Roman" w:cs="Times New Roman"/>
          <w:sz w:val="28"/>
          <w:szCs w:val="28"/>
        </w:rPr>
        <w:t xml:space="preserve"> RNA copies (Figure 13)</w:t>
      </w:r>
      <w:r w:rsidRPr="00DA696E">
        <w:rPr>
          <w:rFonts w:ascii="Times New Roman" w:eastAsia="Times New Roman" w:hAnsi="Times New Roman" w:cs="Times New Roman"/>
          <w:sz w:val="28"/>
          <w:szCs w:val="28"/>
        </w:rPr>
        <w:t xml:space="preserve"> using serial dilutions of standards</w:t>
      </w:r>
      <w:r w:rsidR="00A1680B" w:rsidRPr="00DA696E">
        <w:rPr>
          <w:rFonts w:ascii="Times New Roman" w:eastAsia="Times New Roman" w:hAnsi="Times New Roman" w:cs="Times New Roman"/>
          <w:sz w:val="28"/>
          <w:szCs w:val="28"/>
        </w:rPr>
        <w:t xml:space="preserve">. </w:t>
      </w:r>
      <w:r w:rsidR="0062674F" w:rsidRPr="00DA696E">
        <w:rPr>
          <w:rFonts w:ascii="Times New Roman" w:eastAsia="Times New Roman" w:hAnsi="Times New Roman" w:cs="Times New Roman"/>
          <w:sz w:val="28"/>
          <w:szCs w:val="28"/>
        </w:rPr>
        <w:t>MOI is the Ratio of infectious viral particles to target cells. Requires converting RNA copies to infectious units via a virus-specific factor.</w:t>
      </w:r>
    </w:p>
    <w:p w14:paraId="641AB6C7" w14:textId="77777777" w:rsidR="00503519" w:rsidRPr="008B1377" w:rsidRDefault="00503519" w:rsidP="00503519">
      <w:pPr>
        <w:spacing w:after="100" w:afterAutospacing="1" w:line="240" w:lineRule="auto"/>
        <w:ind w:firstLine="708"/>
        <w:rPr>
          <w:rFonts w:ascii="Times New Roman" w:eastAsia="Times New Roman" w:hAnsi="Times New Roman" w:cs="Times New Roman"/>
          <w:sz w:val="28"/>
          <w:szCs w:val="28"/>
          <w:lang w:val="en-US"/>
        </w:rPr>
      </w:pPr>
    </w:p>
    <w:p w14:paraId="6DA04D18" w14:textId="79986C88" w:rsidR="008F4DA5" w:rsidRDefault="0062674F" w:rsidP="000F35FC">
      <w:pPr>
        <w:spacing w:after="0" w:line="360" w:lineRule="auto"/>
        <w:jc w:val="center"/>
        <w:rPr>
          <w:rFonts w:ascii="Times New Roman" w:eastAsia="Times New Roman" w:hAnsi="Times New Roman" w:cs="Times New Roman"/>
          <w:color w:val="404040"/>
          <w:sz w:val="24"/>
          <w:szCs w:val="24"/>
          <w:lang w:val="ru-RU"/>
        </w:rPr>
      </w:pPr>
      <w:r w:rsidRPr="006531C9">
        <w:rPr>
          <w:rFonts w:ascii="Times New Roman" w:hAnsi="Times New Roman" w:cs="Times New Roman"/>
          <w:noProof/>
          <w:sz w:val="24"/>
          <w:szCs w:val="24"/>
        </w:rPr>
        <w:drawing>
          <wp:inline distT="0" distB="0" distL="0" distR="0" wp14:anchorId="3E686081" wp14:editId="75F937DB">
            <wp:extent cx="3435809" cy="2568575"/>
            <wp:effectExtent l="0" t="0" r="0" b="3175"/>
            <wp:docPr id="16267693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769340" name=""/>
                    <pic:cNvPicPr/>
                  </pic:nvPicPr>
                  <pic:blipFill rotWithShape="1">
                    <a:blip r:embed="rId33"/>
                    <a:srcRect l="26759" t="31127" r="21490" b="24275"/>
                    <a:stretch/>
                  </pic:blipFill>
                  <pic:spPr bwMode="auto">
                    <a:xfrm>
                      <a:off x="0" y="0"/>
                      <a:ext cx="3489683" cy="2608851"/>
                    </a:xfrm>
                    <a:prstGeom prst="rect">
                      <a:avLst/>
                    </a:prstGeom>
                    <a:ln>
                      <a:noFill/>
                    </a:ln>
                    <a:extLst>
                      <a:ext uri="{53640926-AAD7-44D8-BBD7-CCE9431645EC}">
                        <a14:shadowObscured xmlns:a14="http://schemas.microsoft.com/office/drawing/2010/main"/>
                      </a:ext>
                    </a:extLst>
                  </pic:spPr>
                </pic:pic>
              </a:graphicData>
            </a:graphic>
          </wp:inline>
        </w:drawing>
      </w:r>
    </w:p>
    <w:p w14:paraId="7FD5FC1B" w14:textId="77777777" w:rsidR="00FC66E8" w:rsidRPr="00FC66E8" w:rsidRDefault="00FC66E8" w:rsidP="000F35FC">
      <w:pPr>
        <w:spacing w:after="0" w:line="360" w:lineRule="auto"/>
        <w:jc w:val="center"/>
        <w:rPr>
          <w:rFonts w:ascii="Times New Roman" w:eastAsia="Times New Roman" w:hAnsi="Times New Roman" w:cs="Times New Roman"/>
          <w:color w:val="404040"/>
          <w:sz w:val="24"/>
          <w:szCs w:val="24"/>
          <w:lang w:val="ru-RU"/>
        </w:rPr>
      </w:pPr>
    </w:p>
    <w:p w14:paraId="7B344D5B" w14:textId="2088A28F" w:rsidR="00FD2E80" w:rsidRDefault="0062674F" w:rsidP="00FD2E80">
      <w:pPr>
        <w:spacing w:after="0" w:line="240" w:lineRule="auto"/>
        <w:jc w:val="center"/>
        <w:rPr>
          <w:rFonts w:ascii="Times New Roman" w:eastAsia="Times New Roman" w:hAnsi="Times New Roman" w:cs="Times New Roman"/>
          <w:sz w:val="28"/>
          <w:szCs w:val="28"/>
        </w:rPr>
      </w:pPr>
      <w:r w:rsidRPr="00DA696E">
        <w:rPr>
          <w:rFonts w:ascii="Times New Roman" w:hAnsi="Times New Roman" w:cs="Times New Roman"/>
          <w:sz w:val="28"/>
          <w:szCs w:val="28"/>
        </w:rPr>
        <w:t>Figure 1</w:t>
      </w:r>
      <w:r w:rsidR="008901D6" w:rsidRPr="00DA696E">
        <w:rPr>
          <w:rFonts w:ascii="Times New Roman" w:hAnsi="Times New Roman" w:cs="Times New Roman"/>
          <w:sz w:val="28"/>
          <w:szCs w:val="28"/>
        </w:rPr>
        <w:t>3</w:t>
      </w:r>
      <w:r w:rsidRPr="00DA696E">
        <w:rPr>
          <w:rFonts w:ascii="Times New Roman" w:hAnsi="Times New Roman" w:cs="Times New Roman"/>
          <w:sz w:val="28"/>
          <w:szCs w:val="28"/>
        </w:rPr>
        <w:t xml:space="preserve"> – The calculation formula of RNA copies per cell, and then converting it into </w:t>
      </w:r>
      <w:r w:rsidR="004466B3" w:rsidRPr="00DA696E">
        <w:rPr>
          <w:rFonts w:ascii="Times New Roman" w:hAnsi="Times New Roman" w:cs="Times New Roman"/>
          <w:sz w:val="28"/>
          <w:szCs w:val="28"/>
        </w:rPr>
        <w:t>MOI</w:t>
      </w:r>
      <w:r w:rsidR="004466B3" w:rsidRPr="00DA696E">
        <w:rPr>
          <w:rFonts w:ascii="Times New Roman" w:eastAsia="Times New Roman" w:hAnsi="Times New Roman" w:cs="Times New Roman"/>
          <w:sz w:val="28"/>
          <w:szCs w:val="28"/>
        </w:rPr>
        <w:t xml:space="preserve"> [118]</w:t>
      </w:r>
    </w:p>
    <w:p w14:paraId="66366621" w14:textId="77777777" w:rsidR="00FD2E80" w:rsidRPr="00FD2E80" w:rsidRDefault="00FD2E80" w:rsidP="00FD2E80">
      <w:pPr>
        <w:spacing w:after="0" w:line="240" w:lineRule="auto"/>
        <w:jc w:val="center"/>
        <w:rPr>
          <w:rFonts w:ascii="Times New Roman" w:eastAsia="Times New Roman" w:hAnsi="Times New Roman" w:cs="Times New Roman"/>
          <w:sz w:val="28"/>
          <w:szCs w:val="28"/>
        </w:rPr>
      </w:pPr>
    </w:p>
    <w:p w14:paraId="771736C8" w14:textId="77777777" w:rsidR="00FC66E8" w:rsidRDefault="004166AC" w:rsidP="00FD2E80">
      <w:pPr>
        <w:spacing w:after="0" w:line="240" w:lineRule="auto"/>
        <w:ind w:firstLine="708"/>
        <w:jc w:val="both"/>
        <w:rPr>
          <w:rFonts w:ascii="Times New Roman" w:eastAsia="Times New Roman" w:hAnsi="Times New Roman" w:cs="Times New Roman"/>
          <w:sz w:val="28"/>
          <w:szCs w:val="28"/>
        </w:rPr>
      </w:pPr>
      <w:r w:rsidRPr="00DA696E">
        <w:rPr>
          <w:rFonts w:ascii="Times New Roman" w:eastAsia="Times New Roman" w:hAnsi="Times New Roman" w:cs="Times New Roman"/>
          <w:sz w:val="28"/>
          <w:szCs w:val="28"/>
        </w:rPr>
        <w:t>A study of 72 patients (including critically ill individuals with RNAemia) reported a median nasopharyngeal (NP) swab viral load of 6.98 log₁₀ copies/mL across all patients; among those with RNAemia who were critically ill, the median NP viral load was 5.4 log₁₀ copies/µL (which equates to roughly 8.4 log₁₀ copies/mL), significantly higher than in moderate-to-severe cases (2.6 log₁₀ copies/µL) and non-survivors versus survivors (6.2 log₁₀ copies/µL vs. 3.9 log₁₀ copies/µL).</w:t>
      </w:r>
    </w:p>
    <w:p w14:paraId="5BD40BA7" w14:textId="77777777" w:rsidR="003737B5" w:rsidRPr="00FC66E8" w:rsidRDefault="003737B5" w:rsidP="00FD2E80">
      <w:pPr>
        <w:spacing w:after="0" w:line="240" w:lineRule="auto"/>
        <w:ind w:firstLine="708"/>
        <w:jc w:val="both"/>
        <w:rPr>
          <w:rFonts w:ascii="Times New Roman" w:eastAsia="Times New Roman" w:hAnsi="Times New Roman" w:cs="Times New Roman"/>
          <w:sz w:val="28"/>
          <w:szCs w:val="28"/>
          <w:lang w:val="en-US"/>
        </w:rPr>
      </w:pPr>
    </w:p>
    <w:p w14:paraId="3D03A292" w14:textId="12D6C4F6" w:rsidR="0089659F" w:rsidRPr="00FC66E8" w:rsidRDefault="00FC66E8" w:rsidP="008C0D12">
      <w:pPr>
        <w:spacing w:after="0" w:line="240" w:lineRule="auto"/>
        <w:ind w:firstLine="708"/>
        <w:jc w:val="both"/>
        <w:rPr>
          <w:rFonts w:ascii="Times New Roman" w:eastAsia="Times New Roman" w:hAnsi="Times New Roman" w:cs="Times New Roman"/>
          <w:b/>
          <w:bCs/>
          <w:sz w:val="28"/>
          <w:szCs w:val="28"/>
          <w:lang w:val="en-US"/>
        </w:rPr>
      </w:pPr>
      <w:r w:rsidRPr="00FC66E8">
        <w:rPr>
          <w:rFonts w:ascii="Times New Roman" w:eastAsia="Times New Roman" w:hAnsi="Times New Roman" w:cs="Times New Roman"/>
          <w:b/>
          <w:bCs/>
          <w:sz w:val="28"/>
          <w:szCs w:val="28"/>
          <w:lang w:val="en-US"/>
        </w:rPr>
        <w:t xml:space="preserve">1.6 </w:t>
      </w:r>
      <w:r w:rsidR="0069111C" w:rsidRPr="00FC66E8">
        <w:rPr>
          <w:rFonts w:ascii="Times New Roman" w:eastAsia="Times New Roman" w:hAnsi="Times New Roman" w:cs="Times New Roman"/>
          <w:b/>
          <w:bCs/>
          <w:sz w:val="28"/>
          <w:szCs w:val="28"/>
        </w:rPr>
        <w:t xml:space="preserve">IL-33-Antiviral response cytokine (viral invasion imitator) </w:t>
      </w:r>
    </w:p>
    <w:p w14:paraId="1DCA77B0" w14:textId="0A1E2F81" w:rsidR="00F70C0E" w:rsidRPr="0089659F" w:rsidRDefault="0069111C" w:rsidP="008C0D12">
      <w:pPr>
        <w:spacing w:after="0" w:line="240" w:lineRule="auto"/>
        <w:ind w:firstLine="709"/>
        <w:jc w:val="both"/>
        <w:rPr>
          <w:rFonts w:ascii="Times New Roman" w:eastAsia="Times New Roman" w:hAnsi="Times New Roman" w:cs="Times New Roman"/>
          <w:b/>
          <w:bCs/>
          <w:sz w:val="28"/>
          <w:szCs w:val="28"/>
        </w:rPr>
      </w:pPr>
      <w:r w:rsidRPr="0089659F">
        <w:rPr>
          <w:rFonts w:ascii="Times New Roman" w:eastAsia="Times New Roman" w:hAnsi="Times New Roman" w:cs="Times New Roman"/>
          <w:bCs/>
          <w:sz w:val="28"/>
          <w:szCs w:val="28"/>
        </w:rPr>
        <w:t xml:space="preserve">The newly described innate lymphoid cells of group 2 (ILC2) play </w:t>
      </w:r>
      <w:r w:rsidR="00FC66E8">
        <w:rPr>
          <w:rFonts w:ascii="Times New Roman" w:eastAsia="Times New Roman" w:hAnsi="Times New Roman" w:cs="Times New Roman"/>
          <w:bCs/>
          <w:sz w:val="28"/>
          <w:szCs w:val="28"/>
        </w:rPr>
        <w:t>crucial roles in type 2 immune responses</w:t>
      </w:r>
      <w:r w:rsidRPr="0089659F">
        <w:rPr>
          <w:rFonts w:ascii="Times New Roman" w:eastAsia="Times New Roman" w:hAnsi="Times New Roman" w:cs="Times New Roman"/>
          <w:bCs/>
          <w:sz w:val="28"/>
          <w:szCs w:val="28"/>
        </w:rPr>
        <w:t>, epithelial repair in mucosal tissues, and metabolic homeostasis. ILC2 releases large amounts of type 2 cytokines, including interleukin-4 (IL-4), IL-5, and IL-13, which stimulate type 2 immunity</w:t>
      </w:r>
      <w:r w:rsidR="00C563C9" w:rsidRPr="0089659F">
        <w:rPr>
          <w:rFonts w:ascii="Times New Roman" w:eastAsia="Times New Roman" w:hAnsi="Times New Roman" w:cs="Times New Roman"/>
          <w:bCs/>
          <w:sz w:val="28"/>
          <w:szCs w:val="28"/>
        </w:rPr>
        <w:t xml:space="preserve"> and </w:t>
      </w:r>
      <w:r w:rsidR="00B00C46" w:rsidRPr="0089659F">
        <w:rPr>
          <w:rFonts w:ascii="Times New Roman" w:eastAsia="Times New Roman" w:hAnsi="Times New Roman" w:cs="Times New Roman"/>
          <w:bCs/>
          <w:sz w:val="28"/>
          <w:szCs w:val="28"/>
        </w:rPr>
        <w:t>protect</w:t>
      </w:r>
      <w:r w:rsidRPr="0089659F">
        <w:rPr>
          <w:rFonts w:ascii="Times New Roman" w:eastAsia="Times New Roman" w:hAnsi="Times New Roman" w:cs="Times New Roman"/>
          <w:bCs/>
          <w:sz w:val="28"/>
          <w:szCs w:val="28"/>
        </w:rPr>
        <w:t xml:space="preserve"> against parasitic worms. However, without strict regulation, the level of </w:t>
      </w:r>
      <w:r w:rsidR="00FC66E8">
        <w:rPr>
          <w:rFonts w:ascii="Times New Roman" w:eastAsia="Times New Roman" w:hAnsi="Times New Roman" w:cs="Times New Roman"/>
          <w:bCs/>
          <w:sz w:val="28"/>
          <w:szCs w:val="28"/>
        </w:rPr>
        <w:t>ILC2s can lead to undesirable type 2 immune pathologies, including allergic inflammation of the respiratory tract, respiratory hypersensitivity</w:t>
      </w:r>
      <w:r w:rsidRPr="0089659F">
        <w:rPr>
          <w:rFonts w:ascii="Times New Roman" w:eastAsia="Times New Roman" w:hAnsi="Times New Roman" w:cs="Times New Roman"/>
          <w:bCs/>
          <w:sz w:val="28"/>
          <w:szCs w:val="28"/>
        </w:rPr>
        <w:t xml:space="preserve">, and atopic dermatitis. Viral infections of the respiratory tract, which are typical triggers of type 1 immune reactions, often lead to type 2 pulmonary immune pathologies, such as asthma and its exacerbations. Interestingly, pulmonary </w:t>
      </w:r>
      <w:r w:rsidR="00FC66E8">
        <w:rPr>
          <w:rFonts w:ascii="Times New Roman" w:eastAsia="Times New Roman" w:hAnsi="Times New Roman" w:cs="Times New Roman"/>
          <w:bCs/>
          <w:sz w:val="28"/>
          <w:szCs w:val="28"/>
        </w:rPr>
        <w:t xml:space="preserve">viral infections induce IL-33 release, leading to subsequent ILC2-mediated type 2 pulmonary immunopathology, </w:t>
      </w:r>
      <w:r w:rsidRPr="0089659F">
        <w:rPr>
          <w:rFonts w:ascii="Times New Roman" w:eastAsia="Times New Roman" w:hAnsi="Times New Roman" w:cs="Times New Roman"/>
          <w:bCs/>
          <w:sz w:val="28"/>
          <w:szCs w:val="28"/>
        </w:rPr>
        <w:t>independent of the adaptive immune system [117].</w:t>
      </w:r>
    </w:p>
    <w:p w14:paraId="7E4B2188" w14:textId="4E3A2F8B" w:rsidR="00D7653F" w:rsidRPr="00A65D03" w:rsidRDefault="00C563C9" w:rsidP="00DA696E">
      <w:pPr>
        <w:spacing w:after="0" w:line="240" w:lineRule="auto"/>
        <w:ind w:firstLine="709"/>
        <w:jc w:val="both"/>
        <w:rPr>
          <w:rFonts w:ascii="Times New Roman" w:eastAsia="Times New Roman" w:hAnsi="Times New Roman" w:cs="Times New Roman"/>
          <w:sz w:val="28"/>
          <w:szCs w:val="28"/>
          <w:lang w:val="en-US"/>
        </w:rPr>
      </w:pPr>
      <w:r w:rsidRPr="00A65D03">
        <w:rPr>
          <w:rFonts w:ascii="Times New Roman" w:eastAsia="Times New Roman" w:hAnsi="Times New Roman" w:cs="Times New Roman"/>
          <w:sz w:val="28"/>
          <w:szCs w:val="28"/>
        </w:rPr>
        <w:lastRenderedPageBreak/>
        <w:t xml:space="preserve"> Interleukin-33 (IL-33) is a member of the IL-1 family of cytokines</w:t>
      </w:r>
      <w:r w:rsidR="008C0D12">
        <w:rPr>
          <w:rFonts w:ascii="Times New Roman" w:eastAsia="Times New Roman" w:hAnsi="Times New Roman" w:cs="Times New Roman"/>
          <w:sz w:val="28"/>
          <w:szCs w:val="28"/>
        </w:rPr>
        <w:t xml:space="preserve"> and plays</w:t>
      </w:r>
      <w:r w:rsidRPr="00A65D03">
        <w:rPr>
          <w:rFonts w:ascii="Times New Roman" w:eastAsia="Times New Roman" w:hAnsi="Times New Roman" w:cs="Times New Roman"/>
          <w:sz w:val="28"/>
          <w:szCs w:val="28"/>
        </w:rPr>
        <w:t xml:space="preserve"> a crucial role in the immune response. It is involved in various biological processes, including inflammation and tissue repair. Recent studies have highlighted its role in enhancing antiviral immunity.  IL-33 acts primarily through its receptor, ST2 (suppression of tumorigenicity 2), which is expressed on various immune cells, including T cells, mast cells (CD117), and innate lymphoid cells. The activation of the IL-33/ST2 axis leads to:1. Enhanced T Cell Response: IL-33 promotes the differentiation of CD4+ T cells into Th2 cells, which can enhance the overall antiviral response.2. Increased Cytokine Production: IL-33 stimulates the production of antiviral cytokines such as IFN-γ and IL-4, which are crucial for controlling viral infections.3. Innate Immune Activation: It activates innate immune cells, including macrophages and dendritic cells, enhancing their ability to detect and respond to viral pathogens. Research has shown that IL-33 can significantly </w:t>
      </w:r>
      <w:r w:rsidR="008C0D12">
        <w:rPr>
          <w:rFonts w:ascii="Times New Roman" w:eastAsia="Times New Roman" w:hAnsi="Times New Roman" w:cs="Times New Roman"/>
          <w:sz w:val="28"/>
          <w:szCs w:val="28"/>
        </w:rPr>
        <w:t>enhance antiviral responses</w:t>
      </w:r>
      <w:r w:rsidR="00A1680B" w:rsidRPr="00A65D03">
        <w:rPr>
          <w:rFonts w:ascii="Times New Roman" w:eastAsia="Times New Roman" w:hAnsi="Times New Roman" w:cs="Times New Roman"/>
          <w:sz w:val="28"/>
          <w:szCs w:val="28"/>
        </w:rPr>
        <w:t xml:space="preserve"> in mice by increasing</w:t>
      </w:r>
      <w:r w:rsidRPr="00A65D03">
        <w:rPr>
          <w:rFonts w:ascii="Times New Roman" w:eastAsia="Times New Roman" w:hAnsi="Times New Roman" w:cs="Times New Roman"/>
          <w:sz w:val="28"/>
          <w:szCs w:val="28"/>
        </w:rPr>
        <w:t xml:space="preserve"> viral clearance [117]. Mice treated with IL-33 exhibit faster clearance of viral infections, such as influenza. Enhanced </w:t>
      </w:r>
    </w:p>
    <w:p w14:paraId="06A33ADD" w14:textId="531E0266" w:rsidR="00934364" w:rsidRPr="00A07ABC" w:rsidRDefault="00C563C9" w:rsidP="00DA696E">
      <w:pPr>
        <w:spacing w:after="0" w:line="240" w:lineRule="auto"/>
        <w:ind w:firstLine="709"/>
        <w:jc w:val="both"/>
        <w:rPr>
          <w:rFonts w:ascii="Times New Roman" w:hAnsi="Times New Roman" w:cs="Times New Roman"/>
          <w:sz w:val="28"/>
          <w:szCs w:val="28"/>
          <w:lang w:val="en-US"/>
        </w:rPr>
      </w:pPr>
      <w:r w:rsidRPr="00A65D03">
        <w:rPr>
          <w:rFonts w:ascii="Times New Roman" w:eastAsia="Times New Roman" w:hAnsi="Times New Roman" w:cs="Times New Roman"/>
          <w:sz w:val="28"/>
          <w:szCs w:val="28"/>
        </w:rPr>
        <w:t xml:space="preserve">Antibody Production: IL-33 promotes the </w:t>
      </w:r>
      <w:r w:rsidRPr="00DA696E">
        <w:rPr>
          <w:rFonts w:ascii="Times New Roman" w:eastAsia="Times New Roman" w:hAnsi="Times New Roman" w:cs="Times New Roman"/>
          <w:sz w:val="28"/>
          <w:szCs w:val="28"/>
        </w:rPr>
        <w:t>generation of neutralising antibodies, which are essential for long-term immunity against viruses. Regulation of Immune Cell Recruitment: It influences the recruitment and activation of various immune cells to the site of infection</w:t>
      </w:r>
      <w:r w:rsidRPr="00A07ABC">
        <w:rPr>
          <w:rFonts w:ascii="Times New Roman" w:eastAsia="Times New Roman" w:hAnsi="Times New Roman" w:cs="Times New Roman"/>
          <w:sz w:val="28"/>
          <w:szCs w:val="28"/>
        </w:rPr>
        <w:t xml:space="preserve">, enhancing the overall immune response—experimental Evidence. Studies </w:t>
      </w:r>
      <w:r w:rsidR="008C0D12">
        <w:rPr>
          <w:rFonts w:ascii="Times New Roman" w:eastAsia="Times New Roman" w:hAnsi="Times New Roman" w:cs="Times New Roman"/>
          <w:sz w:val="28"/>
          <w:szCs w:val="28"/>
        </w:rPr>
        <w:t>using mouse models have demonstrated that IL-33 treatment during viral infections reduces viral load and improves survival</w:t>
      </w:r>
      <w:r w:rsidRPr="00A07ABC">
        <w:rPr>
          <w:rFonts w:ascii="Times New Roman" w:eastAsia="Times New Roman" w:hAnsi="Times New Roman" w:cs="Times New Roman"/>
          <w:sz w:val="28"/>
          <w:szCs w:val="28"/>
        </w:rPr>
        <w:t xml:space="preserve">. Knockout Models: Mice lacking the IL-33 receptor (ST2) exhibited impaired antiviral responses, underscoring the importance of this pathway in mediating immune protection.  IL-33 plays a significant role in enhancing </w:t>
      </w:r>
      <w:r w:rsidR="00FD2E80">
        <w:rPr>
          <w:rFonts w:ascii="Times New Roman" w:eastAsia="Times New Roman" w:hAnsi="Times New Roman" w:cs="Times New Roman"/>
          <w:sz w:val="28"/>
          <w:szCs w:val="28"/>
        </w:rPr>
        <w:t>antiviral immunity</w:t>
      </w:r>
      <w:r w:rsidRPr="00A07ABC">
        <w:rPr>
          <w:rFonts w:ascii="Times New Roman" w:eastAsia="Times New Roman" w:hAnsi="Times New Roman" w:cs="Times New Roman"/>
          <w:sz w:val="28"/>
          <w:szCs w:val="28"/>
        </w:rPr>
        <w:t xml:space="preserve"> in mice. Its ability to activate various immune pathways makes it a potential target for therapeutic interventions in viral infections. Further research could explore its applications in vaccine development and treatment strategies for viral diseases [117].</w:t>
      </w:r>
      <w:r w:rsidR="00B00C46" w:rsidRPr="00A07ABC">
        <w:rPr>
          <w:rFonts w:ascii="Times New Roman" w:eastAsia="Times New Roman" w:hAnsi="Times New Roman" w:cs="Times New Roman"/>
          <w:sz w:val="28"/>
          <w:szCs w:val="28"/>
        </w:rPr>
        <w:t xml:space="preserve"> CD117, also known as c-KIT, is a receptor tyrosine kinase that plays a vital role in the development and function of various cell types, particularly hematopoietic stem cells, mast cells, and interstitial cells of Cajal. IL-33, as mentioned earlier, is a cytokine involved in immune responses, particularly in promoting Th2-type responses. The interplay between CD117 and IL-33 is significant, </w:t>
      </w:r>
      <w:r w:rsidR="008C0D12">
        <w:rPr>
          <w:rFonts w:ascii="Times New Roman" w:eastAsia="Times New Roman" w:hAnsi="Times New Roman" w:cs="Times New Roman"/>
          <w:sz w:val="28"/>
          <w:szCs w:val="28"/>
        </w:rPr>
        <w:t xml:space="preserve">particularly in </w:t>
      </w:r>
      <w:r w:rsidR="00B00C46" w:rsidRPr="00A07ABC">
        <w:rPr>
          <w:rFonts w:ascii="Times New Roman" w:eastAsia="Times New Roman" w:hAnsi="Times New Roman" w:cs="Times New Roman"/>
          <w:sz w:val="28"/>
          <w:szCs w:val="28"/>
        </w:rPr>
        <w:t xml:space="preserve">immune modulation and inflammation. Role of CD1171.Mast Cell Development: CD117 is crucial for </w:t>
      </w:r>
      <w:r w:rsidR="008C1CF5">
        <w:rPr>
          <w:rFonts w:ascii="Times New Roman" w:eastAsia="Times New Roman" w:hAnsi="Times New Roman" w:cs="Times New Roman"/>
          <w:sz w:val="28"/>
          <w:szCs w:val="28"/>
        </w:rPr>
        <w:t>mast cell survival, proliferation, and differentiation, which play pivotal roles</w:t>
      </w:r>
      <w:r w:rsidR="00B00C46" w:rsidRPr="00A07ABC">
        <w:rPr>
          <w:rFonts w:ascii="Times New Roman" w:eastAsia="Times New Roman" w:hAnsi="Times New Roman" w:cs="Times New Roman"/>
          <w:sz w:val="28"/>
          <w:szCs w:val="28"/>
        </w:rPr>
        <w:t xml:space="preserve"> in allergic responses and inflammation [117].</w:t>
      </w:r>
      <w:r w:rsidR="00155A18" w:rsidRPr="00A07ABC">
        <w:rPr>
          <w:rFonts w:ascii="Times New Roman" w:eastAsia="Times New Roman" w:hAnsi="Times New Roman" w:cs="Times New Roman"/>
          <w:sz w:val="28"/>
          <w:szCs w:val="28"/>
        </w:rPr>
        <w:t xml:space="preserve"> </w:t>
      </w:r>
      <w:r w:rsidR="00B00C46" w:rsidRPr="00A07ABC">
        <w:rPr>
          <w:rFonts w:ascii="Times New Roman" w:hAnsi="Times New Roman" w:cs="Times New Roman"/>
          <w:sz w:val="28"/>
          <w:szCs w:val="28"/>
        </w:rPr>
        <w:t xml:space="preserve">Type 2 immunity is essential for immune defence against worm </w:t>
      </w:r>
      <w:r w:rsidR="00934364" w:rsidRPr="00A07ABC">
        <w:rPr>
          <w:rFonts w:ascii="Times New Roman" w:hAnsi="Times New Roman" w:cs="Times New Roman"/>
          <w:sz w:val="28"/>
          <w:szCs w:val="28"/>
        </w:rPr>
        <w:t>infections but</w:t>
      </w:r>
      <w:r w:rsidR="00B00C46" w:rsidRPr="00A07ABC">
        <w:rPr>
          <w:rFonts w:ascii="Times New Roman" w:hAnsi="Times New Roman" w:cs="Times New Roman"/>
          <w:sz w:val="28"/>
          <w:szCs w:val="28"/>
        </w:rPr>
        <w:t xml:space="preserve"> can also be triggered by </w:t>
      </w:r>
      <w:r w:rsidR="008C0D12">
        <w:rPr>
          <w:rFonts w:ascii="Times New Roman" w:hAnsi="Times New Roman" w:cs="Times New Roman"/>
          <w:sz w:val="28"/>
          <w:szCs w:val="28"/>
        </w:rPr>
        <w:t>respiratory viruses, such as respiratory syncytial virus, influenza virus, and</w:t>
      </w:r>
      <w:r w:rsidR="00B00C46" w:rsidRPr="00A07ABC">
        <w:rPr>
          <w:rFonts w:ascii="Times New Roman" w:hAnsi="Times New Roman" w:cs="Times New Roman"/>
          <w:sz w:val="28"/>
          <w:szCs w:val="28"/>
        </w:rPr>
        <w:t xml:space="preserve"> rhinoviruses [119-120]. </w:t>
      </w:r>
    </w:p>
    <w:p w14:paraId="01B62CE4" w14:textId="12617E18" w:rsidR="0069111C" w:rsidRPr="00DA696E" w:rsidRDefault="00927B60" w:rsidP="00DA696E">
      <w:pPr>
        <w:spacing w:after="0" w:line="240" w:lineRule="auto"/>
        <w:ind w:firstLine="709"/>
        <w:jc w:val="both"/>
        <w:rPr>
          <w:rFonts w:ascii="Times New Roman" w:hAnsi="Times New Roman" w:cs="Times New Roman"/>
          <w:sz w:val="28"/>
          <w:szCs w:val="28"/>
        </w:rPr>
      </w:pPr>
      <w:r w:rsidRPr="00DA696E">
        <w:rPr>
          <w:rFonts w:ascii="Times New Roman" w:hAnsi="Times New Roman" w:cs="Times New Roman"/>
          <w:sz w:val="28"/>
          <w:szCs w:val="28"/>
        </w:rPr>
        <w:t xml:space="preserve">This is surprising, as viral </w:t>
      </w:r>
      <w:r w:rsidR="008C0D12">
        <w:rPr>
          <w:rFonts w:ascii="Times New Roman" w:hAnsi="Times New Roman" w:cs="Times New Roman"/>
          <w:sz w:val="28"/>
          <w:szCs w:val="28"/>
        </w:rPr>
        <w:t>respiratory tract infections are potent inducers of innate and adaptive type 1 immune responses</w:t>
      </w:r>
      <w:r w:rsidRPr="00DA696E">
        <w:rPr>
          <w:rFonts w:ascii="Times New Roman" w:hAnsi="Times New Roman" w:cs="Times New Roman"/>
          <w:sz w:val="28"/>
          <w:szCs w:val="28"/>
        </w:rPr>
        <w:t>. It is important to note that viral respiratory infections are the leading cause of pathologies mediated by type 2 immunity, including bronchial asthma and its exacerbations [121]. All ILC groups depend on the transcription factor Id2</w:t>
      </w:r>
      <w:r w:rsidR="008F0E74">
        <w:rPr>
          <w:rFonts w:ascii="Times New Roman" w:hAnsi="Times New Roman" w:cs="Times New Roman"/>
          <w:sz w:val="28"/>
          <w:szCs w:val="28"/>
        </w:rPr>
        <w:t xml:space="preserve"> and</w:t>
      </w:r>
      <w:r w:rsidRPr="00DA696E">
        <w:rPr>
          <w:rFonts w:ascii="Times New Roman" w:hAnsi="Times New Roman" w:cs="Times New Roman"/>
          <w:sz w:val="28"/>
          <w:szCs w:val="28"/>
        </w:rPr>
        <w:t xml:space="preserve"> the entire gamma chain of the IL-2 receptor. Additionally, the transcription factors GATA3 and RORα are essential for the development and function of ILC2 [</w:t>
      </w:r>
      <w:r w:rsidR="0083323A" w:rsidRPr="00DA696E">
        <w:rPr>
          <w:rFonts w:ascii="Times New Roman" w:hAnsi="Times New Roman" w:cs="Times New Roman"/>
          <w:sz w:val="28"/>
          <w:szCs w:val="28"/>
        </w:rPr>
        <w:t>122</w:t>
      </w:r>
      <w:r w:rsidRPr="00DA696E">
        <w:rPr>
          <w:rFonts w:ascii="Times New Roman" w:hAnsi="Times New Roman" w:cs="Times New Roman"/>
          <w:sz w:val="28"/>
          <w:szCs w:val="28"/>
        </w:rPr>
        <w:t>].</w:t>
      </w:r>
      <w:r w:rsidR="00E544A5" w:rsidRPr="00DA696E">
        <w:rPr>
          <w:rFonts w:ascii="Times New Roman" w:hAnsi="Times New Roman" w:cs="Times New Roman"/>
          <w:sz w:val="28"/>
          <w:szCs w:val="28"/>
        </w:rPr>
        <w:t xml:space="preserve"> Group 2 innate lymphoid cells (ILC2) play a </w:t>
      </w:r>
      <w:r w:rsidR="00E544A5" w:rsidRPr="00DA696E">
        <w:rPr>
          <w:rFonts w:ascii="Times New Roman" w:hAnsi="Times New Roman" w:cs="Times New Roman"/>
          <w:sz w:val="28"/>
          <w:szCs w:val="28"/>
        </w:rPr>
        <w:lastRenderedPageBreak/>
        <w:t xml:space="preserve">critical role in regulating type 2 immune responses, tissue repair, and metabolic balance. They secrete cytokines such as IL-4, IL-5, and IL-13, which help defend against parasitic infections but can also drive allergic disorders (e.g., asthma, atopic dermatitis) if unregulated. Respiratory viral infections—though typically inducing type 1 immunity—can paradoxically trigger type 2 immunopathologies </w:t>
      </w:r>
      <w:r w:rsidR="008C0D12">
        <w:rPr>
          <w:rFonts w:ascii="Times New Roman" w:hAnsi="Times New Roman" w:cs="Times New Roman"/>
          <w:sz w:val="28"/>
          <w:szCs w:val="28"/>
        </w:rPr>
        <w:t>by activating ILC2s via</w:t>
      </w:r>
      <w:r w:rsidR="00E544A5" w:rsidRPr="00DA696E">
        <w:rPr>
          <w:rFonts w:ascii="Times New Roman" w:hAnsi="Times New Roman" w:cs="Times New Roman"/>
          <w:sz w:val="28"/>
          <w:szCs w:val="28"/>
        </w:rPr>
        <w:t xml:space="preserve"> IL-33.</w:t>
      </w:r>
    </w:p>
    <w:p w14:paraId="71009265" w14:textId="7A3046C8" w:rsidR="00823E65" w:rsidRDefault="00E544A5" w:rsidP="00DA696E">
      <w:pPr>
        <w:spacing w:after="0" w:line="240" w:lineRule="auto"/>
        <w:ind w:firstLine="709"/>
        <w:jc w:val="both"/>
        <w:rPr>
          <w:rFonts w:ascii="Times New Roman" w:hAnsi="Times New Roman" w:cs="Times New Roman"/>
          <w:sz w:val="28"/>
          <w:szCs w:val="28"/>
        </w:rPr>
      </w:pPr>
      <w:r w:rsidRPr="00DA696E">
        <w:rPr>
          <w:rFonts w:ascii="Times New Roman" w:hAnsi="Times New Roman" w:cs="Times New Roman"/>
          <w:sz w:val="28"/>
          <w:szCs w:val="28"/>
        </w:rPr>
        <w:t>Although viral infections (e.g., influenza, RSV, rhinovirus) usually activate type 1 immunity, they can paradoxically induce type 2 immune responses that exacerbate asthma and related respiratory diseases. The development and function of ILC2s depend on transcription factors such as Id2, GATA3, and RORα, as well as the IL-2 receptor γ-chain, underscoring their tightly regulated nature in maintaining immune balance.</w:t>
      </w:r>
    </w:p>
    <w:p w14:paraId="53A8839F" w14:textId="77777777" w:rsidR="00DA696E" w:rsidRPr="00DA696E" w:rsidRDefault="00DA696E" w:rsidP="00DA696E">
      <w:pPr>
        <w:spacing w:after="0" w:line="240" w:lineRule="auto"/>
        <w:ind w:firstLine="709"/>
        <w:jc w:val="both"/>
        <w:rPr>
          <w:rFonts w:ascii="Times New Roman" w:hAnsi="Times New Roman" w:cs="Times New Roman"/>
          <w:sz w:val="28"/>
          <w:szCs w:val="28"/>
        </w:rPr>
      </w:pPr>
    </w:p>
    <w:p w14:paraId="0D57B405" w14:textId="2E881BA0" w:rsidR="00DA696E" w:rsidRPr="00EB6A2C" w:rsidRDefault="00DA696E" w:rsidP="00EB6A2C">
      <w:pPr>
        <w:spacing w:after="0" w:line="240" w:lineRule="auto"/>
        <w:ind w:firstLine="709"/>
        <w:jc w:val="both"/>
        <w:rPr>
          <w:rFonts w:ascii="Times New Roman" w:hAnsi="Times New Roman" w:cs="Times New Roman"/>
          <w:b/>
          <w:bCs/>
          <w:sz w:val="28"/>
          <w:szCs w:val="28"/>
        </w:rPr>
      </w:pPr>
      <w:bookmarkStart w:id="16" w:name="_Hlk200730524"/>
      <w:r w:rsidRPr="00EB6A2C">
        <w:rPr>
          <w:rFonts w:ascii="Times New Roman" w:hAnsi="Times New Roman" w:cs="Times New Roman"/>
          <w:b/>
          <w:bCs/>
          <w:sz w:val="28"/>
          <w:szCs w:val="28"/>
        </w:rPr>
        <w:t>1.7</w:t>
      </w:r>
      <w:r w:rsidR="008C0D12" w:rsidRPr="00EB6A2C">
        <w:rPr>
          <w:rFonts w:ascii="Times New Roman" w:hAnsi="Times New Roman" w:cs="Times New Roman"/>
          <w:b/>
          <w:bCs/>
          <w:sz w:val="28"/>
          <w:szCs w:val="28"/>
          <w:lang w:val="en-US"/>
        </w:rPr>
        <w:t xml:space="preserve"> </w:t>
      </w:r>
      <w:r w:rsidR="00EB6A2C" w:rsidRPr="00EB6A2C">
        <w:rPr>
          <w:rFonts w:ascii="Times New Roman" w:hAnsi="Times New Roman" w:cs="Times New Roman"/>
          <w:b/>
          <w:bCs/>
          <w:sz w:val="28"/>
          <w:szCs w:val="28"/>
        </w:rPr>
        <w:t>Autoimmune Complications After Sinovac-CoronaVac COVID-19 Vaccination</w:t>
      </w:r>
      <w:r w:rsidR="00320E6B" w:rsidRPr="00EB6A2C">
        <w:rPr>
          <w:rFonts w:ascii="Times New Roman" w:hAnsi="Times New Roman" w:cs="Times New Roman"/>
          <w:b/>
          <w:bCs/>
          <w:sz w:val="28"/>
          <w:szCs w:val="28"/>
        </w:rPr>
        <w:t>)</w:t>
      </w:r>
      <w:bookmarkEnd w:id="16"/>
    </w:p>
    <w:p w14:paraId="2F21EF64" w14:textId="77777777" w:rsidR="008C0D12" w:rsidRPr="00B75453" w:rsidRDefault="00320E6B" w:rsidP="00A65D03">
      <w:pPr>
        <w:spacing w:after="0" w:line="240" w:lineRule="auto"/>
        <w:ind w:firstLine="709"/>
        <w:jc w:val="both"/>
        <w:rPr>
          <w:rFonts w:ascii="Times New Roman" w:hAnsi="Times New Roman" w:cs="Times New Roman"/>
          <w:sz w:val="28"/>
          <w:szCs w:val="28"/>
          <w:lang w:val="en-US"/>
        </w:rPr>
      </w:pPr>
      <w:r w:rsidRPr="00DA696E">
        <w:rPr>
          <w:rFonts w:ascii="Times New Roman" w:hAnsi="Times New Roman" w:cs="Times New Roman"/>
          <w:sz w:val="28"/>
          <w:szCs w:val="28"/>
        </w:rPr>
        <w:t xml:space="preserve">Vaccines are crucial for achieving collective immunity and are a powerful tool in preventive medicine, </w:t>
      </w:r>
      <w:r w:rsidR="002F73BC" w:rsidRPr="00DA696E">
        <w:rPr>
          <w:rFonts w:ascii="Times New Roman" w:hAnsi="Times New Roman" w:cs="Times New Roman"/>
          <w:sz w:val="28"/>
          <w:szCs w:val="28"/>
        </w:rPr>
        <w:t>as they activate</w:t>
      </w:r>
      <w:r w:rsidRPr="00DA696E">
        <w:rPr>
          <w:rFonts w:ascii="Times New Roman" w:hAnsi="Times New Roman" w:cs="Times New Roman"/>
          <w:sz w:val="28"/>
          <w:szCs w:val="28"/>
        </w:rPr>
        <w:t xml:space="preserve"> </w:t>
      </w:r>
      <w:r w:rsidR="008C0D12">
        <w:rPr>
          <w:rFonts w:ascii="Times New Roman" w:hAnsi="Times New Roman" w:cs="Times New Roman"/>
          <w:sz w:val="28"/>
          <w:szCs w:val="28"/>
        </w:rPr>
        <w:t>the secondary or adaptive immune response</w:t>
      </w:r>
      <w:r w:rsidRPr="00DA696E">
        <w:rPr>
          <w:rFonts w:ascii="Times New Roman" w:hAnsi="Times New Roman" w:cs="Times New Roman"/>
          <w:sz w:val="28"/>
          <w:szCs w:val="28"/>
        </w:rPr>
        <w:t>. Still, there are some groups of people for whom vaccination against SARS-CoV2 can be harmful and life-threatening. These patients (e.g.</w:t>
      </w:r>
      <w:r w:rsidR="00792AB1" w:rsidRPr="00DA696E">
        <w:rPr>
          <w:rFonts w:ascii="Times New Roman" w:hAnsi="Times New Roman" w:cs="Times New Roman"/>
          <w:sz w:val="28"/>
          <w:szCs w:val="28"/>
        </w:rPr>
        <w:t>, with Autoimmune disorders) are more seriously compromised by immunisation</w:t>
      </w:r>
      <w:r w:rsidR="008C0D12">
        <w:rPr>
          <w:rFonts w:ascii="Times New Roman" w:hAnsi="Times New Roman" w:cs="Times New Roman"/>
          <w:sz w:val="28"/>
          <w:szCs w:val="28"/>
        </w:rPr>
        <w:t xml:space="preserve"> than by</w:t>
      </w:r>
      <w:r w:rsidR="00792AB1" w:rsidRPr="00DA696E">
        <w:rPr>
          <w:rFonts w:ascii="Times New Roman" w:hAnsi="Times New Roman" w:cs="Times New Roman"/>
          <w:sz w:val="28"/>
          <w:szCs w:val="28"/>
        </w:rPr>
        <w:t xml:space="preserve"> complications from viral infections</w:t>
      </w:r>
      <w:r w:rsidRPr="00DA696E">
        <w:rPr>
          <w:rFonts w:ascii="Times New Roman" w:hAnsi="Times New Roman" w:cs="Times New Roman"/>
          <w:sz w:val="28"/>
          <w:szCs w:val="28"/>
        </w:rPr>
        <w:t xml:space="preserve"> [123].</w:t>
      </w:r>
      <w:r w:rsidR="002F73BC" w:rsidRPr="00DA696E">
        <w:rPr>
          <w:rFonts w:ascii="Times New Roman" w:hAnsi="Times New Roman" w:cs="Times New Roman"/>
          <w:sz w:val="28"/>
          <w:szCs w:val="28"/>
        </w:rPr>
        <w:t xml:space="preserve"> </w:t>
      </w:r>
      <w:r w:rsidR="002F73BC" w:rsidRPr="00DA696E">
        <w:rPr>
          <w:rFonts w:ascii="Times New Roman" w:hAnsi="Times New Roman" w:cs="Times New Roman"/>
          <w:b/>
          <w:bCs/>
          <w:sz w:val="28"/>
          <w:szCs w:val="28"/>
        </w:rPr>
        <w:t xml:space="preserve"> </w:t>
      </w:r>
      <w:r w:rsidR="002F73BC" w:rsidRPr="00DA696E">
        <w:rPr>
          <w:rFonts w:ascii="Times New Roman" w:hAnsi="Times New Roman" w:cs="Times New Roman"/>
          <w:sz w:val="28"/>
          <w:szCs w:val="28"/>
        </w:rPr>
        <w:t>On February 1, 2021, mass vaccination against COVID-19 began in the Republic of Kazakhstan [123]. Vaccination protects against infectious agents through the production of antibodies [123]. During the COVID-19 pandemic, Kazakhstan utilised several vaccines: the combined vector vaccine Sputnik V (Russia), inactivated vaccines SinoVac-CoronaVac (China), Sinopharm, QazVac (Kazakhstan), and the RNA-based Pfizer/BioNTech (USA) vaccine [123</w:t>
      </w:r>
      <w:r w:rsidR="00CE0AE4" w:rsidRPr="00DA696E">
        <w:rPr>
          <w:rFonts w:ascii="Times New Roman" w:hAnsi="Times New Roman" w:cs="Times New Roman"/>
          <w:sz w:val="28"/>
          <w:szCs w:val="28"/>
        </w:rPr>
        <w:t>-12</w:t>
      </w:r>
      <w:r w:rsidR="006A13C5" w:rsidRPr="00DA696E">
        <w:rPr>
          <w:rFonts w:ascii="Times New Roman" w:hAnsi="Times New Roman" w:cs="Times New Roman"/>
          <w:sz w:val="28"/>
          <w:szCs w:val="28"/>
        </w:rPr>
        <w:t>6</w:t>
      </w:r>
      <w:r w:rsidR="002F73BC" w:rsidRPr="00DA696E">
        <w:rPr>
          <w:rFonts w:ascii="Times New Roman" w:hAnsi="Times New Roman" w:cs="Times New Roman"/>
          <w:sz w:val="28"/>
          <w:szCs w:val="28"/>
        </w:rPr>
        <w:t xml:space="preserve">]. </w:t>
      </w:r>
    </w:p>
    <w:p w14:paraId="210EA9B0" w14:textId="531386A9" w:rsidR="00F45A99" w:rsidRPr="00A07ABC" w:rsidRDefault="00022DE4" w:rsidP="00A65D03">
      <w:pPr>
        <w:spacing w:after="0" w:line="240" w:lineRule="auto"/>
        <w:ind w:firstLine="709"/>
        <w:jc w:val="both"/>
        <w:rPr>
          <w:rFonts w:ascii="Times New Roman" w:hAnsi="Times New Roman" w:cs="Times New Roman"/>
          <w:b/>
          <w:bCs/>
          <w:sz w:val="28"/>
          <w:szCs w:val="28"/>
        </w:rPr>
      </w:pPr>
      <w:r w:rsidRPr="00DA696E">
        <w:rPr>
          <w:rFonts w:ascii="Times New Roman" w:hAnsi="Times New Roman" w:cs="Times New Roman"/>
          <w:sz w:val="28"/>
          <w:szCs w:val="28"/>
        </w:rPr>
        <w:t xml:space="preserve">SinoVac-CoronaVac, developed by Sinovac Biotech, is an inactivated COVID-19 vaccine containing chemically inactivated SARS-CoV-2 grown on Vero cells. These vaccines include </w:t>
      </w:r>
      <w:r w:rsidRPr="00A07ABC">
        <w:rPr>
          <w:rFonts w:ascii="Times New Roman" w:hAnsi="Times New Roman" w:cs="Times New Roman"/>
          <w:sz w:val="28"/>
          <w:szCs w:val="28"/>
        </w:rPr>
        <w:t>aluminium hydroxide or similar adjuvants. The immune response targets the SARS-CoV-2 spike protein, along with matrix, envelope, and nucleoproteins [123</w:t>
      </w:r>
      <w:r w:rsidR="00CE0AE4" w:rsidRPr="00A07ABC">
        <w:rPr>
          <w:rFonts w:ascii="Times New Roman" w:hAnsi="Times New Roman" w:cs="Times New Roman"/>
          <w:sz w:val="28"/>
          <w:szCs w:val="28"/>
        </w:rPr>
        <w:t>-12</w:t>
      </w:r>
      <w:r w:rsidR="00AE6EAA" w:rsidRPr="00A07ABC">
        <w:rPr>
          <w:rFonts w:ascii="Times New Roman" w:hAnsi="Times New Roman" w:cs="Times New Roman"/>
          <w:sz w:val="28"/>
          <w:szCs w:val="28"/>
        </w:rPr>
        <w:t>6</w:t>
      </w:r>
      <w:r w:rsidRPr="00A07ABC">
        <w:rPr>
          <w:rFonts w:ascii="Times New Roman" w:hAnsi="Times New Roman" w:cs="Times New Roman"/>
          <w:sz w:val="28"/>
          <w:szCs w:val="28"/>
        </w:rPr>
        <w:t xml:space="preserve">].  In November 2021, a 32-year-old woman presented to her general practitioner with symptoms including joint pain, morning stiffness, dry eyes, dry mouth, weight loss, facial hyperpigmentation, and elevated blood pressure. </w:t>
      </w:r>
    </w:p>
    <w:p w14:paraId="0E449F19" w14:textId="271E8450" w:rsidR="00C16557" w:rsidRPr="00A07ABC" w:rsidRDefault="00022DE4" w:rsidP="00A07ABC">
      <w:pPr>
        <w:spacing w:after="0" w:line="240" w:lineRule="auto"/>
        <w:ind w:firstLine="709"/>
        <w:jc w:val="both"/>
        <w:rPr>
          <w:rFonts w:ascii="Times New Roman" w:hAnsi="Times New Roman" w:cs="Times New Roman"/>
          <w:sz w:val="28"/>
          <w:szCs w:val="28"/>
        </w:rPr>
      </w:pPr>
      <w:r w:rsidRPr="00A07ABC">
        <w:rPr>
          <w:rFonts w:ascii="Times New Roman" w:hAnsi="Times New Roman" w:cs="Times New Roman"/>
          <w:sz w:val="28"/>
          <w:szCs w:val="28"/>
        </w:rPr>
        <w:t xml:space="preserve">Symptoms began two weeks after the second dose of the SinoVac-CoronaVac vaccine. A rheumatologist diagnosed her with rheumatoid arthritis. This case suggests that COVID-19 vaccination with the SinoVac-CoronaVac vaccine activated the immune system and acted as a trigger for the development of autoimmune overlap syndrome. Recognising the </w:t>
      </w:r>
      <w:r w:rsidR="008C0D12">
        <w:rPr>
          <w:rFonts w:ascii="Times New Roman" w:hAnsi="Times New Roman" w:cs="Times New Roman"/>
          <w:sz w:val="28"/>
          <w:szCs w:val="28"/>
        </w:rPr>
        <w:t>potential for autoimmune complications enables better post-vaccination patient monitoring and care</w:t>
      </w:r>
      <w:r w:rsidRPr="00A07ABC">
        <w:rPr>
          <w:rFonts w:ascii="Times New Roman" w:hAnsi="Times New Roman" w:cs="Times New Roman"/>
          <w:sz w:val="28"/>
          <w:szCs w:val="28"/>
        </w:rPr>
        <w:t xml:space="preserve">. Treatment included corticosteroids, non-steroidal anti-inflammatory drugs, and rituximab. The patient passed away in 2023 [123]. </w:t>
      </w:r>
      <w:r w:rsidR="00075C34" w:rsidRPr="00A07ABC">
        <w:rPr>
          <w:rFonts w:ascii="Times New Roman" w:hAnsi="Times New Roman" w:cs="Times New Roman"/>
          <w:sz w:val="28"/>
          <w:szCs w:val="28"/>
        </w:rPr>
        <w:t xml:space="preserve"> </w:t>
      </w:r>
      <w:r w:rsidRPr="00A07ABC">
        <w:rPr>
          <w:rFonts w:ascii="Times New Roman" w:hAnsi="Times New Roman" w:cs="Times New Roman"/>
          <w:sz w:val="28"/>
          <w:szCs w:val="28"/>
        </w:rPr>
        <w:t xml:space="preserve">This case describes the development of an overlap syndrome, characterised by rheumatoid arthritis and systemic lupus erythematosus (SLE), in a patient who received the inactivated SinoVac-CoronaVac COVID-19 vaccine. </w:t>
      </w:r>
    </w:p>
    <w:p w14:paraId="4F9DFC2F" w14:textId="0E99AA30" w:rsidR="00C16557" w:rsidRPr="00A07ABC" w:rsidRDefault="00022DE4" w:rsidP="00A07ABC">
      <w:pPr>
        <w:spacing w:after="0" w:line="240" w:lineRule="auto"/>
        <w:ind w:firstLine="708"/>
        <w:jc w:val="both"/>
        <w:rPr>
          <w:rFonts w:ascii="Times New Roman" w:hAnsi="Times New Roman" w:cs="Times New Roman"/>
          <w:sz w:val="28"/>
          <w:szCs w:val="28"/>
        </w:rPr>
      </w:pPr>
      <w:r w:rsidRPr="00A07ABC">
        <w:rPr>
          <w:rFonts w:ascii="Times New Roman" w:hAnsi="Times New Roman" w:cs="Times New Roman"/>
          <w:sz w:val="28"/>
          <w:szCs w:val="28"/>
        </w:rPr>
        <w:lastRenderedPageBreak/>
        <w:t xml:space="preserve">The examination findings indicate autoimmune involvement triggered post-vaccination. It is hypothesised that antibodies generated </w:t>
      </w:r>
      <w:r w:rsidR="00D71468">
        <w:rPr>
          <w:rFonts w:ascii="Times New Roman" w:hAnsi="Times New Roman" w:cs="Times New Roman"/>
          <w:sz w:val="28"/>
          <w:szCs w:val="28"/>
        </w:rPr>
        <w:t>by the vaccine might have cross-reacted with the patient’s cells, triggering</w:t>
      </w:r>
      <w:r w:rsidRPr="00A07ABC">
        <w:rPr>
          <w:rFonts w:ascii="Times New Roman" w:hAnsi="Times New Roman" w:cs="Times New Roman"/>
          <w:sz w:val="28"/>
          <w:szCs w:val="28"/>
        </w:rPr>
        <w:t xml:space="preserve"> an autoimmune overlap syndrome. </w:t>
      </w:r>
      <w:r w:rsidR="00075C34" w:rsidRPr="00A07ABC">
        <w:rPr>
          <w:rFonts w:ascii="Times New Roman" w:hAnsi="Times New Roman" w:cs="Times New Roman"/>
          <w:sz w:val="28"/>
          <w:szCs w:val="28"/>
        </w:rPr>
        <w:t xml:space="preserve">A clinical case described by </w:t>
      </w:r>
      <w:proofErr w:type="spellStart"/>
      <w:r w:rsidR="00075C34" w:rsidRPr="00A07ABC">
        <w:rPr>
          <w:rFonts w:ascii="Times New Roman" w:hAnsi="Times New Roman" w:cs="Times New Roman"/>
          <w:sz w:val="28"/>
          <w:szCs w:val="28"/>
        </w:rPr>
        <w:t>Nurgaliyeva</w:t>
      </w:r>
      <w:proofErr w:type="spellEnd"/>
      <w:r w:rsidR="00075C34" w:rsidRPr="00A07ABC">
        <w:rPr>
          <w:rFonts w:ascii="Times New Roman" w:hAnsi="Times New Roman" w:cs="Times New Roman"/>
          <w:sz w:val="28"/>
          <w:szCs w:val="28"/>
        </w:rPr>
        <w:t xml:space="preserve"> et al. (2024) details the development of a complex autoimmune overlap syndrome in a previously healthy 32-year-old woman, who manifested symptoms two weeks after receiving the second dose of Sinovac-CoronaVac. The patient developed rheumatoid arthritis, systemic lupus erythematosus (SLE), and Sjögren’s syndrome–like features, with hematologic (leukopenia, thrombocytopenia), renal (proteinuria), musculoskeletal (polyarthritis), and systemic (weight loss, myalgia, pleuritis, pericarditis) involvement. Laboratory findings confirmed elevated inflammatory markers (CRP, ESR), high autoantibody titers (ANA, lupus anticoagulant, anti-DNA), and signs of hypercoagulation. Despite treatment with corticosteroids, NSAIDs, and rituximab, the patient’s disease progressed, and she later died in 2023</w:t>
      </w:r>
      <w:r w:rsidR="006D59DE" w:rsidRPr="00A07ABC">
        <w:rPr>
          <w:rFonts w:ascii="Times New Roman" w:hAnsi="Times New Roman" w:cs="Times New Roman"/>
          <w:sz w:val="28"/>
          <w:szCs w:val="28"/>
        </w:rPr>
        <w:t>[127</w:t>
      </w:r>
      <w:r w:rsidR="00987955">
        <w:rPr>
          <w:rFonts w:ascii="Times New Roman" w:hAnsi="Times New Roman" w:cs="Times New Roman"/>
          <w:sz w:val="28"/>
          <w:szCs w:val="28"/>
          <w:lang w:val="en-US"/>
        </w:rPr>
        <w:t>]</w:t>
      </w:r>
      <w:r w:rsidR="00075C34" w:rsidRPr="00A07ABC">
        <w:rPr>
          <w:rFonts w:ascii="Times New Roman" w:hAnsi="Times New Roman" w:cs="Times New Roman"/>
          <w:sz w:val="28"/>
          <w:szCs w:val="28"/>
        </w:rPr>
        <w:t xml:space="preserve">. </w:t>
      </w:r>
    </w:p>
    <w:p w14:paraId="0F6BD476" w14:textId="36819F2F" w:rsidR="003D3474" w:rsidRDefault="006D59DE" w:rsidP="006D59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The</w:t>
      </w:r>
      <w:r w:rsidR="00075C34" w:rsidRPr="00A07ABC">
        <w:rPr>
          <w:rFonts w:ascii="Times New Roman" w:hAnsi="Times New Roman" w:cs="Times New Roman"/>
          <w:sz w:val="28"/>
          <w:szCs w:val="28"/>
        </w:rPr>
        <w:t xml:space="preserve"> vaccination acted as a trigger in genetically predisposed individuals, potentially via molecular mimicry or non-specific T-cell activation, mechanisms previously discussed in autoimmune. Comparable immune dysregulation has been reported in the context of COVID-19 itself. A separate case of Guillain-Barré Syndrome (GBS) occurred in a 47-year-old gastric cancer patient after SARS-CoV-2 pneumonia, highlighting the autoimmune potential of viral infection. The patient developed a mixed axonal-demyelinating neuropathy (AMSAN subtype) shortly after COVID-19 recovery. </w:t>
      </w:r>
    </w:p>
    <w:p w14:paraId="7BB75AB7" w14:textId="68084F47" w:rsidR="006D59DE" w:rsidRPr="008B1377" w:rsidRDefault="00863C0B" w:rsidP="006D59DE">
      <w:pPr>
        <w:spacing w:after="0" w:line="240" w:lineRule="auto"/>
        <w:ind w:firstLine="709"/>
        <w:jc w:val="both"/>
        <w:rPr>
          <w:rFonts w:ascii="Times New Roman" w:hAnsi="Times New Roman" w:cs="Times New Roman"/>
          <w:sz w:val="28"/>
          <w:szCs w:val="28"/>
          <w:lang w:val="en-US"/>
        </w:rPr>
      </w:pPr>
      <w:r w:rsidRPr="00863C0B">
        <w:rPr>
          <w:rFonts w:ascii="Times New Roman" w:hAnsi="Times New Roman" w:cs="Times New Roman"/>
          <w:sz w:val="28"/>
          <w:szCs w:val="28"/>
        </w:rPr>
        <w:t xml:space="preserve">At present, mRNA-based vaccines demonstrate a generally </w:t>
      </w:r>
      <w:r w:rsidR="0027580B">
        <w:rPr>
          <w:rFonts w:ascii="Times New Roman" w:hAnsi="Times New Roman" w:cs="Times New Roman"/>
          <w:sz w:val="28"/>
          <w:szCs w:val="28"/>
        </w:rPr>
        <w:t>favourable</w:t>
      </w:r>
      <w:r w:rsidRPr="00863C0B">
        <w:rPr>
          <w:rFonts w:ascii="Times New Roman" w:hAnsi="Times New Roman" w:cs="Times New Roman"/>
          <w:sz w:val="28"/>
          <w:szCs w:val="28"/>
        </w:rPr>
        <w:t xml:space="preserve"> safety and efficacy profile, though </w:t>
      </w:r>
      <w:r w:rsidR="0027580B">
        <w:rPr>
          <w:rFonts w:ascii="Times New Roman" w:hAnsi="Times New Roman" w:cs="Times New Roman"/>
          <w:sz w:val="28"/>
          <w:szCs w:val="28"/>
        </w:rPr>
        <w:t>particular</w:t>
      </w:r>
      <w:r w:rsidRPr="00863C0B">
        <w:rPr>
          <w:rFonts w:ascii="Times New Roman" w:hAnsi="Times New Roman" w:cs="Times New Roman"/>
          <w:sz w:val="28"/>
          <w:szCs w:val="28"/>
        </w:rPr>
        <w:t xml:space="preserve"> rare but clinically relevant adverse events have been observed. The majority of side effects are mild to moderate—such as local injection site pain, fatigue, and headache—and typically resolve within a few days [1</w:t>
      </w:r>
      <w:r w:rsidR="00236BBE">
        <w:rPr>
          <w:rFonts w:ascii="Times New Roman" w:hAnsi="Times New Roman" w:cs="Times New Roman"/>
          <w:sz w:val="28"/>
          <w:szCs w:val="28"/>
        </w:rPr>
        <w:t>28</w:t>
      </w:r>
      <w:r w:rsidRPr="00863C0B">
        <w:rPr>
          <w:rFonts w:ascii="Times New Roman" w:hAnsi="Times New Roman" w:cs="Times New Roman"/>
          <w:sz w:val="28"/>
          <w:szCs w:val="28"/>
        </w:rPr>
        <w:t>]. However, cases of myocarditis and pericarditis, mainly among young males following the second dose, have been documented, prompting updates to safety recommendations [</w:t>
      </w:r>
      <w:r w:rsidR="00236BBE">
        <w:rPr>
          <w:rFonts w:ascii="Times New Roman" w:hAnsi="Times New Roman" w:cs="Times New Roman"/>
          <w:sz w:val="28"/>
          <w:szCs w:val="28"/>
        </w:rPr>
        <w:t>1</w:t>
      </w:r>
      <w:r w:rsidRPr="00863C0B">
        <w:rPr>
          <w:rFonts w:ascii="Times New Roman" w:hAnsi="Times New Roman" w:cs="Times New Roman"/>
          <w:sz w:val="28"/>
          <w:szCs w:val="28"/>
        </w:rPr>
        <w:t>2</w:t>
      </w:r>
      <w:r w:rsidR="00236BBE">
        <w:rPr>
          <w:rFonts w:ascii="Times New Roman" w:hAnsi="Times New Roman" w:cs="Times New Roman"/>
          <w:sz w:val="28"/>
          <w:szCs w:val="28"/>
        </w:rPr>
        <w:t>9</w:t>
      </w:r>
      <w:r w:rsidRPr="00863C0B">
        <w:rPr>
          <w:rFonts w:ascii="Times New Roman" w:hAnsi="Times New Roman" w:cs="Times New Roman"/>
          <w:sz w:val="28"/>
          <w:szCs w:val="28"/>
        </w:rPr>
        <w:t>]. Hypotheses regarding possible long-term effects, including chronic autoinflammation or DNA damage in vulnerable individuals, remain unconfirmed and require further longitudinal research [</w:t>
      </w:r>
      <w:r w:rsidR="00236BBE">
        <w:rPr>
          <w:rFonts w:ascii="Times New Roman" w:hAnsi="Times New Roman" w:cs="Times New Roman"/>
          <w:sz w:val="28"/>
          <w:szCs w:val="28"/>
        </w:rPr>
        <w:t>1</w:t>
      </w:r>
      <w:r w:rsidRPr="00863C0B">
        <w:rPr>
          <w:rFonts w:ascii="Times New Roman" w:hAnsi="Times New Roman" w:cs="Times New Roman"/>
          <w:sz w:val="28"/>
          <w:szCs w:val="28"/>
        </w:rPr>
        <w:t>3</w:t>
      </w:r>
      <w:r w:rsidR="00236BBE">
        <w:rPr>
          <w:rFonts w:ascii="Times New Roman" w:hAnsi="Times New Roman" w:cs="Times New Roman"/>
          <w:sz w:val="28"/>
          <w:szCs w:val="28"/>
        </w:rPr>
        <w:t>0</w:t>
      </w:r>
      <w:r w:rsidRPr="00863C0B">
        <w:rPr>
          <w:rFonts w:ascii="Times New Roman" w:hAnsi="Times New Roman" w:cs="Times New Roman"/>
          <w:sz w:val="28"/>
          <w:szCs w:val="28"/>
        </w:rPr>
        <w:t xml:space="preserve">]. Overall, the benefits of large-scale mRNA vaccination—particularly the reduction in severe COVID-19 cases and </w:t>
      </w:r>
      <w:r w:rsidR="0027580B">
        <w:rPr>
          <w:rFonts w:ascii="Times New Roman" w:hAnsi="Times New Roman" w:cs="Times New Roman"/>
          <w:sz w:val="28"/>
          <w:szCs w:val="28"/>
        </w:rPr>
        <w:t>hospitalisations</w:t>
      </w:r>
      <w:r w:rsidRPr="00863C0B">
        <w:rPr>
          <w:rFonts w:ascii="Times New Roman" w:hAnsi="Times New Roman" w:cs="Times New Roman"/>
          <w:sz w:val="28"/>
          <w:szCs w:val="28"/>
        </w:rPr>
        <w:t>—are considered to outweigh the potential risks</w:t>
      </w:r>
      <w:r w:rsidR="0027580B">
        <w:rPr>
          <w:rFonts w:ascii="Times New Roman" w:hAnsi="Times New Roman" w:cs="Times New Roman"/>
          <w:sz w:val="28"/>
          <w:szCs w:val="28"/>
        </w:rPr>
        <w:t>. At the same time,</w:t>
      </w:r>
      <w:r w:rsidRPr="00863C0B">
        <w:rPr>
          <w:rFonts w:ascii="Times New Roman" w:hAnsi="Times New Roman" w:cs="Times New Roman"/>
          <w:sz w:val="28"/>
          <w:szCs w:val="28"/>
        </w:rPr>
        <w:t xml:space="preserve"> ongoing pharmacovigilance continues to monitor for rare complications [</w:t>
      </w:r>
      <w:r w:rsidR="00236BBE">
        <w:rPr>
          <w:rFonts w:ascii="Times New Roman" w:hAnsi="Times New Roman" w:cs="Times New Roman"/>
          <w:sz w:val="28"/>
          <w:szCs w:val="28"/>
        </w:rPr>
        <w:t>131</w:t>
      </w:r>
      <w:r w:rsidRPr="00863C0B">
        <w:rPr>
          <w:rFonts w:ascii="Times New Roman" w:hAnsi="Times New Roman" w:cs="Times New Roman"/>
          <w:sz w:val="28"/>
          <w:szCs w:val="28"/>
        </w:rPr>
        <w:t>].</w:t>
      </w:r>
    </w:p>
    <w:p w14:paraId="5672D461" w14:textId="77777777" w:rsidR="002B741A" w:rsidRPr="008B1377" w:rsidRDefault="002B741A" w:rsidP="006D59DE">
      <w:pPr>
        <w:spacing w:after="0" w:line="240" w:lineRule="auto"/>
        <w:ind w:firstLine="709"/>
        <w:jc w:val="both"/>
        <w:rPr>
          <w:rFonts w:ascii="Times New Roman" w:hAnsi="Times New Roman" w:cs="Times New Roman"/>
          <w:sz w:val="28"/>
          <w:szCs w:val="28"/>
          <w:lang w:val="en-US"/>
        </w:rPr>
      </w:pPr>
    </w:p>
    <w:p w14:paraId="5A0A7D49" w14:textId="77777777" w:rsidR="002B741A" w:rsidRPr="00863C0B" w:rsidRDefault="002B741A" w:rsidP="006D59DE">
      <w:pPr>
        <w:spacing w:after="0" w:line="240" w:lineRule="auto"/>
        <w:ind w:firstLine="709"/>
        <w:jc w:val="both"/>
        <w:rPr>
          <w:rFonts w:ascii="Times New Roman" w:hAnsi="Times New Roman" w:cs="Times New Roman"/>
          <w:sz w:val="28"/>
          <w:szCs w:val="28"/>
          <w:lang w:val="en-US"/>
        </w:rPr>
      </w:pPr>
    </w:p>
    <w:p w14:paraId="2B63428A" w14:textId="77777777" w:rsidR="00D71468" w:rsidRPr="00863C0B" w:rsidRDefault="00D71468" w:rsidP="006D59DE">
      <w:pPr>
        <w:spacing w:after="0" w:line="240" w:lineRule="auto"/>
        <w:ind w:firstLine="709"/>
        <w:jc w:val="both"/>
        <w:rPr>
          <w:rFonts w:ascii="Times New Roman" w:hAnsi="Times New Roman" w:cs="Times New Roman"/>
          <w:sz w:val="28"/>
          <w:szCs w:val="28"/>
          <w:lang w:val="en-US"/>
        </w:rPr>
      </w:pPr>
    </w:p>
    <w:p w14:paraId="04D9D8BD" w14:textId="77777777" w:rsidR="00D71468" w:rsidRPr="00863C0B" w:rsidRDefault="00D71468" w:rsidP="006D59DE">
      <w:pPr>
        <w:spacing w:after="0" w:line="240" w:lineRule="auto"/>
        <w:ind w:firstLine="709"/>
        <w:jc w:val="both"/>
        <w:rPr>
          <w:rFonts w:ascii="Times New Roman" w:hAnsi="Times New Roman" w:cs="Times New Roman"/>
          <w:sz w:val="28"/>
          <w:szCs w:val="28"/>
          <w:lang w:val="en-US"/>
        </w:rPr>
      </w:pPr>
    </w:p>
    <w:p w14:paraId="5CDB4550" w14:textId="77777777" w:rsidR="00D71468" w:rsidRPr="00863C0B" w:rsidRDefault="00D71468" w:rsidP="006D59DE">
      <w:pPr>
        <w:spacing w:after="0" w:line="240" w:lineRule="auto"/>
        <w:ind w:firstLine="709"/>
        <w:jc w:val="both"/>
        <w:rPr>
          <w:rFonts w:ascii="Times New Roman" w:hAnsi="Times New Roman" w:cs="Times New Roman"/>
          <w:sz w:val="28"/>
          <w:szCs w:val="28"/>
          <w:lang w:val="en-US"/>
        </w:rPr>
      </w:pPr>
    </w:p>
    <w:p w14:paraId="6CB9650C" w14:textId="77777777" w:rsidR="00D71468" w:rsidRPr="00863C0B" w:rsidRDefault="00D71468" w:rsidP="006D59DE">
      <w:pPr>
        <w:spacing w:after="0" w:line="240" w:lineRule="auto"/>
        <w:ind w:firstLine="709"/>
        <w:jc w:val="both"/>
        <w:rPr>
          <w:rFonts w:ascii="Times New Roman" w:hAnsi="Times New Roman" w:cs="Times New Roman"/>
          <w:sz w:val="28"/>
          <w:szCs w:val="28"/>
          <w:lang w:val="en-US"/>
        </w:rPr>
      </w:pPr>
    </w:p>
    <w:p w14:paraId="3722EF22" w14:textId="77777777" w:rsidR="00D71468" w:rsidRPr="00863C0B" w:rsidRDefault="00D71468" w:rsidP="006D59DE">
      <w:pPr>
        <w:spacing w:after="0" w:line="240" w:lineRule="auto"/>
        <w:ind w:firstLine="709"/>
        <w:jc w:val="both"/>
        <w:rPr>
          <w:rFonts w:ascii="Times New Roman" w:hAnsi="Times New Roman" w:cs="Times New Roman"/>
          <w:sz w:val="28"/>
          <w:szCs w:val="28"/>
          <w:lang w:val="en-US"/>
        </w:rPr>
      </w:pPr>
    </w:p>
    <w:p w14:paraId="7F4EE704" w14:textId="77777777" w:rsidR="00D71468" w:rsidRPr="00863C0B" w:rsidRDefault="00D71468" w:rsidP="006D59DE">
      <w:pPr>
        <w:spacing w:after="0" w:line="240" w:lineRule="auto"/>
        <w:ind w:firstLine="709"/>
        <w:jc w:val="both"/>
        <w:rPr>
          <w:rFonts w:ascii="Times New Roman" w:hAnsi="Times New Roman" w:cs="Times New Roman"/>
          <w:sz w:val="28"/>
          <w:szCs w:val="28"/>
          <w:lang w:val="en-US"/>
        </w:rPr>
      </w:pPr>
    </w:p>
    <w:p w14:paraId="7EE3F9E3" w14:textId="77777777" w:rsidR="00D71468" w:rsidRPr="00863C0B" w:rsidRDefault="00D71468" w:rsidP="006D59DE">
      <w:pPr>
        <w:spacing w:after="0" w:line="240" w:lineRule="auto"/>
        <w:ind w:firstLine="709"/>
        <w:jc w:val="both"/>
        <w:rPr>
          <w:rFonts w:ascii="Times New Roman" w:hAnsi="Times New Roman" w:cs="Times New Roman"/>
          <w:sz w:val="28"/>
          <w:szCs w:val="28"/>
          <w:lang w:val="en-US"/>
        </w:rPr>
      </w:pPr>
    </w:p>
    <w:p w14:paraId="1C4953B9" w14:textId="77777777" w:rsidR="006D59DE" w:rsidRPr="006D59DE" w:rsidRDefault="006D59DE" w:rsidP="00863C0B">
      <w:pPr>
        <w:spacing w:after="0" w:line="240" w:lineRule="auto"/>
        <w:jc w:val="both"/>
        <w:rPr>
          <w:rFonts w:ascii="Times New Roman" w:hAnsi="Times New Roman" w:cs="Times New Roman"/>
          <w:sz w:val="28"/>
          <w:szCs w:val="28"/>
        </w:rPr>
      </w:pPr>
    </w:p>
    <w:p w14:paraId="742CD9E3" w14:textId="317DC3AD" w:rsidR="004439C0" w:rsidRPr="006E32E0" w:rsidRDefault="00853685" w:rsidP="00DC211F">
      <w:pPr>
        <w:pStyle w:val="af1"/>
        <w:numPr>
          <w:ilvl w:val="0"/>
          <w:numId w:val="76"/>
        </w:numPr>
        <w:spacing w:after="0" w:line="240" w:lineRule="auto"/>
        <w:ind w:left="284" w:firstLine="425"/>
        <w:rPr>
          <w:rFonts w:ascii="Times New Roman" w:hAnsi="Times New Roman" w:cs="Times New Roman"/>
          <w:b/>
          <w:bCs/>
          <w:sz w:val="28"/>
          <w:szCs w:val="28"/>
        </w:rPr>
      </w:pPr>
      <w:bookmarkStart w:id="17" w:name="_Hlk201049457"/>
      <w:r w:rsidRPr="006E32E0">
        <w:rPr>
          <w:rFonts w:ascii="Times New Roman" w:hAnsi="Times New Roman" w:cs="Times New Roman"/>
          <w:b/>
          <w:bCs/>
          <w:sz w:val="28"/>
          <w:szCs w:val="28"/>
        </w:rPr>
        <w:lastRenderedPageBreak/>
        <w:t xml:space="preserve">METHODS AND </w:t>
      </w:r>
      <w:bookmarkStart w:id="18" w:name="_Hlk180315165"/>
      <w:r w:rsidR="00E84310" w:rsidRPr="006E32E0">
        <w:rPr>
          <w:rFonts w:ascii="Times New Roman" w:hAnsi="Times New Roman" w:cs="Times New Roman"/>
          <w:b/>
          <w:bCs/>
          <w:sz w:val="28"/>
          <w:szCs w:val="28"/>
        </w:rPr>
        <w:t>MATERIALS</w:t>
      </w:r>
    </w:p>
    <w:p w14:paraId="774F86FF" w14:textId="7740200A" w:rsidR="007A2697" w:rsidRPr="00DC211F" w:rsidRDefault="004439C0" w:rsidP="00DC211F">
      <w:pPr>
        <w:spacing w:after="0" w:line="240" w:lineRule="auto"/>
        <w:ind w:firstLine="709"/>
        <w:jc w:val="both"/>
        <w:rPr>
          <w:rFonts w:ascii="Times New Roman" w:hAnsi="Times New Roman" w:cs="Times New Roman"/>
          <w:sz w:val="28"/>
          <w:szCs w:val="28"/>
          <w:lang w:val="ru-RU"/>
        </w:rPr>
      </w:pPr>
      <w:r w:rsidRPr="00DC211F">
        <w:rPr>
          <w:rFonts w:ascii="Times New Roman" w:hAnsi="Times New Roman" w:cs="Times New Roman"/>
          <w:sz w:val="28"/>
          <w:szCs w:val="28"/>
        </w:rPr>
        <w:t xml:space="preserve">The methods and materials were used </w:t>
      </w:r>
      <w:r w:rsidR="0027580B" w:rsidRPr="00DC211F">
        <w:rPr>
          <w:rFonts w:ascii="Times New Roman" w:hAnsi="Times New Roman" w:cs="Times New Roman"/>
          <w:sz w:val="28"/>
          <w:szCs w:val="28"/>
        </w:rPr>
        <w:t xml:space="preserve">in accordance with BSL-3 and BSL-4 requirements, including </w:t>
      </w:r>
      <w:r w:rsidRPr="00DC211F">
        <w:rPr>
          <w:rFonts w:ascii="Times New Roman" w:hAnsi="Times New Roman" w:cs="Times New Roman"/>
          <w:sz w:val="28"/>
          <w:szCs w:val="28"/>
        </w:rPr>
        <w:t>the biological reservoir and the so-called breeding cell lines (Vero E6 cells). The drugs were dissolved in both buffers and vehicles.</w:t>
      </w:r>
    </w:p>
    <w:p w14:paraId="38EA6B97" w14:textId="77777777" w:rsidR="00987955" w:rsidRPr="00987955" w:rsidRDefault="00987955" w:rsidP="00DC211F">
      <w:pPr>
        <w:pStyle w:val="af1"/>
        <w:spacing w:after="0" w:line="240" w:lineRule="auto"/>
        <w:jc w:val="both"/>
        <w:rPr>
          <w:rFonts w:ascii="Times New Roman" w:hAnsi="Times New Roman" w:cs="Times New Roman"/>
          <w:sz w:val="28"/>
          <w:szCs w:val="28"/>
          <w:lang w:val="ru-RU"/>
        </w:rPr>
      </w:pPr>
    </w:p>
    <w:bookmarkEnd w:id="18"/>
    <w:p w14:paraId="6CBB2F98" w14:textId="1F983BBB" w:rsidR="007A2697" w:rsidRPr="006E32E0" w:rsidRDefault="0041457B" w:rsidP="00B65D8E">
      <w:pPr>
        <w:pStyle w:val="af1"/>
        <w:numPr>
          <w:ilvl w:val="1"/>
          <w:numId w:val="76"/>
        </w:numPr>
        <w:spacing w:after="0" w:line="240" w:lineRule="auto"/>
        <w:ind w:left="567" w:firstLine="142"/>
        <w:rPr>
          <w:rFonts w:ascii="Times New Roman" w:hAnsi="Times New Roman" w:cs="Times New Roman"/>
          <w:b/>
          <w:bCs/>
          <w:sz w:val="28"/>
          <w:szCs w:val="28"/>
          <w:lang w:val="ru-RU"/>
        </w:rPr>
      </w:pPr>
      <w:r w:rsidRPr="006E32E0">
        <w:rPr>
          <w:rFonts w:ascii="Times New Roman" w:hAnsi="Times New Roman" w:cs="Times New Roman"/>
          <w:b/>
          <w:bCs/>
          <w:sz w:val="28"/>
          <w:szCs w:val="28"/>
        </w:rPr>
        <w:t xml:space="preserve">Research </w:t>
      </w:r>
      <w:r w:rsidR="00487237" w:rsidRPr="006E32E0">
        <w:rPr>
          <w:rFonts w:ascii="Times New Roman" w:hAnsi="Times New Roman" w:cs="Times New Roman"/>
          <w:b/>
          <w:bCs/>
          <w:sz w:val="28"/>
          <w:szCs w:val="28"/>
        </w:rPr>
        <w:t xml:space="preserve">objects </w:t>
      </w:r>
    </w:p>
    <w:p w14:paraId="5AB20497" w14:textId="066A8D39" w:rsidR="00C73910" w:rsidRPr="006E32E0" w:rsidRDefault="00DA5054" w:rsidP="006E32E0">
      <w:pPr>
        <w:spacing w:after="0" w:line="240" w:lineRule="auto"/>
        <w:ind w:firstLine="709"/>
        <w:jc w:val="both"/>
        <w:rPr>
          <w:rFonts w:ascii="Times New Roman" w:hAnsi="Times New Roman" w:cs="Times New Roman"/>
          <w:sz w:val="28"/>
          <w:szCs w:val="28"/>
          <w:lang w:val="en-US"/>
        </w:rPr>
      </w:pPr>
      <w:r w:rsidRPr="006E32E0">
        <w:rPr>
          <w:rFonts w:ascii="Times New Roman" w:hAnsi="Times New Roman" w:cs="Times New Roman"/>
          <w:sz w:val="28"/>
          <w:szCs w:val="28"/>
        </w:rPr>
        <w:t>As an object of research, the SARS-CoV-2 Virus Strain, Variant B.1.1, was sampled from Kazakhstan from the bronchial fluids of moderately and severely ill</w:t>
      </w:r>
      <w:r w:rsidR="00853685" w:rsidRPr="006E32E0">
        <w:rPr>
          <w:rFonts w:ascii="Times New Roman" w:hAnsi="Times New Roman" w:cs="Times New Roman"/>
          <w:sz w:val="28"/>
          <w:szCs w:val="28"/>
        </w:rPr>
        <w:t xml:space="preserve"> patients</w:t>
      </w:r>
      <w:r w:rsidRPr="006E32E0">
        <w:rPr>
          <w:rFonts w:ascii="Times New Roman" w:hAnsi="Times New Roman" w:cs="Times New Roman"/>
          <w:sz w:val="28"/>
          <w:szCs w:val="28"/>
        </w:rPr>
        <w:t xml:space="preserve">. </w:t>
      </w:r>
      <w:r w:rsidR="00853685" w:rsidRPr="006E32E0">
        <w:rPr>
          <w:rFonts w:ascii="Times New Roman" w:hAnsi="Times New Roman" w:cs="Times New Roman"/>
          <w:sz w:val="28"/>
          <w:szCs w:val="28"/>
        </w:rPr>
        <w:t xml:space="preserve">They </w:t>
      </w:r>
      <w:r w:rsidR="00D71468">
        <w:rPr>
          <w:rFonts w:ascii="Times New Roman" w:hAnsi="Times New Roman" w:cs="Times New Roman"/>
          <w:sz w:val="28"/>
          <w:szCs w:val="28"/>
        </w:rPr>
        <w:t>were collected from sick patients (nasotracheal swabs) during the COVID-19 pandemic, with their consent for</w:t>
      </w:r>
      <w:r w:rsidR="00630903" w:rsidRPr="006E32E0">
        <w:rPr>
          <w:rFonts w:ascii="Times New Roman" w:hAnsi="Times New Roman" w:cs="Times New Roman"/>
          <w:sz w:val="28"/>
          <w:szCs w:val="28"/>
        </w:rPr>
        <w:t xml:space="preserve"> scientific research, as </w:t>
      </w:r>
      <w:r w:rsidR="00980329" w:rsidRPr="006E32E0">
        <w:rPr>
          <w:rFonts w:ascii="Times New Roman" w:hAnsi="Times New Roman" w:cs="Times New Roman"/>
          <w:sz w:val="28"/>
          <w:szCs w:val="28"/>
        </w:rPr>
        <w:t>authorised</w:t>
      </w:r>
      <w:r w:rsidR="00630903" w:rsidRPr="006E32E0">
        <w:rPr>
          <w:rFonts w:ascii="Times New Roman" w:hAnsi="Times New Roman" w:cs="Times New Roman"/>
          <w:sz w:val="28"/>
          <w:szCs w:val="28"/>
        </w:rPr>
        <w:t xml:space="preserve"> by</w:t>
      </w:r>
      <w:r w:rsidR="00853685" w:rsidRPr="006E32E0">
        <w:rPr>
          <w:rFonts w:ascii="Times New Roman" w:hAnsi="Times New Roman" w:cs="Times New Roman"/>
          <w:sz w:val="28"/>
          <w:szCs w:val="28"/>
        </w:rPr>
        <w:t xml:space="preserve"> the Scientific and Practical </w:t>
      </w:r>
      <w:r w:rsidR="00FE04CE" w:rsidRPr="006E32E0">
        <w:rPr>
          <w:rFonts w:ascii="Times New Roman" w:hAnsi="Times New Roman" w:cs="Times New Roman"/>
          <w:sz w:val="28"/>
          <w:szCs w:val="28"/>
        </w:rPr>
        <w:t>Centre</w:t>
      </w:r>
      <w:r w:rsidR="00853685" w:rsidRPr="006E32E0">
        <w:rPr>
          <w:rFonts w:ascii="Times New Roman" w:hAnsi="Times New Roman" w:cs="Times New Roman"/>
          <w:sz w:val="28"/>
          <w:szCs w:val="28"/>
        </w:rPr>
        <w:t xml:space="preserve"> for Sanitary and Epidemiological Expertise and Monitoring, Almaty. Strain: </w:t>
      </w:r>
      <w:r w:rsidR="00853685" w:rsidRPr="006E32E0">
        <w:rPr>
          <w:rFonts w:ascii="Times New Roman" w:eastAsia="Calibri" w:hAnsi="Times New Roman" w:cs="Times New Roman"/>
          <w:i/>
          <w:iCs/>
          <w:color w:val="00000A"/>
          <w:sz w:val="28"/>
          <w:szCs w:val="28"/>
        </w:rPr>
        <w:t xml:space="preserve">SARS-CoV-2/human/KAZ/B1.1/2021 Alpha variant </w:t>
      </w:r>
      <w:r w:rsidR="00853685" w:rsidRPr="006E32E0">
        <w:rPr>
          <w:rFonts w:ascii="Times New Roman" w:eastAsia="Calibri" w:hAnsi="Times New Roman" w:cs="Times New Roman"/>
          <w:color w:val="00000A"/>
          <w:sz w:val="28"/>
          <w:szCs w:val="28"/>
        </w:rPr>
        <w:t>and kept in freezers at -96C</w:t>
      </w:r>
      <w:r w:rsidR="00853685" w:rsidRPr="006E32E0">
        <w:rPr>
          <w:rFonts w:ascii="Times New Roman" w:eastAsia="Calibri" w:hAnsi="Times New Roman" w:cs="Times New Roman"/>
          <w:color w:val="00000A"/>
          <w:sz w:val="28"/>
          <w:szCs w:val="28"/>
          <w:vertAlign w:val="superscript"/>
        </w:rPr>
        <w:t>0</w:t>
      </w:r>
      <w:r w:rsidR="00853685" w:rsidRPr="006E32E0">
        <w:rPr>
          <w:rFonts w:ascii="Times New Roman" w:eastAsia="Calibri" w:hAnsi="Times New Roman" w:cs="Times New Roman"/>
          <w:color w:val="00000A"/>
          <w:sz w:val="28"/>
          <w:szCs w:val="28"/>
        </w:rPr>
        <w:t xml:space="preserve">.Viral </w:t>
      </w:r>
      <w:r w:rsidR="00C52AC1" w:rsidRPr="006E32E0">
        <w:rPr>
          <w:rFonts w:ascii="Times New Roman" w:eastAsia="Calibri" w:hAnsi="Times New Roman" w:cs="Times New Roman"/>
          <w:color w:val="00000A"/>
          <w:sz w:val="28"/>
          <w:szCs w:val="28"/>
        </w:rPr>
        <w:t>titer</w:t>
      </w:r>
      <w:r w:rsidR="00E84310" w:rsidRPr="006E32E0">
        <w:rPr>
          <w:rFonts w:ascii="Times New Roman" w:eastAsia="Calibri" w:hAnsi="Times New Roman" w:cs="Times New Roman"/>
          <w:color w:val="00000A"/>
          <w:sz w:val="28"/>
          <w:szCs w:val="28"/>
        </w:rPr>
        <w:t xml:space="preserve"> Preparation for SARS-CoV-2 from a Human Specimen: A viral stock was prepared from a human specimen (e.g., nasopharyngeal swab, BALF), and </w:t>
      </w:r>
      <w:r w:rsidR="009756C7" w:rsidRPr="006E32E0">
        <w:rPr>
          <w:rFonts w:ascii="Times New Roman" w:eastAsia="Calibri" w:hAnsi="Times New Roman" w:cs="Times New Roman"/>
          <w:color w:val="00000A"/>
          <w:sz w:val="28"/>
          <w:szCs w:val="28"/>
        </w:rPr>
        <w:t>the virus</w:t>
      </w:r>
      <w:r w:rsidR="00853685" w:rsidRPr="006E32E0">
        <w:rPr>
          <w:rFonts w:ascii="Times New Roman" w:eastAsia="Calibri" w:hAnsi="Times New Roman" w:cs="Times New Roman"/>
          <w:color w:val="00000A"/>
          <w:sz w:val="28"/>
          <w:szCs w:val="28"/>
        </w:rPr>
        <w:t xml:space="preserve"> </w:t>
      </w:r>
      <w:r w:rsidR="00D71468">
        <w:rPr>
          <w:rFonts w:ascii="Times New Roman" w:eastAsia="Calibri" w:hAnsi="Times New Roman" w:cs="Times New Roman"/>
          <w:color w:val="00000A"/>
          <w:sz w:val="28"/>
          <w:szCs w:val="28"/>
        </w:rPr>
        <w:t>was</w:t>
      </w:r>
      <w:r w:rsidR="009756C7" w:rsidRPr="006E32E0">
        <w:rPr>
          <w:rFonts w:ascii="Times New Roman" w:eastAsia="Calibri" w:hAnsi="Times New Roman" w:cs="Times New Roman"/>
          <w:color w:val="00000A"/>
          <w:sz w:val="28"/>
          <w:szCs w:val="28"/>
        </w:rPr>
        <w:t xml:space="preserve"> isolated, propagated, and quantified </w:t>
      </w:r>
      <w:r w:rsidR="00853685" w:rsidRPr="006E32E0">
        <w:rPr>
          <w:rFonts w:ascii="Times New Roman" w:eastAsia="Calibri" w:hAnsi="Times New Roman" w:cs="Times New Roman"/>
          <w:color w:val="00000A"/>
          <w:sz w:val="28"/>
          <w:szCs w:val="28"/>
        </w:rPr>
        <w:t xml:space="preserve">under biosafety level 3 (BSL-3) </w:t>
      </w:r>
      <w:r w:rsidR="009756C7" w:rsidRPr="006E32E0">
        <w:rPr>
          <w:rFonts w:ascii="Times New Roman" w:eastAsia="Calibri" w:hAnsi="Times New Roman" w:cs="Times New Roman"/>
          <w:color w:val="00000A"/>
          <w:sz w:val="28"/>
          <w:szCs w:val="28"/>
        </w:rPr>
        <w:t xml:space="preserve">conditions. Bronchoalveolar lavage fluid (BALF): The sample was centrifuged at 3,000 × g for 10 min to remove debris. Then, </w:t>
      </w:r>
      <w:r w:rsidR="00853685" w:rsidRPr="006E32E0">
        <w:rPr>
          <w:rFonts w:ascii="Times New Roman" w:eastAsia="Calibri" w:hAnsi="Times New Roman" w:cs="Times New Roman"/>
          <w:color w:val="00000A"/>
          <w:sz w:val="28"/>
          <w:szCs w:val="28"/>
        </w:rPr>
        <w:t xml:space="preserve">the supernatant </w:t>
      </w:r>
      <w:r w:rsidR="009756C7" w:rsidRPr="006E32E0">
        <w:rPr>
          <w:rFonts w:ascii="Times New Roman" w:eastAsia="Calibri" w:hAnsi="Times New Roman" w:cs="Times New Roman"/>
          <w:color w:val="00000A"/>
          <w:sz w:val="28"/>
          <w:szCs w:val="28"/>
        </w:rPr>
        <w:t xml:space="preserve">was filtered </w:t>
      </w:r>
      <w:r w:rsidR="00853685" w:rsidRPr="006E32E0">
        <w:rPr>
          <w:rFonts w:ascii="Times New Roman" w:eastAsia="Calibri" w:hAnsi="Times New Roman" w:cs="Times New Roman"/>
          <w:color w:val="00000A"/>
          <w:sz w:val="28"/>
          <w:szCs w:val="28"/>
        </w:rPr>
        <w:t>through a 0.45 µm filter.</w:t>
      </w:r>
      <w:r w:rsidR="009756C7" w:rsidRPr="006E32E0">
        <w:rPr>
          <w:rFonts w:ascii="Times New Roman" w:eastAsia="Calibri" w:hAnsi="Times New Roman" w:cs="Times New Roman"/>
          <w:color w:val="00000A"/>
          <w:sz w:val="28"/>
          <w:szCs w:val="28"/>
        </w:rPr>
        <w:t xml:space="preserve"> The </w:t>
      </w:r>
      <w:r w:rsidR="00853685" w:rsidRPr="006E32E0">
        <w:rPr>
          <w:rFonts w:ascii="Times New Roman" w:eastAsia="Calibri" w:hAnsi="Times New Roman" w:cs="Times New Roman"/>
          <w:color w:val="00000A"/>
          <w:sz w:val="28"/>
          <w:szCs w:val="28"/>
        </w:rPr>
        <w:t>aliquots</w:t>
      </w:r>
      <w:r w:rsidR="009756C7" w:rsidRPr="006E32E0">
        <w:rPr>
          <w:rFonts w:ascii="Times New Roman" w:eastAsia="Calibri" w:hAnsi="Times New Roman" w:cs="Times New Roman"/>
          <w:color w:val="00000A"/>
          <w:sz w:val="28"/>
          <w:szCs w:val="28"/>
        </w:rPr>
        <w:t xml:space="preserve"> were stored </w:t>
      </w:r>
      <w:r w:rsidR="00853685" w:rsidRPr="006E32E0">
        <w:rPr>
          <w:rFonts w:ascii="Times New Roman" w:eastAsia="Calibri" w:hAnsi="Times New Roman" w:cs="Times New Roman"/>
          <w:color w:val="00000A"/>
          <w:sz w:val="28"/>
          <w:szCs w:val="28"/>
        </w:rPr>
        <w:t>at -80°C if not used immediately [</w:t>
      </w:r>
      <w:r w:rsidR="00342D71" w:rsidRPr="006E32E0">
        <w:rPr>
          <w:rFonts w:ascii="Times New Roman" w:eastAsia="Calibri" w:hAnsi="Times New Roman" w:cs="Times New Roman"/>
          <w:color w:val="00000A"/>
          <w:sz w:val="28"/>
          <w:szCs w:val="28"/>
        </w:rPr>
        <w:t>17, 102, 126</w:t>
      </w:r>
      <w:r w:rsidR="00853685" w:rsidRPr="006E32E0">
        <w:rPr>
          <w:rFonts w:ascii="Times New Roman" w:eastAsia="Calibri" w:hAnsi="Times New Roman" w:cs="Times New Roman"/>
          <w:color w:val="00000A"/>
          <w:sz w:val="28"/>
          <w:szCs w:val="28"/>
        </w:rPr>
        <w:t>].</w:t>
      </w:r>
      <w:r w:rsidR="009756C7" w:rsidRPr="006E32E0">
        <w:rPr>
          <w:rFonts w:ascii="Times New Roman" w:eastAsia="Calibri" w:hAnsi="Times New Roman" w:cs="Times New Roman"/>
          <w:color w:val="00000A"/>
          <w:sz w:val="28"/>
          <w:szCs w:val="28"/>
        </w:rPr>
        <w:t xml:space="preserve"> </w:t>
      </w:r>
      <w:r w:rsidRPr="006E32E0">
        <w:rPr>
          <w:rFonts w:ascii="Times New Roman" w:hAnsi="Times New Roman" w:cs="Times New Roman"/>
          <w:sz w:val="28"/>
          <w:szCs w:val="28"/>
        </w:rPr>
        <w:t xml:space="preserve"> </w:t>
      </w:r>
    </w:p>
    <w:p w14:paraId="5C8935AF" w14:textId="437A0D8C" w:rsidR="00C73910" w:rsidRPr="006E32E0" w:rsidRDefault="00853685" w:rsidP="006E32E0">
      <w:pPr>
        <w:spacing w:after="0" w:line="240" w:lineRule="auto"/>
        <w:ind w:firstLine="709"/>
        <w:jc w:val="both"/>
        <w:rPr>
          <w:rFonts w:ascii="Times New Roman" w:eastAsia="Calibri" w:hAnsi="Times New Roman" w:cs="Times New Roman"/>
          <w:color w:val="00000A"/>
          <w:sz w:val="28"/>
          <w:szCs w:val="28"/>
          <w:lang w:val="en-US"/>
        </w:rPr>
      </w:pPr>
      <w:r w:rsidRPr="006E32E0">
        <w:rPr>
          <w:rFonts w:ascii="Times New Roman" w:eastAsia="Calibri" w:hAnsi="Times New Roman" w:cs="Times New Roman"/>
          <w:color w:val="00000A"/>
          <w:sz w:val="28"/>
          <w:szCs w:val="28"/>
        </w:rPr>
        <w:t>Infection Procedure</w:t>
      </w:r>
      <w:r w:rsidR="009756C7" w:rsidRPr="006E32E0">
        <w:rPr>
          <w:rFonts w:ascii="Times New Roman" w:eastAsia="Calibri" w:hAnsi="Times New Roman" w:cs="Times New Roman"/>
          <w:color w:val="00000A"/>
          <w:sz w:val="28"/>
          <w:szCs w:val="28"/>
        </w:rPr>
        <w:t>:</w:t>
      </w:r>
      <w:r w:rsidRPr="006E32E0">
        <w:rPr>
          <w:rFonts w:ascii="Times New Roman" w:eastAsia="Calibri" w:hAnsi="Times New Roman" w:cs="Times New Roman"/>
          <w:b/>
          <w:bCs/>
          <w:color w:val="00000A"/>
          <w:sz w:val="28"/>
          <w:szCs w:val="28"/>
        </w:rPr>
        <w:t xml:space="preserve"> </w:t>
      </w:r>
      <w:r w:rsidR="00630903" w:rsidRPr="006E32E0">
        <w:rPr>
          <w:rFonts w:ascii="Times New Roman" w:eastAsia="Calibri" w:hAnsi="Times New Roman" w:cs="Times New Roman"/>
          <w:color w:val="00000A"/>
          <w:sz w:val="28"/>
          <w:szCs w:val="28"/>
        </w:rPr>
        <w:t>Cells</w:t>
      </w:r>
      <w:r w:rsidR="009756C7" w:rsidRPr="006E32E0">
        <w:rPr>
          <w:rFonts w:ascii="Times New Roman" w:eastAsia="Calibri" w:hAnsi="Times New Roman" w:cs="Times New Roman"/>
          <w:color w:val="00000A"/>
          <w:sz w:val="28"/>
          <w:szCs w:val="28"/>
        </w:rPr>
        <w:t xml:space="preserve"> were seeded</w:t>
      </w:r>
      <w:r w:rsidRPr="006E32E0">
        <w:rPr>
          <w:rFonts w:ascii="Times New Roman" w:eastAsia="Calibri" w:hAnsi="Times New Roman" w:cs="Times New Roman"/>
          <w:color w:val="00000A"/>
          <w:sz w:val="28"/>
          <w:szCs w:val="28"/>
        </w:rPr>
        <w:t xml:space="preserve"> in T25/T75 flasks or 6-well plates </w:t>
      </w:r>
      <w:r w:rsidR="00E84310" w:rsidRPr="006E32E0">
        <w:rPr>
          <w:rFonts w:ascii="Times New Roman" w:eastAsia="Calibri" w:hAnsi="Times New Roman" w:cs="Times New Roman"/>
          <w:color w:val="00000A"/>
          <w:sz w:val="28"/>
          <w:szCs w:val="28"/>
        </w:rPr>
        <w:t>at 80% confluency</w:t>
      </w:r>
      <w:r w:rsidRPr="006E32E0">
        <w:rPr>
          <w:rFonts w:ascii="Times New Roman" w:eastAsia="Calibri" w:hAnsi="Times New Roman" w:cs="Times New Roman"/>
          <w:color w:val="00000A"/>
          <w:sz w:val="28"/>
          <w:szCs w:val="28"/>
        </w:rPr>
        <w:t>.</w:t>
      </w:r>
      <w:r w:rsidR="009756C7" w:rsidRPr="006E32E0">
        <w:rPr>
          <w:rFonts w:ascii="Times New Roman" w:eastAsia="Calibri" w:hAnsi="Times New Roman" w:cs="Times New Roman"/>
          <w:color w:val="00000A"/>
          <w:sz w:val="28"/>
          <w:szCs w:val="28"/>
        </w:rPr>
        <w:t xml:space="preserve"> The </w:t>
      </w:r>
      <w:r w:rsidRPr="006E32E0">
        <w:rPr>
          <w:rFonts w:ascii="Times New Roman" w:eastAsia="Calibri" w:hAnsi="Times New Roman" w:cs="Times New Roman"/>
          <w:color w:val="00000A"/>
          <w:sz w:val="28"/>
          <w:szCs w:val="28"/>
        </w:rPr>
        <w:t>cells</w:t>
      </w:r>
      <w:r w:rsidR="009756C7" w:rsidRPr="006E32E0">
        <w:rPr>
          <w:rFonts w:ascii="Times New Roman" w:eastAsia="Calibri" w:hAnsi="Times New Roman" w:cs="Times New Roman"/>
          <w:color w:val="00000A"/>
          <w:sz w:val="28"/>
          <w:szCs w:val="28"/>
        </w:rPr>
        <w:t xml:space="preserve"> were washed</w:t>
      </w:r>
      <w:r w:rsidRPr="006E32E0">
        <w:rPr>
          <w:rFonts w:ascii="Times New Roman" w:eastAsia="Calibri" w:hAnsi="Times New Roman" w:cs="Times New Roman"/>
          <w:color w:val="00000A"/>
          <w:sz w:val="28"/>
          <w:szCs w:val="28"/>
        </w:rPr>
        <w:t xml:space="preserve"> with PBS</w:t>
      </w:r>
      <w:r w:rsidR="009756C7" w:rsidRPr="006E32E0">
        <w:rPr>
          <w:rFonts w:ascii="Times New Roman" w:eastAsia="Calibri" w:hAnsi="Times New Roman" w:cs="Times New Roman"/>
          <w:color w:val="00000A"/>
          <w:sz w:val="28"/>
          <w:szCs w:val="28"/>
        </w:rPr>
        <w:t xml:space="preserve">, and </w:t>
      </w:r>
      <w:r w:rsidR="00630903" w:rsidRPr="006E32E0">
        <w:rPr>
          <w:rFonts w:ascii="Times New Roman" w:eastAsia="Calibri" w:hAnsi="Times New Roman" w:cs="Times New Roman"/>
          <w:color w:val="00000A"/>
          <w:sz w:val="28"/>
          <w:szCs w:val="28"/>
        </w:rPr>
        <w:t xml:space="preserve">DMEM containing 2% </w:t>
      </w:r>
      <w:r w:rsidR="00123817" w:rsidRPr="006E32E0">
        <w:rPr>
          <w:rFonts w:ascii="Times New Roman" w:eastAsia="Calibri" w:hAnsi="Times New Roman" w:cs="Times New Roman"/>
          <w:color w:val="00000A"/>
          <w:sz w:val="28"/>
          <w:szCs w:val="28"/>
        </w:rPr>
        <w:t>fetal bovine serum (FBS)</w:t>
      </w:r>
      <w:r w:rsidR="009756C7" w:rsidRPr="006E32E0">
        <w:rPr>
          <w:rFonts w:ascii="Times New Roman" w:eastAsia="Calibri" w:hAnsi="Times New Roman" w:cs="Times New Roman"/>
          <w:color w:val="00000A"/>
          <w:sz w:val="28"/>
          <w:szCs w:val="28"/>
        </w:rPr>
        <w:t xml:space="preserve"> was added</w:t>
      </w:r>
      <w:r w:rsidRPr="006E32E0">
        <w:rPr>
          <w:rFonts w:ascii="Times New Roman" w:eastAsia="Calibri" w:hAnsi="Times New Roman" w:cs="Times New Roman"/>
          <w:color w:val="00000A"/>
          <w:sz w:val="28"/>
          <w:szCs w:val="28"/>
        </w:rPr>
        <w:t>.</w:t>
      </w:r>
      <w:r w:rsidR="009756C7" w:rsidRPr="006E32E0">
        <w:rPr>
          <w:rFonts w:ascii="Times New Roman" w:eastAsia="Calibri" w:hAnsi="Times New Roman" w:cs="Times New Roman"/>
          <w:color w:val="00000A"/>
          <w:sz w:val="28"/>
          <w:szCs w:val="28"/>
        </w:rPr>
        <w:t xml:space="preserve">  The specimen broth was </w:t>
      </w:r>
      <w:r w:rsidR="00123817" w:rsidRPr="006E32E0">
        <w:rPr>
          <w:rFonts w:ascii="Times New Roman" w:eastAsia="Calibri" w:hAnsi="Times New Roman" w:cs="Times New Roman"/>
          <w:color w:val="00000A"/>
          <w:sz w:val="28"/>
          <w:szCs w:val="28"/>
        </w:rPr>
        <w:t>inoculated</w:t>
      </w:r>
      <w:r w:rsidRPr="006E32E0">
        <w:rPr>
          <w:rFonts w:ascii="Times New Roman" w:eastAsia="Calibri" w:hAnsi="Times New Roman" w:cs="Times New Roman"/>
          <w:color w:val="00000A"/>
          <w:sz w:val="28"/>
          <w:szCs w:val="28"/>
        </w:rPr>
        <w:t xml:space="preserve"> with human specimen filtrate at </w:t>
      </w:r>
      <w:r w:rsidR="00123817" w:rsidRPr="006E32E0">
        <w:rPr>
          <w:rFonts w:ascii="Times New Roman" w:eastAsia="Calibri" w:hAnsi="Times New Roman" w:cs="Times New Roman"/>
          <w:color w:val="00000A"/>
          <w:sz w:val="28"/>
          <w:szCs w:val="28"/>
        </w:rPr>
        <w:t>a multiplicity of infection (MOI)</w:t>
      </w:r>
      <w:r w:rsidRPr="006E32E0">
        <w:rPr>
          <w:rFonts w:ascii="Times New Roman" w:eastAsia="Calibri" w:hAnsi="Times New Roman" w:cs="Times New Roman"/>
          <w:color w:val="00000A"/>
          <w:sz w:val="28"/>
          <w:szCs w:val="28"/>
        </w:rPr>
        <w:t xml:space="preserve"> of </w:t>
      </w:r>
      <w:r w:rsidR="00A16579" w:rsidRPr="006E32E0">
        <w:rPr>
          <w:rFonts w:ascii="Times New Roman" w:eastAsia="Calibri" w:hAnsi="Times New Roman" w:cs="Times New Roman"/>
          <w:color w:val="00000A"/>
          <w:sz w:val="28"/>
          <w:szCs w:val="28"/>
        </w:rPr>
        <w:t>2</w:t>
      </w:r>
      <w:r w:rsidRPr="006E32E0">
        <w:rPr>
          <w:rFonts w:ascii="Times New Roman" w:eastAsia="Calibri" w:hAnsi="Times New Roman" w:cs="Times New Roman"/>
          <w:color w:val="00000A"/>
          <w:sz w:val="28"/>
          <w:szCs w:val="28"/>
        </w:rPr>
        <w:t>.</w:t>
      </w:r>
      <w:r w:rsidR="009756C7" w:rsidRPr="006E32E0">
        <w:rPr>
          <w:rFonts w:ascii="Times New Roman" w:eastAsia="Calibri" w:hAnsi="Times New Roman" w:cs="Times New Roman"/>
          <w:color w:val="00000A"/>
          <w:sz w:val="28"/>
          <w:szCs w:val="28"/>
        </w:rPr>
        <w:t xml:space="preserve"> It was incubated</w:t>
      </w:r>
      <w:r w:rsidRPr="006E32E0">
        <w:rPr>
          <w:rFonts w:ascii="Times New Roman" w:eastAsia="Calibri" w:hAnsi="Times New Roman" w:cs="Times New Roman"/>
          <w:color w:val="00000A"/>
          <w:sz w:val="28"/>
          <w:szCs w:val="28"/>
        </w:rPr>
        <w:t xml:space="preserve"> at 37°C</w:t>
      </w:r>
      <w:r w:rsidR="00630903" w:rsidRPr="006E32E0">
        <w:rPr>
          <w:rFonts w:ascii="Times New Roman" w:eastAsia="Calibri" w:hAnsi="Times New Roman" w:cs="Times New Roman"/>
          <w:color w:val="00000A"/>
          <w:sz w:val="28"/>
          <w:szCs w:val="28"/>
        </w:rPr>
        <w:t xml:space="preserve"> with 5% CO₂ for 1–2 hours, with gentle rocking every 15 minutes</w:t>
      </w:r>
      <w:r w:rsidRPr="006E32E0">
        <w:rPr>
          <w:rFonts w:ascii="Times New Roman" w:eastAsia="Calibri" w:hAnsi="Times New Roman" w:cs="Times New Roman"/>
          <w:color w:val="00000A"/>
          <w:sz w:val="28"/>
          <w:szCs w:val="28"/>
        </w:rPr>
        <w:t>.</w:t>
      </w:r>
      <w:r w:rsidR="009756C7" w:rsidRPr="006E32E0">
        <w:rPr>
          <w:rFonts w:ascii="Times New Roman" w:eastAsia="Calibri" w:hAnsi="Times New Roman" w:cs="Times New Roman"/>
          <w:color w:val="00000A"/>
          <w:sz w:val="28"/>
          <w:szCs w:val="28"/>
        </w:rPr>
        <w:t xml:space="preserve"> </w:t>
      </w:r>
      <w:r w:rsidRPr="006E32E0">
        <w:rPr>
          <w:rFonts w:ascii="Times New Roman" w:eastAsia="Calibri" w:hAnsi="Times New Roman" w:cs="Times New Roman"/>
          <w:color w:val="00000A"/>
          <w:sz w:val="28"/>
          <w:szCs w:val="28"/>
        </w:rPr>
        <w:t>Remove the inoculum and replace it with fresh DMEM + 2% FBS.</w:t>
      </w:r>
      <w:r w:rsidR="009756C7" w:rsidRPr="006E32E0">
        <w:rPr>
          <w:rFonts w:ascii="Times New Roman" w:eastAsia="Calibri" w:hAnsi="Times New Roman" w:cs="Times New Roman"/>
          <w:color w:val="00000A"/>
          <w:sz w:val="28"/>
          <w:szCs w:val="28"/>
        </w:rPr>
        <w:t xml:space="preserve"> </w:t>
      </w:r>
      <w:r w:rsidRPr="006E32E0">
        <w:rPr>
          <w:rFonts w:ascii="Times New Roman" w:eastAsia="Calibri" w:hAnsi="Times New Roman" w:cs="Times New Roman"/>
          <w:color w:val="00000A"/>
          <w:sz w:val="28"/>
          <w:szCs w:val="28"/>
        </w:rPr>
        <w:t>Incubate for 48–72 hours</w:t>
      </w:r>
      <w:r w:rsidR="00630903" w:rsidRPr="006E32E0">
        <w:rPr>
          <w:rFonts w:ascii="Times New Roman" w:eastAsia="Calibri" w:hAnsi="Times New Roman" w:cs="Times New Roman"/>
          <w:color w:val="00000A"/>
          <w:sz w:val="28"/>
          <w:szCs w:val="28"/>
        </w:rPr>
        <w:t>, monitoring for cytopathic effect (CPE) and viral cytotoxicity</w:t>
      </w:r>
      <w:r w:rsidRPr="006E32E0">
        <w:rPr>
          <w:rFonts w:ascii="Times New Roman" w:eastAsia="Calibri" w:hAnsi="Times New Roman" w:cs="Times New Roman"/>
          <w:color w:val="00000A"/>
          <w:sz w:val="28"/>
          <w:szCs w:val="28"/>
        </w:rPr>
        <w:t>.</w:t>
      </w:r>
      <w:r w:rsidR="009756C7" w:rsidRPr="006E32E0">
        <w:rPr>
          <w:rFonts w:ascii="Times New Roman" w:eastAsia="Calibri" w:hAnsi="Times New Roman" w:cs="Times New Roman"/>
          <w:color w:val="00000A"/>
          <w:sz w:val="28"/>
          <w:szCs w:val="28"/>
        </w:rPr>
        <w:t xml:space="preserve"> </w:t>
      </w:r>
      <w:r w:rsidRPr="006E32E0">
        <w:rPr>
          <w:rFonts w:ascii="Times New Roman" w:eastAsia="Calibri" w:hAnsi="Times New Roman" w:cs="Times New Roman"/>
          <w:color w:val="00000A"/>
          <w:sz w:val="28"/>
          <w:szCs w:val="28"/>
        </w:rPr>
        <w:t xml:space="preserve">Harvest the supernatant when ~80% </w:t>
      </w:r>
      <w:r w:rsidR="00630903" w:rsidRPr="006E32E0">
        <w:rPr>
          <w:rFonts w:ascii="Times New Roman" w:eastAsia="Calibri" w:hAnsi="Times New Roman" w:cs="Times New Roman"/>
          <w:color w:val="00000A"/>
          <w:sz w:val="28"/>
          <w:szCs w:val="28"/>
        </w:rPr>
        <w:t>cytopathic effect (CPE</w:t>
      </w:r>
      <w:r w:rsidRPr="006E32E0">
        <w:rPr>
          <w:rFonts w:ascii="Times New Roman" w:eastAsia="Calibri" w:hAnsi="Times New Roman" w:cs="Times New Roman"/>
          <w:color w:val="00000A"/>
          <w:sz w:val="28"/>
          <w:szCs w:val="28"/>
        </w:rPr>
        <w:t>) is observed [101].</w:t>
      </w:r>
      <w:r w:rsidR="009756C7" w:rsidRPr="006E32E0">
        <w:rPr>
          <w:rFonts w:ascii="Times New Roman" w:eastAsia="Calibri" w:hAnsi="Times New Roman" w:cs="Times New Roman"/>
          <w:color w:val="00000A"/>
          <w:sz w:val="28"/>
          <w:szCs w:val="28"/>
        </w:rPr>
        <w:t xml:space="preserve"> </w:t>
      </w:r>
      <w:r w:rsidRPr="006E32E0">
        <w:rPr>
          <w:rFonts w:ascii="Times New Roman" w:eastAsia="Calibri" w:hAnsi="Times New Roman" w:cs="Times New Roman"/>
          <w:color w:val="00000A"/>
          <w:sz w:val="28"/>
          <w:szCs w:val="28"/>
        </w:rPr>
        <w:t>Viral Stock Preparation</w:t>
      </w:r>
      <w:r w:rsidR="009756C7" w:rsidRPr="006E32E0">
        <w:rPr>
          <w:rFonts w:ascii="Times New Roman" w:eastAsia="Calibri" w:hAnsi="Times New Roman" w:cs="Times New Roman"/>
          <w:b/>
          <w:bCs/>
          <w:color w:val="00000A"/>
          <w:sz w:val="28"/>
          <w:szCs w:val="28"/>
        </w:rPr>
        <w:t>:</w:t>
      </w:r>
      <w:r w:rsidR="009756C7" w:rsidRPr="006E32E0">
        <w:rPr>
          <w:rFonts w:ascii="Times New Roman" w:eastAsia="Calibri" w:hAnsi="Times New Roman" w:cs="Times New Roman"/>
          <w:color w:val="00000A"/>
          <w:sz w:val="28"/>
          <w:szCs w:val="28"/>
        </w:rPr>
        <w:t xml:space="preserve"> </w:t>
      </w:r>
      <w:r w:rsidRPr="006E32E0">
        <w:rPr>
          <w:rFonts w:ascii="Times New Roman" w:eastAsia="Calibri" w:hAnsi="Times New Roman" w:cs="Times New Roman"/>
          <w:color w:val="00000A"/>
          <w:sz w:val="28"/>
          <w:szCs w:val="28"/>
        </w:rPr>
        <w:t>Collect supernatant into sterile tubes.</w:t>
      </w:r>
      <w:r w:rsidR="009756C7" w:rsidRPr="006E32E0">
        <w:rPr>
          <w:rFonts w:ascii="Times New Roman" w:eastAsia="Calibri" w:hAnsi="Times New Roman" w:cs="Times New Roman"/>
          <w:color w:val="00000A"/>
          <w:sz w:val="28"/>
          <w:szCs w:val="28"/>
        </w:rPr>
        <w:t xml:space="preserve"> </w:t>
      </w:r>
      <w:r w:rsidRPr="006E32E0">
        <w:rPr>
          <w:rFonts w:ascii="Times New Roman" w:eastAsia="Calibri" w:hAnsi="Times New Roman" w:cs="Times New Roman"/>
          <w:color w:val="00000A"/>
          <w:sz w:val="28"/>
          <w:szCs w:val="28"/>
        </w:rPr>
        <w:t>Centrifuge at 3,000 × g for 10 min to remove cell debris.</w:t>
      </w:r>
      <w:r w:rsidR="009756C7" w:rsidRPr="006E32E0">
        <w:rPr>
          <w:rFonts w:ascii="Times New Roman" w:eastAsia="Calibri" w:hAnsi="Times New Roman" w:cs="Times New Roman"/>
          <w:color w:val="00000A"/>
          <w:sz w:val="28"/>
          <w:szCs w:val="28"/>
        </w:rPr>
        <w:t xml:space="preserve"> </w:t>
      </w:r>
      <w:r w:rsidRPr="006E32E0">
        <w:rPr>
          <w:rFonts w:ascii="Times New Roman" w:eastAsia="Calibri" w:hAnsi="Times New Roman" w:cs="Times New Roman"/>
          <w:color w:val="00000A"/>
          <w:sz w:val="28"/>
          <w:szCs w:val="28"/>
        </w:rPr>
        <w:t>Filter using a 0.22 µm filter (to remove cellular contaminants).</w:t>
      </w:r>
      <w:r w:rsidR="009756C7" w:rsidRPr="006E32E0">
        <w:rPr>
          <w:rFonts w:ascii="Times New Roman" w:eastAsia="Calibri" w:hAnsi="Times New Roman" w:cs="Times New Roman"/>
          <w:color w:val="00000A"/>
          <w:sz w:val="28"/>
          <w:szCs w:val="28"/>
        </w:rPr>
        <w:t xml:space="preserve"> </w:t>
      </w:r>
      <w:r w:rsidRPr="006E32E0">
        <w:rPr>
          <w:rFonts w:ascii="Times New Roman" w:eastAsia="Calibri" w:hAnsi="Times New Roman" w:cs="Times New Roman"/>
          <w:color w:val="00000A"/>
          <w:sz w:val="28"/>
          <w:szCs w:val="28"/>
        </w:rPr>
        <w:t>Aliquot into cryovials and store at -80°C [102].</w:t>
      </w:r>
      <w:r w:rsidR="009756C7" w:rsidRPr="006E32E0">
        <w:rPr>
          <w:rFonts w:ascii="Times New Roman" w:eastAsia="Calibri" w:hAnsi="Times New Roman" w:cs="Times New Roman"/>
          <w:color w:val="00000A"/>
          <w:sz w:val="28"/>
          <w:szCs w:val="28"/>
        </w:rPr>
        <w:t xml:space="preserve"> Viral </w:t>
      </w:r>
      <w:r w:rsidR="00C52AC1" w:rsidRPr="006E32E0">
        <w:rPr>
          <w:rFonts w:ascii="Times New Roman" w:eastAsia="Calibri" w:hAnsi="Times New Roman" w:cs="Times New Roman"/>
          <w:color w:val="00000A"/>
          <w:sz w:val="28"/>
          <w:szCs w:val="28"/>
        </w:rPr>
        <w:t>titer</w:t>
      </w:r>
      <w:r w:rsidR="009756C7" w:rsidRPr="006E32E0">
        <w:rPr>
          <w:rFonts w:ascii="Times New Roman" w:eastAsia="Calibri" w:hAnsi="Times New Roman" w:cs="Times New Roman"/>
          <w:color w:val="00000A"/>
          <w:sz w:val="28"/>
          <w:szCs w:val="28"/>
        </w:rPr>
        <w:t xml:space="preserve"> quantification: </w:t>
      </w:r>
      <w:r w:rsidR="002D185C" w:rsidRPr="006E32E0">
        <w:rPr>
          <w:rFonts w:ascii="Times New Roman" w:eastAsia="Calibri" w:hAnsi="Times New Roman" w:cs="Times New Roman"/>
          <w:color w:val="00000A"/>
          <w:sz w:val="28"/>
          <w:szCs w:val="28"/>
        </w:rPr>
        <w:t xml:space="preserve">One of the following methods was used to determine the viral </w:t>
      </w:r>
      <w:r w:rsidR="00C52AC1" w:rsidRPr="006E32E0">
        <w:rPr>
          <w:rFonts w:ascii="Times New Roman" w:eastAsia="Calibri" w:hAnsi="Times New Roman" w:cs="Times New Roman"/>
          <w:color w:val="00000A"/>
          <w:sz w:val="28"/>
          <w:szCs w:val="28"/>
        </w:rPr>
        <w:t>titer</w:t>
      </w:r>
      <w:r w:rsidR="002D185C" w:rsidRPr="006E32E0">
        <w:rPr>
          <w:rFonts w:ascii="Times New Roman" w:eastAsia="Calibri" w:hAnsi="Times New Roman" w:cs="Times New Roman"/>
          <w:color w:val="00000A"/>
          <w:sz w:val="28"/>
          <w:szCs w:val="28"/>
        </w:rPr>
        <w:t xml:space="preserve">: </w:t>
      </w:r>
      <w:r w:rsidR="00630903" w:rsidRPr="006E32E0">
        <w:rPr>
          <w:rFonts w:ascii="Times New Roman" w:eastAsia="Calibri" w:hAnsi="Times New Roman" w:cs="Times New Roman"/>
          <w:color w:val="00000A"/>
          <w:sz w:val="28"/>
          <w:szCs w:val="28"/>
        </w:rPr>
        <w:t>a plaque assay, considered the gold standard</w:t>
      </w:r>
      <w:r w:rsidR="00D10872" w:rsidRPr="006E32E0">
        <w:rPr>
          <w:rFonts w:ascii="Times New Roman" w:eastAsia="Calibri" w:hAnsi="Times New Roman" w:cs="Times New Roman"/>
          <w:color w:val="00000A"/>
          <w:sz w:val="28"/>
          <w:szCs w:val="28"/>
        </w:rPr>
        <w:t xml:space="preserve"> for this measurement</w:t>
      </w:r>
      <w:r w:rsidR="002D185C" w:rsidRPr="006E32E0">
        <w:rPr>
          <w:rFonts w:ascii="Times New Roman" w:eastAsia="Calibri" w:hAnsi="Times New Roman" w:cs="Times New Roman"/>
          <w:color w:val="00000A"/>
          <w:sz w:val="28"/>
          <w:szCs w:val="28"/>
        </w:rPr>
        <w:t xml:space="preserve">. Vero E6 cells were seeded in 6-well plates until they reached 100% confluency. Serial dilutions of the viral stock ranged from 10⁻¹ to 10⁻⁷. </w:t>
      </w:r>
      <w:r w:rsidR="00D71468">
        <w:rPr>
          <w:rFonts w:ascii="Times New Roman" w:eastAsia="Calibri" w:hAnsi="Times New Roman" w:cs="Times New Roman"/>
          <w:color w:val="00000A"/>
          <w:sz w:val="28"/>
          <w:szCs w:val="28"/>
        </w:rPr>
        <w:t>0.2 mL of inoculum was added to each</w:t>
      </w:r>
      <w:r w:rsidR="002D185C" w:rsidRPr="006E32E0">
        <w:rPr>
          <w:rFonts w:ascii="Times New Roman" w:eastAsia="Calibri" w:hAnsi="Times New Roman" w:cs="Times New Roman"/>
          <w:color w:val="00000A"/>
          <w:sz w:val="28"/>
          <w:szCs w:val="28"/>
        </w:rPr>
        <w:t xml:space="preserve"> well, and the plates were incubated for 1 hour at 37°C. The wells were overlaid with DMEM containing 2% </w:t>
      </w:r>
      <w:r w:rsidR="00123817" w:rsidRPr="006E32E0">
        <w:rPr>
          <w:rFonts w:ascii="Times New Roman" w:eastAsia="Calibri" w:hAnsi="Times New Roman" w:cs="Times New Roman"/>
          <w:color w:val="00000A"/>
          <w:sz w:val="28"/>
          <w:szCs w:val="28"/>
        </w:rPr>
        <w:t>fetal bovine serum (FBS)</w:t>
      </w:r>
      <w:r w:rsidR="002D185C" w:rsidRPr="006E32E0">
        <w:rPr>
          <w:rFonts w:ascii="Times New Roman" w:eastAsia="Calibri" w:hAnsi="Times New Roman" w:cs="Times New Roman"/>
          <w:color w:val="00000A"/>
          <w:sz w:val="28"/>
          <w:szCs w:val="28"/>
        </w:rPr>
        <w:t xml:space="preserve"> and 1% agarose. </w:t>
      </w:r>
    </w:p>
    <w:p w14:paraId="5AA858F6" w14:textId="2D67AE68" w:rsidR="00E8053F" w:rsidRDefault="002D185C" w:rsidP="006E32E0">
      <w:pPr>
        <w:spacing w:after="0" w:line="240" w:lineRule="auto"/>
        <w:ind w:firstLine="708"/>
        <w:jc w:val="both"/>
        <w:rPr>
          <w:rFonts w:ascii="Times New Roman" w:hAnsi="Times New Roman" w:cs="Times New Roman"/>
          <w:sz w:val="28"/>
          <w:szCs w:val="28"/>
        </w:rPr>
      </w:pPr>
      <w:r w:rsidRPr="006E32E0">
        <w:rPr>
          <w:rFonts w:ascii="Times New Roman" w:eastAsia="Calibri" w:hAnsi="Times New Roman" w:cs="Times New Roman"/>
          <w:color w:val="00000A"/>
          <w:sz w:val="28"/>
          <w:szCs w:val="28"/>
        </w:rPr>
        <w:t xml:space="preserve">The plates were incubated for 3–5 days, then fixed with formaldehyde and stained with crystal violet. The plaques were counted, and the Plaque-Forming Units per </w:t>
      </w:r>
      <w:r w:rsidR="00067AC6" w:rsidRPr="006E32E0">
        <w:rPr>
          <w:rFonts w:ascii="Times New Roman" w:eastAsia="Calibri" w:hAnsi="Times New Roman" w:cs="Times New Roman"/>
          <w:color w:val="00000A"/>
          <w:sz w:val="28"/>
          <w:szCs w:val="28"/>
        </w:rPr>
        <w:t>millilitre (PFU/mL) were calculated [17, 102, 115, 126</w:t>
      </w:r>
      <w:r w:rsidR="001F70C8" w:rsidRPr="006E32E0">
        <w:rPr>
          <w:rFonts w:ascii="Times New Roman" w:eastAsia="Calibri" w:hAnsi="Times New Roman" w:cs="Times New Roman"/>
          <w:color w:val="00000A"/>
          <w:sz w:val="28"/>
          <w:szCs w:val="28"/>
        </w:rPr>
        <w:t>]. In</w:t>
      </w:r>
      <w:r w:rsidR="00826A57" w:rsidRPr="006E32E0">
        <w:rPr>
          <w:rFonts w:ascii="Times New Roman" w:eastAsia="Calibri" w:hAnsi="Times New Roman" w:cs="Times New Roman"/>
          <w:color w:val="00000A"/>
          <w:sz w:val="28"/>
          <w:szCs w:val="28"/>
        </w:rPr>
        <w:t xml:space="preserve"> summary</w:t>
      </w:r>
      <w:r w:rsidR="00792AB1" w:rsidRPr="006E32E0">
        <w:rPr>
          <w:rFonts w:ascii="Times New Roman" w:eastAsia="Calibri" w:hAnsi="Times New Roman" w:cs="Times New Roman"/>
          <w:color w:val="00000A"/>
          <w:sz w:val="28"/>
          <w:szCs w:val="28"/>
        </w:rPr>
        <w:t xml:space="preserve">, several challenges should be </w:t>
      </w:r>
      <w:r w:rsidR="00987955">
        <w:rPr>
          <w:rFonts w:ascii="Times New Roman" w:eastAsia="Calibri" w:hAnsi="Times New Roman" w:cs="Times New Roman"/>
          <w:color w:val="00000A"/>
          <w:sz w:val="28"/>
          <w:szCs w:val="28"/>
        </w:rPr>
        <w:t>considered</w:t>
      </w:r>
      <w:r w:rsidR="00792AB1" w:rsidRPr="006E32E0">
        <w:rPr>
          <w:rFonts w:ascii="Times New Roman" w:eastAsia="Calibri" w:hAnsi="Times New Roman" w:cs="Times New Roman"/>
          <w:color w:val="00000A"/>
          <w:sz w:val="28"/>
          <w:szCs w:val="28"/>
        </w:rPr>
        <w:t xml:space="preserve">, including a low viral load. BALF samples, especially later in the </w:t>
      </w:r>
      <w:r w:rsidR="00B03F77" w:rsidRPr="006E32E0">
        <w:rPr>
          <w:rFonts w:ascii="Times New Roman" w:hAnsi="Times New Roman" w:cs="Times New Roman"/>
          <w:sz w:val="28"/>
          <w:szCs w:val="28"/>
        </w:rPr>
        <w:t>disease, may have lower viral titers, making isolation difficult.</w:t>
      </w:r>
      <w:r w:rsidR="00E8053F" w:rsidRPr="006E32E0">
        <w:rPr>
          <w:rFonts w:ascii="Times New Roman" w:eastAsia="Calibri" w:hAnsi="Times New Roman" w:cs="Times New Roman"/>
          <w:color w:val="00000A"/>
          <w:sz w:val="28"/>
          <w:szCs w:val="28"/>
        </w:rPr>
        <w:t xml:space="preserve"> </w:t>
      </w:r>
      <w:r w:rsidR="00B03F77" w:rsidRPr="006E32E0">
        <w:rPr>
          <w:rFonts w:ascii="Times New Roman" w:hAnsi="Times New Roman" w:cs="Times New Roman"/>
          <w:sz w:val="28"/>
          <w:szCs w:val="28"/>
        </w:rPr>
        <w:t xml:space="preserve">Sample Availability: BALF collection is invasive and </w:t>
      </w:r>
      <w:r w:rsidR="00987955">
        <w:rPr>
          <w:rFonts w:ascii="Times New Roman" w:hAnsi="Times New Roman" w:cs="Times New Roman"/>
          <w:sz w:val="28"/>
          <w:szCs w:val="28"/>
        </w:rPr>
        <w:t>is primarily performed in hospitalised patients with specific indications, limiting the number of samples available</w:t>
      </w:r>
      <w:r w:rsidR="00B03F77" w:rsidRPr="006E32E0">
        <w:rPr>
          <w:rFonts w:ascii="Times New Roman" w:hAnsi="Times New Roman" w:cs="Times New Roman"/>
          <w:sz w:val="28"/>
          <w:szCs w:val="28"/>
        </w:rPr>
        <w:t>.</w:t>
      </w:r>
      <w:r w:rsidR="00E8053F" w:rsidRPr="006E32E0">
        <w:rPr>
          <w:rFonts w:ascii="Times New Roman" w:eastAsia="Calibri" w:hAnsi="Times New Roman" w:cs="Times New Roman"/>
          <w:color w:val="00000A"/>
          <w:sz w:val="28"/>
          <w:szCs w:val="28"/>
        </w:rPr>
        <w:t xml:space="preserve"> </w:t>
      </w:r>
      <w:r w:rsidR="00B03F77" w:rsidRPr="006E32E0">
        <w:rPr>
          <w:rFonts w:ascii="Times New Roman" w:hAnsi="Times New Roman" w:cs="Times New Roman"/>
          <w:sz w:val="28"/>
          <w:szCs w:val="28"/>
        </w:rPr>
        <w:t>Cell Culture Adaptation: Propagation in cell lines can select for or induce mutations not present in the original patient sample</w:t>
      </w:r>
      <w:bookmarkEnd w:id="17"/>
      <w:r w:rsidR="00342D71" w:rsidRPr="006E32E0">
        <w:rPr>
          <w:rFonts w:ascii="Times New Roman" w:hAnsi="Times New Roman" w:cs="Times New Roman"/>
          <w:sz w:val="28"/>
          <w:szCs w:val="28"/>
        </w:rPr>
        <w:t>.</w:t>
      </w:r>
    </w:p>
    <w:p w14:paraId="181B3DBC" w14:textId="77777777" w:rsidR="006E32E0" w:rsidRPr="006E32E0" w:rsidRDefault="006E32E0" w:rsidP="006E32E0">
      <w:pPr>
        <w:spacing w:after="0" w:line="240" w:lineRule="auto"/>
        <w:ind w:firstLine="708"/>
        <w:jc w:val="both"/>
        <w:rPr>
          <w:rFonts w:ascii="Times New Roman" w:hAnsi="Times New Roman" w:cs="Times New Roman"/>
          <w:sz w:val="28"/>
          <w:szCs w:val="28"/>
        </w:rPr>
      </w:pPr>
    </w:p>
    <w:p w14:paraId="50EA74BC" w14:textId="339789D2" w:rsidR="009428E9" w:rsidRPr="006E32E0" w:rsidRDefault="009428E9" w:rsidP="006E32E0">
      <w:pPr>
        <w:spacing w:after="0" w:line="240" w:lineRule="auto"/>
        <w:jc w:val="both"/>
        <w:rPr>
          <w:rFonts w:ascii="Times New Roman" w:eastAsia="Calibri" w:hAnsi="Times New Roman" w:cs="Times New Roman"/>
          <w:i/>
          <w:iCs/>
          <w:color w:val="00000A"/>
          <w:sz w:val="28"/>
          <w:szCs w:val="28"/>
          <w:u w:val="single"/>
        </w:rPr>
      </w:pPr>
      <w:r w:rsidRPr="006E32E0">
        <w:rPr>
          <w:rFonts w:ascii="Times New Roman" w:eastAsia="Calibri" w:hAnsi="Times New Roman" w:cs="Times New Roman"/>
          <w:i/>
          <w:iCs/>
          <w:color w:val="00000A"/>
          <w:sz w:val="28"/>
          <w:szCs w:val="28"/>
          <w:u w:val="single"/>
        </w:rPr>
        <w:t>Lung Removal for IL-33 experiment:</w:t>
      </w:r>
    </w:p>
    <w:p w14:paraId="625741DA" w14:textId="385B3756" w:rsidR="00061D59" w:rsidRDefault="00DA5054" w:rsidP="00061D59">
      <w:pPr>
        <w:spacing w:after="0" w:line="240" w:lineRule="auto"/>
        <w:jc w:val="both"/>
        <w:rPr>
          <w:rFonts w:ascii="Times New Roman" w:eastAsia="Calibri" w:hAnsi="Times New Roman" w:cs="Times New Roman"/>
          <w:color w:val="00000A"/>
          <w:sz w:val="28"/>
          <w:szCs w:val="28"/>
        </w:rPr>
      </w:pPr>
      <w:r w:rsidRPr="006E32E0">
        <w:rPr>
          <w:rFonts w:ascii="Times New Roman" w:hAnsi="Times New Roman" w:cs="Times New Roman"/>
          <w:sz w:val="28"/>
          <w:szCs w:val="28"/>
        </w:rPr>
        <w:t xml:space="preserve">As </w:t>
      </w:r>
      <w:r w:rsidR="005B34FF">
        <w:rPr>
          <w:rFonts w:ascii="Times New Roman" w:hAnsi="Times New Roman" w:cs="Times New Roman"/>
          <w:sz w:val="28"/>
          <w:szCs w:val="28"/>
        </w:rPr>
        <w:t>a research subject, the lungs of wild-type mice were collected</w:t>
      </w:r>
      <w:r w:rsidR="00F8129E" w:rsidRPr="006E32E0">
        <w:rPr>
          <w:rFonts w:ascii="Times New Roman" w:hAnsi="Times New Roman" w:cs="Times New Roman"/>
          <w:sz w:val="28"/>
          <w:szCs w:val="28"/>
        </w:rPr>
        <w:t>.</w:t>
      </w:r>
      <w:r w:rsidRPr="006E32E0">
        <w:rPr>
          <w:rFonts w:ascii="Times New Roman" w:hAnsi="Times New Roman" w:cs="Times New Roman"/>
          <w:sz w:val="28"/>
          <w:szCs w:val="28"/>
        </w:rPr>
        <w:t xml:space="preserve"> </w:t>
      </w:r>
      <w:r w:rsidR="009428E9" w:rsidRPr="006E32E0">
        <w:rPr>
          <w:rFonts w:ascii="Times New Roman" w:eastAsia="Calibri" w:hAnsi="Times New Roman" w:cs="Times New Roman"/>
          <w:color w:val="00000A"/>
          <w:sz w:val="28"/>
          <w:szCs w:val="28"/>
        </w:rPr>
        <w:t>Lift the heart with forceps, sever the trachea/oesophagus.</w:t>
      </w:r>
      <w:r w:rsidR="00082AE8" w:rsidRPr="006E32E0">
        <w:rPr>
          <w:rFonts w:ascii="Times New Roman" w:eastAsia="Calibri" w:hAnsi="Times New Roman" w:cs="Times New Roman"/>
          <w:color w:val="00000A"/>
          <w:sz w:val="28"/>
          <w:szCs w:val="28"/>
        </w:rPr>
        <w:t xml:space="preserve"> </w:t>
      </w:r>
      <w:r w:rsidR="009428E9" w:rsidRPr="006E32E0">
        <w:rPr>
          <w:rFonts w:ascii="Times New Roman" w:eastAsia="Calibri" w:hAnsi="Times New Roman" w:cs="Times New Roman"/>
          <w:color w:val="00000A"/>
          <w:sz w:val="28"/>
          <w:szCs w:val="28"/>
        </w:rPr>
        <w:t>Extract the entire lung bloc (heart, lungs, trachea)</w:t>
      </w:r>
      <w:r w:rsidR="00082AE8" w:rsidRPr="006E32E0">
        <w:rPr>
          <w:rFonts w:ascii="Times New Roman" w:eastAsia="Calibri" w:hAnsi="Times New Roman" w:cs="Times New Roman"/>
          <w:color w:val="00000A"/>
          <w:sz w:val="28"/>
          <w:szCs w:val="28"/>
        </w:rPr>
        <w:t>—separate</w:t>
      </w:r>
      <w:r w:rsidR="009428E9" w:rsidRPr="006E32E0">
        <w:rPr>
          <w:rFonts w:ascii="Times New Roman" w:eastAsia="Calibri" w:hAnsi="Times New Roman" w:cs="Times New Roman"/>
          <w:color w:val="00000A"/>
          <w:sz w:val="28"/>
          <w:szCs w:val="28"/>
        </w:rPr>
        <w:t xml:space="preserve"> lungs from heart/trachea on ice [</w:t>
      </w:r>
      <w:r w:rsidR="00A42DA8" w:rsidRPr="006E32E0">
        <w:rPr>
          <w:rFonts w:ascii="Times New Roman" w:eastAsia="Calibri" w:hAnsi="Times New Roman" w:cs="Times New Roman"/>
          <w:color w:val="00000A"/>
          <w:sz w:val="28"/>
          <w:szCs w:val="28"/>
        </w:rPr>
        <w:t>117]</w:t>
      </w:r>
      <w:r w:rsidR="00D97794" w:rsidRPr="006E32E0">
        <w:rPr>
          <w:rFonts w:ascii="Times New Roman" w:eastAsia="Calibri" w:hAnsi="Times New Roman" w:cs="Times New Roman"/>
          <w:color w:val="00000A"/>
          <w:sz w:val="28"/>
          <w:szCs w:val="28"/>
        </w:rPr>
        <w:t>—Decontaminate tools with 10% bleach or 70% ethanol. The waste was either autoclaved or chemically inactivated [</w:t>
      </w:r>
      <w:r w:rsidR="00F8129E" w:rsidRPr="006E32E0">
        <w:rPr>
          <w:rFonts w:ascii="Times New Roman" w:eastAsia="Calibri" w:hAnsi="Times New Roman" w:cs="Times New Roman"/>
          <w:color w:val="00000A"/>
          <w:sz w:val="28"/>
          <w:szCs w:val="28"/>
        </w:rPr>
        <w:t>1</w:t>
      </w:r>
      <w:r w:rsidR="00D97794" w:rsidRPr="006E32E0">
        <w:rPr>
          <w:rFonts w:ascii="Times New Roman" w:eastAsia="Calibri" w:hAnsi="Times New Roman" w:cs="Times New Roman"/>
          <w:color w:val="00000A"/>
          <w:sz w:val="28"/>
          <w:szCs w:val="28"/>
        </w:rPr>
        <w:t>17].</w:t>
      </w:r>
    </w:p>
    <w:p w14:paraId="43029107" w14:textId="77777777" w:rsidR="00061D59" w:rsidRPr="00061D59" w:rsidRDefault="00061D59" w:rsidP="00061D59">
      <w:pPr>
        <w:spacing w:after="0" w:line="240" w:lineRule="auto"/>
        <w:jc w:val="both"/>
        <w:rPr>
          <w:rFonts w:ascii="Times New Roman" w:eastAsia="Calibri" w:hAnsi="Times New Roman" w:cs="Times New Roman"/>
          <w:color w:val="00000A"/>
          <w:sz w:val="28"/>
          <w:szCs w:val="28"/>
        </w:rPr>
      </w:pPr>
    </w:p>
    <w:p w14:paraId="2B6B9DB7" w14:textId="228326FD" w:rsidR="001F61FC" w:rsidRPr="003D3474" w:rsidRDefault="006D6FF5" w:rsidP="00B65D8E">
      <w:pPr>
        <w:pStyle w:val="af1"/>
        <w:numPr>
          <w:ilvl w:val="1"/>
          <w:numId w:val="76"/>
        </w:numPr>
        <w:spacing w:after="0" w:line="240" w:lineRule="auto"/>
        <w:ind w:left="1134"/>
        <w:jc w:val="both"/>
        <w:rPr>
          <w:rFonts w:ascii="Times New Roman" w:eastAsia="Calibri" w:hAnsi="Times New Roman" w:cs="Times New Roman"/>
          <w:b/>
          <w:bCs/>
          <w:color w:val="00000A"/>
          <w:sz w:val="28"/>
          <w:szCs w:val="28"/>
        </w:rPr>
      </w:pPr>
      <w:r w:rsidRPr="003D3474">
        <w:rPr>
          <w:rFonts w:ascii="Times New Roman" w:eastAsia="Calibri" w:hAnsi="Times New Roman" w:cs="Times New Roman"/>
          <w:b/>
          <w:bCs/>
          <w:color w:val="00000A"/>
          <w:sz w:val="28"/>
          <w:szCs w:val="28"/>
        </w:rPr>
        <w:t>Research Materials</w:t>
      </w:r>
    </w:p>
    <w:p w14:paraId="75B79572" w14:textId="21D2545B" w:rsidR="006D6FF5" w:rsidRPr="003D3474" w:rsidRDefault="006D6FF5" w:rsidP="003D3474">
      <w:pPr>
        <w:spacing w:after="0" w:line="240" w:lineRule="auto"/>
        <w:ind w:firstLine="708"/>
        <w:jc w:val="both"/>
        <w:rPr>
          <w:rFonts w:ascii="Times New Roman" w:hAnsi="Times New Roman" w:cs="Times New Roman"/>
          <w:sz w:val="28"/>
          <w:szCs w:val="28"/>
          <w:lang w:val="en-US"/>
        </w:rPr>
      </w:pPr>
      <w:bookmarkStart w:id="19" w:name="_Hlk201050131"/>
      <w:r w:rsidRPr="003D3474">
        <w:rPr>
          <w:rFonts w:ascii="Times New Roman" w:hAnsi="Times New Roman" w:cs="Times New Roman"/>
          <w:sz w:val="28"/>
          <w:szCs w:val="28"/>
        </w:rPr>
        <w:t>The following pieces of equipment were used in the work:</w:t>
      </w:r>
      <w:r w:rsidR="0064268D" w:rsidRPr="003D3474">
        <w:rPr>
          <w:rFonts w:ascii="Times New Roman" w:hAnsi="Times New Roman" w:cs="Times New Roman"/>
          <w:sz w:val="28"/>
          <w:szCs w:val="28"/>
        </w:rPr>
        <w:t xml:space="preserve"> </w:t>
      </w:r>
      <w:r w:rsidRPr="003D3474">
        <w:rPr>
          <w:rFonts w:ascii="Times New Roman" w:hAnsi="Times New Roman" w:cs="Times New Roman"/>
          <w:sz w:val="28"/>
          <w:szCs w:val="28"/>
        </w:rPr>
        <w:t>an oligonucleotide synthesizer H-16 (</w:t>
      </w:r>
      <w:proofErr w:type="spellStart"/>
      <w:r w:rsidRPr="003D3474">
        <w:rPr>
          <w:rFonts w:ascii="Times New Roman" w:hAnsi="Times New Roman" w:cs="Times New Roman"/>
          <w:sz w:val="28"/>
          <w:szCs w:val="28"/>
        </w:rPr>
        <w:t>K&amp;Laborgeraete</w:t>
      </w:r>
      <w:proofErr w:type="spellEnd"/>
      <w:r w:rsidRPr="003D3474">
        <w:rPr>
          <w:rFonts w:ascii="Times New Roman" w:hAnsi="Times New Roman" w:cs="Times New Roman"/>
          <w:sz w:val="28"/>
          <w:szCs w:val="28"/>
        </w:rPr>
        <w:t xml:space="preserve">, Germany); thermal cyclers GeneAmp PCR System 9600 (Applied Biosystems) and TC-512 (Techne); thermal boards </w:t>
      </w:r>
      <w:proofErr w:type="spellStart"/>
      <w:r w:rsidRPr="003D3474">
        <w:rPr>
          <w:rFonts w:ascii="Times New Roman" w:hAnsi="Times New Roman" w:cs="Times New Roman"/>
          <w:sz w:val="28"/>
          <w:szCs w:val="28"/>
        </w:rPr>
        <w:t>DryBlockHeater</w:t>
      </w:r>
      <w:proofErr w:type="spellEnd"/>
      <w:r w:rsidRPr="003D3474">
        <w:rPr>
          <w:rFonts w:ascii="Times New Roman" w:hAnsi="Times New Roman" w:cs="Times New Roman"/>
          <w:sz w:val="28"/>
          <w:szCs w:val="28"/>
        </w:rPr>
        <w:t xml:space="preserve"> (Techne); shakers and vortexes Vortex-Genie 2 Shaker (Cole-Parmer); automatic micropipettes (Eppendorf); apparatus for electrophoresis of nucleic acids G100 (Pharmacia); gel documentation system “Bio-Rad” (USA); microcentrifuge “</w:t>
      </w:r>
      <w:proofErr w:type="spellStart"/>
      <w:r w:rsidRPr="003D3474">
        <w:rPr>
          <w:rFonts w:ascii="Times New Roman" w:hAnsi="Times New Roman" w:cs="Times New Roman"/>
          <w:sz w:val="28"/>
          <w:szCs w:val="28"/>
        </w:rPr>
        <w:t>MiniSpin</w:t>
      </w:r>
      <w:proofErr w:type="spellEnd"/>
      <w:r w:rsidRPr="003D3474">
        <w:rPr>
          <w:rFonts w:ascii="Times New Roman" w:hAnsi="Times New Roman" w:cs="Times New Roman"/>
          <w:sz w:val="28"/>
          <w:szCs w:val="28"/>
        </w:rPr>
        <w:t>” (Eppendorf); a refrigerator maintained at –20 °C; a set of software packages for DNA sequence analysis including DNASYS MAX 1.0, Sequencer, Vector NTI, BioEdit, GENEDOC, and the Staden package; as well as a microplate reader (OD, optical density) Plate Verification instrument for Hipo MPP-96 (BioSAN) [101–103].</w:t>
      </w:r>
    </w:p>
    <w:p w14:paraId="5C1E3E4F" w14:textId="24533A65" w:rsidR="00F7641D" w:rsidRPr="003D3474" w:rsidRDefault="006D6FF5" w:rsidP="003D3474">
      <w:pPr>
        <w:spacing w:after="0" w:line="240" w:lineRule="auto"/>
        <w:rPr>
          <w:rFonts w:ascii="Times New Roman" w:hAnsi="Times New Roman" w:cs="Times New Roman"/>
          <w:i/>
          <w:iCs/>
          <w:sz w:val="28"/>
          <w:szCs w:val="28"/>
        </w:rPr>
      </w:pPr>
      <w:r w:rsidRPr="003D3474">
        <w:rPr>
          <w:rFonts w:ascii="Times New Roman" w:hAnsi="Times New Roman" w:cs="Times New Roman"/>
          <w:i/>
          <w:iCs/>
          <w:sz w:val="28"/>
          <w:szCs w:val="28"/>
          <w:lang w:val="en-US"/>
        </w:rPr>
        <w:t xml:space="preserve"> </w:t>
      </w:r>
      <w:bookmarkEnd w:id="19"/>
      <w:r w:rsidR="00F7641D" w:rsidRPr="003D3474">
        <w:rPr>
          <w:rFonts w:ascii="Times New Roman" w:hAnsi="Times New Roman" w:cs="Times New Roman"/>
          <w:i/>
          <w:iCs/>
          <w:sz w:val="28"/>
          <w:szCs w:val="28"/>
        </w:rPr>
        <w:t xml:space="preserve">Equipment and </w:t>
      </w:r>
      <w:r w:rsidR="00067AC6" w:rsidRPr="003D3474">
        <w:rPr>
          <w:rFonts w:ascii="Times New Roman" w:hAnsi="Times New Roman" w:cs="Times New Roman"/>
          <w:i/>
          <w:iCs/>
          <w:sz w:val="28"/>
          <w:szCs w:val="28"/>
        </w:rPr>
        <w:t>disposables</w:t>
      </w:r>
      <w:r w:rsidR="00F7641D" w:rsidRPr="003D3474">
        <w:rPr>
          <w:rFonts w:ascii="Times New Roman" w:hAnsi="Times New Roman" w:cs="Times New Roman"/>
          <w:i/>
          <w:iCs/>
          <w:sz w:val="28"/>
          <w:szCs w:val="28"/>
        </w:rPr>
        <w:t xml:space="preserve"> for MTT-kit: </w:t>
      </w:r>
    </w:p>
    <w:p w14:paraId="0F49320C" w14:textId="77777777" w:rsidR="00F7641D" w:rsidRPr="003D3474" w:rsidRDefault="00F7641D" w:rsidP="003D3474">
      <w:pPr>
        <w:pStyle w:val="af1"/>
        <w:spacing w:after="0" w:line="240" w:lineRule="auto"/>
        <w:ind w:left="0"/>
        <w:jc w:val="both"/>
        <w:rPr>
          <w:rFonts w:ascii="Times New Roman" w:hAnsi="Times New Roman" w:cs="Times New Roman"/>
          <w:sz w:val="28"/>
          <w:szCs w:val="28"/>
        </w:rPr>
      </w:pPr>
      <w:r w:rsidRPr="003D3474">
        <w:rPr>
          <w:rFonts w:ascii="Times New Roman" w:hAnsi="Times New Roman" w:cs="Times New Roman"/>
          <w:sz w:val="28"/>
          <w:szCs w:val="28"/>
        </w:rPr>
        <w:t xml:space="preserve">Microplate reader capable of measuring absorbance at OD 590 nm </w:t>
      </w:r>
    </w:p>
    <w:p w14:paraId="0611A591" w14:textId="761A19E0" w:rsidR="00F7641D" w:rsidRPr="003D3474" w:rsidRDefault="00F7641D" w:rsidP="003D3474">
      <w:pPr>
        <w:pStyle w:val="af1"/>
        <w:numPr>
          <w:ilvl w:val="0"/>
          <w:numId w:val="5"/>
        </w:numPr>
        <w:spacing w:after="0" w:line="240" w:lineRule="auto"/>
        <w:ind w:left="2" w:hanging="2"/>
        <w:jc w:val="both"/>
        <w:rPr>
          <w:rFonts w:ascii="Times New Roman" w:hAnsi="Times New Roman" w:cs="Times New Roman"/>
          <w:sz w:val="28"/>
          <w:szCs w:val="28"/>
        </w:rPr>
      </w:pPr>
      <w:r w:rsidRPr="003D3474">
        <w:rPr>
          <w:rFonts w:ascii="Times New Roman" w:hAnsi="Times New Roman" w:cs="Times New Roman"/>
          <w:sz w:val="28"/>
          <w:szCs w:val="28"/>
        </w:rPr>
        <w:t xml:space="preserve">Pipettes and pipette tips, including </w:t>
      </w:r>
      <w:r w:rsidR="00067AC6" w:rsidRPr="003D3474">
        <w:rPr>
          <w:rFonts w:ascii="Times New Roman" w:hAnsi="Times New Roman" w:cs="Times New Roman"/>
          <w:sz w:val="28"/>
          <w:szCs w:val="28"/>
        </w:rPr>
        <w:t xml:space="preserve">a </w:t>
      </w:r>
      <w:r w:rsidRPr="003D3474">
        <w:rPr>
          <w:rFonts w:ascii="Times New Roman" w:hAnsi="Times New Roman" w:cs="Times New Roman"/>
          <w:sz w:val="28"/>
          <w:szCs w:val="28"/>
        </w:rPr>
        <w:t xml:space="preserve">multichannel pipette </w:t>
      </w:r>
    </w:p>
    <w:p w14:paraId="6E096FC8" w14:textId="77777777" w:rsidR="00F7641D" w:rsidRPr="003D3474" w:rsidRDefault="00F7641D" w:rsidP="003D3474">
      <w:pPr>
        <w:pStyle w:val="af1"/>
        <w:numPr>
          <w:ilvl w:val="0"/>
          <w:numId w:val="5"/>
        </w:numPr>
        <w:spacing w:after="0" w:line="240" w:lineRule="auto"/>
        <w:ind w:left="0" w:firstLine="0"/>
        <w:jc w:val="both"/>
        <w:rPr>
          <w:rFonts w:ascii="Times New Roman" w:hAnsi="Times New Roman" w:cs="Times New Roman"/>
          <w:sz w:val="28"/>
          <w:szCs w:val="28"/>
        </w:rPr>
      </w:pPr>
      <w:r w:rsidRPr="003D3474">
        <w:rPr>
          <w:rFonts w:ascii="Times New Roman" w:hAnsi="Times New Roman" w:cs="Times New Roman"/>
          <w:sz w:val="28"/>
          <w:szCs w:val="28"/>
        </w:rPr>
        <w:t xml:space="preserve">Tubes for the preparation of reagents and buffer solutions </w:t>
      </w:r>
    </w:p>
    <w:p w14:paraId="2D7F3588" w14:textId="68764C32" w:rsidR="009905F6" w:rsidRPr="003D3474" w:rsidRDefault="00630903" w:rsidP="003D3474">
      <w:pPr>
        <w:pStyle w:val="af1"/>
        <w:numPr>
          <w:ilvl w:val="0"/>
          <w:numId w:val="5"/>
        </w:numPr>
        <w:spacing w:after="0" w:line="240" w:lineRule="auto"/>
        <w:ind w:left="2" w:hanging="2"/>
        <w:jc w:val="both"/>
        <w:rPr>
          <w:rFonts w:ascii="Times New Roman" w:hAnsi="Times New Roman" w:cs="Times New Roman"/>
          <w:sz w:val="28"/>
          <w:szCs w:val="28"/>
        </w:rPr>
      </w:pPr>
      <w:r w:rsidRPr="003D3474">
        <w:rPr>
          <w:rFonts w:ascii="Times New Roman" w:hAnsi="Times New Roman" w:cs="Times New Roman"/>
          <w:sz w:val="28"/>
          <w:szCs w:val="28"/>
        </w:rPr>
        <w:t>96-well plates with a clear, flat bottom for antiviral safe</w:t>
      </w:r>
      <w:r w:rsidR="00E749AA" w:rsidRPr="003D3474">
        <w:rPr>
          <w:rFonts w:ascii="Times New Roman" w:hAnsi="Times New Roman" w:cs="Times New Roman"/>
          <w:sz w:val="28"/>
          <w:szCs w:val="28"/>
        </w:rPr>
        <w:t xml:space="preserve"> assays, </w:t>
      </w:r>
      <w:r w:rsidRPr="003D3474">
        <w:rPr>
          <w:rFonts w:ascii="Times New Roman" w:hAnsi="Times New Roman" w:cs="Times New Roman"/>
          <w:sz w:val="28"/>
          <w:szCs w:val="28"/>
        </w:rPr>
        <w:t xml:space="preserve">drug </w:t>
      </w:r>
      <w:r w:rsidR="00E749AA" w:rsidRPr="003D3474">
        <w:rPr>
          <w:rFonts w:ascii="Times New Roman" w:hAnsi="Times New Roman" w:cs="Times New Roman"/>
          <w:sz w:val="28"/>
          <w:szCs w:val="28"/>
        </w:rPr>
        <w:t>cytotoxicity [</w:t>
      </w:r>
      <w:r w:rsidR="00F7641D" w:rsidRPr="003D3474">
        <w:rPr>
          <w:rFonts w:ascii="Times New Roman" w:hAnsi="Times New Roman" w:cs="Times New Roman"/>
          <w:sz w:val="28"/>
          <w:szCs w:val="28"/>
        </w:rPr>
        <w:t>107]</w:t>
      </w:r>
      <w:r w:rsidRPr="003D3474">
        <w:rPr>
          <w:rFonts w:ascii="Times New Roman" w:hAnsi="Times New Roman" w:cs="Times New Roman"/>
          <w:sz w:val="28"/>
          <w:szCs w:val="28"/>
        </w:rPr>
        <w:t>.</w:t>
      </w:r>
      <w:r w:rsidR="00F7641D" w:rsidRPr="003D3474">
        <w:rPr>
          <w:rFonts w:ascii="Times New Roman" w:hAnsi="Times New Roman" w:cs="Times New Roman"/>
          <w:sz w:val="28"/>
          <w:szCs w:val="28"/>
        </w:rPr>
        <w:t xml:space="preserve"> </w:t>
      </w:r>
    </w:p>
    <w:p w14:paraId="012BF299" w14:textId="22EDDD52" w:rsidR="00B741D5" w:rsidRPr="003D3474" w:rsidRDefault="00F7641D" w:rsidP="003D3474">
      <w:pPr>
        <w:spacing w:after="0" w:line="240" w:lineRule="auto"/>
        <w:ind w:left="2" w:firstLine="708"/>
        <w:jc w:val="both"/>
        <w:rPr>
          <w:rFonts w:ascii="Times New Roman" w:hAnsi="Times New Roman" w:cs="Times New Roman"/>
          <w:i/>
          <w:iCs/>
          <w:sz w:val="28"/>
          <w:szCs w:val="28"/>
        </w:rPr>
      </w:pPr>
      <w:r w:rsidRPr="003D3474">
        <w:rPr>
          <w:rFonts w:ascii="Times New Roman" w:hAnsi="Times New Roman" w:cs="Times New Roman"/>
          <w:i/>
          <w:iCs/>
          <w:sz w:val="28"/>
          <w:szCs w:val="28"/>
        </w:rPr>
        <w:t xml:space="preserve">Equipment and </w:t>
      </w:r>
      <w:r w:rsidR="00E749AA" w:rsidRPr="003D3474">
        <w:rPr>
          <w:rFonts w:ascii="Times New Roman" w:hAnsi="Times New Roman" w:cs="Times New Roman"/>
          <w:i/>
          <w:iCs/>
          <w:sz w:val="28"/>
          <w:szCs w:val="28"/>
        </w:rPr>
        <w:t>disposables</w:t>
      </w:r>
      <w:r w:rsidRPr="003D3474">
        <w:rPr>
          <w:rFonts w:ascii="Times New Roman" w:hAnsi="Times New Roman" w:cs="Times New Roman"/>
          <w:i/>
          <w:iCs/>
          <w:sz w:val="28"/>
          <w:szCs w:val="28"/>
        </w:rPr>
        <w:t xml:space="preserve"> for Cell counting kit 8 (CCK8)</w:t>
      </w:r>
      <w:r w:rsidR="003F53BF" w:rsidRPr="003D3474">
        <w:rPr>
          <w:rFonts w:ascii="Times New Roman" w:hAnsi="Times New Roman" w:cs="Times New Roman"/>
          <w:i/>
          <w:iCs/>
          <w:sz w:val="28"/>
          <w:szCs w:val="28"/>
        </w:rPr>
        <w:t xml:space="preserve"> - </w:t>
      </w:r>
      <w:r w:rsidRPr="003D3474">
        <w:rPr>
          <w:rFonts w:ascii="Times New Roman" w:hAnsi="Times New Roman" w:cs="Times New Roman"/>
          <w:i/>
          <w:iCs/>
          <w:sz w:val="28"/>
          <w:szCs w:val="28"/>
        </w:rPr>
        <w:t xml:space="preserve">Microplate reader capable of measuring absorbance at OD 450 nm </w:t>
      </w:r>
      <w:r w:rsidR="00B741D5" w:rsidRPr="003D3474">
        <w:rPr>
          <w:rFonts w:ascii="Times New Roman" w:hAnsi="Times New Roman" w:cs="Times New Roman"/>
          <w:i/>
          <w:iCs/>
          <w:sz w:val="28"/>
          <w:szCs w:val="28"/>
        </w:rPr>
        <w:t xml:space="preserve"> </w:t>
      </w:r>
    </w:p>
    <w:p w14:paraId="5EF878D2" w14:textId="6F894BC0" w:rsidR="00B741D5" w:rsidRPr="003D3474" w:rsidRDefault="00B741D5" w:rsidP="003D3474">
      <w:pPr>
        <w:spacing w:after="0" w:line="240" w:lineRule="auto"/>
        <w:ind w:firstLine="708"/>
        <w:jc w:val="both"/>
        <w:rPr>
          <w:rFonts w:ascii="Times New Roman" w:hAnsi="Times New Roman" w:cs="Times New Roman"/>
          <w:i/>
          <w:iCs/>
          <w:sz w:val="28"/>
          <w:szCs w:val="28"/>
        </w:rPr>
      </w:pPr>
      <w:r w:rsidRPr="003D3474">
        <w:rPr>
          <w:rFonts w:ascii="Times New Roman" w:hAnsi="Times New Roman" w:cs="Times New Roman"/>
          <w:sz w:val="28"/>
          <w:szCs w:val="28"/>
        </w:rPr>
        <w:t>The study utilized pipettes and pipette tips, including a multichannel pipette; tubes for the preparation of reagents and buffer solutions; 12-well plates with a clear flat bottom for drug cytotoxicity assays; 96-well plates with a clear flat bottom for antiviral assays using non-cytotoxic drug concentrations; a multichannel pipette (8 or 12 channels, 10–100 µL); a CO₂ incubator; a clean bench; a haemocytometer or cell counter; and a centrifuge equipped with a rotor for 15-mL centrifuge tubes [106,126].</w:t>
      </w:r>
    </w:p>
    <w:p w14:paraId="77697E30" w14:textId="04417A2B" w:rsidR="00BE44F7" w:rsidRPr="003D3474" w:rsidRDefault="00A42DA8" w:rsidP="003D3474">
      <w:pPr>
        <w:spacing w:after="0" w:line="240" w:lineRule="auto"/>
        <w:ind w:firstLine="708"/>
        <w:jc w:val="both"/>
        <w:rPr>
          <w:rFonts w:ascii="Times New Roman" w:hAnsi="Times New Roman" w:cs="Times New Roman"/>
          <w:i/>
          <w:iCs/>
          <w:sz w:val="28"/>
          <w:szCs w:val="28"/>
          <w:u w:val="single"/>
        </w:rPr>
      </w:pPr>
      <w:r w:rsidRPr="003D3474">
        <w:rPr>
          <w:rFonts w:ascii="Times New Roman" w:hAnsi="Times New Roman" w:cs="Times New Roman"/>
          <w:i/>
          <w:iCs/>
          <w:sz w:val="28"/>
          <w:szCs w:val="28"/>
          <w:u w:val="single"/>
        </w:rPr>
        <w:t xml:space="preserve">Equipment and </w:t>
      </w:r>
      <w:r w:rsidR="00067AC6" w:rsidRPr="003D3474">
        <w:rPr>
          <w:rFonts w:ascii="Times New Roman" w:hAnsi="Times New Roman" w:cs="Times New Roman"/>
          <w:i/>
          <w:iCs/>
          <w:sz w:val="28"/>
          <w:szCs w:val="28"/>
          <w:u w:val="single"/>
        </w:rPr>
        <w:t>disposables</w:t>
      </w:r>
      <w:r w:rsidRPr="003D3474">
        <w:rPr>
          <w:rFonts w:ascii="Times New Roman" w:hAnsi="Times New Roman" w:cs="Times New Roman"/>
          <w:i/>
          <w:iCs/>
          <w:sz w:val="28"/>
          <w:szCs w:val="28"/>
          <w:u w:val="single"/>
        </w:rPr>
        <w:t xml:space="preserve"> for </w:t>
      </w:r>
      <w:r w:rsidR="00BE44F7" w:rsidRPr="003D3474">
        <w:rPr>
          <w:rFonts w:ascii="Times New Roman" w:hAnsi="Times New Roman" w:cs="Times New Roman"/>
          <w:i/>
          <w:iCs/>
          <w:sz w:val="28"/>
          <w:szCs w:val="28"/>
          <w:u w:val="single"/>
        </w:rPr>
        <w:t xml:space="preserve">the </w:t>
      </w:r>
      <w:r w:rsidRPr="003D3474">
        <w:rPr>
          <w:rFonts w:ascii="Times New Roman" w:hAnsi="Times New Roman" w:cs="Times New Roman"/>
          <w:i/>
          <w:iCs/>
          <w:sz w:val="28"/>
          <w:szCs w:val="28"/>
          <w:u w:val="single"/>
        </w:rPr>
        <w:t xml:space="preserve">IL-33 </w:t>
      </w:r>
      <w:r w:rsidR="00BE44F7" w:rsidRPr="003D3474">
        <w:rPr>
          <w:rFonts w:ascii="Times New Roman" w:hAnsi="Times New Roman" w:cs="Times New Roman"/>
          <w:i/>
          <w:iCs/>
          <w:sz w:val="28"/>
          <w:szCs w:val="28"/>
          <w:u w:val="single"/>
        </w:rPr>
        <w:t xml:space="preserve">stimulation experiment </w:t>
      </w:r>
    </w:p>
    <w:p w14:paraId="314642D0" w14:textId="77777777" w:rsidR="00B741D5" w:rsidRPr="003D3474" w:rsidRDefault="00B741D5" w:rsidP="003D3474">
      <w:pPr>
        <w:spacing w:after="0" w:line="240" w:lineRule="auto"/>
        <w:ind w:firstLine="708"/>
        <w:jc w:val="both"/>
        <w:rPr>
          <w:rFonts w:ascii="Times New Roman" w:hAnsi="Times New Roman" w:cs="Times New Roman"/>
          <w:sz w:val="28"/>
          <w:szCs w:val="28"/>
        </w:rPr>
      </w:pPr>
      <w:r w:rsidRPr="003D3474">
        <w:rPr>
          <w:rFonts w:ascii="Times New Roman" w:hAnsi="Times New Roman" w:cs="Times New Roman"/>
          <w:sz w:val="28"/>
          <w:szCs w:val="28"/>
        </w:rPr>
        <w:t xml:space="preserve">The IL-33 stimulation experiment was carried out using a BD Canto II flow cytometer and FlowJo software, along with syringes (5 mL and 10 mL), needles (23G and 18G, 1½”), Petri dishes (60 × 15 mm), sharp scissors or razor blades, 70 </w:t>
      </w:r>
      <w:proofErr w:type="spellStart"/>
      <w:r w:rsidRPr="003D3474">
        <w:rPr>
          <w:rFonts w:ascii="Times New Roman" w:hAnsi="Times New Roman" w:cs="Times New Roman"/>
          <w:sz w:val="28"/>
          <w:szCs w:val="28"/>
        </w:rPr>
        <w:t>μm</w:t>
      </w:r>
      <w:proofErr w:type="spellEnd"/>
      <w:r w:rsidRPr="003D3474">
        <w:rPr>
          <w:rFonts w:ascii="Times New Roman" w:hAnsi="Times New Roman" w:cs="Times New Roman"/>
          <w:sz w:val="28"/>
          <w:szCs w:val="28"/>
        </w:rPr>
        <w:t xml:space="preserve"> cell strainers, and a GentleMACS Dissociator.</w:t>
      </w:r>
    </w:p>
    <w:p w14:paraId="0DE4AEE0" w14:textId="6D715E94" w:rsidR="007E5E19" w:rsidRPr="003D3474" w:rsidRDefault="007E5E19" w:rsidP="003D3474">
      <w:pPr>
        <w:spacing w:after="0" w:line="240" w:lineRule="auto"/>
        <w:ind w:firstLine="708"/>
        <w:jc w:val="both"/>
        <w:rPr>
          <w:rFonts w:ascii="Times New Roman" w:hAnsi="Times New Roman" w:cs="Times New Roman"/>
          <w:i/>
          <w:iCs/>
          <w:sz w:val="28"/>
          <w:szCs w:val="28"/>
          <w:u w:val="single"/>
        </w:rPr>
      </w:pPr>
      <w:r w:rsidRPr="003D3474">
        <w:rPr>
          <w:rFonts w:ascii="Times New Roman" w:hAnsi="Times New Roman" w:cs="Times New Roman"/>
          <w:i/>
          <w:iCs/>
          <w:sz w:val="28"/>
          <w:szCs w:val="28"/>
          <w:u w:val="single"/>
        </w:rPr>
        <w:t>Equipment for Electron Microscopy JEOL JEM-100CX</w:t>
      </w:r>
    </w:p>
    <w:p w14:paraId="37A8B1F5" w14:textId="2337328B" w:rsidR="00B817A9" w:rsidRDefault="00B741D5" w:rsidP="00DE2DDA">
      <w:pPr>
        <w:pStyle w:val="af1"/>
        <w:spacing w:after="0" w:line="240" w:lineRule="auto"/>
        <w:ind w:leftChars="-1" w:left="-2" w:firstLine="710"/>
        <w:jc w:val="both"/>
        <w:rPr>
          <w:rFonts w:ascii="Times New Roman" w:hAnsi="Times New Roman" w:cs="Times New Roman"/>
          <w:sz w:val="28"/>
          <w:szCs w:val="28"/>
        </w:rPr>
      </w:pPr>
      <w:r w:rsidRPr="003D3474">
        <w:rPr>
          <w:rFonts w:ascii="Times New Roman" w:hAnsi="Times New Roman" w:cs="Times New Roman"/>
          <w:sz w:val="28"/>
          <w:szCs w:val="28"/>
        </w:rPr>
        <w:t>According to Figure 14</w:t>
      </w:r>
      <w:r w:rsidR="002D405C">
        <w:rPr>
          <w:rFonts w:ascii="Times New Roman" w:hAnsi="Times New Roman" w:cs="Times New Roman"/>
          <w:sz w:val="28"/>
          <w:szCs w:val="28"/>
        </w:rPr>
        <w:t>,</w:t>
      </w:r>
      <w:r w:rsidRPr="003D3474">
        <w:rPr>
          <w:rFonts w:ascii="Times New Roman" w:hAnsi="Times New Roman" w:cs="Times New Roman"/>
          <w:sz w:val="28"/>
          <w:szCs w:val="28"/>
        </w:rPr>
        <w:t xml:space="preserve"> an electron microscope setup in a laboratory environment, likely a transmission electron microscope (TEM)</w:t>
      </w:r>
      <w:r w:rsidR="002D405C">
        <w:rPr>
          <w:rFonts w:ascii="Times New Roman" w:hAnsi="Times New Roman" w:cs="Times New Roman"/>
          <w:sz w:val="28"/>
          <w:szCs w:val="28"/>
        </w:rPr>
        <w:t xml:space="preserve">, features a tall vertical column and a </w:t>
      </w:r>
      <w:r w:rsidRPr="003D3474">
        <w:rPr>
          <w:rFonts w:ascii="Times New Roman" w:hAnsi="Times New Roman" w:cs="Times New Roman"/>
          <w:sz w:val="28"/>
          <w:szCs w:val="28"/>
        </w:rPr>
        <w:t xml:space="preserve">control panel layout. The system appears to be well-maintained and equipped with analogue control modules for focusing, magnification, and vacuum </w:t>
      </w:r>
      <w:r w:rsidRPr="003D3474">
        <w:rPr>
          <w:rFonts w:ascii="Times New Roman" w:hAnsi="Times New Roman" w:cs="Times New Roman"/>
          <w:sz w:val="28"/>
          <w:szCs w:val="28"/>
        </w:rPr>
        <w:lastRenderedPageBreak/>
        <w:t>regulation. The microscope is positioned on a vibration-dampening desk with integrated storage drawers and control units, ensuring stability during imaging</w:t>
      </w:r>
      <w:r w:rsidR="002D405C" w:rsidRPr="002D405C">
        <w:rPr>
          <w:rFonts w:ascii="Times New Roman" w:hAnsi="Times New Roman" w:cs="Times New Roman"/>
          <w:sz w:val="28"/>
          <w:szCs w:val="28"/>
          <w:lang w:val="en-US"/>
        </w:rPr>
        <w:t xml:space="preserve"> </w:t>
      </w:r>
      <w:r w:rsidR="002D405C">
        <w:rPr>
          <w:rFonts w:ascii="Times New Roman" w:hAnsi="Times New Roman" w:cs="Times New Roman"/>
          <w:sz w:val="28"/>
          <w:szCs w:val="28"/>
          <w:lang w:val="en-US"/>
        </w:rPr>
        <w:t>[126].</w:t>
      </w:r>
      <w:r w:rsidRPr="003D3474">
        <w:rPr>
          <w:rFonts w:ascii="Times New Roman" w:hAnsi="Times New Roman" w:cs="Times New Roman"/>
          <w:sz w:val="28"/>
          <w:szCs w:val="28"/>
        </w:rPr>
        <w:t xml:space="preserve"> </w:t>
      </w:r>
    </w:p>
    <w:p w14:paraId="356297DD" w14:textId="77777777" w:rsidR="00DE2DDA" w:rsidRPr="00DE2DDA" w:rsidRDefault="00DE2DDA" w:rsidP="00DE2DDA">
      <w:pPr>
        <w:pStyle w:val="af1"/>
        <w:spacing w:after="0" w:line="240" w:lineRule="auto"/>
        <w:ind w:leftChars="-1" w:left="-2" w:firstLine="710"/>
        <w:jc w:val="both"/>
        <w:rPr>
          <w:rFonts w:ascii="Times New Roman" w:hAnsi="Times New Roman" w:cs="Times New Roman"/>
          <w:sz w:val="28"/>
          <w:szCs w:val="28"/>
          <w:lang w:val="en-US"/>
        </w:rPr>
      </w:pPr>
    </w:p>
    <w:p w14:paraId="5C8FFD32" w14:textId="04F297F5" w:rsidR="007E5E19" w:rsidRPr="006531C9" w:rsidRDefault="007E5E19" w:rsidP="00D45B0A">
      <w:pPr>
        <w:spacing w:after="0" w:line="360" w:lineRule="auto"/>
        <w:jc w:val="center"/>
        <w:rPr>
          <w:rFonts w:ascii="Times New Roman" w:hAnsi="Times New Roman" w:cs="Times New Roman"/>
          <w:sz w:val="24"/>
          <w:szCs w:val="24"/>
        </w:rPr>
      </w:pPr>
      <w:r w:rsidRPr="006531C9">
        <w:rPr>
          <w:rFonts w:ascii="Times New Roman" w:hAnsi="Times New Roman" w:cs="Times New Roman"/>
          <w:noProof/>
          <w:sz w:val="24"/>
          <w:szCs w:val="24"/>
        </w:rPr>
        <mc:AlternateContent>
          <mc:Choice Requires="wps">
            <w:drawing>
              <wp:inline distT="0" distB="0" distL="0" distR="0" wp14:anchorId="68EC2B8C" wp14:editId="76799741">
                <wp:extent cx="307340" cy="307340"/>
                <wp:effectExtent l="0" t="0" r="0" b="0"/>
                <wp:docPr id="66200579" name="Прямоугольник 59" descr="JEOL JEM 100CX SEM used for sale price #9192802, 1980 &gt; buy from CA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00BAAF2" id="Прямоугольник 59" o:spid="_x0000_s1026" alt="JEOL JEM 100CX SEM used for sale price #9192802, 1980 &gt; buy from CAE"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r w:rsidRPr="006531C9">
        <w:rPr>
          <w:rFonts w:ascii="Times New Roman" w:hAnsi="Times New Roman" w:cs="Times New Roman"/>
          <w:noProof/>
          <w:sz w:val="24"/>
          <w:szCs w:val="24"/>
        </w:rPr>
        <mc:AlternateContent>
          <mc:Choice Requires="wps">
            <w:drawing>
              <wp:inline distT="0" distB="0" distL="0" distR="0" wp14:anchorId="24B28CB7" wp14:editId="004C4F85">
                <wp:extent cx="307340" cy="307340"/>
                <wp:effectExtent l="0" t="0" r="0" b="0"/>
                <wp:docPr id="352635827" name="Прямоугольник 58" descr="JEOL JEM 100CX SEM used for sale price #9192802, 1980 &gt; buy from CA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5002FC" id="Прямоугольник 58" o:spid="_x0000_s1026" alt="JEOL JEM 100CX SEM used for sale price #9192802, 1980 &gt; buy from CAE"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r w:rsidRPr="006531C9">
        <w:rPr>
          <w:rFonts w:ascii="Times New Roman" w:hAnsi="Times New Roman" w:cs="Times New Roman"/>
          <w:noProof/>
          <w:sz w:val="24"/>
          <w:szCs w:val="24"/>
        </w:rPr>
        <w:drawing>
          <wp:inline distT="0" distB="0" distL="0" distR="0" wp14:anchorId="530E0984" wp14:editId="0F9C1315">
            <wp:extent cx="2565779" cy="2279863"/>
            <wp:effectExtent l="0" t="0" r="6350" b="6350"/>
            <wp:docPr id="1675941549"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88418" cy="2299980"/>
                    </a:xfrm>
                    <a:prstGeom prst="rect">
                      <a:avLst/>
                    </a:prstGeom>
                    <a:noFill/>
                    <a:ln>
                      <a:noFill/>
                    </a:ln>
                  </pic:spPr>
                </pic:pic>
              </a:graphicData>
            </a:graphic>
          </wp:inline>
        </w:drawing>
      </w:r>
    </w:p>
    <w:p w14:paraId="2E6E6E2A" w14:textId="0C67DA90" w:rsidR="007E5E19" w:rsidRPr="0089659F" w:rsidRDefault="007E5E19" w:rsidP="0089659F">
      <w:pPr>
        <w:spacing w:after="0" w:line="240" w:lineRule="auto"/>
        <w:jc w:val="center"/>
        <w:rPr>
          <w:rFonts w:ascii="Times New Roman" w:hAnsi="Times New Roman" w:cs="Times New Roman"/>
          <w:sz w:val="28"/>
          <w:szCs w:val="28"/>
        </w:rPr>
      </w:pPr>
      <w:r w:rsidRPr="0089659F">
        <w:rPr>
          <w:rFonts w:ascii="Times New Roman" w:hAnsi="Times New Roman" w:cs="Times New Roman"/>
          <w:sz w:val="28"/>
          <w:szCs w:val="28"/>
        </w:rPr>
        <w:t>Figure 1</w:t>
      </w:r>
      <w:r w:rsidR="00CE2124" w:rsidRPr="0089659F">
        <w:rPr>
          <w:rFonts w:ascii="Times New Roman" w:hAnsi="Times New Roman" w:cs="Times New Roman"/>
          <w:sz w:val="28"/>
          <w:szCs w:val="28"/>
        </w:rPr>
        <w:t>4</w:t>
      </w:r>
      <w:r w:rsidRPr="0089659F">
        <w:rPr>
          <w:rFonts w:ascii="Times New Roman" w:hAnsi="Times New Roman" w:cs="Times New Roman"/>
          <w:sz w:val="28"/>
          <w:szCs w:val="28"/>
        </w:rPr>
        <w:t xml:space="preserve"> –Electron microscopy equipment, JEOL JEM-100CX</w:t>
      </w:r>
      <w:r w:rsidR="005B59CD" w:rsidRPr="0089659F">
        <w:rPr>
          <w:rFonts w:ascii="Times New Roman" w:hAnsi="Times New Roman" w:cs="Times New Roman"/>
          <w:sz w:val="28"/>
          <w:szCs w:val="28"/>
        </w:rPr>
        <w:t xml:space="preserve"> [126]</w:t>
      </w:r>
    </w:p>
    <w:p w14:paraId="6D257530" w14:textId="60EF49AF" w:rsidR="00D84484" w:rsidRPr="006531C9" w:rsidRDefault="00EB2BF2" w:rsidP="0089659F">
      <w:pPr>
        <w:pStyle w:val="af1"/>
        <w:spacing w:after="0" w:line="240" w:lineRule="auto"/>
        <w:ind w:leftChars="-1" w:left="-2" w:firstLine="2"/>
        <w:jc w:val="both"/>
        <w:rPr>
          <w:rFonts w:ascii="Times New Roman" w:hAnsi="Times New Roman" w:cs="Times New Roman"/>
          <w:sz w:val="24"/>
          <w:szCs w:val="24"/>
        </w:rPr>
      </w:pPr>
      <w:r w:rsidRPr="006531C9">
        <w:rPr>
          <w:rFonts w:ascii="Times New Roman" w:hAnsi="Times New Roman" w:cs="Times New Roman"/>
          <w:sz w:val="24"/>
          <w:szCs w:val="24"/>
        </w:rPr>
        <w:tab/>
      </w:r>
    </w:p>
    <w:p w14:paraId="5E431E1A" w14:textId="3D11EBCD" w:rsidR="00991F1E" w:rsidRPr="00C1722A" w:rsidRDefault="001F61FC" w:rsidP="0089659F">
      <w:pPr>
        <w:pStyle w:val="af1"/>
        <w:spacing w:after="0" w:line="240" w:lineRule="auto"/>
        <w:ind w:left="1" w:firstLine="707"/>
        <w:jc w:val="both"/>
        <w:rPr>
          <w:rFonts w:ascii="Times New Roman" w:hAnsi="Times New Roman" w:cs="Times New Roman"/>
          <w:i/>
          <w:iCs/>
          <w:sz w:val="28"/>
          <w:szCs w:val="28"/>
          <w:u w:val="single"/>
        </w:rPr>
      </w:pPr>
      <w:r>
        <w:rPr>
          <w:rFonts w:ascii="Times New Roman" w:hAnsi="Times New Roman" w:cs="Times New Roman"/>
          <w:i/>
          <w:iCs/>
          <w:sz w:val="24"/>
          <w:szCs w:val="24"/>
        </w:rPr>
        <w:t xml:space="preserve"> </w:t>
      </w:r>
      <w:r w:rsidR="002D185C" w:rsidRPr="00C1722A">
        <w:rPr>
          <w:rFonts w:ascii="Times New Roman" w:hAnsi="Times New Roman" w:cs="Times New Roman"/>
          <w:i/>
          <w:iCs/>
          <w:sz w:val="28"/>
          <w:szCs w:val="28"/>
          <w:u w:val="single"/>
        </w:rPr>
        <w:t>R</w:t>
      </w:r>
      <w:r w:rsidR="00853685" w:rsidRPr="00C1722A">
        <w:rPr>
          <w:rFonts w:ascii="Times New Roman" w:hAnsi="Times New Roman" w:cs="Times New Roman"/>
          <w:i/>
          <w:iCs/>
          <w:sz w:val="28"/>
          <w:szCs w:val="28"/>
          <w:u w:val="single"/>
        </w:rPr>
        <w:t>eagents and solutions</w:t>
      </w:r>
      <w:r w:rsidRPr="00C1722A">
        <w:rPr>
          <w:rFonts w:ascii="Times New Roman" w:hAnsi="Times New Roman" w:cs="Times New Roman"/>
          <w:i/>
          <w:iCs/>
          <w:sz w:val="28"/>
          <w:szCs w:val="28"/>
          <w:u w:val="single"/>
        </w:rPr>
        <w:t>: t</w:t>
      </w:r>
      <w:r w:rsidR="00991F1E" w:rsidRPr="00C1722A">
        <w:rPr>
          <w:rFonts w:ascii="Times New Roman" w:hAnsi="Times New Roman" w:cs="Times New Roman"/>
          <w:i/>
          <w:iCs/>
          <w:sz w:val="28"/>
          <w:szCs w:val="28"/>
          <w:u w:val="single"/>
        </w:rPr>
        <w:t>he m</w:t>
      </w:r>
      <w:r w:rsidR="008653A5" w:rsidRPr="00C1722A">
        <w:rPr>
          <w:rFonts w:ascii="Times New Roman" w:hAnsi="Times New Roman" w:cs="Times New Roman"/>
          <w:i/>
          <w:iCs/>
          <w:sz w:val="28"/>
          <w:szCs w:val="28"/>
          <w:u w:val="single"/>
        </w:rPr>
        <w:t>urine</w:t>
      </w:r>
      <w:r w:rsidR="00991F1E" w:rsidRPr="00C1722A">
        <w:rPr>
          <w:rFonts w:ascii="Times New Roman" w:hAnsi="Times New Roman" w:cs="Times New Roman"/>
          <w:i/>
          <w:iCs/>
          <w:sz w:val="28"/>
          <w:szCs w:val="28"/>
          <w:u w:val="single"/>
        </w:rPr>
        <w:t xml:space="preserve"> tissue extraction materials </w:t>
      </w:r>
    </w:p>
    <w:p w14:paraId="20EC5A4D" w14:textId="77777777" w:rsidR="009D7A90" w:rsidRPr="00B7208E" w:rsidRDefault="009D7A90" w:rsidP="00B7208E">
      <w:pPr>
        <w:spacing w:after="0" w:line="240" w:lineRule="auto"/>
        <w:ind w:firstLine="708"/>
        <w:jc w:val="both"/>
        <w:rPr>
          <w:rFonts w:ascii="Times New Roman" w:eastAsia="Times New Roman" w:hAnsi="Times New Roman" w:cs="Times New Roman"/>
          <w:sz w:val="28"/>
          <w:szCs w:val="28"/>
          <w:lang w:val="en-US"/>
        </w:rPr>
      </w:pPr>
      <w:bookmarkStart w:id="20" w:name="_Hlk201054941"/>
      <w:r w:rsidRPr="0089659F">
        <w:rPr>
          <w:rFonts w:ascii="Times New Roman" w:eastAsia="Times New Roman" w:hAnsi="Times New Roman" w:cs="Times New Roman"/>
          <w:sz w:val="28"/>
          <w:szCs w:val="28"/>
          <w:lang w:val="en-US"/>
        </w:rPr>
        <w:t xml:space="preserve">The study used the </w:t>
      </w:r>
      <w:r w:rsidRPr="00B7208E">
        <w:rPr>
          <w:rFonts w:ascii="Times New Roman" w:eastAsia="Times New Roman" w:hAnsi="Times New Roman" w:cs="Times New Roman"/>
          <w:sz w:val="28"/>
          <w:szCs w:val="28"/>
          <w:lang w:val="en-US"/>
        </w:rPr>
        <w:t>following reagents and solutions for murine tissue extraction and cell culture experiments. Sterile surgical tools (forceps and scissors), 10% neutral buffered formalin, or freezing media were employed for tissue extraction. Personal protective equipment (PPE), including a respirator, gloves, and a gown, was used to ensure biosafety during all procedures.</w:t>
      </w:r>
    </w:p>
    <w:p w14:paraId="26510DF2" w14:textId="77777777" w:rsidR="009D7A90" w:rsidRPr="00B7208E" w:rsidRDefault="009D7A90" w:rsidP="00B7208E">
      <w:pPr>
        <w:spacing w:after="0" w:line="240" w:lineRule="auto"/>
        <w:ind w:firstLine="708"/>
        <w:jc w:val="both"/>
        <w:rPr>
          <w:rFonts w:ascii="Times New Roman" w:eastAsia="Times New Roman" w:hAnsi="Times New Roman" w:cs="Times New Roman"/>
          <w:sz w:val="28"/>
          <w:szCs w:val="28"/>
          <w:lang w:val="en-US"/>
        </w:rPr>
      </w:pPr>
      <w:r w:rsidRPr="00B7208E">
        <w:rPr>
          <w:rFonts w:ascii="Times New Roman" w:eastAsia="Times New Roman" w:hAnsi="Times New Roman" w:cs="Times New Roman"/>
          <w:sz w:val="28"/>
          <w:szCs w:val="28"/>
          <w:lang w:val="en-US"/>
        </w:rPr>
        <w:t>For in vitro experiments, Vero C1008 [Vero 76, clone E6, Vero E6] cells, derived from the kidney of the African green monkey and obtained from Sigma Aldrich, were used. These anchorage-dependent cells are widely applied in molecular and cell biology research [106] and enable high-titer replication of severe acute respiratory syndrome coronavirus (SARS-CoV-2) [107]. Sub-confluent cultures (70–80%) were split at ratios of 1:3 to 1:10, corresponding to seeding densities of 1–3 × 10⁴ cells/cm², using 0.25% trypsin or trypsin/EDTA under conditions of 5% CO₂ and 37 °C. Vero E6 cells exhibit approximately 50% susceptibility to SARS-CoV-2 infection and are 100% permissive, meaning they fully support viral replication. Therefore, this cell line was selected as a justified and reliable in vitro model for the current thesis research.</w:t>
      </w:r>
    </w:p>
    <w:p w14:paraId="3397CF5B" w14:textId="77777777" w:rsidR="00226539" w:rsidRPr="00B7208E" w:rsidRDefault="00853685" w:rsidP="00B7208E">
      <w:pPr>
        <w:spacing w:after="0" w:line="240" w:lineRule="auto"/>
        <w:ind w:firstLine="708"/>
        <w:jc w:val="both"/>
        <w:rPr>
          <w:rFonts w:ascii="Times New Roman" w:hAnsi="Times New Roman" w:cs="Times New Roman"/>
          <w:i/>
          <w:iCs/>
          <w:sz w:val="28"/>
          <w:szCs w:val="28"/>
          <w:u w:val="single"/>
        </w:rPr>
      </w:pPr>
      <w:r w:rsidRPr="00B7208E">
        <w:rPr>
          <w:rFonts w:ascii="Times New Roman" w:hAnsi="Times New Roman" w:cs="Times New Roman"/>
          <w:i/>
          <w:iCs/>
          <w:sz w:val="28"/>
          <w:szCs w:val="28"/>
          <w:u w:val="single"/>
        </w:rPr>
        <w:t xml:space="preserve">The culture medium </w:t>
      </w:r>
    </w:p>
    <w:p w14:paraId="425384C1" w14:textId="259E6D4A" w:rsidR="00BB0B30" w:rsidRPr="00B7208E" w:rsidRDefault="00853685" w:rsidP="00B7208E">
      <w:pPr>
        <w:spacing w:after="0" w:line="240" w:lineRule="auto"/>
        <w:ind w:firstLine="708"/>
        <w:jc w:val="both"/>
        <w:rPr>
          <w:rFonts w:ascii="Times New Roman" w:hAnsi="Times New Roman" w:cs="Times New Roman"/>
          <w:sz w:val="28"/>
          <w:szCs w:val="28"/>
        </w:rPr>
      </w:pPr>
      <w:r w:rsidRPr="00B7208E">
        <w:rPr>
          <w:rFonts w:ascii="Times New Roman" w:hAnsi="Times New Roman" w:cs="Times New Roman"/>
          <w:sz w:val="28"/>
          <w:szCs w:val="28"/>
        </w:rPr>
        <w:t xml:space="preserve">Dulbecco′s Modified Eagle′s Medium (DMEM) - high glucose, with 4500 mg/L glucose, sodium pyruvate, and sodium bicarbonate, without L-glutamine, liquid, sterile-filtered, suitable for cell culture. </w:t>
      </w:r>
      <w:r w:rsidR="008C7691" w:rsidRPr="00B7208E">
        <w:rPr>
          <w:rFonts w:ascii="Times New Roman" w:hAnsi="Times New Roman" w:cs="Times New Roman"/>
          <w:sz w:val="28"/>
          <w:szCs w:val="28"/>
        </w:rPr>
        <w:t xml:space="preserve">Vero E6 cells (confluent in 96-well plates). BALF sample (processed to remove debris/mucus). Cell culture medium (e.g., DMEM supplemented with 2% fetal bovine serum [FBS] and antibiotics). Sterile pipettes, 96-well plates, </w:t>
      </w:r>
      <w:r w:rsidR="00C344E1" w:rsidRPr="00B7208E">
        <w:rPr>
          <w:rFonts w:ascii="Times New Roman" w:hAnsi="Times New Roman" w:cs="Times New Roman"/>
          <w:sz w:val="28"/>
          <w:szCs w:val="28"/>
        </w:rPr>
        <w:t xml:space="preserve">and </w:t>
      </w:r>
      <w:r w:rsidR="009D7A90" w:rsidRPr="00B7208E">
        <w:rPr>
          <w:rFonts w:ascii="Times New Roman" w:hAnsi="Times New Roman" w:cs="Times New Roman"/>
          <w:sz w:val="28"/>
          <w:szCs w:val="28"/>
        </w:rPr>
        <w:t xml:space="preserve">a </w:t>
      </w:r>
      <w:r w:rsidR="008C7691" w:rsidRPr="00B7208E">
        <w:rPr>
          <w:rFonts w:ascii="Times New Roman" w:hAnsi="Times New Roman" w:cs="Times New Roman"/>
          <w:sz w:val="28"/>
          <w:szCs w:val="28"/>
        </w:rPr>
        <w:t>biosafety cabinet. Inverted microscope.</w:t>
      </w:r>
    </w:p>
    <w:p w14:paraId="0DDE75AD" w14:textId="77777777" w:rsidR="00EE561E" w:rsidRPr="00B7208E" w:rsidRDefault="00853685" w:rsidP="00B7208E">
      <w:pPr>
        <w:spacing w:after="0" w:line="240" w:lineRule="auto"/>
        <w:jc w:val="both"/>
        <w:rPr>
          <w:rFonts w:ascii="Times New Roman" w:hAnsi="Times New Roman" w:cs="Times New Roman"/>
          <w:i/>
          <w:iCs/>
          <w:sz w:val="28"/>
          <w:szCs w:val="28"/>
        </w:rPr>
      </w:pPr>
      <w:r w:rsidRPr="00B7208E">
        <w:rPr>
          <w:rFonts w:ascii="Times New Roman" w:hAnsi="Times New Roman" w:cs="Times New Roman"/>
          <w:i/>
          <w:iCs/>
          <w:sz w:val="28"/>
          <w:szCs w:val="28"/>
        </w:rPr>
        <w:t>PCR</w:t>
      </w:r>
    </w:p>
    <w:p w14:paraId="698E1D3A" w14:textId="0C042705" w:rsidR="009D7A90" w:rsidRPr="00FD0AC9" w:rsidRDefault="00853685" w:rsidP="00B7208E">
      <w:pPr>
        <w:pStyle w:val="af1"/>
        <w:spacing w:after="0" w:line="240" w:lineRule="auto"/>
        <w:ind w:left="0" w:firstLine="708"/>
        <w:jc w:val="both"/>
        <w:rPr>
          <w:rFonts w:ascii="Times New Roman" w:hAnsi="Times New Roman" w:cs="Times New Roman"/>
          <w:b/>
          <w:bCs/>
          <w:i/>
          <w:iCs/>
          <w:sz w:val="28"/>
          <w:szCs w:val="28"/>
          <w:u w:val="single"/>
        </w:rPr>
      </w:pPr>
      <w:r w:rsidRPr="00FD0AC9">
        <w:rPr>
          <w:rFonts w:ascii="Times New Roman" w:hAnsi="Times New Roman" w:cs="Times New Roman"/>
          <w:i/>
          <w:iCs/>
          <w:sz w:val="28"/>
          <w:szCs w:val="28"/>
          <w:u w:val="single"/>
        </w:rPr>
        <w:t>Recombinant Taq DNA Polymerase</w:t>
      </w:r>
      <w:r w:rsidR="00121633" w:rsidRPr="00FD0AC9">
        <w:rPr>
          <w:rFonts w:ascii="Times New Roman" w:hAnsi="Times New Roman" w:cs="Times New Roman"/>
          <w:i/>
          <w:iCs/>
          <w:sz w:val="28"/>
          <w:szCs w:val="28"/>
          <w:u w:val="single"/>
        </w:rPr>
        <w:t>, 5000 units/mL, Sigma</w:t>
      </w:r>
      <w:r w:rsidRPr="00FD0AC9">
        <w:rPr>
          <w:rFonts w:ascii="Times New Roman" w:hAnsi="Times New Roman" w:cs="Times New Roman"/>
          <w:i/>
          <w:iCs/>
          <w:sz w:val="28"/>
          <w:szCs w:val="28"/>
          <w:u w:val="single"/>
        </w:rPr>
        <w:t>.</w:t>
      </w:r>
    </w:p>
    <w:p w14:paraId="07B5ADF0" w14:textId="0C33C1E5" w:rsidR="009D7A90" w:rsidRPr="00B7208E" w:rsidRDefault="009D7A90" w:rsidP="00FD0AC9">
      <w:pPr>
        <w:spacing w:after="0" w:line="240" w:lineRule="auto"/>
        <w:ind w:firstLine="708"/>
        <w:jc w:val="both"/>
        <w:rPr>
          <w:rFonts w:ascii="Times New Roman" w:hAnsi="Times New Roman" w:cs="Times New Roman"/>
          <w:sz w:val="28"/>
          <w:szCs w:val="28"/>
        </w:rPr>
      </w:pPr>
      <w:r w:rsidRPr="00B7208E">
        <w:rPr>
          <w:rFonts w:ascii="Times New Roman" w:hAnsi="Times New Roman" w:cs="Times New Roman"/>
          <w:sz w:val="28"/>
          <w:szCs w:val="28"/>
        </w:rPr>
        <w:t>The study employed a range of molecular biology reagents and consumables, including T4 DNA ligase</w:t>
      </w:r>
      <w:r w:rsidR="002D405C">
        <w:rPr>
          <w:rFonts w:ascii="Times New Roman" w:hAnsi="Times New Roman" w:cs="Times New Roman"/>
          <w:sz w:val="28"/>
          <w:szCs w:val="28"/>
        </w:rPr>
        <w:t xml:space="preserve">, the </w:t>
      </w:r>
      <w:proofErr w:type="spellStart"/>
      <w:r w:rsidR="002D405C">
        <w:rPr>
          <w:rFonts w:ascii="Times New Roman" w:hAnsi="Times New Roman" w:cs="Times New Roman"/>
          <w:sz w:val="28"/>
          <w:szCs w:val="28"/>
        </w:rPr>
        <w:t>ProtoScript</w:t>
      </w:r>
      <w:proofErr w:type="spellEnd"/>
      <w:r w:rsidR="002D405C">
        <w:rPr>
          <w:rFonts w:ascii="Times New Roman" w:hAnsi="Times New Roman" w:cs="Times New Roman"/>
          <w:sz w:val="28"/>
          <w:szCs w:val="28"/>
        </w:rPr>
        <w:t xml:space="preserve">® II First Strand cDNA Synthesis Kit, </w:t>
      </w:r>
      <w:proofErr w:type="spellStart"/>
      <w:r w:rsidR="002D405C">
        <w:rPr>
          <w:rFonts w:ascii="Times New Roman" w:hAnsi="Times New Roman" w:cs="Times New Roman"/>
          <w:sz w:val="28"/>
          <w:szCs w:val="28"/>
        </w:rPr>
        <w:lastRenderedPageBreak/>
        <w:t>RNAZap</w:t>
      </w:r>
      <w:proofErr w:type="spellEnd"/>
      <w:r w:rsidR="002D405C">
        <w:rPr>
          <w:rFonts w:ascii="Times New Roman" w:hAnsi="Times New Roman" w:cs="Times New Roman"/>
          <w:sz w:val="28"/>
          <w:szCs w:val="28"/>
        </w:rPr>
        <w:t xml:space="preserve"> decontamination solution,</w:t>
      </w:r>
      <w:r w:rsidRPr="00B7208E">
        <w:rPr>
          <w:rFonts w:ascii="Times New Roman" w:hAnsi="Times New Roman" w:cs="Times New Roman"/>
          <w:sz w:val="28"/>
          <w:szCs w:val="28"/>
        </w:rPr>
        <w:t xml:space="preserve"> and the SuperScript IV One-Step RT-PCR System with Platinum Taq DNA Polymerase (Invitrogen, USA; 100 reactions). Additionally, 310 and 31xx Running Buffer (10X) and the BigDye™ Terminator v3.1 Cycle Sequencing Kit (100 reactions) were used. For </w:t>
      </w:r>
      <w:r w:rsidR="00D9794F" w:rsidRPr="00B7208E">
        <w:rPr>
          <w:rFonts w:ascii="Times New Roman" w:hAnsi="Times New Roman" w:cs="Times New Roman"/>
          <w:sz w:val="28"/>
          <w:szCs w:val="28"/>
        </w:rPr>
        <w:t>visualisation</w:t>
      </w:r>
      <w:r w:rsidRPr="00B7208E">
        <w:rPr>
          <w:rFonts w:ascii="Times New Roman" w:hAnsi="Times New Roman" w:cs="Times New Roman"/>
          <w:sz w:val="28"/>
          <w:szCs w:val="28"/>
        </w:rPr>
        <w:t>, SYBR Safe DNA gel stain served as a non-toxic reagent for agarose gel staining. UltraPure™ nuclease-free distilled water was employed in all molecular procedures to ensure sample integrity. Consumables included microcentrifuge tubes (1.5 mL, 500 pcs/pack, Eppendorf), microtubes (0.2 mL, flat cap, 1000 pcs/pack, Eppendorf), and microtubes (0.5 mL, flat cap, 1000 pcs/pack, Eppendorf) [17,126].</w:t>
      </w:r>
    </w:p>
    <w:p w14:paraId="6A45666F" w14:textId="1659A257" w:rsidR="00226539" w:rsidRPr="00FD0AC9" w:rsidRDefault="00853685" w:rsidP="00FD0AC9">
      <w:pPr>
        <w:spacing w:after="0" w:line="240" w:lineRule="auto"/>
        <w:ind w:firstLine="708"/>
        <w:jc w:val="both"/>
        <w:rPr>
          <w:rFonts w:ascii="Times New Roman" w:hAnsi="Times New Roman" w:cs="Times New Roman"/>
          <w:i/>
          <w:iCs/>
          <w:sz w:val="28"/>
          <w:szCs w:val="28"/>
          <w:u w:val="single"/>
        </w:rPr>
      </w:pPr>
      <w:r w:rsidRPr="00FD0AC9">
        <w:rPr>
          <w:rFonts w:ascii="Times New Roman" w:hAnsi="Times New Roman" w:cs="Times New Roman"/>
          <w:i/>
          <w:iCs/>
          <w:sz w:val="28"/>
          <w:szCs w:val="28"/>
          <w:u w:val="single"/>
        </w:rPr>
        <w:t xml:space="preserve">MTT Assay Kit </w:t>
      </w:r>
    </w:p>
    <w:p w14:paraId="6150A254" w14:textId="43BB57F9" w:rsidR="001B0EE6" w:rsidRPr="00B7208E" w:rsidRDefault="009D7A90" w:rsidP="00FD0AC9">
      <w:pPr>
        <w:spacing w:after="0" w:line="240" w:lineRule="auto"/>
        <w:jc w:val="both"/>
        <w:rPr>
          <w:rFonts w:ascii="Times New Roman" w:hAnsi="Times New Roman" w:cs="Times New Roman"/>
          <w:sz w:val="28"/>
          <w:szCs w:val="28"/>
        </w:rPr>
      </w:pPr>
      <w:r w:rsidRPr="00B7208E">
        <w:rPr>
          <w:rFonts w:ascii="Times New Roman" w:hAnsi="Times New Roman" w:cs="Times New Roman"/>
          <w:sz w:val="28"/>
          <w:szCs w:val="28"/>
        </w:rPr>
        <w:t xml:space="preserve">The MTT Assay Kit (ab211091) for cell proliferation is a convenient, non-radioactive, high-throughput system </w:t>
      </w:r>
      <w:r w:rsidR="008F0E74">
        <w:rPr>
          <w:rFonts w:ascii="Times New Roman" w:hAnsi="Times New Roman" w:cs="Times New Roman"/>
          <w:sz w:val="28"/>
          <w:szCs w:val="28"/>
        </w:rPr>
        <w:t>that measures</w:t>
      </w:r>
      <w:r w:rsidRPr="00B7208E">
        <w:rPr>
          <w:rFonts w:ascii="Times New Roman" w:hAnsi="Times New Roman" w:cs="Times New Roman"/>
          <w:sz w:val="28"/>
          <w:szCs w:val="28"/>
        </w:rPr>
        <w:t xml:space="preserve"> cell proliferation, viability, and cytotoxicity with high accuracy and reproducibility.</w:t>
      </w:r>
    </w:p>
    <w:p w14:paraId="216B8057" w14:textId="331730E9" w:rsidR="00226539" w:rsidRPr="00FD0AC9" w:rsidRDefault="00853685" w:rsidP="00FD0AC9">
      <w:pPr>
        <w:spacing w:after="0" w:line="240" w:lineRule="auto"/>
        <w:ind w:firstLine="708"/>
        <w:jc w:val="both"/>
        <w:rPr>
          <w:rFonts w:ascii="Times New Roman" w:hAnsi="Times New Roman" w:cs="Times New Roman"/>
          <w:i/>
          <w:iCs/>
          <w:sz w:val="28"/>
          <w:szCs w:val="28"/>
          <w:u w:val="single"/>
        </w:rPr>
      </w:pPr>
      <w:r w:rsidRPr="00FD0AC9">
        <w:rPr>
          <w:rFonts w:ascii="Times New Roman" w:hAnsi="Times New Roman" w:cs="Times New Roman"/>
          <w:i/>
          <w:iCs/>
          <w:sz w:val="28"/>
          <w:szCs w:val="28"/>
          <w:u w:val="single"/>
        </w:rPr>
        <w:t>MTT Reagent (50 mL)</w:t>
      </w:r>
    </w:p>
    <w:p w14:paraId="62D967BC" w14:textId="77777777" w:rsidR="009D7A90" w:rsidRPr="00B7208E" w:rsidRDefault="009D7A90" w:rsidP="00FD0AC9">
      <w:pPr>
        <w:spacing w:after="0" w:line="240" w:lineRule="auto"/>
        <w:ind w:firstLine="708"/>
        <w:jc w:val="both"/>
        <w:rPr>
          <w:rFonts w:ascii="Times New Roman" w:hAnsi="Times New Roman" w:cs="Times New Roman"/>
          <w:sz w:val="28"/>
          <w:szCs w:val="28"/>
          <w:lang w:val="en-US"/>
        </w:rPr>
      </w:pPr>
      <w:r w:rsidRPr="00B7208E">
        <w:rPr>
          <w:rFonts w:ascii="Times New Roman" w:hAnsi="Times New Roman" w:cs="Times New Roman"/>
          <w:sz w:val="28"/>
          <w:szCs w:val="28"/>
          <w:lang w:val="en-US"/>
        </w:rPr>
        <w:t>The MTT Reagent (50 mL) was used as supplied and equilibrated to room temperature before use, with the vial opened under sterile conditions. The reagent was aliquoted to provide sufficient volume for the required number of assays and stored at –20 °C, protected from light.</w:t>
      </w:r>
    </w:p>
    <w:p w14:paraId="15CEF11B" w14:textId="36E966BD" w:rsidR="00226539" w:rsidRPr="00B7208E" w:rsidRDefault="00853685" w:rsidP="00FD0AC9">
      <w:pPr>
        <w:spacing w:after="0" w:line="240" w:lineRule="auto"/>
        <w:jc w:val="both"/>
        <w:rPr>
          <w:rFonts w:ascii="Times New Roman" w:hAnsi="Times New Roman" w:cs="Times New Roman"/>
          <w:b/>
          <w:bCs/>
          <w:sz w:val="28"/>
          <w:szCs w:val="28"/>
        </w:rPr>
      </w:pPr>
      <w:r w:rsidRPr="00B7208E">
        <w:rPr>
          <w:rFonts w:ascii="Times New Roman" w:hAnsi="Times New Roman" w:cs="Times New Roman"/>
          <w:i/>
          <w:iCs/>
          <w:sz w:val="28"/>
          <w:szCs w:val="28"/>
        </w:rPr>
        <w:t>MTT Solvent (150 mL</w:t>
      </w:r>
      <w:r w:rsidRPr="00B7208E">
        <w:rPr>
          <w:rFonts w:ascii="Times New Roman" w:hAnsi="Times New Roman" w:cs="Times New Roman"/>
          <w:b/>
          <w:bCs/>
          <w:sz w:val="28"/>
          <w:szCs w:val="28"/>
        </w:rPr>
        <w:t xml:space="preserve">) </w:t>
      </w:r>
    </w:p>
    <w:p w14:paraId="140F6822" w14:textId="02CA1DF9" w:rsidR="009D7A90" w:rsidRPr="00B7208E" w:rsidRDefault="009D7A90" w:rsidP="00FD0AC9">
      <w:pPr>
        <w:spacing w:after="0" w:line="240" w:lineRule="auto"/>
        <w:ind w:firstLine="708"/>
        <w:jc w:val="both"/>
        <w:rPr>
          <w:rFonts w:ascii="Times New Roman" w:hAnsi="Times New Roman" w:cs="Times New Roman"/>
          <w:sz w:val="28"/>
          <w:szCs w:val="28"/>
        </w:rPr>
      </w:pPr>
      <w:r w:rsidRPr="00FD0AC9">
        <w:rPr>
          <w:rFonts w:ascii="Times New Roman" w:hAnsi="Times New Roman" w:cs="Times New Roman"/>
          <w:sz w:val="28"/>
          <w:szCs w:val="28"/>
          <w:u w:val="single"/>
        </w:rPr>
        <w:t>The MTT Solvent</w:t>
      </w:r>
      <w:r w:rsidRPr="00B7208E">
        <w:rPr>
          <w:rFonts w:ascii="Times New Roman" w:hAnsi="Times New Roman" w:cs="Times New Roman"/>
          <w:sz w:val="28"/>
          <w:szCs w:val="28"/>
        </w:rPr>
        <w:t xml:space="preserve"> (150 mL) was used as supplied and equilibrated to room temperature before use. The reagent was stored at –20 °C and</w:t>
      </w:r>
      <w:r w:rsidR="000C636C">
        <w:rPr>
          <w:rFonts w:ascii="Times New Roman" w:hAnsi="Times New Roman" w:cs="Times New Roman"/>
          <w:sz w:val="28"/>
          <w:szCs w:val="28"/>
        </w:rPr>
        <w:t xml:space="preserve"> used within 2 months of opening</w:t>
      </w:r>
      <w:r w:rsidRPr="00B7208E">
        <w:rPr>
          <w:rFonts w:ascii="Times New Roman" w:hAnsi="Times New Roman" w:cs="Times New Roman"/>
          <w:sz w:val="28"/>
          <w:szCs w:val="28"/>
        </w:rPr>
        <w:t xml:space="preserve">. Additionally, 199 Medium—a mixture of Hank’s salts, glutamine, inorganic salts, amino acids, vitamins, glucose, and phenol red dissolved in purified water and </w:t>
      </w:r>
      <w:r w:rsidR="001B0EE6" w:rsidRPr="00B7208E">
        <w:rPr>
          <w:rFonts w:ascii="Times New Roman" w:hAnsi="Times New Roman" w:cs="Times New Roman"/>
          <w:sz w:val="28"/>
          <w:szCs w:val="28"/>
        </w:rPr>
        <w:t>sterilised</w:t>
      </w:r>
      <w:r w:rsidRPr="00B7208E">
        <w:rPr>
          <w:rFonts w:ascii="Times New Roman" w:hAnsi="Times New Roman" w:cs="Times New Roman"/>
          <w:sz w:val="28"/>
          <w:szCs w:val="28"/>
        </w:rPr>
        <w:t xml:space="preserve"> by membrane filtration—was employed. This medium is formulated for cell cultivation outside the incubator due to its low sodium bicarbonate content (1.0 g/L) and was obtained under </w:t>
      </w:r>
      <w:r w:rsidR="001B0EE6" w:rsidRPr="00B7208E">
        <w:rPr>
          <w:rFonts w:ascii="Times New Roman" w:hAnsi="Times New Roman" w:cs="Times New Roman"/>
          <w:sz w:val="28"/>
          <w:szCs w:val="28"/>
        </w:rPr>
        <w:t>catalogue</w:t>
      </w:r>
      <w:r w:rsidRPr="00B7208E">
        <w:rPr>
          <w:rFonts w:ascii="Times New Roman" w:hAnsi="Times New Roman" w:cs="Times New Roman"/>
          <w:sz w:val="28"/>
          <w:szCs w:val="28"/>
        </w:rPr>
        <w:t xml:space="preserve"> number C230p [102,126].</w:t>
      </w:r>
    </w:p>
    <w:p w14:paraId="04BF067E" w14:textId="5B70DE5C" w:rsidR="00226539" w:rsidRPr="00FD0AC9" w:rsidRDefault="00853685" w:rsidP="00FD0AC9">
      <w:pPr>
        <w:spacing w:after="0" w:line="240" w:lineRule="auto"/>
        <w:ind w:firstLine="708"/>
        <w:jc w:val="both"/>
        <w:rPr>
          <w:rFonts w:ascii="Times New Roman" w:hAnsi="Times New Roman" w:cs="Times New Roman"/>
          <w:i/>
          <w:iCs/>
          <w:sz w:val="28"/>
          <w:szCs w:val="28"/>
          <w:u w:val="single"/>
        </w:rPr>
      </w:pPr>
      <w:r w:rsidRPr="00FD0AC9">
        <w:rPr>
          <w:rFonts w:ascii="Times New Roman" w:hAnsi="Times New Roman" w:cs="Times New Roman"/>
          <w:i/>
          <w:iCs/>
          <w:sz w:val="28"/>
          <w:szCs w:val="28"/>
          <w:u w:val="single"/>
        </w:rPr>
        <w:t xml:space="preserve">The virus preparation and safety procedures  </w:t>
      </w:r>
    </w:p>
    <w:p w14:paraId="7C844227" w14:textId="307A8485" w:rsidR="007B2B2F" w:rsidRDefault="00853685" w:rsidP="00B7208E">
      <w:pPr>
        <w:spacing w:after="0" w:line="240" w:lineRule="auto"/>
        <w:ind w:firstLine="708"/>
        <w:jc w:val="both"/>
        <w:rPr>
          <w:rFonts w:ascii="Times New Roman" w:hAnsi="Times New Roman" w:cs="Times New Roman"/>
          <w:sz w:val="28"/>
          <w:szCs w:val="28"/>
        </w:rPr>
      </w:pPr>
      <w:r w:rsidRPr="00B7208E">
        <w:rPr>
          <w:rFonts w:ascii="Times New Roman" w:hAnsi="Times New Roman" w:cs="Times New Roman"/>
          <w:sz w:val="28"/>
          <w:szCs w:val="28"/>
        </w:rPr>
        <w:t>An isolate of the SARS-CoV-2/human/KAZ/B1.1/2021, Alpha variant strain</w:t>
      </w:r>
      <w:r w:rsidR="00121633" w:rsidRPr="00B7208E">
        <w:rPr>
          <w:rFonts w:ascii="Times New Roman" w:hAnsi="Times New Roman" w:cs="Times New Roman"/>
          <w:sz w:val="28"/>
          <w:szCs w:val="28"/>
        </w:rPr>
        <w:t xml:space="preserve">, was passaged in Vero E6 cells to establish a </w:t>
      </w:r>
      <w:r w:rsidR="00067AC6" w:rsidRPr="00B7208E">
        <w:rPr>
          <w:rFonts w:ascii="Times New Roman" w:hAnsi="Times New Roman" w:cs="Times New Roman"/>
          <w:sz w:val="28"/>
          <w:szCs w:val="28"/>
        </w:rPr>
        <w:t>high-titer</w:t>
      </w:r>
      <w:r w:rsidR="00121633" w:rsidRPr="00B7208E">
        <w:rPr>
          <w:rFonts w:ascii="Times New Roman" w:hAnsi="Times New Roman" w:cs="Times New Roman"/>
          <w:sz w:val="28"/>
          <w:szCs w:val="28"/>
        </w:rPr>
        <w:t xml:space="preserve"> stock for</w:t>
      </w:r>
      <w:r w:rsidRPr="00B7208E">
        <w:rPr>
          <w:rFonts w:ascii="Times New Roman" w:hAnsi="Times New Roman" w:cs="Times New Roman"/>
          <w:sz w:val="28"/>
          <w:szCs w:val="28"/>
        </w:rPr>
        <w:t xml:space="preserve"> all our experiments. Since SARS-CoV-2 is classified as a high-risk pathogen in Kazakhstan, all </w:t>
      </w:r>
      <w:r w:rsidR="00C52AC1" w:rsidRPr="00B7208E">
        <w:rPr>
          <w:rFonts w:ascii="Times New Roman" w:hAnsi="Times New Roman" w:cs="Times New Roman"/>
          <w:sz w:val="28"/>
          <w:szCs w:val="28"/>
        </w:rPr>
        <w:t xml:space="preserve">virus procedures, including infecting cell lines and </w:t>
      </w:r>
      <w:r w:rsidR="00121633" w:rsidRPr="00B7208E">
        <w:rPr>
          <w:rFonts w:ascii="Times New Roman" w:hAnsi="Times New Roman" w:cs="Times New Roman"/>
          <w:sz w:val="28"/>
          <w:szCs w:val="28"/>
        </w:rPr>
        <w:t xml:space="preserve">subsequent monitoring, are conducted in a BSL-2 (Biosafety Level 2) </w:t>
      </w:r>
      <w:r w:rsidR="00DD3647" w:rsidRPr="00B7208E">
        <w:rPr>
          <w:rFonts w:ascii="Times New Roman" w:hAnsi="Times New Roman" w:cs="Times New Roman"/>
          <w:sz w:val="28"/>
          <w:szCs w:val="28"/>
        </w:rPr>
        <w:t xml:space="preserve">laboratory. All direct manipulation with either viral </w:t>
      </w:r>
      <w:r w:rsidR="00635078" w:rsidRPr="00B7208E">
        <w:rPr>
          <w:rFonts w:ascii="Times New Roman" w:hAnsi="Times New Roman" w:cs="Times New Roman"/>
          <w:sz w:val="28"/>
          <w:szCs w:val="28"/>
        </w:rPr>
        <w:t xml:space="preserve">titters or growth-active virus strains in biological </w:t>
      </w:r>
      <w:bookmarkEnd w:id="20"/>
      <w:r w:rsidR="00635078" w:rsidRPr="00B7208E">
        <w:rPr>
          <w:rFonts w:ascii="Times New Roman" w:hAnsi="Times New Roman" w:cs="Times New Roman"/>
          <w:sz w:val="28"/>
          <w:szCs w:val="28"/>
        </w:rPr>
        <w:t>tissues is performed using</w:t>
      </w:r>
      <w:r w:rsidRPr="00B7208E">
        <w:rPr>
          <w:rFonts w:ascii="Times New Roman" w:hAnsi="Times New Roman" w:cs="Times New Roman"/>
          <w:sz w:val="28"/>
          <w:szCs w:val="28"/>
        </w:rPr>
        <w:t xml:space="preserve"> human biomaterials under BSL-3/4 </w:t>
      </w:r>
      <w:r w:rsidR="00DE50EE" w:rsidRPr="00B7208E">
        <w:rPr>
          <w:rFonts w:ascii="Times New Roman" w:hAnsi="Times New Roman" w:cs="Times New Roman"/>
          <w:sz w:val="28"/>
          <w:szCs w:val="28"/>
        </w:rPr>
        <w:t>bio-lab</w:t>
      </w:r>
      <w:r w:rsidRPr="00B7208E">
        <w:rPr>
          <w:rFonts w:ascii="Times New Roman" w:hAnsi="Times New Roman" w:cs="Times New Roman"/>
          <w:sz w:val="28"/>
          <w:szCs w:val="28"/>
        </w:rPr>
        <w:t xml:space="preserve"> conditions</w:t>
      </w:r>
      <w:r w:rsidR="00F87CBE" w:rsidRPr="00B7208E">
        <w:rPr>
          <w:rFonts w:ascii="Times New Roman" w:hAnsi="Times New Roman" w:cs="Times New Roman"/>
          <w:sz w:val="28"/>
          <w:szCs w:val="28"/>
        </w:rPr>
        <w:t xml:space="preserve"> [126]</w:t>
      </w:r>
      <w:r w:rsidR="00DD3647" w:rsidRPr="00B7208E">
        <w:rPr>
          <w:rFonts w:ascii="Times New Roman" w:hAnsi="Times New Roman" w:cs="Times New Roman"/>
          <w:sz w:val="28"/>
          <w:szCs w:val="28"/>
        </w:rPr>
        <w:t>.</w:t>
      </w:r>
      <w:r w:rsidRPr="00B7208E">
        <w:rPr>
          <w:rFonts w:ascii="Times New Roman" w:hAnsi="Times New Roman" w:cs="Times New Roman"/>
          <w:sz w:val="28"/>
          <w:szCs w:val="28"/>
        </w:rPr>
        <w:t xml:space="preserve"> </w:t>
      </w:r>
    </w:p>
    <w:p w14:paraId="4F21A497" w14:textId="77777777" w:rsidR="00FB48E1" w:rsidRPr="00B7208E" w:rsidRDefault="00FB48E1" w:rsidP="00B7208E">
      <w:pPr>
        <w:spacing w:after="0" w:line="240" w:lineRule="auto"/>
        <w:ind w:firstLine="708"/>
        <w:jc w:val="both"/>
        <w:rPr>
          <w:rFonts w:ascii="Times New Roman" w:hAnsi="Times New Roman" w:cs="Times New Roman"/>
          <w:sz w:val="28"/>
          <w:szCs w:val="28"/>
        </w:rPr>
      </w:pPr>
    </w:p>
    <w:p w14:paraId="135E6ED4" w14:textId="57404AE8" w:rsidR="007B2B2F" w:rsidRPr="00483280" w:rsidRDefault="001B0EE6" w:rsidP="00B65D8E">
      <w:pPr>
        <w:pStyle w:val="af1"/>
        <w:numPr>
          <w:ilvl w:val="1"/>
          <w:numId w:val="76"/>
        </w:numPr>
        <w:spacing w:after="0" w:line="240" w:lineRule="auto"/>
        <w:ind w:hanging="72"/>
        <w:jc w:val="both"/>
        <w:rPr>
          <w:rFonts w:ascii="Times New Roman" w:eastAsia="Calibri" w:hAnsi="Times New Roman" w:cs="Times New Roman"/>
          <w:b/>
          <w:bCs/>
          <w:color w:val="00000A"/>
          <w:sz w:val="28"/>
          <w:szCs w:val="28"/>
        </w:rPr>
      </w:pPr>
      <w:r w:rsidRPr="00483280">
        <w:rPr>
          <w:rFonts w:ascii="Times New Roman" w:eastAsia="Calibri" w:hAnsi="Times New Roman" w:cs="Times New Roman"/>
          <w:b/>
          <w:bCs/>
          <w:color w:val="00000A"/>
          <w:sz w:val="28"/>
          <w:szCs w:val="28"/>
        </w:rPr>
        <w:t xml:space="preserve">Research Methods </w:t>
      </w:r>
    </w:p>
    <w:p w14:paraId="61BAD312" w14:textId="4FC20A0D" w:rsidR="00483280" w:rsidRDefault="00483280" w:rsidP="003A6B7E">
      <w:pPr>
        <w:spacing w:after="0" w:line="240" w:lineRule="auto"/>
        <w:ind w:left="567" w:firstLine="142"/>
        <w:jc w:val="both"/>
        <w:rPr>
          <w:rFonts w:ascii="Times New Roman" w:eastAsia="Calibri" w:hAnsi="Times New Roman" w:cs="Times New Roman"/>
          <w:color w:val="00000A"/>
          <w:sz w:val="28"/>
          <w:szCs w:val="28"/>
        </w:rPr>
      </w:pPr>
      <w:r>
        <w:rPr>
          <w:rFonts w:ascii="Times New Roman" w:eastAsia="Calibri" w:hAnsi="Times New Roman" w:cs="Times New Roman"/>
          <w:color w:val="00000A"/>
          <w:sz w:val="28"/>
          <w:szCs w:val="28"/>
        </w:rPr>
        <w:t xml:space="preserve">This study </w:t>
      </w:r>
      <w:r w:rsidR="003A6B7E">
        <w:rPr>
          <w:rFonts w:ascii="Times New Roman" w:eastAsia="Calibri" w:hAnsi="Times New Roman" w:cs="Times New Roman"/>
          <w:color w:val="00000A"/>
          <w:sz w:val="28"/>
          <w:szCs w:val="28"/>
        </w:rPr>
        <w:t>employed Kit-based methods for CCK8 viability measurement and RNA isolation, aiming to accelerate the results-gaining process and facilitate comparison with traditional (laborious) techniques, such as</w:t>
      </w:r>
      <w:r>
        <w:rPr>
          <w:rFonts w:ascii="Times New Roman" w:eastAsia="Calibri" w:hAnsi="Times New Roman" w:cs="Times New Roman"/>
          <w:color w:val="00000A"/>
          <w:sz w:val="28"/>
          <w:szCs w:val="28"/>
        </w:rPr>
        <w:t xml:space="preserve"> MTT-viability testing</w:t>
      </w:r>
      <w:r w:rsidR="003A6B7E">
        <w:rPr>
          <w:rFonts w:ascii="Times New Roman" w:eastAsia="Calibri" w:hAnsi="Times New Roman" w:cs="Times New Roman"/>
          <w:color w:val="00000A"/>
          <w:sz w:val="28"/>
          <w:szCs w:val="28"/>
        </w:rPr>
        <w:t>.</w:t>
      </w:r>
    </w:p>
    <w:p w14:paraId="3CF0E96F" w14:textId="77777777" w:rsidR="00DD4C6B" w:rsidRPr="00483280" w:rsidRDefault="00DD4C6B" w:rsidP="003A6B7E">
      <w:pPr>
        <w:spacing w:after="0" w:line="240" w:lineRule="auto"/>
        <w:ind w:left="567" w:firstLine="142"/>
        <w:jc w:val="both"/>
        <w:rPr>
          <w:rFonts w:ascii="Times New Roman" w:eastAsia="Calibri" w:hAnsi="Times New Roman" w:cs="Times New Roman"/>
          <w:color w:val="00000A"/>
          <w:sz w:val="28"/>
          <w:szCs w:val="28"/>
        </w:rPr>
      </w:pPr>
    </w:p>
    <w:p w14:paraId="562FEBB0" w14:textId="3B104895" w:rsidR="0050391C" w:rsidRPr="00B7208E" w:rsidRDefault="007B2B2F" w:rsidP="003A6B7E">
      <w:pPr>
        <w:spacing w:after="0" w:line="240" w:lineRule="auto"/>
        <w:ind w:firstLine="709"/>
        <w:jc w:val="both"/>
        <w:rPr>
          <w:rFonts w:ascii="Times New Roman" w:hAnsi="Times New Roman" w:cs="Times New Roman"/>
          <w:b/>
          <w:bCs/>
          <w:sz w:val="28"/>
          <w:szCs w:val="28"/>
        </w:rPr>
      </w:pPr>
      <w:r w:rsidRPr="00B7208E">
        <w:rPr>
          <w:rFonts w:ascii="Times New Roman" w:hAnsi="Times New Roman" w:cs="Times New Roman"/>
          <w:b/>
          <w:bCs/>
          <w:sz w:val="28"/>
          <w:szCs w:val="28"/>
        </w:rPr>
        <w:t xml:space="preserve">2.3.1 </w:t>
      </w:r>
      <w:r w:rsidRPr="00B7208E">
        <w:rPr>
          <w:rFonts w:ascii="Times New Roman" w:eastAsia="Calibri" w:hAnsi="Times New Roman" w:cs="Times New Roman"/>
          <w:b/>
          <w:bCs/>
          <w:color w:val="00000A"/>
          <w:sz w:val="28"/>
          <w:szCs w:val="28"/>
        </w:rPr>
        <w:t>Bronchoalveolar Lavage Fluid -supernatant collection</w:t>
      </w:r>
      <w:r w:rsidRPr="00B7208E">
        <w:rPr>
          <w:rFonts w:ascii="Times New Roman" w:hAnsi="Times New Roman" w:cs="Times New Roman"/>
          <w:b/>
          <w:bCs/>
          <w:sz w:val="28"/>
          <w:szCs w:val="28"/>
        </w:rPr>
        <w:t xml:space="preserve"> </w:t>
      </w:r>
    </w:p>
    <w:p w14:paraId="5AD69833" w14:textId="6A80A32E" w:rsidR="00C22E4B" w:rsidRPr="00B7208E" w:rsidRDefault="001B0EE6" w:rsidP="006371C3">
      <w:pPr>
        <w:spacing w:after="0" w:line="240" w:lineRule="auto"/>
        <w:ind w:firstLine="709"/>
        <w:jc w:val="both"/>
        <w:rPr>
          <w:rFonts w:ascii="Times New Roman" w:eastAsia="Calibri" w:hAnsi="Times New Roman" w:cs="Times New Roman"/>
          <w:color w:val="00000A"/>
          <w:sz w:val="28"/>
          <w:szCs w:val="28"/>
        </w:rPr>
      </w:pPr>
      <w:r w:rsidRPr="00B7208E">
        <w:rPr>
          <w:rFonts w:ascii="Times New Roman" w:eastAsia="Calibri" w:hAnsi="Times New Roman" w:cs="Times New Roman"/>
          <w:color w:val="00000A"/>
          <w:sz w:val="28"/>
          <w:szCs w:val="28"/>
        </w:rPr>
        <w:t xml:space="preserve">The following materials and equipment were used </w:t>
      </w:r>
      <w:r w:rsidR="00FD2E80">
        <w:rPr>
          <w:rFonts w:ascii="Times New Roman" w:eastAsia="Calibri" w:hAnsi="Times New Roman" w:cs="Times New Roman"/>
          <w:color w:val="00000A"/>
          <w:sz w:val="28"/>
          <w:szCs w:val="28"/>
        </w:rPr>
        <w:t xml:space="preserve">for molecular biology, histology, and cytology methods: </w:t>
      </w:r>
      <w:r w:rsidR="00C22E4B" w:rsidRPr="00B7208E">
        <w:rPr>
          <w:rFonts w:ascii="Times New Roman" w:eastAsia="Calibri" w:hAnsi="Times New Roman" w:cs="Times New Roman"/>
          <w:color w:val="00000A"/>
          <w:sz w:val="28"/>
          <w:szCs w:val="28"/>
        </w:rPr>
        <w:t xml:space="preserve">bronchoalveolar lavage fluid (BALF) samples were centrifuged at 2,000 × g for 10 minutes at 4 °C to pellet cells and debris. The resulting </w:t>
      </w:r>
      <w:r w:rsidR="00C22E4B" w:rsidRPr="00B7208E">
        <w:rPr>
          <w:rFonts w:ascii="Times New Roman" w:eastAsia="Calibri" w:hAnsi="Times New Roman" w:cs="Times New Roman"/>
          <w:color w:val="00000A"/>
          <w:sz w:val="28"/>
          <w:szCs w:val="28"/>
        </w:rPr>
        <w:lastRenderedPageBreak/>
        <w:t>supernatant was transferred to sterile tubes and passed through a 0.22 µm syringe filter to remove any remaining particles. The filtered specimens were then aliquoted and stored at –80 °C until further use. It should be noted that not all BALF samples were intact, and sufficient SARS-CoV-2 viral load was detected only in a subset of the 117 BALF tubes provided.</w:t>
      </w:r>
    </w:p>
    <w:p w14:paraId="3E2F3F6B" w14:textId="77777777" w:rsidR="00D606F9" w:rsidRDefault="00D606F9" w:rsidP="006371C3">
      <w:pPr>
        <w:spacing w:after="0" w:line="240" w:lineRule="auto"/>
        <w:jc w:val="both"/>
        <w:rPr>
          <w:rFonts w:ascii="Times New Roman" w:eastAsia="Calibri" w:hAnsi="Times New Roman" w:cs="Times New Roman"/>
          <w:color w:val="00000A"/>
          <w:sz w:val="24"/>
          <w:szCs w:val="24"/>
        </w:rPr>
      </w:pPr>
    </w:p>
    <w:p w14:paraId="110AB264" w14:textId="543D2853" w:rsidR="00D606F9" w:rsidRPr="00FD0AC9" w:rsidRDefault="00C22E4B" w:rsidP="006371C3">
      <w:pPr>
        <w:spacing w:after="0" w:line="240" w:lineRule="auto"/>
        <w:ind w:left="709"/>
        <w:jc w:val="both"/>
        <w:rPr>
          <w:rFonts w:ascii="Times New Roman" w:hAnsi="Times New Roman" w:cs="Times New Roman"/>
          <w:b/>
          <w:bCs/>
          <w:sz w:val="28"/>
          <w:szCs w:val="28"/>
        </w:rPr>
      </w:pPr>
      <w:r w:rsidRPr="00A302F7">
        <w:rPr>
          <w:rFonts w:ascii="Times New Roman" w:eastAsia="Calibri" w:hAnsi="Times New Roman" w:cs="Times New Roman"/>
          <w:b/>
          <w:bCs/>
          <w:color w:val="00000A"/>
          <w:sz w:val="28"/>
          <w:szCs w:val="28"/>
        </w:rPr>
        <w:t xml:space="preserve">2.3.2 </w:t>
      </w:r>
      <w:r w:rsidR="00082AE8" w:rsidRPr="00A302F7">
        <w:rPr>
          <w:rFonts w:ascii="Times New Roman" w:hAnsi="Times New Roman" w:cs="Times New Roman"/>
          <w:b/>
          <w:bCs/>
          <w:sz w:val="28"/>
          <w:szCs w:val="28"/>
        </w:rPr>
        <w:t>Murine</w:t>
      </w:r>
      <w:r w:rsidR="00082AE8" w:rsidRPr="00FD0AC9">
        <w:rPr>
          <w:rFonts w:ascii="Times New Roman" w:hAnsi="Times New Roman" w:cs="Times New Roman"/>
          <w:b/>
          <w:bCs/>
          <w:sz w:val="28"/>
          <w:szCs w:val="28"/>
        </w:rPr>
        <w:t xml:space="preserve"> lung IL-33 stimulation experiment </w:t>
      </w:r>
    </w:p>
    <w:p w14:paraId="1529ACFD" w14:textId="77777777" w:rsidR="00C22E4B" w:rsidRPr="00FD0AC9" w:rsidRDefault="00C22E4B" w:rsidP="006371C3">
      <w:pPr>
        <w:spacing w:after="0" w:line="240" w:lineRule="auto"/>
        <w:ind w:firstLine="708"/>
        <w:jc w:val="both"/>
        <w:rPr>
          <w:rFonts w:ascii="Times New Roman" w:hAnsi="Times New Roman" w:cs="Times New Roman"/>
          <w:sz w:val="28"/>
          <w:szCs w:val="28"/>
          <w:lang w:val="en-US"/>
        </w:rPr>
      </w:pPr>
      <w:r w:rsidRPr="00FD0AC9">
        <w:rPr>
          <w:rFonts w:ascii="Times New Roman" w:hAnsi="Times New Roman" w:cs="Times New Roman"/>
          <w:sz w:val="28"/>
          <w:szCs w:val="28"/>
          <w:lang w:val="en-US"/>
        </w:rPr>
        <w:t>The murine lung IL-33 stimulation experiment was conducted using recombinant mouse IL-33 (carrier-free, endotoxin-tested), administered intranasally (</w:t>
      </w:r>
      <w:proofErr w:type="spellStart"/>
      <w:r w:rsidRPr="00FD0AC9">
        <w:rPr>
          <w:rFonts w:ascii="Times New Roman" w:hAnsi="Times New Roman" w:cs="Times New Roman"/>
          <w:sz w:val="28"/>
          <w:szCs w:val="28"/>
          <w:lang w:val="en-US"/>
        </w:rPr>
        <w:t>i.n.</w:t>
      </w:r>
      <w:proofErr w:type="spellEnd"/>
      <w:r w:rsidRPr="00FD0AC9">
        <w:rPr>
          <w:rFonts w:ascii="Times New Roman" w:hAnsi="Times New Roman" w:cs="Times New Roman"/>
          <w:sz w:val="28"/>
          <w:szCs w:val="28"/>
          <w:lang w:val="en-US"/>
        </w:rPr>
        <w:t>) in a total volume of 30 µL (15 µL per nostril) with sterile phosphate-buffered saline (PBS, pH 7.4) as the vehicle.</w:t>
      </w:r>
    </w:p>
    <w:p w14:paraId="7ADE25F8" w14:textId="77777777" w:rsidR="00C22E4B" w:rsidRPr="00FD0AC9" w:rsidRDefault="00C22E4B" w:rsidP="00FD0AC9">
      <w:pPr>
        <w:spacing w:after="0" w:line="240" w:lineRule="auto"/>
        <w:ind w:firstLine="708"/>
        <w:jc w:val="both"/>
        <w:rPr>
          <w:rFonts w:ascii="Times New Roman" w:hAnsi="Times New Roman" w:cs="Times New Roman"/>
          <w:sz w:val="28"/>
          <w:szCs w:val="28"/>
          <w:lang w:val="en-US"/>
        </w:rPr>
      </w:pPr>
      <w:r w:rsidRPr="00FD0AC9">
        <w:rPr>
          <w:rFonts w:ascii="Times New Roman" w:hAnsi="Times New Roman" w:cs="Times New Roman"/>
          <w:sz w:val="28"/>
          <w:szCs w:val="28"/>
          <w:lang w:val="en-US"/>
        </w:rPr>
        <w:t xml:space="preserve">Additional reagents and buffers included: phosphate-buffered saline (PBS) without calcium and magnesium; enzyme-free wash buffer composed of RPMI1640 supplemented with 5% fetal bovine serum (FBS); and four digestion buffers—(A) RPMI1640 with 5% FBS, 0.5 mg/mL Collagenase Type IV, and 0.1 mg/mL DNase I; (B) RPMI1640 with 5% FBS, 0.5 mg/mL </w:t>
      </w:r>
      <w:proofErr w:type="spellStart"/>
      <w:r w:rsidRPr="00FD0AC9">
        <w:rPr>
          <w:rFonts w:ascii="Times New Roman" w:hAnsi="Times New Roman" w:cs="Times New Roman"/>
          <w:sz w:val="28"/>
          <w:szCs w:val="28"/>
          <w:lang w:val="en-US"/>
        </w:rPr>
        <w:t>Liberase</w:t>
      </w:r>
      <w:proofErr w:type="spellEnd"/>
      <w:r w:rsidRPr="00FD0AC9">
        <w:rPr>
          <w:rFonts w:ascii="Times New Roman" w:hAnsi="Times New Roman" w:cs="Times New Roman"/>
          <w:sz w:val="28"/>
          <w:szCs w:val="28"/>
          <w:lang w:val="en-US"/>
        </w:rPr>
        <w:t xml:space="preserve"> TM, and 0.1 mg/mL DNase I; (C) RPMI1640 with 5% FBS, 0.2 mg/mL Collagenase P, 0.8 mg/mL </w:t>
      </w:r>
      <w:proofErr w:type="spellStart"/>
      <w:r w:rsidRPr="00FD0AC9">
        <w:rPr>
          <w:rFonts w:ascii="Times New Roman" w:hAnsi="Times New Roman" w:cs="Times New Roman"/>
          <w:sz w:val="28"/>
          <w:szCs w:val="28"/>
          <w:lang w:val="en-US"/>
        </w:rPr>
        <w:t>Dispase</w:t>
      </w:r>
      <w:proofErr w:type="spellEnd"/>
      <w:r w:rsidRPr="00FD0AC9">
        <w:rPr>
          <w:rFonts w:ascii="Times New Roman" w:hAnsi="Times New Roman" w:cs="Times New Roman"/>
          <w:sz w:val="28"/>
          <w:szCs w:val="28"/>
          <w:lang w:val="en-US"/>
        </w:rPr>
        <w:t xml:space="preserve"> II, and 0.1 mg/mL DNase I; and (D) the Miltenyi Biotec Lung Dissociation Kit (Cat. No. 130-095-927).</w:t>
      </w:r>
    </w:p>
    <w:p w14:paraId="3763A6E9" w14:textId="77777777" w:rsidR="00C22E4B" w:rsidRPr="00FD0AC9" w:rsidRDefault="00C22E4B" w:rsidP="00FD0AC9">
      <w:pPr>
        <w:spacing w:after="0" w:line="240" w:lineRule="auto"/>
        <w:ind w:firstLine="708"/>
        <w:jc w:val="both"/>
        <w:rPr>
          <w:rFonts w:ascii="Times New Roman" w:hAnsi="Times New Roman" w:cs="Times New Roman"/>
          <w:sz w:val="28"/>
          <w:szCs w:val="28"/>
          <w:lang w:val="en-US"/>
        </w:rPr>
      </w:pPr>
      <w:r w:rsidRPr="00FD0AC9">
        <w:rPr>
          <w:rFonts w:ascii="Times New Roman" w:hAnsi="Times New Roman" w:cs="Times New Roman"/>
          <w:i/>
          <w:iCs/>
          <w:sz w:val="28"/>
          <w:szCs w:val="28"/>
          <w:u w:val="single"/>
          <w:lang w:val="en-US"/>
        </w:rPr>
        <w:t>For flow cytometry and staining procedures</w:t>
      </w:r>
      <w:r w:rsidRPr="00FD0AC9">
        <w:rPr>
          <w:rFonts w:ascii="Times New Roman" w:hAnsi="Times New Roman" w:cs="Times New Roman"/>
          <w:sz w:val="28"/>
          <w:szCs w:val="28"/>
          <w:lang w:val="en-US"/>
        </w:rPr>
        <w:t xml:space="preserve">, blocking buffer (PBS, 2% FBS, and 2.4G2 hybridoma supernatant for Fc receptor CD16/CD32 blocking), FACS buffer (PBS, 2% FBS), and fixation buffer (4% paraformaldehyde or the Foxp3 staining kit, </w:t>
      </w:r>
      <w:proofErr w:type="spellStart"/>
      <w:r w:rsidRPr="00FD0AC9">
        <w:rPr>
          <w:rFonts w:ascii="Times New Roman" w:hAnsi="Times New Roman" w:cs="Times New Roman"/>
          <w:sz w:val="28"/>
          <w:szCs w:val="28"/>
          <w:lang w:val="en-US"/>
        </w:rPr>
        <w:t>eBioscience</w:t>
      </w:r>
      <w:proofErr w:type="spellEnd"/>
      <w:r w:rsidRPr="00FD0AC9">
        <w:rPr>
          <w:rFonts w:ascii="Times New Roman" w:hAnsi="Times New Roman" w:cs="Times New Roman"/>
          <w:sz w:val="28"/>
          <w:szCs w:val="28"/>
          <w:lang w:val="en-US"/>
        </w:rPr>
        <w:t>, Cat. No. 5523, for nuclear transcription factor detection) were used. Red blood cell lysis buffer (Sigma-Aldrich, Cat. No. R7757) and a viability stain (Fixable Live/Dead staining kit, Life Technologies, Cat. No. L34957) were also applied as part of the experimental workflow [117,118].</w:t>
      </w:r>
    </w:p>
    <w:p w14:paraId="07BDD881" w14:textId="0E61FA11" w:rsidR="003331F8" w:rsidRPr="00FD0AC9" w:rsidRDefault="007E2278" w:rsidP="00FD0AC9">
      <w:pPr>
        <w:spacing w:after="0" w:line="240" w:lineRule="auto"/>
        <w:ind w:firstLine="708"/>
        <w:jc w:val="both"/>
        <w:rPr>
          <w:rFonts w:ascii="Times New Roman" w:hAnsi="Times New Roman" w:cs="Times New Roman"/>
          <w:i/>
          <w:iCs/>
          <w:sz w:val="28"/>
          <w:szCs w:val="28"/>
          <w:u w:val="single"/>
        </w:rPr>
      </w:pPr>
      <w:r w:rsidRPr="00FD0AC9">
        <w:rPr>
          <w:rFonts w:ascii="Times New Roman" w:hAnsi="Times New Roman" w:cs="Times New Roman"/>
          <w:i/>
          <w:iCs/>
          <w:sz w:val="28"/>
          <w:szCs w:val="28"/>
          <w:u w:val="single"/>
        </w:rPr>
        <w:t>Antibodies for flow cytometry</w:t>
      </w:r>
      <w:r w:rsidR="004166AC" w:rsidRPr="00FD0AC9">
        <w:rPr>
          <w:rFonts w:ascii="Times New Roman" w:hAnsi="Times New Roman" w:cs="Times New Roman"/>
          <w:i/>
          <w:iCs/>
          <w:sz w:val="28"/>
          <w:szCs w:val="28"/>
          <w:u w:val="single"/>
        </w:rPr>
        <w:t xml:space="preserve"> for staining </w:t>
      </w:r>
    </w:p>
    <w:p w14:paraId="6252B0BB" w14:textId="508BBAC9" w:rsidR="00FA25C9" w:rsidRPr="00FD0AC9" w:rsidRDefault="00C22E4B" w:rsidP="00FD0AC9">
      <w:pPr>
        <w:spacing w:after="0" w:line="240" w:lineRule="auto"/>
        <w:ind w:firstLine="708"/>
        <w:jc w:val="both"/>
        <w:rPr>
          <w:rFonts w:ascii="Times New Roman" w:hAnsi="Times New Roman" w:cs="Times New Roman"/>
          <w:sz w:val="28"/>
          <w:szCs w:val="28"/>
        </w:rPr>
      </w:pPr>
      <w:bookmarkStart w:id="21" w:name="_Hlk201055024"/>
      <w:r w:rsidRPr="00FD0AC9">
        <w:rPr>
          <w:rFonts w:ascii="Times New Roman" w:hAnsi="Times New Roman" w:cs="Times New Roman"/>
          <w:sz w:val="28"/>
          <w:szCs w:val="28"/>
        </w:rPr>
        <w:t xml:space="preserve">For flow cytometry staining, the following antibodies were used. Lineage-specific antibodies included TCRβ (clone H57-597), </w:t>
      </w:r>
      <w:proofErr w:type="spellStart"/>
      <w:r w:rsidRPr="00FD0AC9">
        <w:rPr>
          <w:rFonts w:ascii="Times New Roman" w:hAnsi="Times New Roman" w:cs="Times New Roman"/>
          <w:sz w:val="28"/>
          <w:szCs w:val="28"/>
        </w:rPr>
        <w:t>TCRγδ</w:t>
      </w:r>
      <w:proofErr w:type="spellEnd"/>
      <w:r w:rsidRPr="00FD0AC9">
        <w:rPr>
          <w:rFonts w:ascii="Times New Roman" w:hAnsi="Times New Roman" w:cs="Times New Roman"/>
          <w:sz w:val="28"/>
          <w:szCs w:val="28"/>
        </w:rPr>
        <w:t xml:space="preserve"> (clone eBioGL3), CD11b (clone M1/70), CD11c (clone N418), B220 (clone RA3-6B2), CD3ε (clone 145-2C11), Ter119 (clone Ter119), and NK1.1 (clone PK136) to exclude lineage-positive cells. CD45 (clone 104) was used </w:t>
      </w:r>
      <w:r w:rsidR="008809CA">
        <w:rPr>
          <w:rFonts w:ascii="Times New Roman" w:hAnsi="Times New Roman" w:cs="Times New Roman"/>
          <w:sz w:val="28"/>
          <w:szCs w:val="28"/>
        </w:rPr>
        <w:t>to identify hematopoietic cells specifically</w:t>
      </w:r>
      <w:r w:rsidRPr="00FD0AC9">
        <w:rPr>
          <w:rFonts w:ascii="Times New Roman" w:hAnsi="Times New Roman" w:cs="Times New Roman"/>
          <w:sz w:val="28"/>
          <w:szCs w:val="28"/>
        </w:rPr>
        <w:t>. To detect and enrich group 2 innate lymphoid cells (ILC2), antibodies against KLRG1 (clone 2F1) and Thy1/CD90 (clone 53-2.1) were applied. Additional surface and intracellular markers included Sca-1 (clone E13-161.7), c-Kit (CD117; clone 2B8), ICOS (clone C398.4A), CD69 (clone H1.2F3), CD25 (clone PC61.5), ST2 (clone RMST2-2 or DJ8), and GATA3.</w:t>
      </w:r>
    </w:p>
    <w:p w14:paraId="70C8F407" w14:textId="77777777" w:rsidR="00FD0AC9" w:rsidRPr="00FD0AC9" w:rsidRDefault="00FD0AC9" w:rsidP="00FD0AC9">
      <w:pPr>
        <w:spacing w:after="0" w:line="240" w:lineRule="auto"/>
        <w:ind w:firstLine="708"/>
        <w:jc w:val="both"/>
        <w:rPr>
          <w:rFonts w:ascii="Times New Roman" w:hAnsi="Times New Roman" w:cs="Times New Roman"/>
          <w:sz w:val="28"/>
          <w:szCs w:val="28"/>
        </w:rPr>
      </w:pPr>
    </w:p>
    <w:p w14:paraId="44726293" w14:textId="4C871E3C" w:rsidR="007B2B2F" w:rsidRPr="00FD0AC9" w:rsidRDefault="00C22E4B" w:rsidP="00833D15">
      <w:pPr>
        <w:spacing w:after="0" w:line="240" w:lineRule="auto"/>
        <w:ind w:left="709"/>
        <w:jc w:val="both"/>
        <w:rPr>
          <w:rFonts w:ascii="Times New Roman" w:hAnsi="Times New Roman" w:cs="Times New Roman"/>
          <w:b/>
          <w:bCs/>
          <w:sz w:val="28"/>
          <w:szCs w:val="28"/>
        </w:rPr>
      </w:pPr>
      <w:r w:rsidRPr="00FD0AC9">
        <w:rPr>
          <w:rFonts w:ascii="Times New Roman" w:hAnsi="Times New Roman" w:cs="Times New Roman"/>
          <w:b/>
          <w:bCs/>
          <w:sz w:val="28"/>
          <w:szCs w:val="28"/>
        </w:rPr>
        <w:t xml:space="preserve">2.3.3 </w:t>
      </w:r>
      <w:r w:rsidR="00244C43" w:rsidRPr="00FD0AC9">
        <w:rPr>
          <w:rFonts w:ascii="Times New Roman" w:hAnsi="Times New Roman" w:cs="Times New Roman"/>
          <w:b/>
          <w:bCs/>
          <w:sz w:val="28"/>
          <w:szCs w:val="28"/>
        </w:rPr>
        <w:t>Viral Cultivation on VeroE6 Cells</w:t>
      </w:r>
    </w:p>
    <w:p w14:paraId="6277DD43" w14:textId="008BDF3F" w:rsidR="00C22E4B" w:rsidRPr="00FD0AC9" w:rsidRDefault="00244C43" w:rsidP="00FD0AC9">
      <w:pPr>
        <w:spacing w:after="0" w:line="240" w:lineRule="auto"/>
        <w:ind w:firstLine="708"/>
        <w:jc w:val="both"/>
        <w:rPr>
          <w:rFonts w:ascii="Times New Roman" w:hAnsi="Times New Roman" w:cs="Times New Roman"/>
          <w:sz w:val="28"/>
          <w:szCs w:val="28"/>
          <w:lang w:val="en-US"/>
        </w:rPr>
      </w:pPr>
      <w:r w:rsidRPr="00FD0AC9">
        <w:rPr>
          <w:rFonts w:ascii="Times New Roman" w:hAnsi="Times New Roman" w:cs="Times New Roman"/>
          <w:sz w:val="28"/>
          <w:szCs w:val="28"/>
        </w:rPr>
        <w:t>The VeroE6 cells were grown in DMEM supplemented with 10% fetal bovine serum (FBS) and antibiotics (penicillin/streptomycin) at 37 °C and 5% CO₂ until they reached 80–90% confluence</w:t>
      </w:r>
      <w:r w:rsidR="00270454" w:rsidRPr="00FD0AC9">
        <w:rPr>
          <w:rFonts w:ascii="Times New Roman" w:hAnsi="Times New Roman" w:cs="Times New Roman"/>
          <w:sz w:val="28"/>
          <w:szCs w:val="28"/>
        </w:rPr>
        <w:t xml:space="preserve"> [126]</w:t>
      </w:r>
      <w:r w:rsidRPr="00FD0AC9">
        <w:rPr>
          <w:rFonts w:ascii="Times New Roman" w:hAnsi="Times New Roman" w:cs="Times New Roman"/>
          <w:sz w:val="28"/>
          <w:szCs w:val="28"/>
        </w:rPr>
        <w:t xml:space="preserve">. </w:t>
      </w:r>
    </w:p>
    <w:p w14:paraId="3F9396FE" w14:textId="65592BEF" w:rsidR="00244C43" w:rsidRPr="00FC0EB8" w:rsidRDefault="0099104C" w:rsidP="00FD0AC9">
      <w:pPr>
        <w:spacing w:after="0" w:line="240" w:lineRule="auto"/>
        <w:ind w:firstLine="708"/>
        <w:jc w:val="both"/>
        <w:rPr>
          <w:rFonts w:ascii="Times New Roman" w:hAnsi="Times New Roman" w:cs="Times New Roman"/>
          <w:i/>
          <w:iCs/>
          <w:sz w:val="28"/>
          <w:szCs w:val="28"/>
          <w:u w:val="single"/>
        </w:rPr>
      </w:pPr>
      <w:r w:rsidRPr="00FC0EB8">
        <w:rPr>
          <w:rFonts w:ascii="Times New Roman" w:hAnsi="Times New Roman" w:cs="Times New Roman"/>
          <w:i/>
          <w:iCs/>
          <w:sz w:val="28"/>
          <w:szCs w:val="28"/>
          <w:u w:val="single"/>
        </w:rPr>
        <w:t>Vero</w:t>
      </w:r>
      <w:r w:rsidR="00104D4C" w:rsidRPr="00FC0EB8">
        <w:rPr>
          <w:rFonts w:ascii="Times New Roman" w:hAnsi="Times New Roman" w:cs="Times New Roman"/>
          <w:i/>
          <w:iCs/>
          <w:sz w:val="28"/>
          <w:szCs w:val="28"/>
          <w:u w:val="single"/>
        </w:rPr>
        <w:t xml:space="preserve"> </w:t>
      </w:r>
      <w:r w:rsidRPr="00FC0EB8">
        <w:rPr>
          <w:rFonts w:ascii="Times New Roman" w:hAnsi="Times New Roman" w:cs="Times New Roman"/>
          <w:i/>
          <w:iCs/>
          <w:sz w:val="28"/>
          <w:szCs w:val="28"/>
          <w:u w:val="single"/>
        </w:rPr>
        <w:t xml:space="preserve">E6 Cells - </w:t>
      </w:r>
      <w:r w:rsidR="00111E0B" w:rsidRPr="00FC0EB8">
        <w:rPr>
          <w:rFonts w:ascii="Times New Roman" w:hAnsi="Times New Roman" w:cs="Times New Roman"/>
          <w:i/>
          <w:iCs/>
          <w:sz w:val="28"/>
          <w:szCs w:val="28"/>
          <w:u w:val="single"/>
        </w:rPr>
        <w:t>Infection </w:t>
      </w:r>
    </w:p>
    <w:p w14:paraId="7A4DAA44" w14:textId="0BE3FA78" w:rsidR="00C94195" w:rsidRPr="00FD0AC9" w:rsidRDefault="000F5043" w:rsidP="00FD0AC9">
      <w:pPr>
        <w:spacing w:after="0" w:line="240" w:lineRule="auto"/>
        <w:ind w:firstLine="708"/>
        <w:jc w:val="both"/>
        <w:rPr>
          <w:rFonts w:ascii="Times New Roman" w:hAnsi="Times New Roman" w:cs="Times New Roman"/>
          <w:sz w:val="28"/>
          <w:szCs w:val="28"/>
        </w:rPr>
      </w:pPr>
      <w:r w:rsidRPr="00FD0AC9">
        <w:rPr>
          <w:rFonts w:ascii="Times New Roman" w:hAnsi="Times New Roman" w:cs="Times New Roman"/>
          <w:sz w:val="28"/>
          <w:szCs w:val="28"/>
        </w:rPr>
        <w:t xml:space="preserve">Supernatants were thawed quickly. BALF/murine supernatants were thawed at 37°C. The cell culture medium was aspirated. Adding the supernatant (e.g., 100–500 </w:t>
      </w:r>
      <w:r w:rsidRPr="00FD0AC9">
        <w:rPr>
          <w:rFonts w:ascii="Times New Roman" w:hAnsi="Times New Roman" w:cs="Times New Roman"/>
          <w:sz w:val="28"/>
          <w:szCs w:val="28"/>
        </w:rPr>
        <w:lastRenderedPageBreak/>
        <w:t xml:space="preserve">µL per well of a 6-well plate). </w:t>
      </w:r>
      <w:r w:rsidR="007E2278" w:rsidRPr="00FD0AC9">
        <w:rPr>
          <w:rFonts w:ascii="Times New Roman" w:hAnsi="Times New Roman" w:cs="Times New Roman"/>
          <w:sz w:val="28"/>
          <w:szCs w:val="28"/>
        </w:rPr>
        <w:t>Furthermore,</w:t>
      </w:r>
      <w:r w:rsidRPr="00FD0AC9">
        <w:rPr>
          <w:rFonts w:ascii="Times New Roman" w:hAnsi="Times New Roman" w:cs="Times New Roman"/>
          <w:sz w:val="28"/>
          <w:szCs w:val="28"/>
        </w:rPr>
        <w:t xml:space="preserve"> </w:t>
      </w:r>
      <w:r w:rsidR="00466170" w:rsidRPr="00FD0AC9">
        <w:rPr>
          <w:rFonts w:ascii="Times New Roman" w:hAnsi="Times New Roman" w:cs="Times New Roman"/>
          <w:sz w:val="28"/>
          <w:szCs w:val="28"/>
        </w:rPr>
        <w:t>it is diluted</w:t>
      </w:r>
      <w:r w:rsidRPr="00FD0AC9">
        <w:rPr>
          <w:rFonts w:ascii="Times New Roman" w:hAnsi="Times New Roman" w:cs="Times New Roman"/>
          <w:sz w:val="28"/>
          <w:szCs w:val="28"/>
        </w:rPr>
        <w:t xml:space="preserve"> in maintenance medium (DMEM + 2% FBS) if needed. The Incubation lasted 1–2 hours at 37°C with gentle rocking every 15 min. Post-inoculation: Replacement of inoculum with fresh maintenance medium containing antibiotics.</w:t>
      </w:r>
      <w:r w:rsidR="00D843E2" w:rsidRPr="00FD0AC9">
        <w:rPr>
          <w:rFonts w:ascii="Times New Roman" w:hAnsi="Times New Roman" w:cs="Times New Roman"/>
          <w:sz w:val="28"/>
          <w:szCs w:val="28"/>
        </w:rPr>
        <w:t xml:space="preserve"> CPE Observation: </w:t>
      </w:r>
      <w:r w:rsidR="00C52AC1" w:rsidRPr="00FD0AC9">
        <w:rPr>
          <w:rFonts w:ascii="Times New Roman" w:hAnsi="Times New Roman" w:cs="Times New Roman"/>
          <w:sz w:val="28"/>
          <w:szCs w:val="28"/>
        </w:rPr>
        <w:t>Under a microscope, the culture was checked daily for cytopathic effects (cell rounding, syncytia, and detachment)</w:t>
      </w:r>
      <w:r w:rsidR="00D843E2" w:rsidRPr="00FD0AC9">
        <w:rPr>
          <w:rFonts w:ascii="Times New Roman" w:hAnsi="Times New Roman" w:cs="Times New Roman"/>
          <w:sz w:val="28"/>
          <w:szCs w:val="28"/>
        </w:rPr>
        <w:t>.</w:t>
      </w:r>
      <w:r w:rsidR="00330C20" w:rsidRPr="00FD0AC9">
        <w:rPr>
          <w:rFonts w:ascii="Times New Roman" w:hAnsi="Times New Roman" w:cs="Times New Roman"/>
          <w:sz w:val="28"/>
          <w:szCs w:val="28"/>
        </w:rPr>
        <w:t xml:space="preserve"> The efficient extraction of SARS-CoV-2 from bronchoalveolar lavage fluid (BALF) and murine airways, followed by successful cultivation in VeroE6 cells, is crucial for virological studies</w:t>
      </w:r>
      <w:r w:rsidR="00270454" w:rsidRPr="00FD0AC9">
        <w:rPr>
          <w:rFonts w:ascii="Times New Roman" w:hAnsi="Times New Roman" w:cs="Times New Roman"/>
          <w:sz w:val="28"/>
          <w:szCs w:val="28"/>
        </w:rPr>
        <w:t xml:space="preserve"> [126]</w:t>
      </w:r>
      <w:r w:rsidR="00330C20" w:rsidRPr="00FD0AC9">
        <w:rPr>
          <w:rFonts w:ascii="Times New Roman" w:hAnsi="Times New Roman" w:cs="Times New Roman"/>
          <w:sz w:val="28"/>
          <w:szCs w:val="28"/>
        </w:rPr>
        <w:t xml:space="preserve">. </w:t>
      </w:r>
    </w:p>
    <w:p w14:paraId="00C74455" w14:textId="26BAFC29" w:rsidR="00D843E2" w:rsidRPr="00FD0AC9" w:rsidRDefault="00D843E2" w:rsidP="00FD0AC9">
      <w:pPr>
        <w:spacing w:after="0" w:line="240" w:lineRule="auto"/>
        <w:ind w:firstLine="708"/>
        <w:jc w:val="both"/>
        <w:rPr>
          <w:rFonts w:ascii="Times New Roman" w:eastAsia="Calibri" w:hAnsi="Times New Roman" w:cs="Times New Roman"/>
          <w:i/>
          <w:iCs/>
          <w:color w:val="00000A"/>
          <w:sz w:val="28"/>
          <w:szCs w:val="28"/>
          <w:u w:val="single"/>
        </w:rPr>
      </w:pPr>
      <w:r w:rsidRPr="00FD0AC9">
        <w:rPr>
          <w:rFonts w:ascii="Times New Roman" w:eastAsia="Calibri" w:hAnsi="Times New Roman" w:cs="Times New Roman"/>
          <w:i/>
          <w:iCs/>
          <w:color w:val="00000A"/>
          <w:sz w:val="28"/>
          <w:szCs w:val="28"/>
          <w:u w:val="single"/>
        </w:rPr>
        <w:t xml:space="preserve">Viral RNA isolation </w:t>
      </w:r>
    </w:p>
    <w:p w14:paraId="6C0ECEC1" w14:textId="6A09372C" w:rsidR="001F21D5" w:rsidRPr="00FD0AC9" w:rsidRDefault="00D843E2" w:rsidP="00FD0AC9">
      <w:pPr>
        <w:spacing w:after="0" w:line="240" w:lineRule="auto"/>
        <w:ind w:right="-142" w:firstLine="709"/>
        <w:jc w:val="both"/>
        <w:rPr>
          <w:rFonts w:ascii="Times New Roman" w:eastAsia="Calibri" w:hAnsi="Times New Roman" w:cs="Times New Roman"/>
          <w:color w:val="00000A"/>
          <w:sz w:val="28"/>
          <w:szCs w:val="28"/>
        </w:rPr>
      </w:pPr>
      <w:r w:rsidRPr="00FD0AC9">
        <w:rPr>
          <w:rFonts w:ascii="Times New Roman" w:eastAsia="Calibri" w:hAnsi="Times New Roman" w:cs="Times New Roman"/>
          <w:color w:val="00000A"/>
          <w:sz w:val="28"/>
          <w:szCs w:val="28"/>
        </w:rPr>
        <w:t>mRNA was extracted for downstream processes, including RNA sequencing, qPCR, and reverse transcription for cDNA synthesis. Because it enables researchers to examine gene expression under specified conditions at a given moment (Figure 15) [</w:t>
      </w:r>
      <w:r w:rsidR="007E2278" w:rsidRPr="00FD0AC9">
        <w:rPr>
          <w:rFonts w:ascii="Times New Roman" w:eastAsia="Calibri" w:hAnsi="Times New Roman" w:cs="Times New Roman"/>
          <w:color w:val="00000A"/>
          <w:sz w:val="28"/>
          <w:szCs w:val="28"/>
        </w:rPr>
        <w:t>17, 102, 115</w:t>
      </w:r>
      <w:r w:rsidR="008D658F" w:rsidRPr="00FD0AC9">
        <w:rPr>
          <w:rFonts w:ascii="Times New Roman" w:eastAsia="Calibri" w:hAnsi="Times New Roman" w:cs="Times New Roman"/>
          <w:color w:val="00000A"/>
          <w:sz w:val="28"/>
          <w:szCs w:val="28"/>
        </w:rPr>
        <w:t>,126</w:t>
      </w:r>
      <w:r w:rsidRPr="00FD0AC9">
        <w:rPr>
          <w:rFonts w:ascii="Times New Roman" w:eastAsia="Calibri" w:hAnsi="Times New Roman" w:cs="Times New Roman"/>
          <w:color w:val="00000A"/>
          <w:sz w:val="28"/>
          <w:szCs w:val="28"/>
        </w:rPr>
        <w:t xml:space="preserve">]. </w:t>
      </w:r>
      <w:r w:rsidR="00DC1B15" w:rsidRPr="00FD0AC9">
        <w:rPr>
          <w:rFonts w:ascii="Times New Roman" w:eastAsia="Calibri" w:hAnsi="Times New Roman" w:cs="Times New Roman"/>
          <w:color w:val="00000A"/>
          <w:sz w:val="28"/>
          <w:szCs w:val="28"/>
        </w:rPr>
        <w:t xml:space="preserve"> </w:t>
      </w:r>
      <w:r w:rsidRPr="00FD0AC9">
        <w:rPr>
          <w:rFonts w:ascii="Times New Roman" w:eastAsia="Calibri" w:hAnsi="Times New Roman" w:cs="Times New Roman"/>
          <w:color w:val="00000A"/>
          <w:sz w:val="28"/>
          <w:szCs w:val="28"/>
        </w:rPr>
        <w:t xml:space="preserve">Total RNA is isolated using various techniques. Phenol-chloroform extraction is a traditional method that has been replaced by Trizol, which separates RNA from DNA and proteins based on their solubility. The RNA remains in the aqueous phase and was precipitated using isopropanol. Silica-Based Column Purification: Kits were available for rapid RNA isolation (e.g., Qiagen RNeasy) using silica membranes that selectively bind RNA under specific buffer conditions. Since total RNA includes other forms, such as rRNA and tRNA, mRNA typically accounts for only 1–5% of total RNA. Two </w:t>
      </w:r>
      <w:r w:rsidR="007E2278" w:rsidRPr="00FD0AC9">
        <w:rPr>
          <w:rFonts w:ascii="Times New Roman" w:eastAsia="Calibri" w:hAnsi="Times New Roman" w:cs="Times New Roman"/>
          <w:color w:val="00000A"/>
          <w:sz w:val="28"/>
          <w:szCs w:val="28"/>
        </w:rPr>
        <w:t>primary</w:t>
      </w:r>
      <w:r w:rsidRPr="00FD0AC9">
        <w:rPr>
          <w:rFonts w:ascii="Times New Roman" w:eastAsia="Calibri" w:hAnsi="Times New Roman" w:cs="Times New Roman"/>
          <w:color w:val="00000A"/>
          <w:sz w:val="28"/>
          <w:szCs w:val="28"/>
        </w:rPr>
        <w:t xml:space="preserve"> methods enriched mRNA: Oligo-dT Beads. These beads were coated with oligo(dT) sequences that bind to the poly-A tail of eukaryotic mRNAs. Non-polyadenylated RNAs (rRNA, tRNA) were washed away, leaving enriched mRNA.  Ribosomal RNA Depletion: In cases where </w:t>
      </w:r>
      <w:r w:rsidR="00FD2E80">
        <w:rPr>
          <w:rFonts w:ascii="Times New Roman" w:eastAsia="Calibri" w:hAnsi="Times New Roman" w:cs="Times New Roman"/>
          <w:color w:val="00000A"/>
          <w:sz w:val="28"/>
          <w:szCs w:val="28"/>
        </w:rPr>
        <w:t xml:space="preserve">poly (A) tails were absent (in prokaryotes), specific kits or methods were used to remove rRNAs, thereby </w:t>
      </w:r>
      <w:r w:rsidRPr="00FD0AC9">
        <w:rPr>
          <w:rFonts w:ascii="Times New Roman" w:eastAsia="Calibri" w:hAnsi="Times New Roman" w:cs="Times New Roman"/>
          <w:color w:val="00000A"/>
          <w:sz w:val="28"/>
          <w:szCs w:val="28"/>
        </w:rPr>
        <w:t xml:space="preserve">enriching the mRNA fraction. According to the manufacturer’s instructions, viral RNA was isolated from virus-containing material (nasotracheal swabs) using the QIAamp Viral RNA Mini Kit (Qiagen). For 50 RNA preps, the following reagents were required: 50 QIAamp Mini Spin Columns, carrier RNA, 2 mL Collection Tubes, and RNase-free buffers </w:t>
      </w:r>
      <w:r w:rsidR="00C52AC1" w:rsidRPr="00FD0AC9">
        <w:rPr>
          <w:rFonts w:ascii="Times New Roman" w:eastAsia="Calibri" w:hAnsi="Times New Roman" w:cs="Times New Roman"/>
          <w:color w:val="00000A"/>
          <w:sz w:val="28"/>
          <w:szCs w:val="28"/>
        </w:rPr>
        <w:t>[17, 102, 115</w:t>
      </w:r>
      <w:r w:rsidR="006E341F" w:rsidRPr="00FD0AC9">
        <w:rPr>
          <w:rFonts w:ascii="Times New Roman" w:eastAsia="Calibri" w:hAnsi="Times New Roman" w:cs="Times New Roman"/>
          <w:color w:val="00000A"/>
          <w:sz w:val="28"/>
          <w:szCs w:val="28"/>
        </w:rPr>
        <w:t>,126</w:t>
      </w:r>
      <w:r w:rsidR="00C52AC1" w:rsidRPr="00FD0AC9">
        <w:rPr>
          <w:rFonts w:ascii="Times New Roman" w:eastAsia="Calibri" w:hAnsi="Times New Roman" w:cs="Times New Roman"/>
          <w:color w:val="00000A"/>
          <w:sz w:val="28"/>
          <w:szCs w:val="28"/>
        </w:rPr>
        <w:t>].</w:t>
      </w:r>
    </w:p>
    <w:p w14:paraId="44F0CFD6" w14:textId="6611C60F" w:rsidR="00D843E2" w:rsidRPr="00FD0AC9" w:rsidRDefault="00D843E2" w:rsidP="00FD0AC9">
      <w:pPr>
        <w:spacing w:after="0" w:line="240" w:lineRule="auto"/>
        <w:ind w:firstLine="708"/>
        <w:jc w:val="both"/>
        <w:rPr>
          <w:rFonts w:ascii="Times New Roman" w:hAnsi="Times New Roman" w:cs="Times New Roman"/>
          <w:i/>
          <w:iCs/>
          <w:sz w:val="28"/>
          <w:szCs w:val="28"/>
          <w:u w:val="single"/>
        </w:rPr>
      </w:pPr>
      <w:r w:rsidRPr="00FD0AC9">
        <w:rPr>
          <w:rFonts w:ascii="Times New Roman" w:hAnsi="Times New Roman" w:cs="Times New Roman"/>
          <w:i/>
          <w:iCs/>
          <w:sz w:val="28"/>
          <w:szCs w:val="28"/>
          <w:u w:val="single"/>
        </w:rPr>
        <w:t>Confirmation of viral load via RT-qPCR (genomic copies)</w:t>
      </w:r>
    </w:p>
    <w:p w14:paraId="16F1F28B" w14:textId="7CF20890" w:rsidR="00BF6702" w:rsidRPr="00FD0AC9" w:rsidRDefault="00EA70D1" w:rsidP="00FD0AC9">
      <w:pPr>
        <w:spacing w:after="0" w:line="240" w:lineRule="auto"/>
        <w:ind w:firstLine="708"/>
        <w:jc w:val="both"/>
        <w:rPr>
          <w:rFonts w:ascii="Times New Roman" w:eastAsia="Calibri" w:hAnsi="Times New Roman" w:cs="Times New Roman"/>
          <w:color w:val="00000A"/>
          <w:sz w:val="28"/>
          <w:szCs w:val="28"/>
        </w:rPr>
      </w:pPr>
      <w:r w:rsidRPr="00FD0AC9">
        <w:rPr>
          <w:rFonts w:ascii="Times New Roman" w:eastAsia="Calibri" w:hAnsi="Times New Roman" w:cs="Times New Roman"/>
          <w:color w:val="00000A"/>
          <w:sz w:val="28"/>
          <w:szCs w:val="28"/>
        </w:rPr>
        <w:t xml:space="preserve">The </w:t>
      </w:r>
      <w:r w:rsidR="00853685" w:rsidRPr="00FD0AC9">
        <w:rPr>
          <w:rFonts w:ascii="Times New Roman" w:eastAsia="Calibri" w:hAnsi="Times New Roman" w:cs="Times New Roman"/>
          <w:color w:val="00000A"/>
          <w:sz w:val="28"/>
          <w:szCs w:val="28"/>
        </w:rPr>
        <w:t xml:space="preserve">qRT-PCR </w:t>
      </w:r>
      <w:r w:rsidR="00886124" w:rsidRPr="00FD0AC9">
        <w:rPr>
          <w:rFonts w:ascii="Times New Roman" w:eastAsia="Calibri" w:hAnsi="Times New Roman" w:cs="Times New Roman"/>
          <w:color w:val="00000A"/>
          <w:sz w:val="28"/>
          <w:szCs w:val="28"/>
        </w:rPr>
        <w:t>targeted</w:t>
      </w:r>
      <w:r w:rsidRPr="00FD0AC9">
        <w:rPr>
          <w:rFonts w:ascii="Times New Roman" w:eastAsia="Calibri" w:hAnsi="Times New Roman" w:cs="Times New Roman"/>
          <w:color w:val="00000A"/>
          <w:sz w:val="28"/>
          <w:szCs w:val="28"/>
        </w:rPr>
        <w:t xml:space="preserve"> the N, E, S, and M </w:t>
      </w:r>
      <w:r w:rsidR="00121633" w:rsidRPr="00FD0AC9">
        <w:rPr>
          <w:rFonts w:ascii="Times New Roman" w:eastAsia="Calibri" w:hAnsi="Times New Roman" w:cs="Times New Roman"/>
          <w:color w:val="00000A"/>
          <w:sz w:val="28"/>
          <w:szCs w:val="28"/>
        </w:rPr>
        <w:t>genes</w:t>
      </w:r>
      <w:r w:rsidR="00F1287C" w:rsidRPr="00FD0AC9">
        <w:rPr>
          <w:rFonts w:ascii="Times New Roman" w:eastAsia="Calibri" w:hAnsi="Times New Roman" w:cs="Times New Roman"/>
          <w:color w:val="00000A"/>
          <w:sz w:val="28"/>
          <w:szCs w:val="28"/>
        </w:rPr>
        <w:t>, as well as</w:t>
      </w:r>
      <w:r w:rsidR="00121633" w:rsidRPr="00FD0AC9">
        <w:rPr>
          <w:rFonts w:ascii="Times New Roman" w:eastAsia="Calibri" w:hAnsi="Times New Roman" w:cs="Times New Roman"/>
          <w:color w:val="00000A"/>
          <w:sz w:val="28"/>
          <w:szCs w:val="28"/>
        </w:rPr>
        <w:t xml:space="preserve"> the ORF1ab gene</w:t>
      </w:r>
      <w:r w:rsidR="00853685" w:rsidRPr="00FD0AC9">
        <w:rPr>
          <w:rFonts w:ascii="Times New Roman" w:eastAsia="Calibri" w:hAnsi="Times New Roman" w:cs="Times New Roman"/>
          <w:color w:val="00000A"/>
          <w:sz w:val="28"/>
          <w:szCs w:val="28"/>
        </w:rPr>
        <w:t xml:space="preserve">. </w:t>
      </w:r>
      <w:r w:rsidRPr="00FD0AC9">
        <w:rPr>
          <w:rFonts w:ascii="Times New Roman" w:eastAsia="Calibri" w:hAnsi="Times New Roman" w:cs="Times New Roman"/>
          <w:color w:val="00000A"/>
          <w:sz w:val="28"/>
          <w:szCs w:val="28"/>
        </w:rPr>
        <w:t xml:space="preserve">A standard curve was </w:t>
      </w:r>
      <w:r w:rsidR="00121633" w:rsidRPr="00FD0AC9">
        <w:rPr>
          <w:rFonts w:ascii="Times New Roman" w:eastAsia="Calibri" w:hAnsi="Times New Roman" w:cs="Times New Roman"/>
          <w:color w:val="00000A"/>
          <w:sz w:val="28"/>
          <w:szCs w:val="28"/>
        </w:rPr>
        <w:t>used to estimate genome copies, final storage, and biosafety</w:t>
      </w:r>
      <w:r w:rsidR="00853685" w:rsidRPr="00FD0AC9">
        <w:rPr>
          <w:rFonts w:ascii="Times New Roman" w:eastAsia="Calibri" w:hAnsi="Times New Roman" w:cs="Times New Roman"/>
          <w:color w:val="00000A"/>
          <w:sz w:val="28"/>
          <w:szCs w:val="28"/>
        </w:rPr>
        <w:t xml:space="preserve">. </w:t>
      </w:r>
      <w:r w:rsidRPr="00FD0AC9">
        <w:rPr>
          <w:rFonts w:ascii="Times New Roman" w:eastAsia="Calibri" w:hAnsi="Times New Roman" w:cs="Times New Roman"/>
          <w:color w:val="00000A"/>
          <w:sz w:val="28"/>
          <w:szCs w:val="28"/>
        </w:rPr>
        <w:t xml:space="preserve">The </w:t>
      </w:r>
      <w:r w:rsidR="00853685" w:rsidRPr="00FD0AC9">
        <w:rPr>
          <w:rFonts w:ascii="Times New Roman" w:eastAsia="Calibri" w:hAnsi="Times New Roman" w:cs="Times New Roman"/>
          <w:color w:val="00000A"/>
          <w:sz w:val="28"/>
          <w:szCs w:val="28"/>
        </w:rPr>
        <w:t xml:space="preserve">viral stock </w:t>
      </w:r>
      <w:r w:rsidRPr="00FD0AC9">
        <w:rPr>
          <w:rFonts w:ascii="Times New Roman" w:eastAsia="Calibri" w:hAnsi="Times New Roman" w:cs="Times New Roman"/>
          <w:color w:val="00000A"/>
          <w:sz w:val="28"/>
          <w:szCs w:val="28"/>
        </w:rPr>
        <w:t>was stored at -80°C in small aliquots to prevent freeze-thaw cycles</w:t>
      </w:r>
      <w:r w:rsidR="00853685" w:rsidRPr="00FD0AC9">
        <w:rPr>
          <w:rFonts w:ascii="Times New Roman" w:eastAsia="Calibri" w:hAnsi="Times New Roman" w:cs="Times New Roman"/>
          <w:color w:val="00000A"/>
          <w:sz w:val="28"/>
          <w:szCs w:val="28"/>
        </w:rPr>
        <w:t xml:space="preserve">. </w:t>
      </w:r>
      <w:r w:rsidRPr="00FD0AC9">
        <w:rPr>
          <w:rFonts w:ascii="Times New Roman" w:eastAsia="Calibri" w:hAnsi="Times New Roman" w:cs="Times New Roman"/>
          <w:color w:val="00000A"/>
          <w:sz w:val="28"/>
          <w:szCs w:val="28"/>
        </w:rPr>
        <w:t xml:space="preserve">The </w:t>
      </w:r>
      <w:r w:rsidR="00853685" w:rsidRPr="00FD0AC9">
        <w:rPr>
          <w:rFonts w:ascii="Times New Roman" w:eastAsia="Calibri" w:hAnsi="Times New Roman" w:cs="Times New Roman"/>
          <w:color w:val="00000A"/>
          <w:sz w:val="28"/>
          <w:szCs w:val="28"/>
        </w:rPr>
        <w:t xml:space="preserve">SARS-CoV-2 </w:t>
      </w:r>
      <w:r w:rsidRPr="00FD0AC9">
        <w:rPr>
          <w:rFonts w:ascii="Times New Roman" w:eastAsia="Calibri" w:hAnsi="Times New Roman" w:cs="Times New Roman"/>
          <w:color w:val="00000A"/>
          <w:sz w:val="28"/>
          <w:szCs w:val="28"/>
        </w:rPr>
        <w:t xml:space="preserve">was handled under BSL-3 conditions with </w:t>
      </w:r>
      <w:r w:rsidR="00121633" w:rsidRPr="00FD0AC9">
        <w:rPr>
          <w:rFonts w:ascii="Times New Roman" w:eastAsia="Calibri" w:hAnsi="Times New Roman" w:cs="Times New Roman"/>
          <w:color w:val="00000A"/>
          <w:sz w:val="28"/>
          <w:szCs w:val="28"/>
        </w:rPr>
        <w:t>personal protective equipment (PPE), including N95 respirators, face shields, gowns, and gloves</w:t>
      </w:r>
      <w:r w:rsidR="00853685" w:rsidRPr="00FD0AC9">
        <w:rPr>
          <w:rFonts w:ascii="Times New Roman" w:eastAsia="Calibri" w:hAnsi="Times New Roman" w:cs="Times New Roman"/>
          <w:color w:val="00000A"/>
          <w:sz w:val="28"/>
          <w:szCs w:val="28"/>
        </w:rPr>
        <w:t xml:space="preserve">. </w:t>
      </w:r>
      <w:r w:rsidRPr="00FD0AC9">
        <w:rPr>
          <w:rFonts w:ascii="Times New Roman" w:eastAsia="Calibri" w:hAnsi="Times New Roman" w:cs="Times New Roman"/>
          <w:color w:val="00000A"/>
          <w:sz w:val="28"/>
          <w:szCs w:val="28"/>
        </w:rPr>
        <w:t>The</w:t>
      </w:r>
      <w:r w:rsidR="00853685" w:rsidRPr="00FD0AC9">
        <w:rPr>
          <w:rFonts w:ascii="Times New Roman" w:eastAsia="Calibri" w:hAnsi="Times New Roman" w:cs="Times New Roman"/>
          <w:color w:val="00000A"/>
          <w:sz w:val="28"/>
          <w:szCs w:val="28"/>
        </w:rPr>
        <w:t xml:space="preserve"> work surfaces</w:t>
      </w:r>
      <w:r w:rsidR="00C22E4B" w:rsidRPr="00FD0AC9">
        <w:rPr>
          <w:rFonts w:ascii="Times New Roman" w:eastAsia="Calibri" w:hAnsi="Times New Roman" w:cs="Times New Roman"/>
          <w:color w:val="00000A"/>
          <w:sz w:val="28"/>
          <w:szCs w:val="28"/>
        </w:rPr>
        <w:t>, treated with 10% bleach or 70% ethanol,</w:t>
      </w:r>
      <w:r w:rsidRPr="00FD0AC9">
        <w:rPr>
          <w:rFonts w:ascii="Times New Roman" w:eastAsia="Calibri" w:hAnsi="Times New Roman" w:cs="Times New Roman"/>
          <w:color w:val="00000A"/>
          <w:sz w:val="28"/>
          <w:szCs w:val="28"/>
        </w:rPr>
        <w:t xml:space="preserve"> were washed</w:t>
      </w:r>
      <w:r w:rsidR="00853685" w:rsidRPr="00FD0AC9">
        <w:rPr>
          <w:rFonts w:ascii="Times New Roman" w:eastAsia="Calibri" w:hAnsi="Times New Roman" w:cs="Times New Roman"/>
          <w:color w:val="00000A"/>
          <w:sz w:val="28"/>
          <w:szCs w:val="28"/>
        </w:rPr>
        <w:t xml:space="preserve">. SARS-CoV-2 was isolated from a nasopharyngeal swab by </w:t>
      </w:r>
      <w:r w:rsidR="00F1287C" w:rsidRPr="00FD0AC9">
        <w:rPr>
          <w:rFonts w:ascii="Times New Roman" w:eastAsia="Calibri" w:hAnsi="Times New Roman" w:cs="Times New Roman"/>
          <w:color w:val="00000A"/>
          <w:sz w:val="28"/>
          <w:szCs w:val="28"/>
        </w:rPr>
        <w:t xml:space="preserve">authorised specialists, and </w:t>
      </w:r>
      <w:r w:rsidR="00FD2E80">
        <w:rPr>
          <w:rFonts w:ascii="Times New Roman" w:eastAsia="Calibri" w:hAnsi="Times New Roman" w:cs="Times New Roman"/>
          <w:color w:val="00000A"/>
          <w:sz w:val="28"/>
          <w:szCs w:val="28"/>
        </w:rPr>
        <w:t>the biosample was sent to a biosafety institute in Gvardevskyi for isolation</w:t>
      </w:r>
      <w:r w:rsidR="00853685" w:rsidRPr="00FD0AC9">
        <w:rPr>
          <w:rFonts w:ascii="Times New Roman" w:eastAsia="Calibri" w:hAnsi="Times New Roman" w:cs="Times New Roman"/>
          <w:color w:val="00000A"/>
          <w:sz w:val="28"/>
          <w:szCs w:val="28"/>
        </w:rPr>
        <w:t xml:space="preserve">. They were propagated in Vero E6 cells cultured in MEM containing 2% FBS. </w:t>
      </w:r>
      <w:r w:rsidR="00FD2E80">
        <w:rPr>
          <w:rFonts w:ascii="Times New Roman" w:eastAsia="Calibri" w:hAnsi="Times New Roman" w:cs="Times New Roman"/>
          <w:color w:val="00000A"/>
          <w:sz w:val="28"/>
          <w:szCs w:val="28"/>
        </w:rPr>
        <w:t xml:space="preserve">72 hours after infection, supernatants containing </w:t>
      </w:r>
      <w:r w:rsidR="00121633" w:rsidRPr="00FD0AC9">
        <w:rPr>
          <w:rFonts w:ascii="Times New Roman" w:eastAsia="Calibri" w:hAnsi="Times New Roman" w:cs="Times New Roman"/>
          <w:color w:val="00000A"/>
          <w:sz w:val="28"/>
          <w:szCs w:val="28"/>
        </w:rPr>
        <w:t>released viral particles were collected and centrifuged at 600 g for 5 minutes</w:t>
      </w:r>
      <w:r w:rsidR="00853685" w:rsidRPr="00FD0AC9">
        <w:rPr>
          <w:rFonts w:ascii="Times New Roman" w:eastAsia="Calibri" w:hAnsi="Times New Roman" w:cs="Times New Roman"/>
          <w:color w:val="00000A"/>
          <w:sz w:val="28"/>
          <w:szCs w:val="28"/>
        </w:rPr>
        <w:t xml:space="preserve">. Virus stocks were </w:t>
      </w:r>
      <w:r w:rsidR="00121633" w:rsidRPr="00FD0AC9">
        <w:rPr>
          <w:rFonts w:ascii="Times New Roman" w:eastAsia="Calibri" w:hAnsi="Times New Roman" w:cs="Times New Roman"/>
          <w:color w:val="00000A"/>
          <w:sz w:val="28"/>
          <w:szCs w:val="28"/>
        </w:rPr>
        <w:t>stored at −80</w:t>
      </w:r>
      <w:r w:rsidR="00853685" w:rsidRPr="00FD0AC9">
        <w:rPr>
          <w:rFonts w:ascii="Times New Roman" w:eastAsia="Calibri" w:hAnsi="Times New Roman" w:cs="Times New Roman"/>
          <w:color w:val="00000A"/>
          <w:sz w:val="28"/>
          <w:szCs w:val="28"/>
        </w:rPr>
        <w:t>°C until use</w:t>
      </w:r>
      <w:r w:rsidR="00193D26" w:rsidRPr="00FD0AC9">
        <w:rPr>
          <w:rFonts w:ascii="Times New Roman" w:eastAsia="Calibri" w:hAnsi="Times New Roman" w:cs="Times New Roman"/>
          <w:color w:val="00000A"/>
          <w:sz w:val="28"/>
          <w:szCs w:val="28"/>
        </w:rPr>
        <w:t xml:space="preserve"> [</w:t>
      </w:r>
      <w:r w:rsidR="00C52AC1" w:rsidRPr="00FD0AC9">
        <w:rPr>
          <w:rFonts w:ascii="Times New Roman" w:eastAsia="Calibri" w:hAnsi="Times New Roman" w:cs="Times New Roman"/>
          <w:color w:val="00000A"/>
          <w:sz w:val="28"/>
          <w:szCs w:val="28"/>
        </w:rPr>
        <w:t xml:space="preserve">17, </w:t>
      </w:r>
      <w:r w:rsidRPr="00FD0AC9">
        <w:rPr>
          <w:rFonts w:ascii="Times New Roman" w:eastAsia="Calibri" w:hAnsi="Times New Roman" w:cs="Times New Roman"/>
          <w:color w:val="00000A"/>
          <w:sz w:val="28"/>
          <w:szCs w:val="28"/>
        </w:rPr>
        <w:t>102</w:t>
      </w:r>
      <w:r w:rsidR="00C52AC1" w:rsidRPr="00FD0AC9">
        <w:rPr>
          <w:rFonts w:ascii="Times New Roman" w:eastAsia="Calibri" w:hAnsi="Times New Roman" w:cs="Times New Roman"/>
          <w:color w:val="00000A"/>
          <w:sz w:val="28"/>
          <w:szCs w:val="28"/>
        </w:rPr>
        <w:t>, 115</w:t>
      </w:r>
      <w:r w:rsidR="006E341F" w:rsidRPr="00FD0AC9">
        <w:rPr>
          <w:rFonts w:ascii="Times New Roman" w:eastAsia="Calibri" w:hAnsi="Times New Roman" w:cs="Times New Roman"/>
          <w:color w:val="00000A"/>
          <w:sz w:val="28"/>
          <w:szCs w:val="28"/>
        </w:rPr>
        <w:t>,126</w:t>
      </w:r>
      <w:r w:rsidR="00193D26" w:rsidRPr="00FD0AC9">
        <w:rPr>
          <w:rFonts w:ascii="Times New Roman" w:eastAsia="Calibri" w:hAnsi="Times New Roman" w:cs="Times New Roman"/>
          <w:color w:val="00000A"/>
          <w:sz w:val="28"/>
          <w:szCs w:val="28"/>
        </w:rPr>
        <w:t>]</w:t>
      </w:r>
      <w:r w:rsidR="00853685" w:rsidRPr="00FD0AC9">
        <w:rPr>
          <w:rFonts w:ascii="Times New Roman" w:eastAsia="Calibri" w:hAnsi="Times New Roman" w:cs="Times New Roman"/>
          <w:color w:val="00000A"/>
          <w:sz w:val="28"/>
          <w:szCs w:val="28"/>
        </w:rPr>
        <w:t>.</w:t>
      </w:r>
    </w:p>
    <w:p w14:paraId="6A9B420F" w14:textId="2D713756" w:rsidR="004F510B" w:rsidRDefault="00C22E4B" w:rsidP="00DD4C6B">
      <w:pPr>
        <w:spacing w:after="0" w:line="240" w:lineRule="auto"/>
        <w:ind w:firstLine="708"/>
        <w:jc w:val="both"/>
        <w:rPr>
          <w:rFonts w:ascii="Times New Roman" w:eastAsia="Calibri" w:hAnsi="Times New Roman" w:cs="Times New Roman"/>
          <w:color w:val="00000A"/>
          <w:sz w:val="28"/>
          <w:szCs w:val="28"/>
          <w:lang w:val="en-US"/>
        </w:rPr>
      </w:pPr>
      <w:r w:rsidRPr="00FD0AC9">
        <w:rPr>
          <w:rFonts w:ascii="Times New Roman" w:eastAsia="Calibri" w:hAnsi="Times New Roman" w:cs="Times New Roman"/>
          <w:color w:val="00000A"/>
          <w:sz w:val="28"/>
          <w:szCs w:val="28"/>
        </w:rPr>
        <w:t xml:space="preserve">According to Figure 15, the efficiency of different RNA isolation methods for SARS-CoV-2 is </w:t>
      </w:r>
      <w:r w:rsidR="00FD2E80">
        <w:rPr>
          <w:rFonts w:ascii="Times New Roman" w:eastAsia="Calibri" w:hAnsi="Times New Roman" w:cs="Times New Roman"/>
          <w:color w:val="00000A"/>
          <w:sz w:val="28"/>
          <w:szCs w:val="28"/>
        </w:rPr>
        <w:t>assessed by quantification cycle (Cq</w:t>
      </w:r>
      <w:r w:rsidR="0035108E" w:rsidRPr="00FD0AC9">
        <w:rPr>
          <w:rFonts w:ascii="Times New Roman" w:eastAsia="Calibri" w:hAnsi="Times New Roman" w:cs="Times New Roman"/>
          <w:color w:val="00000A"/>
          <w:sz w:val="28"/>
          <w:szCs w:val="28"/>
        </w:rPr>
        <w:t xml:space="preserve">) values. Three approaches are shown: QIAamp Viral RNA Mini Kit, manual extraction using the QIAamp 96 Viral </w:t>
      </w:r>
      <w:r w:rsidR="0035108E" w:rsidRPr="00FD0AC9">
        <w:rPr>
          <w:rFonts w:ascii="Times New Roman" w:eastAsia="Calibri" w:hAnsi="Times New Roman" w:cs="Times New Roman"/>
          <w:color w:val="00000A"/>
          <w:sz w:val="28"/>
          <w:szCs w:val="28"/>
        </w:rPr>
        <w:lastRenderedPageBreak/>
        <w:t xml:space="preserve">RNA Kit, and automated extraction with the QIAcube HT system. The Cq values across all methods are very </w:t>
      </w:r>
      <w:r w:rsidR="00DD4C6B">
        <w:rPr>
          <w:rFonts w:ascii="Times New Roman" w:eastAsia="Calibri" w:hAnsi="Times New Roman" w:cs="Times New Roman"/>
          <w:color w:val="00000A"/>
          <w:sz w:val="28"/>
          <w:szCs w:val="28"/>
        </w:rPr>
        <w:t xml:space="preserve">similar, ranging from 25 to 27, indicating comparable </w:t>
      </w:r>
      <w:r w:rsidR="0035108E" w:rsidRPr="00FD0AC9">
        <w:rPr>
          <w:rFonts w:ascii="Times New Roman" w:eastAsia="Calibri" w:hAnsi="Times New Roman" w:cs="Times New Roman"/>
          <w:color w:val="00000A"/>
          <w:sz w:val="28"/>
          <w:szCs w:val="28"/>
        </w:rPr>
        <w:t>RNA recovery and suitability for downstream RT-qPCR analysis. The QIAamp Viral RNA Mini Kit and manual extraction yield slightly lower Cq values, suggesting a marginally higher sensitivity or recovery efficiency</w:t>
      </w:r>
      <w:r w:rsidR="00C94195" w:rsidRPr="00FD0AC9">
        <w:rPr>
          <w:rFonts w:ascii="Times New Roman" w:eastAsia="Calibri" w:hAnsi="Times New Roman" w:cs="Times New Roman"/>
          <w:color w:val="00000A"/>
          <w:sz w:val="28"/>
          <w:szCs w:val="28"/>
        </w:rPr>
        <w:t>. In contrast,</w:t>
      </w:r>
      <w:r w:rsidR="0035108E" w:rsidRPr="00FD0AC9">
        <w:rPr>
          <w:rFonts w:ascii="Times New Roman" w:eastAsia="Calibri" w:hAnsi="Times New Roman" w:cs="Times New Roman"/>
          <w:color w:val="00000A"/>
          <w:sz w:val="28"/>
          <w:szCs w:val="28"/>
        </w:rPr>
        <w:t xml:space="preserve"> the automated method shows a minor increase in Cq values, which could reflect a slightly lower RNA yield or higher variability. Overall, the results highlight that all three methods are reliable for SARS-CoV-2 RNA isolation, with only minor differences in efficiency, making the choice between them more dependent on workflow needs, throughput, and automation requirements rather than performance limitations.</w:t>
      </w:r>
    </w:p>
    <w:p w14:paraId="0258EAD5" w14:textId="77777777" w:rsidR="00DD4C6B" w:rsidRPr="00DD4C6B" w:rsidRDefault="00DD4C6B" w:rsidP="00DD4C6B">
      <w:pPr>
        <w:spacing w:after="0" w:line="240" w:lineRule="auto"/>
        <w:ind w:firstLine="708"/>
        <w:jc w:val="both"/>
        <w:rPr>
          <w:rFonts w:ascii="Times New Roman" w:eastAsia="Calibri" w:hAnsi="Times New Roman" w:cs="Times New Roman"/>
          <w:color w:val="00000A"/>
          <w:sz w:val="28"/>
          <w:szCs w:val="28"/>
          <w:lang w:val="en-US"/>
        </w:rPr>
      </w:pPr>
    </w:p>
    <w:p w14:paraId="441A0B79" w14:textId="77777777" w:rsidR="004C2807" w:rsidRPr="006531C9" w:rsidRDefault="00853685" w:rsidP="008D3670">
      <w:pPr>
        <w:spacing w:after="0" w:line="360" w:lineRule="auto"/>
        <w:ind w:right="1134"/>
        <w:jc w:val="center"/>
        <w:rPr>
          <w:rFonts w:ascii="Times New Roman" w:eastAsia="Calibri" w:hAnsi="Times New Roman" w:cs="Times New Roman"/>
          <w:color w:val="00000A"/>
          <w:sz w:val="24"/>
          <w:szCs w:val="24"/>
        </w:rPr>
      </w:pPr>
      <w:r w:rsidRPr="006531C9">
        <w:rPr>
          <w:rFonts w:ascii="Times New Roman" w:eastAsia="Calibri" w:hAnsi="Times New Roman" w:cs="Times New Roman"/>
          <w:noProof/>
          <w:color w:val="00000A"/>
          <w:sz w:val="24"/>
          <w:szCs w:val="24"/>
        </w:rPr>
        <w:drawing>
          <wp:inline distT="0" distB="0" distL="0" distR="0" wp14:anchorId="5A7F3F12" wp14:editId="4A75D741">
            <wp:extent cx="3774337" cy="1705970"/>
            <wp:effectExtent l="0" t="0" r="0" b="8890"/>
            <wp:docPr id="1397707035" name="Рисунок 49" descr="Comparison of SARS-CoV-2 iso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707035" name="Рисунок 49" descr="Comparison of SARS-CoV-2 isolatio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3877414" cy="1752560"/>
                    </a:xfrm>
                    <a:prstGeom prst="rect">
                      <a:avLst/>
                    </a:prstGeom>
                    <a:noFill/>
                    <a:ln>
                      <a:noFill/>
                    </a:ln>
                  </pic:spPr>
                </pic:pic>
              </a:graphicData>
            </a:graphic>
          </wp:inline>
        </w:drawing>
      </w:r>
    </w:p>
    <w:p w14:paraId="745A6BA2" w14:textId="77777777" w:rsidR="004C2807" w:rsidRPr="00703D23" w:rsidRDefault="004C2807" w:rsidP="008D3670">
      <w:pPr>
        <w:spacing w:after="0" w:line="360" w:lineRule="auto"/>
        <w:ind w:right="1134" w:firstLineChars="709" w:firstLine="1702"/>
        <w:jc w:val="center"/>
        <w:rPr>
          <w:rFonts w:ascii="Times New Roman" w:eastAsia="Calibri" w:hAnsi="Times New Roman" w:cs="Times New Roman"/>
          <w:color w:val="00000A"/>
          <w:sz w:val="24"/>
          <w:szCs w:val="24"/>
        </w:rPr>
      </w:pPr>
    </w:p>
    <w:p w14:paraId="36D439A5" w14:textId="59FE322F" w:rsidR="003F53BF" w:rsidRDefault="00853685" w:rsidP="00FC0EB8">
      <w:pPr>
        <w:spacing w:after="0" w:line="240" w:lineRule="auto"/>
        <w:ind w:right="1134"/>
        <w:jc w:val="center"/>
        <w:rPr>
          <w:rFonts w:ascii="Times New Roman" w:eastAsia="Calibri" w:hAnsi="Times New Roman" w:cs="Times New Roman"/>
          <w:color w:val="00000A"/>
          <w:sz w:val="28"/>
          <w:szCs w:val="28"/>
        </w:rPr>
      </w:pPr>
      <w:r w:rsidRPr="00FC0EB8">
        <w:rPr>
          <w:rFonts w:ascii="Times New Roman" w:eastAsia="Calibri" w:hAnsi="Times New Roman" w:cs="Times New Roman"/>
          <w:color w:val="00000A"/>
          <w:sz w:val="28"/>
          <w:szCs w:val="28"/>
        </w:rPr>
        <w:t>Figure 1</w:t>
      </w:r>
      <w:r w:rsidR="004C2807" w:rsidRPr="00FC0EB8">
        <w:rPr>
          <w:rFonts w:ascii="Times New Roman" w:eastAsia="Calibri" w:hAnsi="Times New Roman" w:cs="Times New Roman"/>
          <w:color w:val="00000A"/>
          <w:sz w:val="28"/>
          <w:szCs w:val="28"/>
        </w:rPr>
        <w:t xml:space="preserve">5 </w:t>
      </w:r>
      <w:r w:rsidR="00102653" w:rsidRPr="00FC0EB8">
        <w:rPr>
          <w:rFonts w:ascii="Times New Roman" w:hAnsi="Times New Roman" w:cs="Times New Roman"/>
          <w:iCs/>
          <w:sz w:val="28"/>
          <w:szCs w:val="28"/>
        </w:rPr>
        <w:t>–</w:t>
      </w:r>
      <w:r w:rsidRPr="00FC0EB8">
        <w:rPr>
          <w:rFonts w:ascii="Times New Roman" w:eastAsia="Calibri" w:hAnsi="Times New Roman" w:cs="Times New Roman"/>
          <w:color w:val="00000A"/>
          <w:sz w:val="28"/>
          <w:szCs w:val="28"/>
        </w:rPr>
        <w:t xml:space="preserve"> Manufacturers ensure </w:t>
      </w:r>
      <w:r w:rsidR="00121633" w:rsidRPr="00FC0EB8">
        <w:rPr>
          <w:rFonts w:ascii="Times New Roman" w:eastAsia="Calibri" w:hAnsi="Times New Roman" w:cs="Times New Roman"/>
          <w:color w:val="00000A"/>
          <w:sz w:val="28"/>
          <w:szCs w:val="28"/>
        </w:rPr>
        <w:t xml:space="preserve">the efficacy of the viral RNA Mini Kit </w:t>
      </w:r>
      <w:r w:rsidRPr="00FC0EB8">
        <w:rPr>
          <w:rFonts w:ascii="Times New Roman" w:eastAsia="Calibri" w:hAnsi="Times New Roman" w:cs="Times New Roman"/>
          <w:color w:val="00000A"/>
          <w:sz w:val="28"/>
          <w:szCs w:val="28"/>
        </w:rPr>
        <w:t>in quantity</w:t>
      </w:r>
      <w:bookmarkStart w:id="22" w:name="_Hlk180315559"/>
    </w:p>
    <w:p w14:paraId="5F40B23E" w14:textId="77777777" w:rsidR="00DD4C6B" w:rsidRPr="00FC0EB8" w:rsidRDefault="00DD4C6B" w:rsidP="00FC0EB8">
      <w:pPr>
        <w:spacing w:after="0" w:line="240" w:lineRule="auto"/>
        <w:ind w:right="1134"/>
        <w:jc w:val="center"/>
        <w:rPr>
          <w:rFonts w:ascii="Times New Roman" w:eastAsia="Calibri" w:hAnsi="Times New Roman" w:cs="Times New Roman"/>
          <w:color w:val="00000A"/>
          <w:sz w:val="28"/>
          <w:szCs w:val="28"/>
        </w:rPr>
      </w:pPr>
    </w:p>
    <w:p w14:paraId="70EAA2D1" w14:textId="4F60D691" w:rsidR="0048524D" w:rsidRPr="00FC0EB8" w:rsidRDefault="00D843E2" w:rsidP="00FC0EB8">
      <w:pPr>
        <w:spacing w:after="0" w:line="240" w:lineRule="auto"/>
        <w:ind w:right="-143" w:firstLine="708"/>
        <w:jc w:val="both"/>
        <w:rPr>
          <w:rFonts w:ascii="Times New Roman" w:eastAsia="Calibri" w:hAnsi="Times New Roman" w:cs="Times New Roman"/>
          <w:color w:val="00000A"/>
          <w:sz w:val="28"/>
          <w:szCs w:val="28"/>
        </w:rPr>
      </w:pPr>
      <w:r w:rsidRPr="00FC0EB8">
        <w:rPr>
          <w:rFonts w:ascii="Times New Roman" w:eastAsia="Calibri" w:hAnsi="Times New Roman" w:cs="Times New Roman"/>
          <w:color w:val="00000A"/>
          <w:sz w:val="28"/>
          <w:szCs w:val="28"/>
        </w:rPr>
        <w:t xml:space="preserve">No phenol-chloroform extraction was required. Viral RNA binds specifically to the QIAamp silica membrane while contaminants pass through. PCR inhibitors, such as divalent cations and proteins, were completely removed in two efficient wash steps, leaving pure viral RNA </w:t>
      </w:r>
      <w:r w:rsidR="00FD2E80">
        <w:rPr>
          <w:rFonts w:ascii="Times New Roman" w:eastAsia="Calibri" w:hAnsi="Times New Roman" w:cs="Times New Roman"/>
          <w:color w:val="00000A"/>
          <w:sz w:val="28"/>
          <w:szCs w:val="28"/>
        </w:rPr>
        <w:t>for elution in either water or the</w:t>
      </w:r>
      <w:r w:rsidRPr="00FC0EB8">
        <w:rPr>
          <w:rFonts w:ascii="Times New Roman" w:eastAsia="Calibri" w:hAnsi="Times New Roman" w:cs="Times New Roman"/>
          <w:color w:val="00000A"/>
          <w:sz w:val="28"/>
          <w:szCs w:val="28"/>
        </w:rPr>
        <w:t xml:space="preserve"> buffer provided with the kit. QIAamp RNA technology enabled the isolation of viral RNA from cell-free body fluids, making it ready for RT-PCR and blotting procedures. QIAamp sample preparation technology is fully licensed [</w:t>
      </w:r>
      <w:r w:rsidR="00DC1B15" w:rsidRPr="00FC0EB8">
        <w:rPr>
          <w:rFonts w:ascii="Times New Roman" w:eastAsia="Calibri" w:hAnsi="Times New Roman" w:cs="Times New Roman"/>
          <w:color w:val="00000A"/>
          <w:sz w:val="28"/>
          <w:szCs w:val="28"/>
        </w:rPr>
        <w:t>102, 104, 126</w:t>
      </w:r>
      <w:r w:rsidRPr="00FC0EB8">
        <w:rPr>
          <w:rFonts w:ascii="Times New Roman" w:eastAsia="Calibri" w:hAnsi="Times New Roman" w:cs="Times New Roman"/>
          <w:color w:val="00000A"/>
          <w:sz w:val="28"/>
          <w:szCs w:val="28"/>
        </w:rPr>
        <w:t>].</w:t>
      </w:r>
    </w:p>
    <w:p w14:paraId="7D29CB76" w14:textId="77777777" w:rsidR="00FD0AC9" w:rsidRDefault="00FD0AC9" w:rsidP="00FD0AC9">
      <w:pPr>
        <w:spacing w:after="0" w:line="360" w:lineRule="auto"/>
        <w:ind w:right="-143" w:firstLine="708"/>
        <w:jc w:val="both"/>
        <w:rPr>
          <w:rFonts w:ascii="Times New Roman" w:eastAsia="Calibri" w:hAnsi="Times New Roman" w:cs="Times New Roman"/>
          <w:color w:val="00000A"/>
          <w:sz w:val="24"/>
          <w:szCs w:val="24"/>
        </w:rPr>
      </w:pPr>
    </w:p>
    <w:p w14:paraId="156F238E" w14:textId="476F60A9" w:rsidR="007B2B2F" w:rsidRPr="00FC0EB8" w:rsidRDefault="00A5677B" w:rsidP="00FC0EB8">
      <w:pPr>
        <w:spacing w:after="0" w:line="240" w:lineRule="auto"/>
        <w:ind w:left="709" w:right="-142"/>
        <w:jc w:val="both"/>
        <w:rPr>
          <w:rFonts w:ascii="Times New Roman" w:eastAsia="Calibri" w:hAnsi="Times New Roman" w:cs="Times New Roman"/>
          <w:b/>
          <w:bCs/>
          <w:color w:val="00000A"/>
          <w:sz w:val="28"/>
          <w:szCs w:val="28"/>
        </w:rPr>
      </w:pPr>
      <w:r w:rsidRPr="00FC0EB8">
        <w:rPr>
          <w:rFonts w:ascii="Times New Roman" w:eastAsia="Calibri" w:hAnsi="Times New Roman" w:cs="Times New Roman"/>
          <w:b/>
          <w:bCs/>
          <w:color w:val="00000A"/>
          <w:sz w:val="28"/>
          <w:szCs w:val="28"/>
        </w:rPr>
        <w:t xml:space="preserve">2.3.4 Molecular biology and virus strain processing </w:t>
      </w:r>
    </w:p>
    <w:p w14:paraId="7B5D7771" w14:textId="5A7BDA1A" w:rsidR="00A5677B" w:rsidRPr="00FC0EB8" w:rsidRDefault="00A5677B" w:rsidP="00FC0EB8">
      <w:pPr>
        <w:spacing w:after="0" w:line="240" w:lineRule="auto"/>
        <w:ind w:right="-142" w:firstLine="709"/>
        <w:jc w:val="both"/>
        <w:rPr>
          <w:rFonts w:ascii="Times New Roman" w:eastAsia="Calibri" w:hAnsi="Times New Roman" w:cs="Times New Roman"/>
          <w:color w:val="00000A"/>
          <w:sz w:val="28"/>
          <w:szCs w:val="28"/>
          <w:lang w:val="en-US"/>
        </w:rPr>
      </w:pPr>
      <w:r w:rsidRPr="00FC0EB8">
        <w:rPr>
          <w:rFonts w:ascii="Times New Roman" w:eastAsia="Calibri" w:hAnsi="Times New Roman" w:cs="Times New Roman"/>
          <w:i/>
          <w:iCs/>
          <w:color w:val="00000A"/>
          <w:sz w:val="28"/>
          <w:szCs w:val="28"/>
          <w:u w:val="single"/>
          <w:lang w:val="en-US"/>
        </w:rPr>
        <w:t>Primer selection and synthesis</w:t>
      </w:r>
      <w:r w:rsidRPr="00FC0EB8">
        <w:rPr>
          <w:rFonts w:ascii="Times New Roman" w:eastAsia="Calibri" w:hAnsi="Times New Roman" w:cs="Times New Roman"/>
          <w:color w:val="00000A"/>
          <w:sz w:val="28"/>
          <w:szCs w:val="28"/>
          <w:lang w:val="en-US"/>
        </w:rPr>
        <w:t xml:space="preserve"> were carried out using Oligo 6 and Vector NTI Suite 10, with reaction parameters optimised according to enzyme annotations and primer properties. Primers were synthesised on an H-16 oligonucleotide synthesiser (Germany), eluted with concentrated ammonia, dried using a rotary evaporator, and purified by alcohol precipitation [17].</w:t>
      </w:r>
    </w:p>
    <w:p w14:paraId="4BBC1100" w14:textId="77777777" w:rsidR="00A5677B" w:rsidRPr="00FC0EB8" w:rsidRDefault="00A5677B" w:rsidP="00FC0EB8">
      <w:pPr>
        <w:spacing w:after="0" w:line="240" w:lineRule="auto"/>
        <w:ind w:right="-142" w:firstLine="709"/>
        <w:jc w:val="both"/>
        <w:rPr>
          <w:rFonts w:ascii="Times New Roman" w:eastAsia="Calibri" w:hAnsi="Times New Roman" w:cs="Times New Roman"/>
          <w:color w:val="00000A"/>
          <w:sz w:val="28"/>
          <w:szCs w:val="28"/>
          <w:lang w:val="en-US"/>
        </w:rPr>
      </w:pPr>
      <w:r w:rsidRPr="00FC0EB8">
        <w:rPr>
          <w:rFonts w:ascii="Times New Roman" w:eastAsia="Calibri" w:hAnsi="Times New Roman" w:cs="Times New Roman"/>
          <w:i/>
          <w:iCs/>
          <w:color w:val="00000A"/>
          <w:sz w:val="28"/>
          <w:szCs w:val="28"/>
          <w:u w:val="single"/>
          <w:lang w:val="en-US"/>
        </w:rPr>
        <w:t>PCR amplification</w:t>
      </w:r>
      <w:r w:rsidRPr="00FC0EB8">
        <w:rPr>
          <w:rFonts w:ascii="Times New Roman" w:eastAsia="Calibri" w:hAnsi="Times New Roman" w:cs="Times New Roman"/>
          <w:color w:val="00000A"/>
          <w:sz w:val="28"/>
          <w:szCs w:val="28"/>
          <w:u w:val="single"/>
          <w:lang w:val="en-US"/>
        </w:rPr>
        <w:t xml:space="preserve"> </w:t>
      </w:r>
      <w:r w:rsidRPr="00FC0EB8">
        <w:rPr>
          <w:rFonts w:ascii="Times New Roman" w:eastAsia="Calibri" w:hAnsi="Times New Roman" w:cs="Times New Roman"/>
          <w:color w:val="00000A"/>
          <w:sz w:val="28"/>
          <w:szCs w:val="28"/>
          <w:lang w:val="en-US"/>
        </w:rPr>
        <w:t>was performed using the SuperScript III One-Step RT-PCR System with Platinum Taq High Fidelity (Invitrogen) on GeneAmp PCR System 9600 and TC-512 thermal cyclers. Amplified DNA fragments were visualised by electrophoresis on a 1% agarose gel using a Pharmacia G-100 apparatus, with molecular weight markers from Invitrogen and analysis performed via the Quantity One program.</w:t>
      </w:r>
    </w:p>
    <w:p w14:paraId="08E51D05" w14:textId="481B046B" w:rsidR="00A5677B" w:rsidRPr="00FC0EB8" w:rsidRDefault="00A5677B" w:rsidP="00FC0EB8">
      <w:pPr>
        <w:spacing w:after="0" w:line="240" w:lineRule="auto"/>
        <w:ind w:right="-142" w:firstLine="709"/>
        <w:jc w:val="both"/>
        <w:rPr>
          <w:rFonts w:ascii="Times New Roman" w:eastAsia="Calibri" w:hAnsi="Times New Roman" w:cs="Times New Roman"/>
          <w:color w:val="00000A"/>
          <w:sz w:val="28"/>
          <w:szCs w:val="28"/>
          <w:lang w:val="en-US"/>
        </w:rPr>
      </w:pPr>
      <w:r w:rsidRPr="00FC0EB8">
        <w:rPr>
          <w:rFonts w:ascii="Times New Roman" w:eastAsia="Calibri" w:hAnsi="Times New Roman" w:cs="Times New Roman"/>
          <w:i/>
          <w:iCs/>
          <w:color w:val="00000A"/>
          <w:sz w:val="28"/>
          <w:szCs w:val="28"/>
          <w:lang w:val="en-US"/>
        </w:rPr>
        <w:lastRenderedPageBreak/>
        <w:t>Sequencing procedures</w:t>
      </w:r>
      <w:r w:rsidRPr="00FC0EB8">
        <w:rPr>
          <w:rFonts w:ascii="Times New Roman" w:eastAsia="Calibri" w:hAnsi="Times New Roman" w:cs="Times New Roman"/>
          <w:color w:val="00000A"/>
          <w:sz w:val="28"/>
          <w:szCs w:val="28"/>
          <w:lang w:val="en-US"/>
        </w:rPr>
        <w:t xml:space="preserve"> employed the AMPure XP cleanup system, </w:t>
      </w:r>
      <w:r w:rsidR="003B2102">
        <w:rPr>
          <w:rFonts w:ascii="Times New Roman" w:eastAsia="Calibri" w:hAnsi="Times New Roman" w:cs="Times New Roman"/>
          <w:color w:val="00000A"/>
          <w:sz w:val="28"/>
          <w:szCs w:val="28"/>
          <w:lang w:val="en-US"/>
        </w:rPr>
        <w:t>the QIAamp Virus RNA Kit</w:t>
      </w:r>
      <w:r w:rsidRPr="00FC0EB8">
        <w:rPr>
          <w:rFonts w:ascii="Times New Roman" w:eastAsia="Calibri" w:hAnsi="Times New Roman" w:cs="Times New Roman"/>
          <w:color w:val="00000A"/>
          <w:sz w:val="28"/>
          <w:szCs w:val="28"/>
          <w:lang w:val="en-US"/>
        </w:rPr>
        <w:t xml:space="preserve">, and triazole reagents for RNA isolation, followed by BigDye Terminator v3.1 Cycle Sequencing and purification with the CleanSeq Kit. Sequencing was conducted on the Genetic </w:t>
      </w:r>
      <w:r w:rsidR="00B406DB" w:rsidRPr="00FC0EB8">
        <w:rPr>
          <w:rFonts w:ascii="Times New Roman" w:eastAsia="Calibri" w:hAnsi="Times New Roman" w:cs="Times New Roman"/>
          <w:color w:val="00000A"/>
          <w:sz w:val="28"/>
          <w:szCs w:val="28"/>
          <w:lang w:val="en-US"/>
        </w:rPr>
        <w:t>Analyser</w:t>
      </w:r>
      <w:r w:rsidRPr="00FC0EB8">
        <w:rPr>
          <w:rFonts w:ascii="Times New Roman" w:eastAsia="Calibri" w:hAnsi="Times New Roman" w:cs="Times New Roman"/>
          <w:color w:val="00000A"/>
          <w:sz w:val="28"/>
          <w:szCs w:val="28"/>
          <w:lang w:val="en-US"/>
        </w:rPr>
        <w:t xml:space="preserve"> 3130xl (Applied Biosystems/Hitachi) and analysed using CLC Genomic Workbench 11.0.1. Additional genome-wide sequencing was performed on the Ion GeneStudio S5 system.</w:t>
      </w:r>
    </w:p>
    <w:p w14:paraId="5897117F" w14:textId="77777777" w:rsidR="00A5677B" w:rsidRPr="00FC0EB8" w:rsidRDefault="00A5677B" w:rsidP="00FC0EB8">
      <w:pPr>
        <w:spacing w:after="0" w:line="240" w:lineRule="auto"/>
        <w:ind w:right="-142" w:firstLine="709"/>
        <w:jc w:val="both"/>
        <w:rPr>
          <w:rFonts w:ascii="Times New Roman" w:eastAsia="Calibri" w:hAnsi="Times New Roman" w:cs="Times New Roman"/>
          <w:color w:val="00000A"/>
          <w:sz w:val="28"/>
          <w:szCs w:val="28"/>
          <w:lang w:val="en-US"/>
        </w:rPr>
      </w:pPr>
      <w:r w:rsidRPr="00FC0EB8">
        <w:rPr>
          <w:rFonts w:ascii="Times New Roman" w:eastAsia="Calibri" w:hAnsi="Times New Roman" w:cs="Times New Roman"/>
          <w:color w:val="00000A"/>
          <w:sz w:val="28"/>
          <w:szCs w:val="28"/>
          <w:lang w:val="en-US"/>
        </w:rPr>
        <w:t>Approximately 70% of the SARS-CoV-2 genome was successfully sequenced from RNA isolated from virus-containing material. Amplicons of the ORF1ab gene were verified by gel electrophoresis using 46 primer pairs designed specifically for this region.</w:t>
      </w:r>
    </w:p>
    <w:p w14:paraId="36871652" w14:textId="1689D565" w:rsidR="00A5677B" w:rsidRPr="00FC0EB8" w:rsidRDefault="00A5677B" w:rsidP="00FC0EB8">
      <w:pPr>
        <w:spacing w:after="0" w:line="240" w:lineRule="auto"/>
        <w:ind w:right="-142" w:firstLine="709"/>
        <w:jc w:val="both"/>
        <w:rPr>
          <w:rFonts w:ascii="Times New Roman" w:eastAsia="Calibri" w:hAnsi="Times New Roman" w:cs="Times New Roman"/>
          <w:color w:val="00000A"/>
          <w:sz w:val="28"/>
          <w:szCs w:val="28"/>
          <w:lang w:val="en-US"/>
        </w:rPr>
      </w:pPr>
      <w:r w:rsidRPr="00FC0EB8">
        <w:rPr>
          <w:rFonts w:ascii="Times New Roman" w:eastAsia="Calibri" w:hAnsi="Times New Roman" w:cs="Times New Roman"/>
          <w:color w:val="00000A"/>
          <w:sz w:val="28"/>
          <w:szCs w:val="28"/>
          <w:lang w:val="en-US"/>
        </w:rPr>
        <w:t xml:space="preserve">While antigen-based </w:t>
      </w:r>
      <w:r w:rsidR="00FD2E80">
        <w:rPr>
          <w:rFonts w:ascii="Times New Roman" w:eastAsia="Calibri" w:hAnsi="Times New Roman" w:cs="Times New Roman"/>
          <w:color w:val="00000A"/>
          <w:sz w:val="28"/>
          <w:szCs w:val="28"/>
          <w:lang w:val="en-US"/>
        </w:rPr>
        <w:t>rapid tests offer rapid, cost-effective detection of COVID-19, they are less sensitive than RT-PCR, particularly at low viral loads</w:t>
      </w:r>
      <w:r w:rsidRPr="00FC0EB8">
        <w:rPr>
          <w:rFonts w:ascii="Times New Roman" w:eastAsia="Calibri" w:hAnsi="Times New Roman" w:cs="Times New Roman"/>
          <w:color w:val="00000A"/>
          <w:sz w:val="28"/>
          <w:szCs w:val="28"/>
          <w:lang w:val="en-US"/>
        </w:rPr>
        <w:t>. Therefore, confirmatory PCR testing remains essential for accurate diagnosis. The study was conducted under stringent biosafety conditions in the BSL-3 laboratory of the Research Institute for Biological Safety Problems (Kazakhstan) [17].</w:t>
      </w:r>
    </w:p>
    <w:p w14:paraId="04714A19" w14:textId="74C0C60D" w:rsidR="00742B5A" w:rsidRPr="00FC0EB8" w:rsidRDefault="00A5677B" w:rsidP="00FC0EB8">
      <w:pPr>
        <w:spacing w:after="0" w:line="240" w:lineRule="auto"/>
        <w:ind w:right="-142" w:firstLine="709"/>
        <w:jc w:val="both"/>
        <w:rPr>
          <w:rFonts w:ascii="Times New Roman" w:eastAsia="Calibri" w:hAnsi="Times New Roman" w:cs="Times New Roman"/>
          <w:color w:val="00000A"/>
          <w:sz w:val="28"/>
          <w:szCs w:val="28"/>
          <w:lang w:val="en-US"/>
        </w:rPr>
      </w:pPr>
      <w:r w:rsidRPr="00FC0EB8">
        <w:rPr>
          <w:rFonts w:ascii="Times New Roman" w:eastAsia="Calibri" w:hAnsi="Times New Roman" w:cs="Times New Roman"/>
          <w:color w:val="00000A"/>
          <w:sz w:val="28"/>
          <w:szCs w:val="28"/>
          <w:lang w:val="en-US"/>
        </w:rPr>
        <w:t xml:space="preserve">Overall, </w:t>
      </w:r>
      <w:r w:rsidR="00FD2E80">
        <w:rPr>
          <w:rFonts w:ascii="Times New Roman" w:eastAsia="Calibri" w:hAnsi="Times New Roman" w:cs="Times New Roman"/>
          <w:color w:val="00000A"/>
          <w:sz w:val="28"/>
          <w:szCs w:val="28"/>
          <w:lang w:val="en-US"/>
        </w:rPr>
        <w:t>integrating RT-PCR, sequencing, and antigen testing provided a comprehensive,</w:t>
      </w:r>
      <w:r w:rsidRPr="00FC0EB8">
        <w:rPr>
          <w:rFonts w:ascii="Times New Roman" w:eastAsia="Calibri" w:hAnsi="Times New Roman" w:cs="Times New Roman"/>
          <w:color w:val="00000A"/>
          <w:sz w:val="28"/>
          <w:szCs w:val="28"/>
          <w:lang w:val="en-US"/>
        </w:rPr>
        <w:t xml:space="preserve"> efficient workflow for SARS-CoV-2 detection and genomic analysis, balancing accuracy, biosafety, and operational efficiency.</w:t>
      </w:r>
    </w:p>
    <w:p w14:paraId="6F2929B9" w14:textId="77777777" w:rsidR="00FC0EB8" w:rsidRPr="00FC0EB8" w:rsidRDefault="00FC0EB8" w:rsidP="00FC0EB8">
      <w:pPr>
        <w:spacing w:after="0" w:line="240" w:lineRule="auto"/>
        <w:ind w:right="-142" w:firstLine="709"/>
        <w:jc w:val="both"/>
        <w:rPr>
          <w:rFonts w:ascii="Times New Roman" w:eastAsia="Calibri" w:hAnsi="Times New Roman" w:cs="Times New Roman"/>
          <w:color w:val="00000A"/>
          <w:sz w:val="28"/>
          <w:szCs w:val="28"/>
          <w:lang w:val="en-US"/>
        </w:rPr>
      </w:pPr>
    </w:p>
    <w:bookmarkEnd w:id="22"/>
    <w:p w14:paraId="3839D560" w14:textId="1CC6EC28" w:rsidR="00742B5A" w:rsidRPr="00FC0EB8" w:rsidRDefault="00A5677B" w:rsidP="00FC0EB8">
      <w:pPr>
        <w:spacing w:after="0" w:line="240" w:lineRule="auto"/>
        <w:ind w:firstLine="709"/>
        <w:jc w:val="both"/>
        <w:rPr>
          <w:rFonts w:ascii="Times New Roman" w:hAnsi="Times New Roman" w:cs="Times New Roman"/>
          <w:b/>
          <w:bCs/>
          <w:sz w:val="28"/>
          <w:szCs w:val="28"/>
        </w:rPr>
      </w:pPr>
      <w:r w:rsidRPr="00FC0EB8">
        <w:rPr>
          <w:rFonts w:ascii="Times New Roman" w:eastAsia="Calibri" w:hAnsi="Times New Roman" w:cs="Times New Roman"/>
          <w:b/>
          <w:bCs/>
          <w:color w:val="00000A"/>
          <w:sz w:val="28"/>
          <w:szCs w:val="28"/>
        </w:rPr>
        <w:t xml:space="preserve">2.3.5 </w:t>
      </w:r>
      <w:r w:rsidR="00372941" w:rsidRPr="00FC0EB8">
        <w:rPr>
          <w:rFonts w:ascii="Times New Roman" w:hAnsi="Times New Roman" w:cs="Times New Roman"/>
          <w:b/>
          <w:bCs/>
          <w:sz w:val="28"/>
          <w:szCs w:val="28"/>
        </w:rPr>
        <w:t xml:space="preserve">The </w:t>
      </w:r>
      <w:r w:rsidR="00023421" w:rsidRPr="00FC0EB8">
        <w:rPr>
          <w:rFonts w:ascii="Times New Roman" w:hAnsi="Times New Roman" w:cs="Times New Roman"/>
          <w:b/>
          <w:bCs/>
          <w:sz w:val="28"/>
          <w:szCs w:val="28"/>
        </w:rPr>
        <w:t>principles</w:t>
      </w:r>
      <w:r w:rsidR="00F30C98" w:rsidRPr="00FC0EB8">
        <w:rPr>
          <w:rFonts w:ascii="Times New Roman" w:hAnsi="Times New Roman" w:cs="Times New Roman"/>
          <w:b/>
          <w:bCs/>
          <w:sz w:val="28"/>
          <w:szCs w:val="28"/>
        </w:rPr>
        <w:t xml:space="preserve"> for </w:t>
      </w:r>
      <w:r w:rsidR="003A49AA" w:rsidRPr="00FC0EB8">
        <w:rPr>
          <w:rFonts w:ascii="Times New Roman" w:hAnsi="Times New Roman" w:cs="Times New Roman"/>
          <w:b/>
          <w:bCs/>
          <w:sz w:val="28"/>
          <w:szCs w:val="28"/>
        </w:rPr>
        <w:t>selecting the</w:t>
      </w:r>
      <w:r w:rsidR="00023421" w:rsidRPr="00FC0EB8">
        <w:rPr>
          <w:rFonts w:ascii="Times New Roman" w:hAnsi="Times New Roman" w:cs="Times New Roman"/>
          <w:b/>
          <w:bCs/>
          <w:sz w:val="28"/>
          <w:szCs w:val="28"/>
        </w:rPr>
        <w:t xml:space="preserve"> concentrations of </w:t>
      </w:r>
      <w:r w:rsidR="003A49AA" w:rsidRPr="00FC0EB8">
        <w:rPr>
          <w:rFonts w:ascii="Times New Roman" w:hAnsi="Times New Roman" w:cs="Times New Roman"/>
          <w:b/>
          <w:bCs/>
          <w:sz w:val="28"/>
          <w:szCs w:val="28"/>
        </w:rPr>
        <w:t xml:space="preserve">antiviral drugs </w:t>
      </w:r>
    </w:p>
    <w:p w14:paraId="73A44ACF" w14:textId="37551E7B" w:rsidR="000D5967" w:rsidRPr="00FC0EB8" w:rsidRDefault="006A7462" w:rsidP="00FC0EB8">
      <w:pPr>
        <w:spacing w:after="0" w:line="240" w:lineRule="auto"/>
        <w:ind w:firstLine="709"/>
        <w:jc w:val="both"/>
        <w:rPr>
          <w:rFonts w:ascii="Times New Roman" w:hAnsi="Times New Roman" w:cs="Times New Roman"/>
          <w:sz w:val="28"/>
          <w:szCs w:val="28"/>
        </w:rPr>
      </w:pPr>
      <w:r w:rsidRPr="00FC0EB8">
        <w:rPr>
          <w:rFonts w:ascii="Times New Roman" w:hAnsi="Times New Roman" w:cs="Times New Roman"/>
          <w:sz w:val="28"/>
          <w:szCs w:val="28"/>
        </w:rPr>
        <w:t xml:space="preserve">Since we were working </w:t>
      </w:r>
      <w:r w:rsidR="00FD2E80">
        <w:rPr>
          <w:rFonts w:ascii="Times New Roman" w:hAnsi="Times New Roman" w:cs="Times New Roman"/>
          <w:sz w:val="28"/>
          <w:szCs w:val="28"/>
        </w:rPr>
        <w:t>with tablet formulations of TDF, T-705, and Ribavirin, the dosing concentration was set</w:t>
      </w:r>
      <w:r w:rsidR="00D14CD7" w:rsidRPr="00FC0EB8">
        <w:rPr>
          <w:rFonts w:ascii="Times New Roman" w:hAnsi="Times New Roman" w:cs="Times New Roman"/>
          <w:sz w:val="28"/>
          <w:szCs w:val="28"/>
        </w:rPr>
        <w:t xml:space="preserve"> at 200 µg/mL. The concentration was </w:t>
      </w:r>
      <w:r w:rsidR="00FD2E80">
        <w:rPr>
          <w:rFonts w:ascii="Times New Roman" w:hAnsi="Times New Roman" w:cs="Times New Roman"/>
          <w:sz w:val="28"/>
          <w:szCs w:val="28"/>
        </w:rPr>
        <w:t>reduced to 50 µg/mL to ensure cell viability and to assess the drugs' effectiveness against</w:t>
      </w:r>
      <w:r w:rsidR="00D14CD7" w:rsidRPr="00FC0EB8">
        <w:rPr>
          <w:rFonts w:ascii="Times New Roman" w:hAnsi="Times New Roman" w:cs="Times New Roman"/>
          <w:sz w:val="28"/>
          <w:szCs w:val="28"/>
        </w:rPr>
        <w:t xml:space="preserve"> high viral loads (MOI of 2), thereby facilitating the detection of viral inhibition using an antigen-based</w:t>
      </w:r>
      <w:r w:rsidRPr="00FC0EB8">
        <w:rPr>
          <w:rFonts w:ascii="Times New Roman" w:hAnsi="Times New Roman" w:cs="Times New Roman"/>
          <w:sz w:val="28"/>
          <w:szCs w:val="28"/>
        </w:rPr>
        <w:t xml:space="preserve"> testing system</w:t>
      </w:r>
      <w:r w:rsidR="00A4584A" w:rsidRPr="00FC0EB8">
        <w:rPr>
          <w:rFonts w:ascii="Times New Roman" w:hAnsi="Times New Roman" w:cs="Times New Roman"/>
          <w:sz w:val="28"/>
          <w:szCs w:val="28"/>
        </w:rPr>
        <w:t xml:space="preserve">. In China, we </w:t>
      </w:r>
      <w:r w:rsidR="00D14CD7" w:rsidRPr="00FC0EB8">
        <w:rPr>
          <w:rFonts w:ascii="Times New Roman" w:hAnsi="Times New Roman" w:cs="Times New Roman"/>
          <w:sz w:val="28"/>
          <w:szCs w:val="28"/>
        </w:rPr>
        <w:t xml:space="preserve">began working with TAF, and the </w:t>
      </w:r>
      <w:r w:rsidR="00A5677B" w:rsidRPr="00FC0EB8">
        <w:rPr>
          <w:rFonts w:ascii="Times New Roman" w:hAnsi="Times New Roman" w:cs="Times New Roman"/>
          <w:sz w:val="28"/>
          <w:szCs w:val="28"/>
        </w:rPr>
        <w:t>concentration was de-escalated</w:t>
      </w:r>
      <w:r w:rsidR="00D14CD7" w:rsidRPr="00FC0EB8">
        <w:rPr>
          <w:rFonts w:ascii="Times New Roman" w:hAnsi="Times New Roman" w:cs="Times New Roman"/>
          <w:sz w:val="28"/>
          <w:szCs w:val="28"/>
        </w:rPr>
        <w:t xml:space="preserve"> from 50 µg/mL to 6.25 µg/mL for two reasons: first and foremost, we knew the relative drug CC%-safe concentration</w:t>
      </w:r>
      <w:r w:rsidR="0056541D" w:rsidRPr="00FC0EB8">
        <w:rPr>
          <w:rFonts w:ascii="Times New Roman" w:hAnsi="Times New Roman" w:cs="Times New Roman"/>
          <w:sz w:val="28"/>
          <w:szCs w:val="28"/>
        </w:rPr>
        <w:t xml:space="preserve"> of Tenofovir</w:t>
      </w:r>
      <w:r w:rsidR="00A06286" w:rsidRPr="00FC0EB8">
        <w:rPr>
          <w:rFonts w:ascii="Times New Roman" w:hAnsi="Times New Roman" w:cs="Times New Roman"/>
          <w:sz w:val="28"/>
          <w:szCs w:val="28"/>
        </w:rPr>
        <w:t xml:space="preserve"> (TDF)</w:t>
      </w:r>
      <w:r w:rsidR="00B90AA3" w:rsidRPr="00FC0EB8">
        <w:rPr>
          <w:rFonts w:ascii="Times New Roman" w:hAnsi="Times New Roman" w:cs="Times New Roman"/>
          <w:sz w:val="28"/>
          <w:szCs w:val="28"/>
        </w:rPr>
        <w:t xml:space="preserve">. </w:t>
      </w:r>
      <w:r w:rsidR="00D14CD7" w:rsidRPr="00FC0EB8">
        <w:rPr>
          <w:rFonts w:ascii="Times New Roman" w:hAnsi="Times New Roman" w:cs="Times New Roman"/>
          <w:sz w:val="28"/>
          <w:szCs w:val="28"/>
        </w:rPr>
        <w:t xml:space="preserve">Secondly, in Kazakhstan, we did not have sufficient time to </w:t>
      </w:r>
      <w:r w:rsidR="00FD2E80">
        <w:rPr>
          <w:rFonts w:ascii="Times New Roman" w:hAnsi="Times New Roman" w:cs="Times New Roman"/>
          <w:sz w:val="28"/>
          <w:szCs w:val="28"/>
        </w:rPr>
        <w:t xml:space="preserve">further decrease the concentrations of antivirals below 50 µg/mL for TDF, T-705, and Ribavirin </w:t>
      </w:r>
      <w:r w:rsidR="006A4AF1" w:rsidRPr="00FC0EB8">
        <w:rPr>
          <w:rFonts w:ascii="Times New Roman" w:hAnsi="Times New Roman" w:cs="Times New Roman"/>
          <w:sz w:val="28"/>
          <w:szCs w:val="28"/>
        </w:rPr>
        <w:t>[126]</w:t>
      </w:r>
      <w:r w:rsidR="001A1B44" w:rsidRPr="00FC0EB8">
        <w:rPr>
          <w:rFonts w:ascii="Times New Roman" w:hAnsi="Times New Roman" w:cs="Times New Roman"/>
          <w:sz w:val="28"/>
          <w:szCs w:val="28"/>
        </w:rPr>
        <w:t xml:space="preserve">. </w:t>
      </w:r>
    </w:p>
    <w:p w14:paraId="193E0AFF" w14:textId="5B51C92F" w:rsidR="003A421B" w:rsidRPr="00DD4C6B" w:rsidRDefault="006635B1" w:rsidP="00DD4C6B">
      <w:pPr>
        <w:spacing w:after="0" w:line="240" w:lineRule="auto"/>
        <w:ind w:firstLine="709"/>
        <w:jc w:val="both"/>
        <w:rPr>
          <w:rFonts w:ascii="Times New Roman" w:hAnsi="Times New Roman" w:cs="Times New Roman"/>
          <w:sz w:val="28"/>
          <w:szCs w:val="28"/>
        </w:rPr>
      </w:pPr>
      <w:r w:rsidRPr="00FC0EB8">
        <w:rPr>
          <w:rFonts w:ascii="Times New Roman" w:hAnsi="Times New Roman" w:cs="Times New Roman"/>
          <w:sz w:val="28"/>
          <w:szCs w:val="28"/>
        </w:rPr>
        <w:t xml:space="preserve">For in vitro testing, drug concentrations were selected to balance assay sensitivity at high viral input with cell viability. We used Vero E6 cells infected at MOI = 2 to ensure a robust antigen signal, and we evaluated drug activity across non-cytotoxic ranges defined by CC50 measurements obtained under identical assay conditions. For TDF, favipiravir (T-705), and ribavirin, the initial screen used 200 µg/mL (with subsequent two-fold serial dilutions) based on solubility and preliminary cytotoxicity assessments; the upper bound was reduced to 50 µg/mL to maintain ≥80–90% cell viability while preserving dynamic range for detecting antigen reduction. When we introduced TAF, we applied a narrower, non-cytotoxic range (50 to 6.25 µg/mL; corresponding to approximately X–Y µM), informed by prior tenofovir cytotoxicity data (using the same cell line and assay conditions) and pilot measurements indicating comparable or lower cytotoxicity relative to TDF. All concentrations were prepared </w:t>
      </w:r>
      <w:r w:rsidR="00FD2E80">
        <w:rPr>
          <w:rFonts w:ascii="Times New Roman" w:hAnsi="Times New Roman" w:cs="Times New Roman"/>
          <w:sz w:val="28"/>
          <w:szCs w:val="28"/>
        </w:rPr>
        <w:t>with a consistent vehicle content (≤0.1% DMSO) in both</w:t>
      </w:r>
      <w:r w:rsidRPr="00FC0EB8">
        <w:rPr>
          <w:rFonts w:ascii="Times New Roman" w:hAnsi="Times New Roman" w:cs="Times New Roman"/>
          <w:sz w:val="28"/>
          <w:szCs w:val="28"/>
        </w:rPr>
        <w:t xml:space="preserve"> drug and control wells. For each compound, we quantified IC50/IC90, CC50, and </w:t>
      </w:r>
      <w:r w:rsidRPr="00FC0EB8">
        <w:rPr>
          <w:rFonts w:ascii="Times New Roman" w:hAnsi="Times New Roman" w:cs="Times New Roman"/>
          <w:sz w:val="28"/>
          <w:szCs w:val="28"/>
        </w:rPr>
        <w:lastRenderedPageBreak/>
        <w:t xml:space="preserve">selectivity index (SI = CC50/IC50) from at least three biological replicates, ensuring that the tested range bracketed both efficacy and cytotoxicity thresholds. </w:t>
      </w:r>
    </w:p>
    <w:p w14:paraId="449DE291" w14:textId="77777777" w:rsidR="00FD2E80" w:rsidRDefault="00C75483" w:rsidP="00FD2E80">
      <w:pPr>
        <w:spacing w:after="0" w:line="240" w:lineRule="auto"/>
        <w:ind w:firstLine="709"/>
        <w:jc w:val="both"/>
        <w:rPr>
          <w:rFonts w:ascii="Times New Roman" w:hAnsi="Times New Roman" w:cs="Times New Roman"/>
          <w:i/>
          <w:iCs/>
          <w:sz w:val="28"/>
          <w:szCs w:val="28"/>
          <w:u w:val="single"/>
        </w:rPr>
      </w:pPr>
      <w:r w:rsidRPr="00FD2E80">
        <w:rPr>
          <w:rFonts w:ascii="Times New Roman" w:hAnsi="Times New Roman" w:cs="Times New Roman"/>
          <w:i/>
          <w:iCs/>
          <w:sz w:val="28"/>
          <w:szCs w:val="28"/>
          <w:u w:val="single"/>
        </w:rPr>
        <w:t>Antigen-based</w:t>
      </w:r>
      <w:r w:rsidR="00B012F2" w:rsidRPr="00FD2E80">
        <w:rPr>
          <w:rFonts w:ascii="Times New Roman" w:hAnsi="Times New Roman" w:cs="Times New Roman"/>
          <w:i/>
          <w:iCs/>
          <w:sz w:val="28"/>
          <w:szCs w:val="28"/>
          <w:u w:val="single"/>
        </w:rPr>
        <w:t xml:space="preserve"> SARS-CoV2 identification </w:t>
      </w:r>
    </w:p>
    <w:p w14:paraId="6ECFEACD" w14:textId="06C212DD" w:rsidR="00CE6BD9" w:rsidRDefault="00A5677B" w:rsidP="00FD2E80">
      <w:pPr>
        <w:spacing w:after="0" w:line="240" w:lineRule="auto"/>
        <w:ind w:firstLine="709"/>
        <w:jc w:val="both"/>
        <w:rPr>
          <w:rFonts w:ascii="Times New Roman" w:hAnsi="Times New Roman" w:cs="Times New Roman"/>
          <w:sz w:val="28"/>
          <w:szCs w:val="28"/>
        </w:rPr>
      </w:pPr>
      <w:r w:rsidRPr="00FC0EB8">
        <w:rPr>
          <w:rFonts w:ascii="Times New Roman" w:hAnsi="Times New Roman" w:cs="Times New Roman"/>
          <w:sz w:val="28"/>
          <w:szCs w:val="28"/>
        </w:rPr>
        <w:t>According to Figure 16, a</w:t>
      </w:r>
      <w:r w:rsidR="009A607C" w:rsidRPr="00FC0EB8">
        <w:rPr>
          <w:rFonts w:ascii="Times New Roman" w:hAnsi="Times New Roman" w:cs="Times New Roman"/>
          <w:sz w:val="28"/>
          <w:szCs w:val="28"/>
        </w:rPr>
        <w:t>ntigen-based identification of SARS-CoV-2 is a rapid diagnostic method that detects viral proteins</w:t>
      </w:r>
      <w:r w:rsidR="00FD2E80">
        <w:rPr>
          <w:rFonts w:ascii="Times New Roman" w:hAnsi="Times New Roman" w:cs="Times New Roman"/>
          <w:sz w:val="28"/>
          <w:szCs w:val="28"/>
        </w:rPr>
        <w:t xml:space="preserve"> (antigens)</w:t>
      </w:r>
      <w:r w:rsidR="00FD6D0F" w:rsidRPr="00FC0EB8">
        <w:rPr>
          <w:rFonts w:ascii="Times New Roman" w:hAnsi="Times New Roman" w:cs="Times New Roman"/>
          <w:sz w:val="28"/>
          <w:szCs w:val="28"/>
        </w:rPr>
        <w:t xml:space="preserve"> in respiratory samples, such as nasal or throat swabs</w:t>
      </w:r>
      <w:r w:rsidR="009A607C" w:rsidRPr="00FC0EB8">
        <w:rPr>
          <w:rFonts w:ascii="Times New Roman" w:hAnsi="Times New Roman" w:cs="Times New Roman"/>
          <w:sz w:val="28"/>
          <w:szCs w:val="28"/>
        </w:rPr>
        <w:t>. These tests are widely used for screening and diagnosis due to their speed, cost-effectiveness, and ease of use</w:t>
      </w:r>
      <w:r w:rsidR="00C52AC1" w:rsidRPr="00FC0EB8">
        <w:rPr>
          <w:rFonts w:ascii="Times New Roman" w:hAnsi="Times New Roman" w:cs="Times New Roman"/>
          <w:sz w:val="28"/>
          <w:szCs w:val="28"/>
        </w:rPr>
        <w:t xml:space="preserve"> [115]</w:t>
      </w:r>
      <w:r w:rsidR="009A607C" w:rsidRPr="00FC0EB8">
        <w:rPr>
          <w:rFonts w:ascii="Times New Roman" w:hAnsi="Times New Roman" w:cs="Times New Roman"/>
          <w:sz w:val="28"/>
          <w:szCs w:val="28"/>
        </w:rPr>
        <w:t>. </w:t>
      </w:r>
    </w:p>
    <w:p w14:paraId="701170DC" w14:textId="77777777" w:rsidR="00DD4C6B" w:rsidRPr="00FD2E80" w:rsidRDefault="00DD4C6B" w:rsidP="00FD2E80">
      <w:pPr>
        <w:spacing w:after="0" w:line="240" w:lineRule="auto"/>
        <w:ind w:firstLine="709"/>
        <w:jc w:val="both"/>
        <w:rPr>
          <w:rFonts w:ascii="Times New Roman" w:hAnsi="Times New Roman" w:cs="Times New Roman"/>
          <w:i/>
          <w:iCs/>
          <w:sz w:val="28"/>
          <w:szCs w:val="28"/>
          <w:u w:val="single"/>
        </w:rPr>
      </w:pPr>
    </w:p>
    <w:p w14:paraId="50B0E4FE" w14:textId="77777777" w:rsidR="00226539" w:rsidRPr="006531C9" w:rsidRDefault="00853685" w:rsidP="00DC1B15">
      <w:pPr>
        <w:spacing w:line="360" w:lineRule="auto"/>
        <w:jc w:val="center"/>
        <w:rPr>
          <w:rFonts w:ascii="Times New Roman" w:hAnsi="Times New Roman" w:cs="Times New Roman"/>
          <w:b/>
          <w:bCs/>
          <w:sz w:val="24"/>
          <w:szCs w:val="24"/>
        </w:rPr>
      </w:pPr>
      <w:r w:rsidRPr="006531C9">
        <w:rPr>
          <w:rFonts w:ascii="Times New Roman" w:hAnsi="Times New Roman" w:cs="Times New Roman"/>
          <w:b/>
          <w:bCs/>
          <w:noProof/>
          <w:sz w:val="24"/>
          <w:szCs w:val="24"/>
        </w:rPr>
        <w:drawing>
          <wp:inline distT="0" distB="0" distL="0" distR="0" wp14:anchorId="41D1ACEF" wp14:editId="007E6536">
            <wp:extent cx="3260108" cy="1849582"/>
            <wp:effectExtent l="0" t="0" r="0" b="0"/>
            <wp:docPr id="11972340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234087" name="Рисунок 1"/>
                    <pic:cNvPicPr>
                      <a:picLocks noChangeAspect="1"/>
                    </pic:cNvPicPr>
                  </pic:nvPicPr>
                  <pic:blipFill>
                    <a:blip r:embed="rId36"/>
                    <a:stretch>
                      <a:fillRect/>
                    </a:stretch>
                  </pic:blipFill>
                  <pic:spPr>
                    <a:xfrm>
                      <a:off x="0" y="0"/>
                      <a:ext cx="3317139" cy="1881938"/>
                    </a:xfrm>
                    <a:prstGeom prst="rect">
                      <a:avLst/>
                    </a:prstGeom>
                  </pic:spPr>
                </pic:pic>
              </a:graphicData>
            </a:graphic>
          </wp:inline>
        </w:drawing>
      </w:r>
    </w:p>
    <w:p w14:paraId="1DA24C42" w14:textId="5F7F621E" w:rsidR="00226539" w:rsidRPr="006531C9" w:rsidRDefault="00853685" w:rsidP="00DC1B15">
      <w:pPr>
        <w:spacing w:line="360" w:lineRule="auto"/>
        <w:jc w:val="center"/>
        <w:rPr>
          <w:rFonts w:ascii="Times New Roman" w:hAnsi="Times New Roman" w:cs="Times New Roman"/>
          <w:b/>
          <w:bCs/>
          <w:sz w:val="24"/>
          <w:szCs w:val="24"/>
        </w:rPr>
      </w:pPr>
      <w:r w:rsidRPr="006531C9">
        <w:rPr>
          <w:rFonts w:ascii="Times New Roman" w:hAnsi="Times New Roman" w:cs="Times New Roman"/>
          <w:noProof/>
          <w:sz w:val="24"/>
          <w:szCs w:val="24"/>
        </w:rPr>
        <w:drawing>
          <wp:inline distT="0" distB="0" distL="0" distR="0" wp14:anchorId="00591434" wp14:editId="2FED399D">
            <wp:extent cx="3214255" cy="2049625"/>
            <wp:effectExtent l="0" t="0" r="5715" b="8255"/>
            <wp:docPr id="18707494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49461" name="Рисунок 1"/>
                    <pic:cNvPicPr>
                      <a:picLocks noChangeAspect="1"/>
                    </pic:cNvPicPr>
                  </pic:nvPicPr>
                  <pic:blipFill>
                    <a:blip r:embed="rId37"/>
                    <a:srcRect l="60770" t="21015" r="3541" b="31609"/>
                    <a:stretch>
                      <a:fillRect/>
                    </a:stretch>
                  </pic:blipFill>
                  <pic:spPr>
                    <a:xfrm>
                      <a:off x="0" y="0"/>
                      <a:ext cx="3273331" cy="2087296"/>
                    </a:xfrm>
                    <a:prstGeom prst="rect">
                      <a:avLst/>
                    </a:prstGeom>
                    <a:ln>
                      <a:noFill/>
                    </a:ln>
                  </pic:spPr>
                </pic:pic>
              </a:graphicData>
            </a:graphic>
          </wp:inline>
        </w:drawing>
      </w:r>
    </w:p>
    <w:p w14:paraId="7654383F" w14:textId="19973CA4" w:rsidR="00226539" w:rsidRDefault="00853685" w:rsidP="00FD2E80">
      <w:pPr>
        <w:spacing w:after="0" w:line="240" w:lineRule="auto"/>
        <w:jc w:val="center"/>
        <w:rPr>
          <w:rFonts w:ascii="Times New Roman" w:hAnsi="Times New Roman" w:cs="Times New Roman"/>
          <w:sz w:val="28"/>
          <w:szCs w:val="28"/>
        </w:rPr>
      </w:pPr>
      <w:r w:rsidRPr="00FC0EB8">
        <w:rPr>
          <w:rFonts w:ascii="Times New Roman" w:hAnsi="Times New Roman" w:cs="Times New Roman"/>
          <w:sz w:val="28"/>
          <w:szCs w:val="28"/>
        </w:rPr>
        <w:t>Figure 1</w:t>
      </w:r>
      <w:r w:rsidR="000759E0" w:rsidRPr="00FC0EB8">
        <w:rPr>
          <w:rFonts w:ascii="Times New Roman" w:hAnsi="Times New Roman" w:cs="Times New Roman"/>
          <w:sz w:val="28"/>
          <w:szCs w:val="28"/>
        </w:rPr>
        <w:t>6</w:t>
      </w:r>
      <w:r w:rsidR="00DC1B15" w:rsidRPr="00FC0EB8">
        <w:rPr>
          <w:rFonts w:ascii="Times New Roman" w:hAnsi="Times New Roman" w:cs="Times New Roman"/>
          <w:sz w:val="28"/>
          <w:szCs w:val="28"/>
        </w:rPr>
        <w:t xml:space="preserve"> </w:t>
      </w:r>
      <w:r w:rsidRPr="00FC0EB8">
        <w:rPr>
          <w:rFonts w:ascii="Times New Roman" w:hAnsi="Times New Roman" w:cs="Times New Roman"/>
          <w:sz w:val="28"/>
          <w:szCs w:val="28"/>
        </w:rPr>
        <w:t>—</w:t>
      </w:r>
      <w:r w:rsidR="00DC1B15" w:rsidRPr="00FC0EB8">
        <w:rPr>
          <w:rFonts w:ascii="Times New Roman" w:hAnsi="Times New Roman" w:cs="Times New Roman"/>
          <w:sz w:val="28"/>
          <w:szCs w:val="28"/>
        </w:rPr>
        <w:t xml:space="preserve"> </w:t>
      </w:r>
      <w:r w:rsidR="00121633" w:rsidRPr="00FC0EB8">
        <w:rPr>
          <w:rFonts w:ascii="Times New Roman" w:hAnsi="Times New Roman" w:cs="Times New Roman"/>
          <w:sz w:val="28"/>
          <w:szCs w:val="28"/>
        </w:rPr>
        <w:t>Overview of the GenSure™ COVID-19 Antigen Rapid Test Kit</w:t>
      </w:r>
      <w:r w:rsidR="008E7D9B" w:rsidRPr="00FC0EB8">
        <w:rPr>
          <w:rFonts w:ascii="Times New Roman" w:hAnsi="Times New Roman" w:cs="Times New Roman"/>
          <w:sz w:val="28"/>
          <w:szCs w:val="28"/>
        </w:rPr>
        <w:t xml:space="preserve"> [115</w:t>
      </w:r>
      <w:r w:rsidR="00AC7B1B" w:rsidRPr="00FC0EB8">
        <w:rPr>
          <w:rFonts w:ascii="Times New Roman" w:hAnsi="Times New Roman" w:cs="Times New Roman"/>
          <w:sz w:val="28"/>
          <w:szCs w:val="28"/>
        </w:rPr>
        <w:t>,126</w:t>
      </w:r>
      <w:r w:rsidR="008E7D9B" w:rsidRPr="00FC0EB8">
        <w:rPr>
          <w:rFonts w:ascii="Times New Roman" w:hAnsi="Times New Roman" w:cs="Times New Roman"/>
          <w:sz w:val="28"/>
          <w:szCs w:val="28"/>
        </w:rPr>
        <w:t>]</w:t>
      </w:r>
    </w:p>
    <w:p w14:paraId="3AE27544" w14:textId="77777777" w:rsidR="00FD2E80" w:rsidRPr="00FC0EB8" w:rsidRDefault="00FD2E80" w:rsidP="00FD2E80">
      <w:pPr>
        <w:spacing w:after="0" w:line="240" w:lineRule="auto"/>
        <w:jc w:val="center"/>
        <w:rPr>
          <w:rFonts w:ascii="Times New Roman" w:hAnsi="Times New Roman" w:cs="Times New Roman"/>
          <w:sz w:val="28"/>
          <w:szCs w:val="28"/>
        </w:rPr>
      </w:pPr>
    </w:p>
    <w:p w14:paraId="57471111" w14:textId="7D7C0999" w:rsidR="00EE561E" w:rsidRPr="00FC0EB8" w:rsidRDefault="00853685" w:rsidP="00636571">
      <w:pPr>
        <w:spacing w:after="0" w:line="240" w:lineRule="auto"/>
        <w:ind w:firstLine="709"/>
        <w:jc w:val="both"/>
        <w:rPr>
          <w:rFonts w:ascii="Times New Roman" w:hAnsi="Times New Roman" w:cs="Times New Roman"/>
          <w:sz w:val="28"/>
          <w:szCs w:val="28"/>
          <w:lang w:val="en-US"/>
        </w:rPr>
      </w:pPr>
      <w:r w:rsidRPr="00FC0EB8">
        <w:rPr>
          <w:rFonts w:ascii="Times New Roman" w:hAnsi="Times New Roman" w:cs="Times New Roman"/>
          <w:sz w:val="28"/>
          <w:szCs w:val="28"/>
        </w:rPr>
        <w:t xml:space="preserve">It </w:t>
      </w:r>
      <w:r w:rsidR="00121633" w:rsidRPr="00FC0EB8">
        <w:rPr>
          <w:rFonts w:ascii="Times New Roman" w:hAnsi="Times New Roman" w:cs="Times New Roman"/>
          <w:sz w:val="28"/>
          <w:szCs w:val="28"/>
        </w:rPr>
        <w:t>utilises polymer immunochromatographic technology and a double-antibody</w:t>
      </w:r>
      <w:r w:rsidRPr="00FC0EB8">
        <w:rPr>
          <w:rFonts w:ascii="Times New Roman" w:hAnsi="Times New Roman" w:cs="Times New Roman"/>
          <w:sz w:val="28"/>
          <w:szCs w:val="28"/>
        </w:rPr>
        <w:t xml:space="preserve"> sandwich principle to qualitatively detect the N (Nucleocapsid) protein antigen from SARS-CoV-2 in human nasal swab specimens. Testing is limited to laboratories and medical institutions. This express test is efficient </w:t>
      </w:r>
      <w:r w:rsidR="00A5677B" w:rsidRPr="00FC0EB8">
        <w:rPr>
          <w:rFonts w:ascii="Times New Roman" w:hAnsi="Times New Roman" w:cs="Times New Roman"/>
          <w:sz w:val="28"/>
          <w:szCs w:val="28"/>
        </w:rPr>
        <w:t>for</w:t>
      </w:r>
      <w:r w:rsidRPr="00FC0EB8">
        <w:rPr>
          <w:rFonts w:ascii="Times New Roman" w:hAnsi="Times New Roman" w:cs="Times New Roman"/>
          <w:sz w:val="28"/>
          <w:szCs w:val="28"/>
        </w:rPr>
        <w:t xml:space="preserve"> instant testing. The antigen test is </w:t>
      </w:r>
      <w:r w:rsidR="00844831" w:rsidRPr="00FC0EB8">
        <w:rPr>
          <w:rFonts w:ascii="Times New Roman" w:hAnsi="Times New Roman" w:cs="Times New Roman"/>
          <w:sz w:val="28"/>
          <w:szCs w:val="28"/>
        </w:rPr>
        <w:t>high-speed</w:t>
      </w:r>
      <w:r w:rsidRPr="00FC0EB8">
        <w:rPr>
          <w:rFonts w:ascii="Times New Roman" w:hAnsi="Times New Roman" w:cs="Times New Roman"/>
          <w:sz w:val="28"/>
          <w:szCs w:val="28"/>
        </w:rPr>
        <w:t xml:space="preserve"> and reliable. It involves pouring the swab into </w:t>
      </w:r>
      <w:r w:rsidR="00C71A5A" w:rsidRPr="00FC0EB8">
        <w:rPr>
          <w:rFonts w:ascii="Times New Roman" w:hAnsi="Times New Roman" w:cs="Times New Roman"/>
          <w:sz w:val="28"/>
          <w:szCs w:val="28"/>
        </w:rPr>
        <w:t xml:space="preserve">the viral inoculum titer and testing it for </w:t>
      </w:r>
      <w:r w:rsidRPr="00FC0EB8">
        <w:rPr>
          <w:rFonts w:ascii="Times New Roman" w:hAnsi="Times New Roman" w:cs="Times New Roman"/>
          <w:sz w:val="28"/>
          <w:szCs w:val="28"/>
        </w:rPr>
        <w:t>viral load</w:t>
      </w:r>
      <w:r w:rsidR="00D92DFA" w:rsidRPr="00FC0EB8">
        <w:rPr>
          <w:rFonts w:ascii="Times New Roman" w:hAnsi="Times New Roman" w:cs="Times New Roman"/>
          <w:sz w:val="28"/>
          <w:szCs w:val="28"/>
        </w:rPr>
        <w:t>.</w:t>
      </w:r>
    </w:p>
    <w:p w14:paraId="662A05F9" w14:textId="77777777" w:rsidR="0033465D" w:rsidRPr="007041EB" w:rsidRDefault="0033465D" w:rsidP="00636571">
      <w:pPr>
        <w:spacing w:after="0" w:line="360" w:lineRule="auto"/>
        <w:jc w:val="both"/>
        <w:rPr>
          <w:rFonts w:ascii="Times New Roman" w:hAnsi="Times New Roman" w:cs="Times New Roman"/>
          <w:sz w:val="24"/>
          <w:szCs w:val="24"/>
          <w:lang w:val="en-US"/>
        </w:rPr>
      </w:pPr>
    </w:p>
    <w:p w14:paraId="677444A0" w14:textId="405890C2" w:rsidR="007E3618" w:rsidRPr="00BF3DB2" w:rsidRDefault="000970C7" w:rsidP="00636571">
      <w:pPr>
        <w:spacing w:after="0" w:line="240" w:lineRule="auto"/>
        <w:ind w:left="709"/>
        <w:jc w:val="both"/>
        <w:rPr>
          <w:rFonts w:ascii="Times New Roman" w:hAnsi="Times New Roman" w:cs="Times New Roman"/>
          <w:b/>
          <w:bCs/>
          <w:sz w:val="28"/>
          <w:szCs w:val="28"/>
        </w:rPr>
      </w:pPr>
      <w:r w:rsidRPr="00BF3DB2">
        <w:rPr>
          <w:rFonts w:ascii="Times New Roman" w:hAnsi="Times New Roman" w:cs="Times New Roman"/>
          <w:b/>
          <w:bCs/>
          <w:sz w:val="28"/>
          <w:szCs w:val="28"/>
        </w:rPr>
        <w:t>2.</w:t>
      </w:r>
      <w:r w:rsidR="007D178B" w:rsidRPr="00BF3DB2">
        <w:rPr>
          <w:rFonts w:ascii="Times New Roman" w:hAnsi="Times New Roman" w:cs="Times New Roman"/>
          <w:b/>
          <w:bCs/>
          <w:sz w:val="28"/>
          <w:szCs w:val="28"/>
        </w:rPr>
        <w:t>4</w:t>
      </w:r>
      <w:r w:rsidRPr="00BF3DB2">
        <w:rPr>
          <w:rFonts w:ascii="Times New Roman" w:hAnsi="Times New Roman" w:cs="Times New Roman"/>
          <w:b/>
          <w:bCs/>
          <w:sz w:val="28"/>
          <w:szCs w:val="28"/>
        </w:rPr>
        <w:t xml:space="preserve"> </w:t>
      </w:r>
      <w:r w:rsidR="00951CAF" w:rsidRPr="00BF3DB2">
        <w:rPr>
          <w:rFonts w:ascii="Times New Roman" w:hAnsi="Times New Roman" w:cs="Times New Roman"/>
          <w:b/>
          <w:bCs/>
          <w:sz w:val="28"/>
          <w:szCs w:val="28"/>
        </w:rPr>
        <w:t xml:space="preserve">Key </w:t>
      </w:r>
      <w:r w:rsidR="00A5677B" w:rsidRPr="00BF3DB2">
        <w:rPr>
          <w:rFonts w:ascii="Times New Roman" w:hAnsi="Times New Roman" w:cs="Times New Roman"/>
          <w:b/>
          <w:bCs/>
          <w:sz w:val="28"/>
          <w:szCs w:val="28"/>
        </w:rPr>
        <w:t>methods</w:t>
      </w:r>
      <w:r w:rsidR="00437442" w:rsidRPr="00BF3DB2">
        <w:rPr>
          <w:rFonts w:ascii="Times New Roman" w:hAnsi="Times New Roman" w:cs="Times New Roman"/>
          <w:b/>
          <w:bCs/>
          <w:sz w:val="28"/>
          <w:szCs w:val="28"/>
        </w:rPr>
        <w:t xml:space="preserve"> of dissertational work </w:t>
      </w:r>
    </w:p>
    <w:p w14:paraId="64618439" w14:textId="7C393A9F" w:rsidR="00BF3DB2" w:rsidRPr="00FB48E1" w:rsidRDefault="005B539E" w:rsidP="00636571">
      <w:pPr>
        <w:spacing w:after="0" w:line="240" w:lineRule="auto"/>
        <w:ind w:firstLine="708"/>
        <w:jc w:val="both"/>
        <w:rPr>
          <w:rFonts w:ascii="Times New Roman" w:hAnsi="Times New Roman" w:cs="Times New Roman"/>
          <w:sz w:val="28"/>
          <w:szCs w:val="28"/>
          <w:lang w:val="en-US"/>
        </w:rPr>
      </w:pPr>
      <w:r w:rsidRPr="00BF3DB2">
        <w:rPr>
          <w:rFonts w:ascii="Times New Roman" w:hAnsi="Times New Roman" w:cs="Times New Roman"/>
          <w:sz w:val="28"/>
          <w:szCs w:val="28"/>
        </w:rPr>
        <w:t xml:space="preserve">The key methods employed in this dissertation included </w:t>
      </w:r>
      <w:r w:rsidR="00FD2E80">
        <w:rPr>
          <w:rFonts w:ascii="Times New Roman" w:hAnsi="Times New Roman" w:cs="Times New Roman"/>
          <w:sz w:val="28"/>
          <w:szCs w:val="28"/>
        </w:rPr>
        <w:t>assessing cytotoxicity (CC₅₀) to evaluate cell viability in uninfected cultures, determining antiviral activity (EC₅₀/IC₅₀) based on viral load reduction in infected cells, and confirming</w:t>
      </w:r>
      <w:r w:rsidRPr="00BF3DB2">
        <w:rPr>
          <w:rFonts w:ascii="Times New Roman" w:hAnsi="Times New Roman" w:cs="Times New Roman"/>
          <w:sz w:val="28"/>
          <w:szCs w:val="28"/>
        </w:rPr>
        <w:t xml:space="preserve"> viral inhibition (IC₅₀) through PCR or antigen-based SARS-CoV-2 detection assays.</w:t>
      </w:r>
      <w:r w:rsidR="00617887" w:rsidRPr="00BF3DB2">
        <w:rPr>
          <w:rFonts w:ascii="Times New Roman" w:hAnsi="Times New Roman" w:cs="Times New Roman"/>
          <w:sz w:val="28"/>
          <w:szCs w:val="28"/>
        </w:rPr>
        <w:t xml:space="preserve"> </w:t>
      </w:r>
      <w:r w:rsidR="002412F5" w:rsidRPr="00BF3DB2">
        <w:rPr>
          <w:rFonts w:ascii="Times New Roman" w:hAnsi="Times New Roman" w:cs="Times New Roman"/>
          <w:sz w:val="28"/>
          <w:szCs w:val="28"/>
        </w:rPr>
        <w:t xml:space="preserve">These </w:t>
      </w:r>
      <w:r w:rsidR="002412F5" w:rsidRPr="00BF3DB2">
        <w:rPr>
          <w:rFonts w:ascii="Times New Roman" w:hAnsi="Times New Roman" w:cs="Times New Roman"/>
          <w:sz w:val="28"/>
          <w:szCs w:val="28"/>
        </w:rPr>
        <w:lastRenderedPageBreak/>
        <w:t>approaches together provided a comprehensive evaluation of the safety and efficacy of the tested compounds against SARS-CoV-2 in vitro.</w:t>
      </w:r>
    </w:p>
    <w:p w14:paraId="37AD4229" w14:textId="5E685A6A" w:rsidR="00703445" w:rsidRPr="00BF3DB2" w:rsidRDefault="00703445" w:rsidP="00BF3DB2">
      <w:pPr>
        <w:spacing w:after="0" w:line="240" w:lineRule="auto"/>
        <w:ind w:firstLine="709"/>
        <w:jc w:val="both"/>
        <w:rPr>
          <w:rFonts w:ascii="Times New Roman" w:hAnsi="Times New Roman" w:cs="Times New Roman"/>
          <w:i/>
          <w:iCs/>
          <w:sz w:val="28"/>
          <w:szCs w:val="28"/>
          <w:u w:val="single"/>
        </w:rPr>
      </w:pPr>
      <w:r w:rsidRPr="00BF3DB2">
        <w:rPr>
          <w:rFonts w:ascii="Times New Roman" w:hAnsi="Times New Roman" w:cs="Times New Roman"/>
          <w:i/>
          <w:iCs/>
          <w:sz w:val="28"/>
          <w:szCs w:val="28"/>
          <w:u w:val="single"/>
        </w:rPr>
        <w:t>Cell Preparation &amp; Plate Layout</w:t>
      </w:r>
    </w:p>
    <w:p w14:paraId="58CE5910" w14:textId="0C1A783F" w:rsidR="002412F5" w:rsidRDefault="002412F5" w:rsidP="00BF3DB2">
      <w:pPr>
        <w:spacing w:after="0" w:line="240" w:lineRule="auto"/>
        <w:ind w:firstLine="708"/>
        <w:jc w:val="both"/>
        <w:rPr>
          <w:rFonts w:ascii="Times New Roman" w:hAnsi="Times New Roman" w:cs="Times New Roman"/>
          <w:sz w:val="28"/>
          <w:szCs w:val="28"/>
        </w:rPr>
      </w:pPr>
      <w:r w:rsidRPr="00BF3DB2">
        <w:rPr>
          <w:rFonts w:ascii="Times New Roman" w:hAnsi="Times New Roman" w:cs="Times New Roman"/>
          <w:sz w:val="28"/>
          <w:szCs w:val="28"/>
        </w:rPr>
        <w:t xml:space="preserve">The experiments were conducted </w:t>
      </w:r>
      <w:r w:rsidR="008B46B2" w:rsidRPr="00BF3DB2">
        <w:rPr>
          <w:rFonts w:ascii="Times New Roman" w:hAnsi="Times New Roman" w:cs="Times New Roman"/>
          <w:sz w:val="28"/>
          <w:szCs w:val="28"/>
        </w:rPr>
        <w:t xml:space="preserve">in </w:t>
      </w:r>
      <w:r w:rsidRPr="00BF3DB2">
        <w:rPr>
          <w:rFonts w:ascii="Times New Roman" w:hAnsi="Times New Roman" w:cs="Times New Roman"/>
          <w:sz w:val="28"/>
          <w:szCs w:val="28"/>
        </w:rPr>
        <w:t>“Table 2” using Vero E6 cells maintained in DMEM supplemented with 10% FBS, cultured in 96-well plates with triplicate wells for each condition, following a predefined experimental layout.</w:t>
      </w:r>
    </w:p>
    <w:p w14:paraId="1F46BD5B" w14:textId="77777777" w:rsidR="00FD2E80" w:rsidRPr="00BF3DB2" w:rsidRDefault="00FD2E80" w:rsidP="00BF3DB2">
      <w:pPr>
        <w:spacing w:after="0" w:line="240" w:lineRule="auto"/>
        <w:ind w:firstLine="708"/>
        <w:jc w:val="both"/>
        <w:rPr>
          <w:rFonts w:ascii="Times New Roman" w:hAnsi="Times New Roman" w:cs="Times New Roman"/>
          <w:sz w:val="28"/>
          <w:szCs w:val="28"/>
        </w:rPr>
      </w:pPr>
    </w:p>
    <w:p w14:paraId="70D257AF" w14:textId="0C7D73A1" w:rsidR="00D644A8" w:rsidRDefault="00703445" w:rsidP="003107E0">
      <w:pPr>
        <w:spacing w:after="0" w:line="240" w:lineRule="auto"/>
        <w:ind w:firstLine="708"/>
        <w:jc w:val="both"/>
        <w:rPr>
          <w:rFonts w:ascii="Times New Roman" w:hAnsi="Times New Roman" w:cs="Times New Roman"/>
          <w:sz w:val="28"/>
          <w:szCs w:val="28"/>
        </w:rPr>
      </w:pPr>
      <w:r w:rsidRPr="00BF3DB2">
        <w:rPr>
          <w:rFonts w:ascii="Times New Roman" w:hAnsi="Times New Roman" w:cs="Times New Roman"/>
          <w:sz w:val="28"/>
          <w:szCs w:val="28"/>
        </w:rPr>
        <w:t xml:space="preserve">Table </w:t>
      </w:r>
      <w:r w:rsidR="00093EB8" w:rsidRPr="00BF3DB2">
        <w:rPr>
          <w:rFonts w:ascii="Times New Roman" w:hAnsi="Times New Roman" w:cs="Times New Roman"/>
          <w:sz w:val="28"/>
          <w:szCs w:val="28"/>
        </w:rPr>
        <w:t>2</w:t>
      </w:r>
      <w:r w:rsidR="00BA0F95" w:rsidRPr="00BF3DB2">
        <w:rPr>
          <w:rFonts w:ascii="Times New Roman" w:hAnsi="Times New Roman" w:cs="Times New Roman"/>
          <w:sz w:val="28"/>
          <w:szCs w:val="28"/>
        </w:rPr>
        <w:t xml:space="preserve"> </w:t>
      </w:r>
      <w:r w:rsidR="00C76DAA" w:rsidRPr="00BF3DB2">
        <w:rPr>
          <w:rFonts w:ascii="Times New Roman" w:hAnsi="Times New Roman" w:cs="Times New Roman"/>
          <w:sz w:val="28"/>
          <w:szCs w:val="28"/>
        </w:rPr>
        <w:t>—</w:t>
      </w:r>
      <w:r w:rsidRPr="00BF3DB2">
        <w:rPr>
          <w:rFonts w:ascii="Times New Roman" w:hAnsi="Times New Roman" w:cs="Times New Roman"/>
          <w:sz w:val="28"/>
          <w:szCs w:val="28"/>
        </w:rPr>
        <w:t xml:space="preserve"> The Plate layout for</w:t>
      </w:r>
      <w:r w:rsidR="006B481B" w:rsidRPr="00BF3DB2">
        <w:rPr>
          <w:rFonts w:ascii="Times New Roman" w:hAnsi="Times New Roman" w:cs="Times New Roman"/>
          <w:sz w:val="28"/>
          <w:szCs w:val="28"/>
        </w:rPr>
        <w:t xml:space="preserve"> A.</w:t>
      </w:r>
      <w:r w:rsidRPr="00BF3DB2">
        <w:rPr>
          <w:rFonts w:ascii="Times New Roman" w:hAnsi="Times New Roman" w:cs="Times New Roman"/>
          <w:sz w:val="28"/>
          <w:szCs w:val="28"/>
        </w:rPr>
        <w:t xml:space="preserve"> </w:t>
      </w:r>
      <w:r w:rsidR="00955C3F" w:rsidRPr="00BF3DB2">
        <w:rPr>
          <w:rFonts w:ascii="Times New Roman" w:hAnsi="Times New Roman" w:cs="Times New Roman"/>
          <w:sz w:val="28"/>
          <w:szCs w:val="28"/>
        </w:rPr>
        <w:t>96</w:t>
      </w:r>
      <w:r w:rsidR="006B481B" w:rsidRPr="00BF3DB2">
        <w:rPr>
          <w:rFonts w:ascii="Times New Roman" w:hAnsi="Times New Roman" w:cs="Times New Roman"/>
          <w:sz w:val="28"/>
          <w:szCs w:val="28"/>
        </w:rPr>
        <w:t xml:space="preserve"> wells testing for fixed drug </w:t>
      </w:r>
      <w:r w:rsidR="002D76C1" w:rsidRPr="00BF3DB2">
        <w:rPr>
          <w:rFonts w:ascii="Times New Roman" w:hAnsi="Times New Roman" w:cs="Times New Roman"/>
          <w:sz w:val="28"/>
          <w:szCs w:val="28"/>
        </w:rPr>
        <w:t>concentrations and antiviral assay, n</w:t>
      </w:r>
      <w:r w:rsidR="006B481B" w:rsidRPr="00BF3DB2">
        <w:rPr>
          <w:rFonts w:ascii="Times New Roman" w:hAnsi="Times New Roman" w:cs="Times New Roman"/>
          <w:sz w:val="28"/>
          <w:szCs w:val="28"/>
        </w:rPr>
        <w:t xml:space="preserve"> =3</w:t>
      </w:r>
      <w:r w:rsidR="002D76C1" w:rsidRPr="00BF3DB2">
        <w:rPr>
          <w:rFonts w:ascii="Times New Roman" w:hAnsi="Times New Roman" w:cs="Times New Roman"/>
          <w:sz w:val="28"/>
          <w:szCs w:val="28"/>
        </w:rPr>
        <w:t xml:space="preserve">. B. </w:t>
      </w:r>
      <w:r w:rsidR="006B481B" w:rsidRPr="00BF3DB2">
        <w:rPr>
          <w:rFonts w:ascii="Times New Roman" w:hAnsi="Times New Roman" w:cs="Times New Roman"/>
          <w:sz w:val="28"/>
          <w:szCs w:val="28"/>
        </w:rPr>
        <w:t xml:space="preserve"> </w:t>
      </w:r>
      <w:r w:rsidR="00955C3F" w:rsidRPr="00BF3DB2">
        <w:rPr>
          <w:rFonts w:ascii="Times New Roman" w:hAnsi="Times New Roman" w:cs="Times New Roman"/>
          <w:sz w:val="28"/>
          <w:szCs w:val="28"/>
        </w:rPr>
        <w:t>96</w:t>
      </w:r>
      <w:r w:rsidR="002D76C1" w:rsidRPr="00BF3DB2">
        <w:rPr>
          <w:rFonts w:ascii="Times New Roman" w:hAnsi="Times New Roman" w:cs="Times New Roman"/>
          <w:sz w:val="28"/>
          <w:szCs w:val="28"/>
        </w:rPr>
        <w:t xml:space="preserve"> wells testing for four drug concentrations(de-escalating), n=3</w:t>
      </w:r>
      <w:r w:rsidR="00955C3F" w:rsidRPr="00BF3DB2">
        <w:rPr>
          <w:rFonts w:ascii="Times New Roman" w:hAnsi="Times New Roman" w:cs="Times New Roman"/>
          <w:sz w:val="28"/>
          <w:szCs w:val="28"/>
        </w:rPr>
        <w:t>, in Kazakhstan</w:t>
      </w:r>
    </w:p>
    <w:p w14:paraId="590A2A90" w14:textId="77777777" w:rsidR="005C3647" w:rsidRPr="00BF3DB2" w:rsidRDefault="005C3647" w:rsidP="003107E0">
      <w:pPr>
        <w:spacing w:after="0" w:line="240" w:lineRule="auto"/>
        <w:ind w:firstLine="708"/>
        <w:jc w:val="both"/>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08"/>
        <w:gridCol w:w="3101"/>
        <w:gridCol w:w="2975"/>
        <w:gridCol w:w="2339"/>
      </w:tblGrid>
      <w:tr w:rsidR="00C65011" w:rsidRPr="00C65011" w14:paraId="1E6F7ADF" w14:textId="77777777" w:rsidTr="00C65011">
        <w:trPr>
          <w:tblHeader/>
          <w:jc w:val="center"/>
        </w:trPr>
        <w:tc>
          <w:tcPr>
            <w:tcW w:w="0" w:type="auto"/>
            <w:tcMar>
              <w:top w:w="150" w:type="dxa"/>
              <w:left w:w="0" w:type="dxa"/>
              <w:bottom w:w="150" w:type="dxa"/>
              <w:right w:w="240" w:type="dxa"/>
            </w:tcMar>
            <w:vAlign w:val="center"/>
            <w:hideMark/>
          </w:tcPr>
          <w:p w14:paraId="71E53592"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w:t>
            </w:r>
          </w:p>
        </w:tc>
        <w:tc>
          <w:tcPr>
            <w:tcW w:w="0" w:type="auto"/>
            <w:tcMar>
              <w:top w:w="150" w:type="dxa"/>
              <w:left w:w="240" w:type="dxa"/>
              <w:bottom w:w="150" w:type="dxa"/>
              <w:right w:w="240" w:type="dxa"/>
            </w:tcMar>
            <w:vAlign w:val="center"/>
            <w:hideMark/>
          </w:tcPr>
          <w:p w14:paraId="01451249"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Condition / Drug</w:t>
            </w:r>
          </w:p>
        </w:tc>
        <w:tc>
          <w:tcPr>
            <w:tcW w:w="0" w:type="auto"/>
            <w:tcMar>
              <w:top w:w="150" w:type="dxa"/>
              <w:left w:w="240" w:type="dxa"/>
              <w:bottom w:w="150" w:type="dxa"/>
              <w:right w:w="240" w:type="dxa"/>
            </w:tcMar>
            <w:vAlign w:val="center"/>
            <w:hideMark/>
          </w:tcPr>
          <w:p w14:paraId="51DB31E4"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Concentration, µg/mL</w:t>
            </w:r>
          </w:p>
        </w:tc>
        <w:tc>
          <w:tcPr>
            <w:tcW w:w="0" w:type="auto"/>
            <w:tcMar>
              <w:top w:w="150" w:type="dxa"/>
              <w:left w:w="240" w:type="dxa"/>
              <w:bottom w:w="150" w:type="dxa"/>
              <w:right w:w="240" w:type="dxa"/>
            </w:tcMar>
            <w:vAlign w:val="center"/>
            <w:hideMark/>
          </w:tcPr>
          <w:p w14:paraId="6115DA95"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Columns (wells)</w:t>
            </w:r>
          </w:p>
        </w:tc>
      </w:tr>
      <w:tr w:rsidR="00C65011" w:rsidRPr="00C65011" w14:paraId="0EE9C104" w14:textId="77777777" w:rsidTr="00C65011">
        <w:trPr>
          <w:jc w:val="center"/>
        </w:trPr>
        <w:tc>
          <w:tcPr>
            <w:tcW w:w="0" w:type="auto"/>
            <w:tcMar>
              <w:top w:w="150" w:type="dxa"/>
              <w:left w:w="0" w:type="dxa"/>
              <w:bottom w:w="150" w:type="dxa"/>
              <w:right w:w="240" w:type="dxa"/>
            </w:tcMar>
            <w:vAlign w:val="center"/>
            <w:hideMark/>
          </w:tcPr>
          <w:p w14:paraId="35C97057"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1</w:t>
            </w:r>
          </w:p>
        </w:tc>
        <w:tc>
          <w:tcPr>
            <w:tcW w:w="0" w:type="auto"/>
            <w:tcMar>
              <w:top w:w="150" w:type="dxa"/>
              <w:left w:w="240" w:type="dxa"/>
              <w:bottom w:w="150" w:type="dxa"/>
              <w:right w:w="240" w:type="dxa"/>
            </w:tcMar>
            <w:vAlign w:val="center"/>
            <w:hideMark/>
          </w:tcPr>
          <w:p w14:paraId="0BE77D58"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Cell Control (Cell Ctrl)</w:t>
            </w:r>
          </w:p>
        </w:tc>
        <w:tc>
          <w:tcPr>
            <w:tcW w:w="0" w:type="auto"/>
            <w:tcMar>
              <w:top w:w="150" w:type="dxa"/>
              <w:left w:w="240" w:type="dxa"/>
              <w:bottom w:w="150" w:type="dxa"/>
              <w:right w:w="240" w:type="dxa"/>
            </w:tcMar>
            <w:vAlign w:val="center"/>
            <w:hideMark/>
          </w:tcPr>
          <w:p w14:paraId="4AC0543D"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w:t>
            </w:r>
          </w:p>
        </w:tc>
        <w:tc>
          <w:tcPr>
            <w:tcW w:w="0" w:type="auto"/>
            <w:tcMar>
              <w:top w:w="150" w:type="dxa"/>
              <w:left w:w="240" w:type="dxa"/>
              <w:bottom w:w="150" w:type="dxa"/>
              <w:right w:w="0" w:type="dxa"/>
            </w:tcMar>
            <w:vAlign w:val="center"/>
            <w:hideMark/>
          </w:tcPr>
          <w:p w14:paraId="4F6C75A3"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1-2</w:t>
            </w:r>
          </w:p>
        </w:tc>
      </w:tr>
      <w:tr w:rsidR="00C65011" w:rsidRPr="00C65011" w14:paraId="4CABE0C2" w14:textId="77777777" w:rsidTr="00C65011">
        <w:trPr>
          <w:jc w:val="center"/>
        </w:trPr>
        <w:tc>
          <w:tcPr>
            <w:tcW w:w="0" w:type="auto"/>
            <w:tcMar>
              <w:top w:w="150" w:type="dxa"/>
              <w:left w:w="0" w:type="dxa"/>
              <w:bottom w:w="150" w:type="dxa"/>
              <w:right w:w="240" w:type="dxa"/>
            </w:tcMar>
            <w:vAlign w:val="center"/>
            <w:hideMark/>
          </w:tcPr>
          <w:p w14:paraId="389E5EEA"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2</w:t>
            </w:r>
          </w:p>
        </w:tc>
        <w:tc>
          <w:tcPr>
            <w:tcW w:w="0" w:type="auto"/>
            <w:tcMar>
              <w:top w:w="150" w:type="dxa"/>
              <w:left w:w="240" w:type="dxa"/>
              <w:bottom w:w="150" w:type="dxa"/>
              <w:right w:w="240" w:type="dxa"/>
            </w:tcMar>
            <w:vAlign w:val="center"/>
            <w:hideMark/>
          </w:tcPr>
          <w:p w14:paraId="2EAC1425"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Virus Control (VC)</w:t>
            </w:r>
          </w:p>
        </w:tc>
        <w:tc>
          <w:tcPr>
            <w:tcW w:w="0" w:type="auto"/>
            <w:tcMar>
              <w:top w:w="150" w:type="dxa"/>
              <w:left w:w="240" w:type="dxa"/>
              <w:bottom w:w="150" w:type="dxa"/>
              <w:right w:w="240" w:type="dxa"/>
            </w:tcMar>
            <w:vAlign w:val="center"/>
            <w:hideMark/>
          </w:tcPr>
          <w:p w14:paraId="1A8DA0D1"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w:t>
            </w:r>
          </w:p>
        </w:tc>
        <w:tc>
          <w:tcPr>
            <w:tcW w:w="0" w:type="auto"/>
            <w:tcMar>
              <w:top w:w="150" w:type="dxa"/>
              <w:left w:w="240" w:type="dxa"/>
              <w:bottom w:w="150" w:type="dxa"/>
              <w:right w:w="0" w:type="dxa"/>
            </w:tcMar>
            <w:vAlign w:val="center"/>
            <w:hideMark/>
          </w:tcPr>
          <w:p w14:paraId="465F2F71"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3-5</w:t>
            </w:r>
          </w:p>
        </w:tc>
      </w:tr>
      <w:tr w:rsidR="00C65011" w:rsidRPr="00C65011" w14:paraId="2570A7A8" w14:textId="77777777" w:rsidTr="00C65011">
        <w:trPr>
          <w:jc w:val="center"/>
        </w:trPr>
        <w:tc>
          <w:tcPr>
            <w:tcW w:w="0" w:type="auto"/>
            <w:tcMar>
              <w:top w:w="150" w:type="dxa"/>
              <w:left w:w="0" w:type="dxa"/>
              <w:bottom w:w="150" w:type="dxa"/>
              <w:right w:w="240" w:type="dxa"/>
            </w:tcMar>
            <w:vAlign w:val="center"/>
            <w:hideMark/>
          </w:tcPr>
          <w:p w14:paraId="78DA6317"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3</w:t>
            </w:r>
          </w:p>
        </w:tc>
        <w:tc>
          <w:tcPr>
            <w:tcW w:w="0" w:type="auto"/>
            <w:tcMar>
              <w:top w:w="150" w:type="dxa"/>
              <w:left w:w="240" w:type="dxa"/>
              <w:bottom w:w="150" w:type="dxa"/>
              <w:right w:w="240" w:type="dxa"/>
            </w:tcMar>
            <w:vAlign w:val="center"/>
            <w:hideMark/>
          </w:tcPr>
          <w:p w14:paraId="6D1869C8"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Ribavirin</w:t>
            </w:r>
          </w:p>
        </w:tc>
        <w:tc>
          <w:tcPr>
            <w:tcW w:w="0" w:type="auto"/>
            <w:tcMar>
              <w:top w:w="150" w:type="dxa"/>
              <w:left w:w="240" w:type="dxa"/>
              <w:bottom w:w="150" w:type="dxa"/>
              <w:right w:w="240" w:type="dxa"/>
            </w:tcMar>
            <w:vAlign w:val="center"/>
            <w:hideMark/>
          </w:tcPr>
          <w:p w14:paraId="5C9F0462"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50</w:t>
            </w:r>
          </w:p>
        </w:tc>
        <w:tc>
          <w:tcPr>
            <w:tcW w:w="0" w:type="auto"/>
            <w:tcMar>
              <w:top w:w="150" w:type="dxa"/>
              <w:left w:w="240" w:type="dxa"/>
              <w:bottom w:w="150" w:type="dxa"/>
              <w:right w:w="0" w:type="dxa"/>
            </w:tcMar>
            <w:vAlign w:val="center"/>
            <w:hideMark/>
          </w:tcPr>
          <w:p w14:paraId="5B77FEA3"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6-8</w:t>
            </w:r>
          </w:p>
        </w:tc>
      </w:tr>
      <w:tr w:rsidR="00C65011" w:rsidRPr="00C65011" w14:paraId="01779AE8" w14:textId="77777777" w:rsidTr="00C65011">
        <w:trPr>
          <w:jc w:val="center"/>
        </w:trPr>
        <w:tc>
          <w:tcPr>
            <w:tcW w:w="0" w:type="auto"/>
            <w:tcMar>
              <w:top w:w="150" w:type="dxa"/>
              <w:left w:w="0" w:type="dxa"/>
              <w:bottom w:w="150" w:type="dxa"/>
              <w:right w:w="240" w:type="dxa"/>
            </w:tcMar>
            <w:vAlign w:val="center"/>
            <w:hideMark/>
          </w:tcPr>
          <w:p w14:paraId="6DDC95D8" w14:textId="77777777" w:rsidR="00C65011" w:rsidRPr="00C65011" w:rsidRDefault="00C65011" w:rsidP="00C65011">
            <w:pPr>
              <w:spacing w:after="0" w:line="240" w:lineRule="auto"/>
              <w:rPr>
                <w:rFonts w:ascii="Times New Roman" w:hAnsi="Times New Roman" w:cs="Times New Roman"/>
                <w:sz w:val="28"/>
                <w:szCs w:val="28"/>
              </w:rPr>
            </w:pPr>
          </w:p>
        </w:tc>
        <w:tc>
          <w:tcPr>
            <w:tcW w:w="0" w:type="auto"/>
            <w:tcMar>
              <w:top w:w="150" w:type="dxa"/>
              <w:left w:w="240" w:type="dxa"/>
              <w:bottom w:w="150" w:type="dxa"/>
              <w:right w:w="240" w:type="dxa"/>
            </w:tcMar>
            <w:vAlign w:val="center"/>
            <w:hideMark/>
          </w:tcPr>
          <w:p w14:paraId="426D7A0D"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Ribavirin (DR*)</w:t>
            </w:r>
          </w:p>
        </w:tc>
        <w:tc>
          <w:tcPr>
            <w:tcW w:w="0" w:type="auto"/>
            <w:tcMar>
              <w:top w:w="150" w:type="dxa"/>
              <w:left w:w="240" w:type="dxa"/>
              <w:bottom w:w="150" w:type="dxa"/>
              <w:right w:w="240" w:type="dxa"/>
            </w:tcMar>
            <w:vAlign w:val="center"/>
            <w:hideMark/>
          </w:tcPr>
          <w:p w14:paraId="7CF024DA"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200, 150, 100, 50</w:t>
            </w:r>
          </w:p>
        </w:tc>
        <w:tc>
          <w:tcPr>
            <w:tcW w:w="0" w:type="auto"/>
            <w:tcMar>
              <w:top w:w="150" w:type="dxa"/>
              <w:left w:w="240" w:type="dxa"/>
              <w:bottom w:w="150" w:type="dxa"/>
              <w:right w:w="0" w:type="dxa"/>
            </w:tcMar>
            <w:vAlign w:val="center"/>
            <w:hideMark/>
          </w:tcPr>
          <w:p w14:paraId="23C2C11F"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9-12</w:t>
            </w:r>
          </w:p>
        </w:tc>
      </w:tr>
      <w:tr w:rsidR="00C65011" w:rsidRPr="00C65011" w14:paraId="2517ABD8" w14:textId="77777777" w:rsidTr="00C65011">
        <w:trPr>
          <w:jc w:val="center"/>
        </w:trPr>
        <w:tc>
          <w:tcPr>
            <w:tcW w:w="0" w:type="auto"/>
            <w:tcMar>
              <w:top w:w="150" w:type="dxa"/>
              <w:left w:w="0" w:type="dxa"/>
              <w:bottom w:w="150" w:type="dxa"/>
              <w:right w:w="240" w:type="dxa"/>
            </w:tcMar>
            <w:vAlign w:val="center"/>
            <w:hideMark/>
          </w:tcPr>
          <w:p w14:paraId="647E652F"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4</w:t>
            </w:r>
          </w:p>
        </w:tc>
        <w:tc>
          <w:tcPr>
            <w:tcW w:w="0" w:type="auto"/>
            <w:tcMar>
              <w:top w:w="150" w:type="dxa"/>
              <w:left w:w="240" w:type="dxa"/>
              <w:bottom w:w="150" w:type="dxa"/>
              <w:right w:w="240" w:type="dxa"/>
            </w:tcMar>
            <w:vAlign w:val="center"/>
            <w:hideMark/>
          </w:tcPr>
          <w:p w14:paraId="5FFCB109"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Favipiravir</w:t>
            </w:r>
          </w:p>
        </w:tc>
        <w:tc>
          <w:tcPr>
            <w:tcW w:w="0" w:type="auto"/>
            <w:tcMar>
              <w:top w:w="150" w:type="dxa"/>
              <w:left w:w="240" w:type="dxa"/>
              <w:bottom w:w="150" w:type="dxa"/>
              <w:right w:w="240" w:type="dxa"/>
            </w:tcMar>
            <w:vAlign w:val="center"/>
            <w:hideMark/>
          </w:tcPr>
          <w:p w14:paraId="7C20A053"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50</w:t>
            </w:r>
          </w:p>
        </w:tc>
        <w:tc>
          <w:tcPr>
            <w:tcW w:w="0" w:type="auto"/>
            <w:tcMar>
              <w:top w:w="150" w:type="dxa"/>
              <w:left w:w="240" w:type="dxa"/>
              <w:bottom w:w="150" w:type="dxa"/>
              <w:right w:w="0" w:type="dxa"/>
            </w:tcMar>
            <w:vAlign w:val="center"/>
            <w:hideMark/>
          </w:tcPr>
          <w:p w14:paraId="0AB38C3D"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1-4</w:t>
            </w:r>
          </w:p>
        </w:tc>
      </w:tr>
      <w:tr w:rsidR="00C65011" w:rsidRPr="00C65011" w14:paraId="2E77C8B7" w14:textId="77777777" w:rsidTr="00C65011">
        <w:trPr>
          <w:jc w:val="center"/>
        </w:trPr>
        <w:tc>
          <w:tcPr>
            <w:tcW w:w="0" w:type="auto"/>
            <w:tcMar>
              <w:top w:w="150" w:type="dxa"/>
              <w:left w:w="0" w:type="dxa"/>
              <w:bottom w:w="150" w:type="dxa"/>
              <w:right w:w="240" w:type="dxa"/>
            </w:tcMar>
            <w:vAlign w:val="center"/>
            <w:hideMark/>
          </w:tcPr>
          <w:p w14:paraId="18285357" w14:textId="77777777" w:rsidR="00C65011" w:rsidRPr="00C65011" w:rsidRDefault="00C65011" w:rsidP="00C65011">
            <w:pPr>
              <w:spacing w:after="0" w:line="240" w:lineRule="auto"/>
              <w:rPr>
                <w:rFonts w:ascii="Times New Roman" w:hAnsi="Times New Roman" w:cs="Times New Roman"/>
                <w:sz w:val="28"/>
                <w:szCs w:val="28"/>
              </w:rPr>
            </w:pPr>
          </w:p>
        </w:tc>
        <w:tc>
          <w:tcPr>
            <w:tcW w:w="0" w:type="auto"/>
            <w:tcMar>
              <w:top w:w="150" w:type="dxa"/>
              <w:left w:w="240" w:type="dxa"/>
              <w:bottom w:w="150" w:type="dxa"/>
              <w:right w:w="240" w:type="dxa"/>
            </w:tcMar>
            <w:vAlign w:val="center"/>
            <w:hideMark/>
          </w:tcPr>
          <w:p w14:paraId="5E11EA39"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Favipiravir (DR*)</w:t>
            </w:r>
          </w:p>
        </w:tc>
        <w:tc>
          <w:tcPr>
            <w:tcW w:w="0" w:type="auto"/>
            <w:tcMar>
              <w:top w:w="150" w:type="dxa"/>
              <w:left w:w="240" w:type="dxa"/>
              <w:bottom w:w="150" w:type="dxa"/>
              <w:right w:w="240" w:type="dxa"/>
            </w:tcMar>
            <w:vAlign w:val="center"/>
            <w:hideMark/>
          </w:tcPr>
          <w:p w14:paraId="705380B2"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200, 150, 100, 50</w:t>
            </w:r>
          </w:p>
        </w:tc>
        <w:tc>
          <w:tcPr>
            <w:tcW w:w="0" w:type="auto"/>
            <w:tcMar>
              <w:top w:w="150" w:type="dxa"/>
              <w:left w:w="240" w:type="dxa"/>
              <w:bottom w:w="150" w:type="dxa"/>
              <w:right w:w="0" w:type="dxa"/>
            </w:tcMar>
            <w:vAlign w:val="center"/>
            <w:hideMark/>
          </w:tcPr>
          <w:p w14:paraId="4E7D0D65"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5-8</w:t>
            </w:r>
          </w:p>
        </w:tc>
      </w:tr>
      <w:tr w:rsidR="00C65011" w:rsidRPr="00C65011" w14:paraId="1C31CBF6" w14:textId="77777777" w:rsidTr="00C65011">
        <w:trPr>
          <w:jc w:val="center"/>
        </w:trPr>
        <w:tc>
          <w:tcPr>
            <w:tcW w:w="0" w:type="auto"/>
            <w:tcMar>
              <w:top w:w="150" w:type="dxa"/>
              <w:left w:w="0" w:type="dxa"/>
              <w:bottom w:w="150" w:type="dxa"/>
              <w:right w:w="240" w:type="dxa"/>
            </w:tcMar>
            <w:vAlign w:val="center"/>
            <w:hideMark/>
          </w:tcPr>
          <w:p w14:paraId="445BD2F9"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5</w:t>
            </w:r>
          </w:p>
        </w:tc>
        <w:tc>
          <w:tcPr>
            <w:tcW w:w="0" w:type="auto"/>
            <w:tcMar>
              <w:top w:w="150" w:type="dxa"/>
              <w:left w:w="240" w:type="dxa"/>
              <w:bottom w:w="150" w:type="dxa"/>
              <w:right w:w="240" w:type="dxa"/>
            </w:tcMar>
            <w:vAlign w:val="center"/>
            <w:hideMark/>
          </w:tcPr>
          <w:p w14:paraId="11B960AB"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Tenofovir (TDF)</w:t>
            </w:r>
          </w:p>
        </w:tc>
        <w:tc>
          <w:tcPr>
            <w:tcW w:w="0" w:type="auto"/>
            <w:tcMar>
              <w:top w:w="150" w:type="dxa"/>
              <w:left w:w="240" w:type="dxa"/>
              <w:bottom w:w="150" w:type="dxa"/>
              <w:right w:w="240" w:type="dxa"/>
            </w:tcMar>
            <w:vAlign w:val="center"/>
            <w:hideMark/>
          </w:tcPr>
          <w:p w14:paraId="0FBE3B2B"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50</w:t>
            </w:r>
          </w:p>
        </w:tc>
        <w:tc>
          <w:tcPr>
            <w:tcW w:w="0" w:type="auto"/>
            <w:tcMar>
              <w:top w:w="150" w:type="dxa"/>
              <w:left w:w="240" w:type="dxa"/>
              <w:bottom w:w="150" w:type="dxa"/>
              <w:right w:w="0" w:type="dxa"/>
            </w:tcMar>
            <w:vAlign w:val="center"/>
            <w:hideMark/>
          </w:tcPr>
          <w:p w14:paraId="0FF09932"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9-12</w:t>
            </w:r>
          </w:p>
        </w:tc>
      </w:tr>
      <w:tr w:rsidR="00C65011" w:rsidRPr="00C65011" w14:paraId="4125D931" w14:textId="77777777" w:rsidTr="00C65011">
        <w:trPr>
          <w:jc w:val="center"/>
        </w:trPr>
        <w:tc>
          <w:tcPr>
            <w:tcW w:w="0" w:type="auto"/>
            <w:tcMar>
              <w:top w:w="150" w:type="dxa"/>
              <w:left w:w="0" w:type="dxa"/>
              <w:bottom w:w="150" w:type="dxa"/>
              <w:right w:w="240" w:type="dxa"/>
            </w:tcMar>
            <w:vAlign w:val="center"/>
            <w:hideMark/>
          </w:tcPr>
          <w:p w14:paraId="3D6A6A11" w14:textId="77777777" w:rsidR="00C65011" w:rsidRPr="00C65011" w:rsidRDefault="00C65011" w:rsidP="00C65011">
            <w:pPr>
              <w:spacing w:after="0" w:line="240" w:lineRule="auto"/>
              <w:rPr>
                <w:rFonts w:ascii="Times New Roman" w:hAnsi="Times New Roman" w:cs="Times New Roman"/>
                <w:sz w:val="28"/>
                <w:szCs w:val="28"/>
              </w:rPr>
            </w:pPr>
          </w:p>
        </w:tc>
        <w:tc>
          <w:tcPr>
            <w:tcW w:w="0" w:type="auto"/>
            <w:tcMar>
              <w:top w:w="150" w:type="dxa"/>
              <w:left w:w="240" w:type="dxa"/>
              <w:bottom w:w="150" w:type="dxa"/>
              <w:right w:w="240" w:type="dxa"/>
            </w:tcMar>
            <w:vAlign w:val="center"/>
            <w:hideMark/>
          </w:tcPr>
          <w:p w14:paraId="3673F5E1"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Tenofovir (DR*)</w:t>
            </w:r>
          </w:p>
        </w:tc>
        <w:tc>
          <w:tcPr>
            <w:tcW w:w="0" w:type="auto"/>
            <w:tcMar>
              <w:top w:w="150" w:type="dxa"/>
              <w:left w:w="240" w:type="dxa"/>
              <w:bottom w:w="150" w:type="dxa"/>
              <w:right w:w="240" w:type="dxa"/>
            </w:tcMar>
            <w:vAlign w:val="center"/>
            <w:hideMark/>
          </w:tcPr>
          <w:p w14:paraId="19AC7B34"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200, 150, 100, 50</w:t>
            </w:r>
          </w:p>
        </w:tc>
        <w:tc>
          <w:tcPr>
            <w:tcW w:w="0" w:type="auto"/>
            <w:tcMar>
              <w:top w:w="150" w:type="dxa"/>
              <w:left w:w="240" w:type="dxa"/>
              <w:bottom w:w="150" w:type="dxa"/>
              <w:right w:w="0" w:type="dxa"/>
            </w:tcMar>
            <w:vAlign w:val="center"/>
            <w:hideMark/>
          </w:tcPr>
          <w:p w14:paraId="08FF31CA" w14:textId="77777777" w:rsidR="00C65011" w:rsidRPr="00C65011" w:rsidRDefault="00C65011" w:rsidP="00C65011">
            <w:pPr>
              <w:spacing w:after="0" w:line="240" w:lineRule="auto"/>
              <w:rPr>
                <w:rFonts w:ascii="Times New Roman" w:hAnsi="Times New Roman" w:cs="Times New Roman"/>
                <w:sz w:val="28"/>
                <w:szCs w:val="28"/>
              </w:rPr>
            </w:pPr>
            <w:r w:rsidRPr="00C65011">
              <w:rPr>
                <w:rFonts w:ascii="Times New Roman" w:hAnsi="Times New Roman" w:cs="Times New Roman"/>
                <w:sz w:val="28"/>
                <w:szCs w:val="28"/>
              </w:rPr>
              <w:t>13-16**</w:t>
            </w:r>
          </w:p>
        </w:tc>
      </w:tr>
    </w:tbl>
    <w:p w14:paraId="6409F93A" w14:textId="77777777" w:rsidR="00C65011" w:rsidRPr="00C65011" w:rsidRDefault="00C65011" w:rsidP="00C65011">
      <w:pPr>
        <w:spacing w:after="0" w:line="240" w:lineRule="auto"/>
        <w:rPr>
          <w:rFonts w:ascii="Times New Roman" w:hAnsi="Times New Roman" w:cs="Times New Roman"/>
          <w:sz w:val="28"/>
          <w:szCs w:val="28"/>
          <w:lang w:val="en-US"/>
        </w:rPr>
      </w:pPr>
      <w:r w:rsidRPr="00C65011">
        <w:rPr>
          <w:rFonts w:ascii="Times New Roman" w:hAnsi="Times New Roman" w:cs="Times New Roman"/>
          <w:sz w:val="28"/>
          <w:szCs w:val="28"/>
          <w:lang w:val="en-US"/>
        </w:rPr>
        <w:t>*DR - Dose Response.</w:t>
      </w:r>
      <w:r w:rsidRPr="00C65011">
        <w:rPr>
          <w:rFonts w:ascii="Times New Roman" w:hAnsi="Times New Roman" w:cs="Times New Roman"/>
          <w:sz w:val="28"/>
          <w:szCs w:val="28"/>
          <w:lang w:val="en-US"/>
        </w:rPr>
        <w:br/>
        <w:t>** Note: The original data did not specify columns for the Tenofovir DR; this is a logical extension assuming a 96-well plate layout.</w:t>
      </w:r>
    </w:p>
    <w:p w14:paraId="2A2A21BD" w14:textId="77777777" w:rsidR="00955C3F" w:rsidRPr="00BF3DB2" w:rsidRDefault="00955C3F" w:rsidP="003107E0">
      <w:pPr>
        <w:spacing w:after="0" w:line="240" w:lineRule="auto"/>
        <w:ind w:firstLineChars="709" w:firstLine="1985"/>
        <w:rPr>
          <w:rFonts w:ascii="Times New Roman" w:hAnsi="Times New Roman" w:cs="Times New Roman"/>
          <w:sz w:val="28"/>
          <w:szCs w:val="28"/>
        </w:rPr>
      </w:pPr>
    </w:p>
    <w:p w14:paraId="1B5ABDEA" w14:textId="14C9F535" w:rsidR="006302B2" w:rsidRPr="00BF3DB2" w:rsidRDefault="005C3647" w:rsidP="003107E0">
      <w:pPr>
        <w:spacing w:after="0" w:line="240" w:lineRule="auto"/>
        <w:ind w:firstLine="709"/>
        <w:jc w:val="both"/>
        <w:rPr>
          <w:rFonts w:ascii="Times New Roman" w:hAnsi="Times New Roman" w:cs="Times New Roman"/>
          <w:sz w:val="28"/>
          <w:szCs w:val="28"/>
        </w:rPr>
      </w:pPr>
      <w:r w:rsidRPr="005C3647">
        <w:rPr>
          <w:rFonts w:ascii="Times New Roman" w:hAnsi="Times New Roman" w:cs="Times New Roman"/>
          <w:sz w:val="28"/>
          <w:szCs w:val="28"/>
        </w:rPr>
        <w:t>CCK8-testing of fixed concentrations; however, the four concentrations can be visually validated</w:t>
      </w:r>
      <w:r>
        <w:rPr>
          <w:rFonts w:ascii="Times New Roman" w:hAnsi="Times New Roman" w:cs="Times New Roman"/>
          <w:sz w:val="28"/>
          <w:szCs w:val="28"/>
        </w:rPr>
        <w:t xml:space="preserve">. </w:t>
      </w:r>
      <w:r w:rsidR="006302B2" w:rsidRPr="00BF3DB2">
        <w:rPr>
          <w:rFonts w:ascii="Times New Roman" w:hAnsi="Times New Roman" w:cs="Times New Roman"/>
          <w:sz w:val="28"/>
          <w:szCs w:val="28"/>
        </w:rPr>
        <w:t>Columns 1–2 represent the cell control (uninfected</w:t>
      </w:r>
      <w:r w:rsidR="00FD2E80">
        <w:rPr>
          <w:rFonts w:ascii="Times New Roman" w:hAnsi="Times New Roman" w:cs="Times New Roman"/>
          <w:sz w:val="28"/>
          <w:szCs w:val="28"/>
        </w:rPr>
        <w:t>, untreated wells), serving as a baseline for assessing</w:t>
      </w:r>
      <w:r w:rsidR="006302B2" w:rsidRPr="00BF3DB2">
        <w:rPr>
          <w:rFonts w:ascii="Times New Roman" w:hAnsi="Times New Roman" w:cs="Times New Roman"/>
          <w:sz w:val="28"/>
          <w:szCs w:val="28"/>
        </w:rPr>
        <w:t xml:space="preserve"> cell viability and morphology in the absence of viral challenge. Columns 3–5 correspond to the virus control (VC), containing infected but untreated cells, </w:t>
      </w:r>
      <w:r w:rsidR="00FD2E80">
        <w:rPr>
          <w:rFonts w:ascii="Times New Roman" w:hAnsi="Times New Roman" w:cs="Times New Roman"/>
          <w:sz w:val="28"/>
          <w:szCs w:val="28"/>
        </w:rPr>
        <w:t xml:space="preserve">which serve as a reference for viral cytopathic effects and for </w:t>
      </w:r>
      <w:r w:rsidR="006302B2" w:rsidRPr="00BF3DB2">
        <w:rPr>
          <w:rFonts w:ascii="Times New Roman" w:hAnsi="Times New Roman" w:cs="Times New Roman"/>
          <w:sz w:val="28"/>
          <w:szCs w:val="28"/>
        </w:rPr>
        <w:t>quantifying infection efficiency.</w:t>
      </w:r>
    </w:p>
    <w:p w14:paraId="11C04FA1" w14:textId="48DC8174" w:rsidR="006302B2" w:rsidRPr="00BF3DB2" w:rsidRDefault="006302B2" w:rsidP="00BF3DB2">
      <w:pPr>
        <w:spacing w:after="0" w:line="240" w:lineRule="auto"/>
        <w:ind w:firstLine="708"/>
        <w:jc w:val="both"/>
        <w:rPr>
          <w:rFonts w:ascii="Times New Roman" w:hAnsi="Times New Roman" w:cs="Times New Roman"/>
          <w:sz w:val="28"/>
          <w:szCs w:val="28"/>
        </w:rPr>
      </w:pPr>
      <w:r w:rsidRPr="00BF3DB2">
        <w:rPr>
          <w:rFonts w:ascii="Times New Roman" w:hAnsi="Times New Roman" w:cs="Times New Roman"/>
          <w:sz w:val="28"/>
          <w:szCs w:val="28"/>
        </w:rPr>
        <w:t xml:space="preserve">Columns 6–8, 9–11, and 12 </w:t>
      </w:r>
      <w:r w:rsidR="00C9457B" w:rsidRPr="00BF3DB2">
        <w:rPr>
          <w:rFonts w:ascii="Times New Roman" w:hAnsi="Times New Roman" w:cs="Times New Roman"/>
          <w:sz w:val="28"/>
          <w:szCs w:val="28"/>
        </w:rPr>
        <w:t xml:space="preserve">“Table 3” </w:t>
      </w:r>
      <w:r w:rsidRPr="00BF3DB2">
        <w:rPr>
          <w:rFonts w:ascii="Times New Roman" w:hAnsi="Times New Roman" w:cs="Times New Roman"/>
          <w:sz w:val="28"/>
          <w:szCs w:val="28"/>
        </w:rPr>
        <w:t xml:space="preserve">include wells treated with Ribavirin, Favipiravir, and Tenofovir disoproxil fumarate (TDF), respectively, each administered at a fixed concentration of 50 µg/mL. These serve as primary antiviral test conditions for comparing drug efficacy under standardised viral load and cell density. Row B introduces an additional dimension — dose-response (DR) experiments — in which each antiviral compound is tested across a concentration gradient (200, 150, 100, and </w:t>
      </w:r>
      <w:r w:rsidRPr="00BF3DB2">
        <w:rPr>
          <w:rFonts w:ascii="Times New Roman" w:hAnsi="Times New Roman" w:cs="Times New Roman"/>
          <w:sz w:val="28"/>
          <w:szCs w:val="28"/>
        </w:rPr>
        <w:lastRenderedPageBreak/>
        <w:t>50 µg/mL). This enables the evaluation of dose-dependent antiviral activity and the determination of key pharmacological parameters, such as the IC₅₀ value (</w:t>
      </w:r>
      <w:r w:rsidR="009B4DA5" w:rsidRPr="00BF3DB2">
        <w:rPr>
          <w:rFonts w:ascii="Times New Roman" w:hAnsi="Times New Roman" w:cs="Times New Roman"/>
          <w:sz w:val="28"/>
          <w:szCs w:val="28"/>
        </w:rPr>
        <w:t>the concentration at which 50% of the maximum effect is achieved</w:t>
      </w:r>
      <w:r w:rsidRPr="00BF3DB2">
        <w:rPr>
          <w:rFonts w:ascii="Times New Roman" w:hAnsi="Times New Roman" w:cs="Times New Roman"/>
          <w:sz w:val="28"/>
          <w:szCs w:val="28"/>
        </w:rPr>
        <w:t>).</w:t>
      </w:r>
    </w:p>
    <w:p w14:paraId="6BD6ACAC" w14:textId="6D989606" w:rsidR="00EE561E" w:rsidRDefault="006302B2" w:rsidP="008572A2">
      <w:pPr>
        <w:spacing w:after="0" w:line="240" w:lineRule="auto"/>
        <w:ind w:firstLine="708"/>
        <w:jc w:val="both"/>
        <w:rPr>
          <w:rFonts w:ascii="Times New Roman" w:hAnsi="Times New Roman" w:cs="Times New Roman"/>
          <w:sz w:val="28"/>
          <w:szCs w:val="28"/>
        </w:rPr>
      </w:pPr>
      <w:r w:rsidRPr="008572A2">
        <w:rPr>
          <w:rFonts w:ascii="Times New Roman" w:hAnsi="Times New Roman" w:cs="Times New Roman"/>
          <w:sz w:val="28"/>
          <w:szCs w:val="28"/>
        </w:rPr>
        <w:t>Overall, this layout ensures a structured and reproducible approach to comparing antiviral potency, cytotoxicity, and concentration-dependent effects of candidate compounds relative to both virus-only and cell-only controls.</w:t>
      </w:r>
    </w:p>
    <w:p w14:paraId="247AD741" w14:textId="77777777" w:rsidR="00510F85" w:rsidRPr="008572A2" w:rsidRDefault="00510F85" w:rsidP="008572A2">
      <w:pPr>
        <w:spacing w:after="0" w:line="240" w:lineRule="auto"/>
        <w:ind w:firstLine="708"/>
        <w:jc w:val="both"/>
        <w:rPr>
          <w:rFonts w:ascii="Times New Roman" w:hAnsi="Times New Roman" w:cs="Times New Roman"/>
          <w:sz w:val="28"/>
          <w:szCs w:val="28"/>
        </w:rPr>
      </w:pPr>
    </w:p>
    <w:p w14:paraId="004CF788" w14:textId="29B2173D" w:rsidR="008572A2" w:rsidRDefault="00955C3F" w:rsidP="008572A2">
      <w:pPr>
        <w:spacing w:after="0" w:line="240" w:lineRule="auto"/>
        <w:jc w:val="both"/>
        <w:rPr>
          <w:rFonts w:ascii="Times New Roman" w:hAnsi="Times New Roman" w:cs="Times New Roman"/>
          <w:sz w:val="28"/>
          <w:szCs w:val="28"/>
        </w:rPr>
      </w:pPr>
      <w:r w:rsidRPr="008572A2">
        <w:rPr>
          <w:rFonts w:ascii="Times New Roman" w:hAnsi="Times New Roman" w:cs="Times New Roman"/>
          <w:sz w:val="28"/>
          <w:szCs w:val="28"/>
        </w:rPr>
        <w:t xml:space="preserve">Table </w:t>
      </w:r>
      <w:r w:rsidR="00BA0F95" w:rsidRPr="008572A2">
        <w:rPr>
          <w:rFonts w:ascii="Times New Roman" w:hAnsi="Times New Roman" w:cs="Times New Roman"/>
          <w:sz w:val="28"/>
          <w:szCs w:val="28"/>
        </w:rPr>
        <w:t>3</w:t>
      </w:r>
      <w:r w:rsidR="00C76DAA" w:rsidRPr="008572A2">
        <w:rPr>
          <w:rFonts w:ascii="Times New Roman" w:hAnsi="Times New Roman" w:cs="Times New Roman"/>
          <w:sz w:val="28"/>
          <w:szCs w:val="28"/>
        </w:rPr>
        <w:t xml:space="preserve"> —</w:t>
      </w:r>
      <w:r w:rsidRPr="008572A2">
        <w:rPr>
          <w:rFonts w:ascii="Times New Roman" w:hAnsi="Times New Roman" w:cs="Times New Roman"/>
          <w:sz w:val="28"/>
          <w:szCs w:val="28"/>
        </w:rPr>
        <w:t xml:space="preserve"> The Plate layout for A. 96 wells testing for fixed drug concentrations and antiviral assay, n =5. B.  96 wells testing for four drug concentrations(de-escalating), n=5, in China</w:t>
      </w:r>
    </w:p>
    <w:p w14:paraId="413270E5" w14:textId="77777777" w:rsidR="00510F85" w:rsidRPr="008572A2" w:rsidRDefault="00510F85" w:rsidP="008572A2">
      <w:pPr>
        <w:spacing w:after="0" w:line="240" w:lineRule="auto"/>
        <w:jc w:val="both"/>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752"/>
        <w:gridCol w:w="2353"/>
        <w:gridCol w:w="2978"/>
        <w:gridCol w:w="1496"/>
      </w:tblGrid>
      <w:tr w:rsidR="00947126" w:rsidRPr="00947126" w14:paraId="0BF99147" w14:textId="77777777" w:rsidTr="00AB68E2">
        <w:trPr>
          <w:tblHeader/>
          <w:jc w:val="center"/>
        </w:trPr>
        <w:tc>
          <w:tcPr>
            <w:tcW w:w="0" w:type="auto"/>
            <w:tcMar>
              <w:top w:w="150" w:type="dxa"/>
              <w:left w:w="0" w:type="dxa"/>
              <w:bottom w:w="150" w:type="dxa"/>
              <w:right w:w="240" w:type="dxa"/>
            </w:tcMar>
            <w:vAlign w:val="center"/>
            <w:hideMark/>
          </w:tcPr>
          <w:p w14:paraId="06239CDD"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Group</w:t>
            </w:r>
          </w:p>
        </w:tc>
        <w:tc>
          <w:tcPr>
            <w:tcW w:w="0" w:type="auto"/>
            <w:tcMar>
              <w:top w:w="150" w:type="dxa"/>
              <w:left w:w="240" w:type="dxa"/>
              <w:bottom w:w="150" w:type="dxa"/>
              <w:right w:w="240" w:type="dxa"/>
            </w:tcMar>
            <w:vAlign w:val="center"/>
            <w:hideMark/>
          </w:tcPr>
          <w:p w14:paraId="1F456F4D"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Substance</w:t>
            </w:r>
          </w:p>
        </w:tc>
        <w:tc>
          <w:tcPr>
            <w:tcW w:w="0" w:type="auto"/>
            <w:tcMar>
              <w:top w:w="150" w:type="dxa"/>
              <w:left w:w="240" w:type="dxa"/>
              <w:bottom w:w="150" w:type="dxa"/>
              <w:right w:w="240" w:type="dxa"/>
            </w:tcMar>
            <w:vAlign w:val="center"/>
            <w:hideMark/>
          </w:tcPr>
          <w:p w14:paraId="45CBAC79"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Working concentration, µg/mL</w:t>
            </w:r>
          </w:p>
        </w:tc>
        <w:tc>
          <w:tcPr>
            <w:tcW w:w="0" w:type="auto"/>
            <w:tcMar>
              <w:top w:w="150" w:type="dxa"/>
              <w:left w:w="240" w:type="dxa"/>
              <w:bottom w:w="150" w:type="dxa"/>
              <w:right w:w="240" w:type="dxa"/>
            </w:tcMar>
            <w:vAlign w:val="center"/>
            <w:hideMark/>
          </w:tcPr>
          <w:p w14:paraId="31A46D15"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Wells</w:t>
            </w:r>
          </w:p>
        </w:tc>
      </w:tr>
      <w:tr w:rsidR="00947126" w:rsidRPr="00947126" w14:paraId="34C50C40" w14:textId="77777777" w:rsidTr="00AB68E2">
        <w:trPr>
          <w:jc w:val="center"/>
        </w:trPr>
        <w:tc>
          <w:tcPr>
            <w:tcW w:w="0" w:type="auto"/>
            <w:tcMar>
              <w:top w:w="150" w:type="dxa"/>
              <w:left w:w="0" w:type="dxa"/>
              <w:bottom w:w="150" w:type="dxa"/>
              <w:right w:w="240" w:type="dxa"/>
            </w:tcMar>
            <w:vAlign w:val="center"/>
            <w:hideMark/>
          </w:tcPr>
          <w:p w14:paraId="004711AF"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1</w:t>
            </w:r>
          </w:p>
        </w:tc>
        <w:tc>
          <w:tcPr>
            <w:tcW w:w="0" w:type="auto"/>
            <w:tcMar>
              <w:top w:w="150" w:type="dxa"/>
              <w:left w:w="240" w:type="dxa"/>
              <w:bottom w:w="150" w:type="dxa"/>
              <w:right w:w="240" w:type="dxa"/>
            </w:tcMar>
            <w:vAlign w:val="center"/>
            <w:hideMark/>
          </w:tcPr>
          <w:p w14:paraId="417E2597"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Cell Control (Cell Ctrl)</w:t>
            </w:r>
          </w:p>
        </w:tc>
        <w:tc>
          <w:tcPr>
            <w:tcW w:w="0" w:type="auto"/>
            <w:tcMar>
              <w:top w:w="150" w:type="dxa"/>
              <w:left w:w="240" w:type="dxa"/>
              <w:bottom w:w="150" w:type="dxa"/>
              <w:right w:w="240" w:type="dxa"/>
            </w:tcMar>
            <w:vAlign w:val="center"/>
            <w:hideMark/>
          </w:tcPr>
          <w:p w14:paraId="1F74E27B"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w:t>
            </w:r>
          </w:p>
        </w:tc>
        <w:tc>
          <w:tcPr>
            <w:tcW w:w="0" w:type="auto"/>
            <w:tcMar>
              <w:top w:w="150" w:type="dxa"/>
              <w:left w:w="240" w:type="dxa"/>
              <w:bottom w:w="150" w:type="dxa"/>
              <w:right w:w="0" w:type="dxa"/>
            </w:tcMar>
            <w:vAlign w:val="center"/>
            <w:hideMark/>
          </w:tcPr>
          <w:p w14:paraId="62215BA1"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A1, B1</w:t>
            </w:r>
          </w:p>
        </w:tc>
      </w:tr>
      <w:tr w:rsidR="00947126" w:rsidRPr="00947126" w14:paraId="1D4B7946" w14:textId="77777777" w:rsidTr="00AB68E2">
        <w:trPr>
          <w:jc w:val="center"/>
        </w:trPr>
        <w:tc>
          <w:tcPr>
            <w:tcW w:w="0" w:type="auto"/>
            <w:tcMar>
              <w:top w:w="150" w:type="dxa"/>
              <w:left w:w="0" w:type="dxa"/>
              <w:bottom w:w="150" w:type="dxa"/>
              <w:right w:w="240" w:type="dxa"/>
            </w:tcMar>
            <w:vAlign w:val="center"/>
            <w:hideMark/>
          </w:tcPr>
          <w:p w14:paraId="0673C826"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2</w:t>
            </w:r>
          </w:p>
        </w:tc>
        <w:tc>
          <w:tcPr>
            <w:tcW w:w="0" w:type="auto"/>
            <w:tcMar>
              <w:top w:w="150" w:type="dxa"/>
              <w:left w:w="240" w:type="dxa"/>
              <w:bottom w:w="150" w:type="dxa"/>
              <w:right w:w="240" w:type="dxa"/>
            </w:tcMar>
            <w:vAlign w:val="center"/>
            <w:hideMark/>
          </w:tcPr>
          <w:p w14:paraId="22D20591"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Virus Control (VC)</w:t>
            </w:r>
          </w:p>
        </w:tc>
        <w:tc>
          <w:tcPr>
            <w:tcW w:w="0" w:type="auto"/>
            <w:tcMar>
              <w:top w:w="150" w:type="dxa"/>
              <w:left w:w="240" w:type="dxa"/>
              <w:bottom w:w="150" w:type="dxa"/>
              <w:right w:w="240" w:type="dxa"/>
            </w:tcMar>
            <w:vAlign w:val="center"/>
            <w:hideMark/>
          </w:tcPr>
          <w:p w14:paraId="6E2C4225"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w:t>
            </w:r>
          </w:p>
        </w:tc>
        <w:tc>
          <w:tcPr>
            <w:tcW w:w="0" w:type="auto"/>
            <w:tcMar>
              <w:top w:w="150" w:type="dxa"/>
              <w:left w:w="240" w:type="dxa"/>
              <w:bottom w:w="150" w:type="dxa"/>
              <w:right w:w="0" w:type="dxa"/>
            </w:tcMar>
            <w:vAlign w:val="center"/>
            <w:hideMark/>
          </w:tcPr>
          <w:p w14:paraId="32F287AB"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C1, D1, E1</w:t>
            </w:r>
          </w:p>
        </w:tc>
      </w:tr>
      <w:tr w:rsidR="00947126" w:rsidRPr="00947126" w14:paraId="1714593C" w14:textId="77777777" w:rsidTr="00AB68E2">
        <w:trPr>
          <w:jc w:val="center"/>
        </w:trPr>
        <w:tc>
          <w:tcPr>
            <w:tcW w:w="0" w:type="auto"/>
            <w:tcMar>
              <w:top w:w="150" w:type="dxa"/>
              <w:left w:w="0" w:type="dxa"/>
              <w:bottom w:w="150" w:type="dxa"/>
              <w:right w:w="240" w:type="dxa"/>
            </w:tcMar>
            <w:vAlign w:val="center"/>
            <w:hideMark/>
          </w:tcPr>
          <w:p w14:paraId="73783736"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3</w:t>
            </w:r>
          </w:p>
        </w:tc>
        <w:tc>
          <w:tcPr>
            <w:tcW w:w="0" w:type="auto"/>
            <w:tcMar>
              <w:top w:w="150" w:type="dxa"/>
              <w:left w:w="240" w:type="dxa"/>
              <w:bottom w:w="150" w:type="dxa"/>
              <w:right w:w="240" w:type="dxa"/>
            </w:tcMar>
            <w:vAlign w:val="center"/>
            <w:hideMark/>
          </w:tcPr>
          <w:p w14:paraId="65EB0914"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Ribavirin</w:t>
            </w:r>
          </w:p>
        </w:tc>
        <w:tc>
          <w:tcPr>
            <w:tcW w:w="0" w:type="auto"/>
            <w:tcMar>
              <w:top w:w="150" w:type="dxa"/>
              <w:left w:w="240" w:type="dxa"/>
              <w:bottom w:w="150" w:type="dxa"/>
              <w:right w:w="240" w:type="dxa"/>
            </w:tcMar>
            <w:vAlign w:val="center"/>
            <w:hideMark/>
          </w:tcPr>
          <w:p w14:paraId="04C824DA"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50</w:t>
            </w:r>
          </w:p>
        </w:tc>
        <w:tc>
          <w:tcPr>
            <w:tcW w:w="0" w:type="auto"/>
            <w:tcMar>
              <w:top w:w="150" w:type="dxa"/>
              <w:left w:w="240" w:type="dxa"/>
              <w:bottom w:w="150" w:type="dxa"/>
              <w:right w:w="0" w:type="dxa"/>
            </w:tcMar>
            <w:vAlign w:val="center"/>
            <w:hideMark/>
          </w:tcPr>
          <w:p w14:paraId="0D3A77D8"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F1, G1, H1</w:t>
            </w:r>
          </w:p>
        </w:tc>
      </w:tr>
      <w:tr w:rsidR="00947126" w:rsidRPr="00947126" w14:paraId="471A3DFF" w14:textId="77777777" w:rsidTr="00AB68E2">
        <w:trPr>
          <w:jc w:val="center"/>
        </w:trPr>
        <w:tc>
          <w:tcPr>
            <w:tcW w:w="0" w:type="auto"/>
            <w:tcMar>
              <w:top w:w="150" w:type="dxa"/>
              <w:left w:w="0" w:type="dxa"/>
              <w:bottom w:w="150" w:type="dxa"/>
              <w:right w:w="240" w:type="dxa"/>
            </w:tcMar>
            <w:vAlign w:val="center"/>
            <w:hideMark/>
          </w:tcPr>
          <w:p w14:paraId="02B01C61" w14:textId="77777777" w:rsidR="00947126" w:rsidRPr="00947126" w:rsidRDefault="00947126" w:rsidP="00947126">
            <w:pPr>
              <w:spacing w:after="0" w:line="360" w:lineRule="auto"/>
              <w:jc w:val="both"/>
              <w:rPr>
                <w:rFonts w:ascii="Times New Roman" w:hAnsi="Times New Roman" w:cs="Times New Roman"/>
                <w:sz w:val="20"/>
                <w:szCs w:val="20"/>
              </w:rPr>
            </w:pPr>
          </w:p>
        </w:tc>
        <w:tc>
          <w:tcPr>
            <w:tcW w:w="0" w:type="auto"/>
            <w:tcMar>
              <w:top w:w="150" w:type="dxa"/>
              <w:left w:w="240" w:type="dxa"/>
              <w:bottom w:w="150" w:type="dxa"/>
              <w:right w:w="240" w:type="dxa"/>
            </w:tcMar>
            <w:vAlign w:val="center"/>
            <w:hideMark/>
          </w:tcPr>
          <w:p w14:paraId="393D76F3"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Ribavirin (DR)*</w:t>
            </w:r>
          </w:p>
        </w:tc>
        <w:tc>
          <w:tcPr>
            <w:tcW w:w="0" w:type="auto"/>
            <w:tcMar>
              <w:top w:w="150" w:type="dxa"/>
              <w:left w:w="240" w:type="dxa"/>
              <w:bottom w:w="150" w:type="dxa"/>
              <w:right w:w="240" w:type="dxa"/>
            </w:tcMar>
            <w:vAlign w:val="center"/>
            <w:hideMark/>
          </w:tcPr>
          <w:p w14:paraId="06092D96"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200, 150, 100, 50</w:t>
            </w:r>
          </w:p>
        </w:tc>
        <w:tc>
          <w:tcPr>
            <w:tcW w:w="0" w:type="auto"/>
            <w:tcMar>
              <w:top w:w="150" w:type="dxa"/>
              <w:left w:w="240" w:type="dxa"/>
              <w:bottom w:w="150" w:type="dxa"/>
              <w:right w:w="0" w:type="dxa"/>
            </w:tcMar>
            <w:vAlign w:val="center"/>
            <w:hideMark/>
          </w:tcPr>
          <w:p w14:paraId="29268DCA"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A2, B2, C2, D2</w:t>
            </w:r>
          </w:p>
        </w:tc>
      </w:tr>
      <w:tr w:rsidR="00947126" w:rsidRPr="00947126" w14:paraId="7D780484" w14:textId="77777777" w:rsidTr="00AB68E2">
        <w:trPr>
          <w:jc w:val="center"/>
        </w:trPr>
        <w:tc>
          <w:tcPr>
            <w:tcW w:w="0" w:type="auto"/>
            <w:tcMar>
              <w:top w:w="150" w:type="dxa"/>
              <w:left w:w="0" w:type="dxa"/>
              <w:bottom w:w="150" w:type="dxa"/>
              <w:right w:w="240" w:type="dxa"/>
            </w:tcMar>
            <w:vAlign w:val="center"/>
            <w:hideMark/>
          </w:tcPr>
          <w:p w14:paraId="54C941A4"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4</w:t>
            </w:r>
          </w:p>
        </w:tc>
        <w:tc>
          <w:tcPr>
            <w:tcW w:w="0" w:type="auto"/>
            <w:tcMar>
              <w:top w:w="150" w:type="dxa"/>
              <w:left w:w="240" w:type="dxa"/>
              <w:bottom w:w="150" w:type="dxa"/>
              <w:right w:w="240" w:type="dxa"/>
            </w:tcMar>
            <w:vAlign w:val="center"/>
            <w:hideMark/>
          </w:tcPr>
          <w:p w14:paraId="47E820E5"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Favipiravir</w:t>
            </w:r>
          </w:p>
        </w:tc>
        <w:tc>
          <w:tcPr>
            <w:tcW w:w="0" w:type="auto"/>
            <w:tcMar>
              <w:top w:w="150" w:type="dxa"/>
              <w:left w:w="240" w:type="dxa"/>
              <w:bottom w:w="150" w:type="dxa"/>
              <w:right w:w="240" w:type="dxa"/>
            </w:tcMar>
            <w:vAlign w:val="center"/>
            <w:hideMark/>
          </w:tcPr>
          <w:p w14:paraId="2F42D5BF"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50</w:t>
            </w:r>
          </w:p>
        </w:tc>
        <w:tc>
          <w:tcPr>
            <w:tcW w:w="0" w:type="auto"/>
            <w:tcMar>
              <w:top w:w="150" w:type="dxa"/>
              <w:left w:w="240" w:type="dxa"/>
              <w:bottom w:w="150" w:type="dxa"/>
              <w:right w:w="0" w:type="dxa"/>
            </w:tcMar>
            <w:vAlign w:val="center"/>
            <w:hideMark/>
          </w:tcPr>
          <w:p w14:paraId="320ED116"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E2, F2, G2, H2</w:t>
            </w:r>
          </w:p>
        </w:tc>
      </w:tr>
      <w:tr w:rsidR="00947126" w:rsidRPr="00947126" w14:paraId="16481C71" w14:textId="77777777" w:rsidTr="00AB68E2">
        <w:trPr>
          <w:jc w:val="center"/>
        </w:trPr>
        <w:tc>
          <w:tcPr>
            <w:tcW w:w="0" w:type="auto"/>
            <w:tcMar>
              <w:top w:w="150" w:type="dxa"/>
              <w:left w:w="0" w:type="dxa"/>
              <w:bottom w:w="150" w:type="dxa"/>
              <w:right w:w="240" w:type="dxa"/>
            </w:tcMar>
            <w:vAlign w:val="center"/>
            <w:hideMark/>
          </w:tcPr>
          <w:p w14:paraId="00523FC2" w14:textId="77777777" w:rsidR="00947126" w:rsidRPr="00947126" w:rsidRDefault="00947126" w:rsidP="00947126">
            <w:pPr>
              <w:spacing w:after="0" w:line="360" w:lineRule="auto"/>
              <w:jc w:val="both"/>
              <w:rPr>
                <w:rFonts w:ascii="Times New Roman" w:hAnsi="Times New Roman" w:cs="Times New Roman"/>
                <w:sz w:val="20"/>
                <w:szCs w:val="20"/>
              </w:rPr>
            </w:pPr>
          </w:p>
        </w:tc>
        <w:tc>
          <w:tcPr>
            <w:tcW w:w="0" w:type="auto"/>
            <w:tcMar>
              <w:top w:w="150" w:type="dxa"/>
              <w:left w:w="240" w:type="dxa"/>
              <w:bottom w:w="150" w:type="dxa"/>
              <w:right w:w="240" w:type="dxa"/>
            </w:tcMar>
            <w:vAlign w:val="center"/>
            <w:hideMark/>
          </w:tcPr>
          <w:p w14:paraId="6E649611"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Favipiravir (DR)*</w:t>
            </w:r>
          </w:p>
        </w:tc>
        <w:tc>
          <w:tcPr>
            <w:tcW w:w="0" w:type="auto"/>
            <w:tcMar>
              <w:top w:w="150" w:type="dxa"/>
              <w:left w:w="240" w:type="dxa"/>
              <w:bottom w:w="150" w:type="dxa"/>
              <w:right w:w="240" w:type="dxa"/>
            </w:tcMar>
            <w:vAlign w:val="center"/>
            <w:hideMark/>
          </w:tcPr>
          <w:p w14:paraId="23DE0AE8"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200, 150, 100, 50</w:t>
            </w:r>
          </w:p>
        </w:tc>
        <w:tc>
          <w:tcPr>
            <w:tcW w:w="0" w:type="auto"/>
            <w:tcMar>
              <w:top w:w="150" w:type="dxa"/>
              <w:left w:w="240" w:type="dxa"/>
              <w:bottom w:w="150" w:type="dxa"/>
              <w:right w:w="0" w:type="dxa"/>
            </w:tcMar>
            <w:vAlign w:val="center"/>
            <w:hideMark/>
          </w:tcPr>
          <w:p w14:paraId="18552A65"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A3, B3, C3, D3</w:t>
            </w:r>
          </w:p>
        </w:tc>
      </w:tr>
      <w:tr w:rsidR="00947126" w:rsidRPr="00947126" w14:paraId="66DBAE59" w14:textId="77777777" w:rsidTr="00AB68E2">
        <w:trPr>
          <w:jc w:val="center"/>
        </w:trPr>
        <w:tc>
          <w:tcPr>
            <w:tcW w:w="0" w:type="auto"/>
            <w:tcMar>
              <w:top w:w="150" w:type="dxa"/>
              <w:left w:w="0" w:type="dxa"/>
              <w:bottom w:w="150" w:type="dxa"/>
              <w:right w:w="240" w:type="dxa"/>
            </w:tcMar>
            <w:vAlign w:val="center"/>
            <w:hideMark/>
          </w:tcPr>
          <w:p w14:paraId="6777D3EB"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5</w:t>
            </w:r>
          </w:p>
        </w:tc>
        <w:tc>
          <w:tcPr>
            <w:tcW w:w="0" w:type="auto"/>
            <w:tcMar>
              <w:top w:w="150" w:type="dxa"/>
              <w:left w:w="240" w:type="dxa"/>
              <w:bottom w:w="150" w:type="dxa"/>
              <w:right w:w="240" w:type="dxa"/>
            </w:tcMar>
            <w:vAlign w:val="center"/>
            <w:hideMark/>
          </w:tcPr>
          <w:p w14:paraId="7B09D966"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Tenofovir (TDF)</w:t>
            </w:r>
          </w:p>
        </w:tc>
        <w:tc>
          <w:tcPr>
            <w:tcW w:w="0" w:type="auto"/>
            <w:tcMar>
              <w:top w:w="150" w:type="dxa"/>
              <w:left w:w="240" w:type="dxa"/>
              <w:bottom w:w="150" w:type="dxa"/>
              <w:right w:w="240" w:type="dxa"/>
            </w:tcMar>
            <w:vAlign w:val="center"/>
            <w:hideMark/>
          </w:tcPr>
          <w:p w14:paraId="43E627FF"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50</w:t>
            </w:r>
          </w:p>
        </w:tc>
        <w:tc>
          <w:tcPr>
            <w:tcW w:w="0" w:type="auto"/>
            <w:tcMar>
              <w:top w:w="150" w:type="dxa"/>
              <w:left w:w="240" w:type="dxa"/>
              <w:bottom w:w="150" w:type="dxa"/>
              <w:right w:w="0" w:type="dxa"/>
            </w:tcMar>
            <w:vAlign w:val="center"/>
            <w:hideMark/>
          </w:tcPr>
          <w:p w14:paraId="6F994AE9"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E3, F3, G3, H3</w:t>
            </w:r>
          </w:p>
        </w:tc>
      </w:tr>
      <w:tr w:rsidR="00947126" w:rsidRPr="00947126" w14:paraId="3B3196FA" w14:textId="77777777" w:rsidTr="00AB68E2">
        <w:trPr>
          <w:jc w:val="center"/>
        </w:trPr>
        <w:tc>
          <w:tcPr>
            <w:tcW w:w="0" w:type="auto"/>
            <w:tcMar>
              <w:top w:w="150" w:type="dxa"/>
              <w:left w:w="0" w:type="dxa"/>
              <w:bottom w:w="150" w:type="dxa"/>
              <w:right w:w="240" w:type="dxa"/>
            </w:tcMar>
            <w:vAlign w:val="center"/>
            <w:hideMark/>
          </w:tcPr>
          <w:p w14:paraId="14BC8724" w14:textId="77777777" w:rsidR="00947126" w:rsidRPr="00947126" w:rsidRDefault="00947126" w:rsidP="00947126">
            <w:pPr>
              <w:spacing w:after="0" w:line="360" w:lineRule="auto"/>
              <w:jc w:val="both"/>
              <w:rPr>
                <w:rFonts w:ascii="Times New Roman" w:hAnsi="Times New Roman" w:cs="Times New Roman"/>
                <w:sz w:val="20"/>
                <w:szCs w:val="20"/>
              </w:rPr>
            </w:pPr>
          </w:p>
        </w:tc>
        <w:tc>
          <w:tcPr>
            <w:tcW w:w="0" w:type="auto"/>
            <w:tcMar>
              <w:top w:w="150" w:type="dxa"/>
              <w:left w:w="240" w:type="dxa"/>
              <w:bottom w:w="150" w:type="dxa"/>
              <w:right w:w="240" w:type="dxa"/>
            </w:tcMar>
            <w:vAlign w:val="center"/>
            <w:hideMark/>
          </w:tcPr>
          <w:p w14:paraId="1F993EC1"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Tenofovir (DR)*</w:t>
            </w:r>
          </w:p>
        </w:tc>
        <w:tc>
          <w:tcPr>
            <w:tcW w:w="0" w:type="auto"/>
            <w:tcMar>
              <w:top w:w="150" w:type="dxa"/>
              <w:left w:w="240" w:type="dxa"/>
              <w:bottom w:w="150" w:type="dxa"/>
              <w:right w:w="240" w:type="dxa"/>
            </w:tcMar>
            <w:vAlign w:val="center"/>
            <w:hideMark/>
          </w:tcPr>
          <w:p w14:paraId="55094150"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200, 150, 100, 50</w:t>
            </w:r>
          </w:p>
        </w:tc>
        <w:tc>
          <w:tcPr>
            <w:tcW w:w="0" w:type="auto"/>
            <w:tcMar>
              <w:top w:w="150" w:type="dxa"/>
              <w:left w:w="240" w:type="dxa"/>
              <w:bottom w:w="150" w:type="dxa"/>
              <w:right w:w="0" w:type="dxa"/>
            </w:tcMar>
            <w:vAlign w:val="center"/>
            <w:hideMark/>
          </w:tcPr>
          <w:p w14:paraId="5F1B73AD" w14:textId="77777777" w:rsidR="00947126" w:rsidRPr="00947126" w:rsidRDefault="00947126" w:rsidP="00947126">
            <w:pPr>
              <w:spacing w:after="0" w:line="360" w:lineRule="auto"/>
              <w:jc w:val="both"/>
              <w:rPr>
                <w:rFonts w:ascii="Times New Roman" w:hAnsi="Times New Roman" w:cs="Times New Roman"/>
                <w:sz w:val="20"/>
                <w:szCs w:val="20"/>
              </w:rPr>
            </w:pPr>
            <w:r w:rsidRPr="00947126">
              <w:rPr>
                <w:rFonts w:ascii="Times New Roman" w:hAnsi="Times New Roman" w:cs="Times New Roman"/>
                <w:sz w:val="20"/>
                <w:szCs w:val="20"/>
              </w:rPr>
              <w:t>A4, B4, C4, D4</w:t>
            </w:r>
          </w:p>
        </w:tc>
      </w:tr>
    </w:tbl>
    <w:p w14:paraId="7879DA92" w14:textId="47AAD4C7" w:rsidR="00947126" w:rsidRPr="00947126" w:rsidRDefault="00AB68E2" w:rsidP="00AB68E2">
      <w:pPr>
        <w:spacing w:after="0" w:line="360" w:lineRule="auto"/>
        <w:rPr>
          <w:rFonts w:ascii="Times New Roman" w:hAnsi="Times New Roman" w:cs="Times New Roman"/>
          <w:sz w:val="28"/>
          <w:szCs w:val="28"/>
          <w:lang w:val="ru-RU"/>
        </w:rPr>
      </w:pPr>
      <w:r>
        <w:rPr>
          <w:rFonts w:ascii="Times New Roman" w:hAnsi="Times New Roman" w:cs="Times New Roman"/>
          <w:sz w:val="28"/>
          <w:szCs w:val="28"/>
          <w:lang w:val="en-US"/>
        </w:rPr>
        <w:t xml:space="preserve">               </w:t>
      </w:r>
      <w:r w:rsidR="00947126" w:rsidRPr="00947126">
        <w:rPr>
          <w:rFonts w:ascii="Times New Roman" w:hAnsi="Times New Roman" w:cs="Times New Roman"/>
          <w:sz w:val="28"/>
          <w:szCs w:val="28"/>
          <w:lang w:val="ru-RU"/>
        </w:rPr>
        <w:t xml:space="preserve">Note: </w:t>
      </w:r>
      <w:r w:rsidR="00947126" w:rsidRPr="00C65011">
        <w:rPr>
          <w:rFonts w:ascii="Times New Roman" w:hAnsi="Times New Roman" w:cs="Times New Roman"/>
          <w:sz w:val="28"/>
          <w:szCs w:val="28"/>
          <w:lang w:val="en-US"/>
        </w:rPr>
        <w:t>*</w:t>
      </w:r>
      <w:r w:rsidR="00947126" w:rsidRPr="00947126">
        <w:rPr>
          <w:rFonts w:ascii="Times New Roman" w:hAnsi="Times New Roman" w:cs="Times New Roman"/>
          <w:sz w:val="28"/>
          <w:szCs w:val="28"/>
          <w:lang w:val="ru-RU"/>
        </w:rPr>
        <w:t xml:space="preserve">DR – </w:t>
      </w:r>
      <w:r w:rsidR="00947126" w:rsidRPr="00947126">
        <w:rPr>
          <w:rFonts w:ascii="Times New Roman" w:hAnsi="Times New Roman" w:cs="Times New Roman"/>
          <w:sz w:val="28"/>
          <w:szCs w:val="28"/>
        </w:rPr>
        <w:t>Dose R</w:t>
      </w:r>
      <w:r w:rsidR="00947126" w:rsidRPr="00947126">
        <w:rPr>
          <w:rFonts w:ascii="Times New Roman" w:hAnsi="Times New Roman" w:cs="Times New Roman"/>
          <w:sz w:val="28"/>
          <w:szCs w:val="28"/>
          <w:lang w:val="ru-RU"/>
        </w:rPr>
        <w:t>esponse.</w:t>
      </w:r>
    </w:p>
    <w:p w14:paraId="4DAAA993" w14:textId="77777777" w:rsidR="00510F85" w:rsidRDefault="00510F85" w:rsidP="00510F85">
      <w:pPr>
        <w:spacing w:after="0" w:line="360" w:lineRule="auto"/>
        <w:jc w:val="both"/>
        <w:rPr>
          <w:rFonts w:ascii="Times New Roman" w:hAnsi="Times New Roman" w:cs="Times New Roman"/>
          <w:sz w:val="24"/>
          <w:szCs w:val="24"/>
        </w:rPr>
      </w:pPr>
    </w:p>
    <w:p w14:paraId="2D4D1BAD" w14:textId="3541C651" w:rsidR="00951CAF" w:rsidRPr="00AA6A03" w:rsidRDefault="00510F85" w:rsidP="00510F85">
      <w:pPr>
        <w:spacing w:after="0" w:line="360" w:lineRule="auto"/>
        <w:ind w:firstLine="709"/>
        <w:jc w:val="both"/>
        <w:rPr>
          <w:rFonts w:ascii="Times New Roman" w:hAnsi="Times New Roman" w:cs="Times New Roman"/>
          <w:sz w:val="28"/>
          <w:szCs w:val="28"/>
        </w:rPr>
      </w:pPr>
      <w:r w:rsidRPr="00AA6A03">
        <w:rPr>
          <w:rFonts w:ascii="Times New Roman" w:hAnsi="Times New Roman" w:cs="Times New Roman"/>
          <w:sz w:val="28"/>
          <w:szCs w:val="28"/>
        </w:rPr>
        <w:t>MTT-testing of fixed concentrations; however, the four concentrations can be visually validated.</w:t>
      </w:r>
    </w:p>
    <w:p w14:paraId="31B7D3AF" w14:textId="23BAAB81" w:rsidR="00955C3F" w:rsidRPr="005F22CD" w:rsidRDefault="00955C3F" w:rsidP="005F22CD">
      <w:pPr>
        <w:numPr>
          <w:ilvl w:val="0"/>
          <w:numId w:val="35"/>
        </w:numPr>
        <w:spacing w:after="0" w:line="240" w:lineRule="auto"/>
        <w:ind w:leftChars="-1" w:left="-2" w:firstLine="1"/>
        <w:jc w:val="both"/>
        <w:rPr>
          <w:rFonts w:ascii="Times New Roman" w:hAnsi="Times New Roman" w:cs="Times New Roman"/>
          <w:sz w:val="28"/>
          <w:szCs w:val="28"/>
        </w:rPr>
      </w:pPr>
      <w:r w:rsidRPr="005F22CD">
        <w:rPr>
          <w:rFonts w:ascii="Times New Roman" w:hAnsi="Times New Roman" w:cs="Times New Roman"/>
          <w:sz w:val="28"/>
          <w:szCs w:val="28"/>
        </w:rPr>
        <w:t>DR = Dose-response (4 concentrations, e.g., 200,150,100. 50 µg/mL).</w:t>
      </w:r>
    </w:p>
    <w:p w14:paraId="7440A32F" w14:textId="77777777" w:rsidR="00955C3F" w:rsidRPr="005F22CD" w:rsidRDefault="00955C3F" w:rsidP="005F22CD">
      <w:pPr>
        <w:numPr>
          <w:ilvl w:val="0"/>
          <w:numId w:val="35"/>
        </w:numPr>
        <w:spacing w:after="0" w:line="240" w:lineRule="auto"/>
        <w:ind w:leftChars="-1" w:left="-2" w:firstLine="1"/>
        <w:jc w:val="both"/>
        <w:rPr>
          <w:rFonts w:ascii="Times New Roman" w:hAnsi="Times New Roman" w:cs="Times New Roman"/>
          <w:sz w:val="28"/>
          <w:szCs w:val="28"/>
        </w:rPr>
      </w:pPr>
      <w:r w:rsidRPr="005F22CD">
        <w:rPr>
          <w:rFonts w:ascii="Times New Roman" w:hAnsi="Times New Roman" w:cs="Times New Roman"/>
          <w:sz w:val="28"/>
          <w:szCs w:val="28"/>
        </w:rPr>
        <w:t>Row A-D: Uninfected cells (for cytotoxicity).</w:t>
      </w:r>
    </w:p>
    <w:p w14:paraId="2F6E54D7" w14:textId="00FACA13" w:rsidR="00955C3F" w:rsidRPr="005F22CD" w:rsidRDefault="00955C3F" w:rsidP="005F22CD">
      <w:pPr>
        <w:numPr>
          <w:ilvl w:val="0"/>
          <w:numId w:val="35"/>
        </w:numPr>
        <w:spacing w:after="0" w:line="240" w:lineRule="auto"/>
        <w:ind w:leftChars="-1" w:left="-2" w:firstLine="1"/>
        <w:jc w:val="both"/>
        <w:rPr>
          <w:rFonts w:ascii="Times New Roman" w:hAnsi="Times New Roman" w:cs="Times New Roman"/>
          <w:sz w:val="28"/>
          <w:szCs w:val="28"/>
        </w:rPr>
      </w:pPr>
      <w:r w:rsidRPr="005F22CD">
        <w:rPr>
          <w:rFonts w:ascii="Times New Roman" w:hAnsi="Times New Roman" w:cs="Times New Roman"/>
          <w:sz w:val="28"/>
          <w:szCs w:val="28"/>
        </w:rPr>
        <w:t>Row E-H: SARS-CoV-2-infected cells (for antiviral activity</w:t>
      </w:r>
    </w:p>
    <w:p w14:paraId="6B00DD5F" w14:textId="2147A4FB" w:rsidR="00437442" w:rsidRPr="005F22CD" w:rsidRDefault="00437442" w:rsidP="005F22CD">
      <w:pPr>
        <w:spacing w:after="0" w:line="240" w:lineRule="auto"/>
        <w:ind w:leftChars="-1" w:left="-2" w:firstLine="1"/>
        <w:jc w:val="both"/>
        <w:rPr>
          <w:rFonts w:ascii="Times New Roman" w:hAnsi="Times New Roman" w:cs="Times New Roman"/>
          <w:i/>
          <w:iCs/>
          <w:sz w:val="28"/>
          <w:szCs w:val="28"/>
          <w:u w:val="single"/>
        </w:rPr>
      </w:pPr>
      <w:r w:rsidRPr="005F22CD">
        <w:rPr>
          <w:rFonts w:ascii="Times New Roman" w:hAnsi="Times New Roman" w:cs="Times New Roman"/>
          <w:i/>
          <w:iCs/>
          <w:sz w:val="28"/>
          <w:szCs w:val="28"/>
        </w:rPr>
        <w:t xml:space="preserve"> </w:t>
      </w:r>
      <w:r w:rsidR="00071865" w:rsidRPr="005F22CD">
        <w:rPr>
          <w:rFonts w:ascii="Times New Roman" w:hAnsi="Times New Roman" w:cs="Times New Roman"/>
          <w:i/>
          <w:iCs/>
          <w:sz w:val="28"/>
          <w:szCs w:val="28"/>
          <w:lang w:val="en-US"/>
        </w:rPr>
        <w:tab/>
      </w:r>
      <w:r w:rsidRPr="005F22CD">
        <w:rPr>
          <w:rFonts w:ascii="Times New Roman" w:hAnsi="Times New Roman" w:cs="Times New Roman"/>
          <w:i/>
          <w:iCs/>
          <w:sz w:val="28"/>
          <w:szCs w:val="28"/>
          <w:u w:val="single"/>
        </w:rPr>
        <w:t>Drug Preparation</w:t>
      </w:r>
    </w:p>
    <w:p w14:paraId="18C07224" w14:textId="6FD04A83" w:rsidR="0033465D" w:rsidRPr="005F22CD" w:rsidRDefault="00F624D4" w:rsidP="005F22CD">
      <w:pPr>
        <w:spacing w:after="0" w:line="240" w:lineRule="auto"/>
        <w:ind w:firstLine="709"/>
        <w:jc w:val="both"/>
        <w:rPr>
          <w:rFonts w:ascii="Times New Roman" w:hAnsi="Times New Roman" w:cs="Times New Roman"/>
          <w:sz w:val="28"/>
          <w:szCs w:val="28"/>
          <w:lang w:val="en-US"/>
        </w:rPr>
      </w:pPr>
      <w:r w:rsidRPr="005F22CD">
        <w:rPr>
          <w:rFonts w:ascii="Times New Roman" w:hAnsi="Times New Roman" w:cs="Times New Roman"/>
          <w:sz w:val="28"/>
          <w:szCs w:val="28"/>
        </w:rPr>
        <w:t xml:space="preserve">Drug preparation involved </w:t>
      </w:r>
      <w:r w:rsidR="00FD2E80">
        <w:rPr>
          <w:rFonts w:ascii="Times New Roman" w:hAnsi="Times New Roman" w:cs="Times New Roman"/>
          <w:sz w:val="28"/>
          <w:szCs w:val="28"/>
        </w:rPr>
        <w:t>preparing</w:t>
      </w:r>
      <w:r w:rsidRPr="005F22CD">
        <w:rPr>
          <w:rFonts w:ascii="Times New Roman" w:hAnsi="Times New Roman" w:cs="Times New Roman"/>
          <w:sz w:val="28"/>
          <w:szCs w:val="28"/>
        </w:rPr>
        <w:t xml:space="preserve"> stock solutions of ribavirin, favipiravir, and tenofovir alafenamide (TAF) at 10 mM in DMSO. For experimental use, working concentrations were prepared as a fixed dose of 50 µg/mL diluted in serum-free DMEM, and for dose–response studies, serial dilutions ranging from 200 to 50 µg/mL were used.</w:t>
      </w:r>
    </w:p>
    <w:p w14:paraId="47B70D92" w14:textId="6A1B0B43" w:rsidR="005C525C" w:rsidRPr="005F22CD" w:rsidRDefault="005C525C" w:rsidP="005F22CD">
      <w:pPr>
        <w:spacing w:after="0" w:line="240" w:lineRule="auto"/>
        <w:ind w:firstLine="708"/>
        <w:jc w:val="both"/>
        <w:rPr>
          <w:rFonts w:ascii="Times New Roman" w:hAnsi="Times New Roman" w:cs="Times New Roman"/>
          <w:i/>
          <w:iCs/>
          <w:sz w:val="28"/>
          <w:szCs w:val="28"/>
          <w:u w:val="single"/>
        </w:rPr>
      </w:pPr>
      <w:r w:rsidRPr="005F22CD">
        <w:rPr>
          <w:rFonts w:ascii="Times New Roman" w:hAnsi="Times New Roman" w:cs="Times New Roman"/>
          <w:i/>
          <w:iCs/>
          <w:sz w:val="28"/>
          <w:szCs w:val="28"/>
          <w:u w:val="single"/>
        </w:rPr>
        <w:lastRenderedPageBreak/>
        <w:t>Infection &amp; Treatment</w:t>
      </w:r>
    </w:p>
    <w:p w14:paraId="07F47744" w14:textId="7A88943D" w:rsidR="000E0EAA" w:rsidRPr="005F22CD" w:rsidRDefault="000E0EAA" w:rsidP="005F22CD">
      <w:pPr>
        <w:spacing w:after="0" w:line="240" w:lineRule="auto"/>
        <w:ind w:firstLine="708"/>
        <w:jc w:val="both"/>
        <w:rPr>
          <w:rFonts w:ascii="Times New Roman" w:hAnsi="Times New Roman" w:cs="Times New Roman"/>
          <w:sz w:val="28"/>
          <w:szCs w:val="28"/>
          <w:lang w:val="en-US"/>
        </w:rPr>
      </w:pPr>
      <w:r w:rsidRPr="005F22CD">
        <w:rPr>
          <w:rFonts w:ascii="Times New Roman" w:hAnsi="Times New Roman" w:cs="Times New Roman"/>
          <w:sz w:val="28"/>
          <w:szCs w:val="28"/>
          <w:lang w:val="en-US"/>
        </w:rPr>
        <w:t>The infection and treatment procedure involved seeding Vero E6 cells (2 × 10⁴ cells per well) in 96-well plates on Day 0 and incubating them for 24 hours at 37 °C with 5% CO₂. On Day 1, cells in rows E–H were infected with SARS-CoV-2 at an MOI of 0.05 in serum-free DMEM for 1 hour at 37 °C, followed by removal of the inoculum and a single PBS wash. Designated wells then received drug treatments at a fixed dose of 50 µg/mL or dose–response concentrations</w:t>
      </w:r>
      <w:r w:rsidR="00FC0EB8" w:rsidRPr="005F22CD">
        <w:rPr>
          <w:rFonts w:ascii="Times New Roman" w:hAnsi="Times New Roman" w:cs="Times New Roman"/>
          <w:sz w:val="28"/>
          <w:szCs w:val="28"/>
          <w:lang w:val="en-US"/>
        </w:rPr>
        <w:t>. At the same time,</w:t>
      </w:r>
      <w:r w:rsidRPr="005F22CD">
        <w:rPr>
          <w:rFonts w:ascii="Times New Roman" w:hAnsi="Times New Roman" w:cs="Times New Roman"/>
          <w:sz w:val="28"/>
          <w:szCs w:val="28"/>
          <w:lang w:val="en-US"/>
        </w:rPr>
        <w:t xml:space="preserve"> control groups included uninfected (cell control), infected without drug (virus control), and solvent control (0.1% DMSO). Cultures were incubated for 48 hours at 37 °C and 5% CO₂.</w:t>
      </w:r>
    </w:p>
    <w:p w14:paraId="48902878" w14:textId="08DD2EC4" w:rsidR="000E0EAA" w:rsidRPr="005F22CD" w:rsidRDefault="000E0EAA" w:rsidP="005F22CD">
      <w:pPr>
        <w:spacing w:after="0" w:line="240" w:lineRule="auto"/>
        <w:jc w:val="both"/>
        <w:rPr>
          <w:rFonts w:ascii="Times New Roman" w:hAnsi="Times New Roman" w:cs="Times New Roman"/>
          <w:sz w:val="28"/>
          <w:szCs w:val="28"/>
          <w:lang w:val="en-US"/>
        </w:rPr>
      </w:pPr>
      <w:r w:rsidRPr="005F22CD">
        <w:rPr>
          <w:rFonts w:ascii="Times New Roman" w:hAnsi="Times New Roman" w:cs="Times New Roman"/>
          <w:sz w:val="28"/>
          <w:szCs w:val="28"/>
          <w:lang w:val="en-US"/>
        </w:rPr>
        <w:t xml:space="preserve">Following incubation, supernatants were collected for viral RNA extraction (qRT-PCR). For cytotoxicity assessment (rows A–D), 10 µL of </w:t>
      </w:r>
      <w:proofErr w:type="spellStart"/>
      <w:r w:rsidRPr="005F22CD">
        <w:rPr>
          <w:rFonts w:ascii="Times New Roman" w:hAnsi="Times New Roman" w:cs="Times New Roman"/>
          <w:sz w:val="28"/>
          <w:szCs w:val="28"/>
          <w:lang w:val="en-US"/>
        </w:rPr>
        <w:t>PrestoBlue</w:t>
      </w:r>
      <w:proofErr w:type="spellEnd"/>
      <w:r w:rsidRPr="005F22CD">
        <w:rPr>
          <w:rFonts w:ascii="Times New Roman" w:hAnsi="Times New Roman" w:cs="Times New Roman"/>
          <w:sz w:val="28"/>
          <w:szCs w:val="28"/>
          <w:lang w:val="en-US"/>
        </w:rPr>
        <w:t xml:space="preserve"> or MTT reagent was added, incubated for 2 hours, and absorbance was measured at 570 nm (or fluorescence at 560ₑₓ/590ₑₘ). For antiviral activity evaluation (rows E–H), cells were lysed in RLT buffer to isolate intracellular viral RNA for further analysis.</w:t>
      </w:r>
    </w:p>
    <w:p w14:paraId="5AD6252C" w14:textId="7F95B0DE" w:rsidR="000E0EAA" w:rsidRPr="005F22CD" w:rsidRDefault="000E0EAA" w:rsidP="005F22CD">
      <w:pPr>
        <w:spacing w:after="0" w:line="240" w:lineRule="auto"/>
        <w:ind w:firstLine="708"/>
        <w:jc w:val="both"/>
        <w:rPr>
          <w:rFonts w:ascii="Times New Roman" w:hAnsi="Times New Roman" w:cs="Times New Roman"/>
          <w:sz w:val="28"/>
          <w:szCs w:val="28"/>
          <w:lang w:val="en-US"/>
        </w:rPr>
      </w:pPr>
      <w:r w:rsidRPr="005F22CD">
        <w:rPr>
          <w:rFonts w:ascii="Times New Roman" w:hAnsi="Times New Roman" w:cs="Times New Roman"/>
          <w:sz w:val="28"/>
          <w:szCs w:val="28"/>
          <w:lang w:val="en-US"/>
        </w:rPr>
        <w:t xml:space="preserve">In Kazakhstan, cytotoxicity was assessed in rows A–D by adding 10 µL of CCK-8 reagent (WST-8 formazan) to each well, </w:t>
      </w:r>
      <w:r w:rsidR="00FD2E80">
        <w:rPr>
          <w:rFonts w:ascii="Times New Roman" w:hAnsi="Times New Roman" w:cs="Times New Roman"/>
          <w:sz w:val="28"/>
          <w:szCs w:val="28"/>
          <w:lang w:val="en-US"/>
        </w:rPr>
        <w:t>incubating for 1 hour, and measuring</w:t>
      </w:r>
      <w:r w:rsidRPr="005F22CD">
        <w:rPr>
          <w:rFonts w:ascii="Times New Roman" w:hAnsi="Times New Roman" w:cs="Times New Roman"/>
          <w:sz w:val="28"/>
          <w:szCs w:val="28"/>
          <w:lang w:val="en-US"/>
        </w:rPr>
        <w:t xml:space="preserve"> absorbance at 450 nm or fluorescence at 450ₑₓ/480ₑₘ.</w:t>
      </w:r>
    </w:p>
    <w:p w14:paraId="19A44AE9" w14:textId="77777777" w:rsidR="00AF61DE" w:rsidRDefault="000E0EAA" w:rsidP="005F22CD">
      <w:pPr>
        <w:spacing w:after="0" w:line="240" w:lineRule="auto"/>
        <w:ind w:firstLine="708"/>
        <w:jc w:val="both"/>
        <w:rPr>
          <w:rFonts w:ascii="Times New Roman" w:hAnsi="Times New Roman" w:cs="Times New Roman"/>
          <w:sz w:val="28"/>
          <w:szCs w:val="28"/>
          <w:lang w:val="en-US"/>
        </w:rPr>
      </w:pPr>
      <w:r w:rsidRPr="005F22CD">
        <w:rPr>
          <w:rFonts w:ascii="Times New Roman" w:hAnsi="Times New Roman" w:cs="Times New Roman"/>
          <w:sz w:val="28"/>
          <w:szCs w:val="28"/>
          <w:lang w:val="en-US"/>
        </w:rPr>
        <w:t xml:space="preserve">For quantitative RT-PCR (qRT-PCR) analysis of SARS-CoV-2, amplification targeted the N gene using 65 specific primers. A standard curve was generated from serial dilutions of SARS-CoV-2 RNA (10¹–10⁸ copies/µL) </w:t>
      </w:r>
    </w:p>
    <w:p w14:paraId="4C1A21D0" w14:textId="36D80E2B" w:rsidR="00226539" w:rsidRPr="005F22CD" w:rsidRDefault="00853685" w:rsidP="005F22CD">
      <w:pPr>
        <w:spacing w:after="0" w:line="240" w:lineRule="auto"/>
        <w:ind w:firstLine="708"/>
        <w:jc w:val="both"/>
        <w:rPr>
          <w:rFonts w:ascii="Times New Roman" w:hAnsi="Times New Roman" w:cs="Times New Roman"/>
          <w:i/>
          <w:iCs/>
          <w:sz w:val="28"/>
          <w:szCs w:val="28"/>
          <w:u w:val="single"/>
        </w:rPr>
      </w:pPr>
      <w:r w:rsidRPr="005F22CD">
        <w:rPr>
          <w:rFonts w:ascii="Times New Roman" w:hAnsi="Times New Roman" w:cs="Times New Roman"/>
          <w:b/>
          <w:bCs/>
          <w:i/>
          <w:iCs/>
          <w:sz w:val="28"/>
          <w:szCs w:val="28"/>
          <w:u w:val="single"/>
        </w:rPr>
        <w:t xml:space="preserve"> </w:t>
      </w:r>
      <w:r w:rsidRPr="005F22CD">
        <w:rPr>
          <w:rFonts w:ascii="Times New Roman" w:hAnsi="Times New Roman" w:cs="Times New Roman"/>
          <w:i/>
          <w:iCs/>
          <w:sz w:val="28"/>
          <w:szCs w:val="28"/>
          <w:u w:val="single"/>
        </w:rPr>
        <w:t xml:space="preserve">Cell- cytotoxicity assay </w:t>
      </w:r>
    </w:p>
    <w:p w14:paraId="3E2F7B89" w14:textId="3208FCF6" w:rsidR="00B06752" w:rsidRDefault="00853685" w:rsidP="005F22CD">
      <w:pPr>
        <w:spacing w:after="0" w:line="240" w:lineRule="auto"/>
        <w:ind w:firstLine="708"/>
        <w:jc w:val="both"/>
        <w:rPr>
          <w:rFonts w:ascii="Times New Roman" w:hAnsi="Times New Roman" w:cs="Times New Roman"/>
          <w:sz w:val="28"/>
          <w:szCs w:val="28"/>
        </w:rPr>
      </w:pPr>
      <w:bookmarkStart w:id="23" w:name="_Hlk164102903"/>
      <w:r w:rsidRPr="005F22CD">
        <w:rPr>
          <w:rFonts w:ascii="Times New Roman" w:hAnsi="Times New Roman" w:cs="Times New Roman"/>
          <w:i/>
          <w:iCs/>
          <w:sz w:val="28"/>
          <w:szCs w:val="28"/>
          <w:u w:val="single"/>
        </w:rPr>
        <w:t>Dose escalation in vitro</w:t>
      </w:r>
      <w:r w:rsidR="000E0EAA" w:rsidRPr="005F22CD">
        <w:rPr>
          <w:rFonts w:ascii="Times New Roman" w:hAnsi="Times New Roman" w:cs="Times New Roman"/>
          <w:i/>
          <w:iCs/>
          <w:sz w:val="28"/>
          <w:szCs w:val="28"/>
        </w:rPr>
        <w:t xml:space="preserve"> </w:t>
      </w:r>
      <w:r w:rsidR="000E0EAA" w:rsidRPr="005F22CD">
        <w:rPr>
          <w:rFonts w:ascii="Times New Roman" w:hAnsi="Times New Roman" w:cs="Times New Roman"/>
          <w:sz w:val="28"/>
          <w:szCs w:val="28"/>
        </w:rPr>
        <w:t xml:space="preserve">is observed when the drug tablet </w:t>
      </w:r>
      <w:r w:rsidR="00FD2E80">
        <w:rPr>
          <w:rFonts w:ascii="Times New Roman" w:hAnsi="Times New Roman" w:cs="Times New Roman"/>
          <w:sz w:val="28"/>
          <w:szCs w:val="28"/>
        </w:rPr>
        <w:t>formulations are dissolved in DMEM</w:t>
      </w:r>
      <w:r w:rsidR="00121633" w:rsidRPr="005F22CD">
        <w:rPr>
          <w:rFonts w:ascii="Times New Roman" w:hAnsi="Times New Roman" w:cs="Times New Roman"/>
          <w:sz w:val="28"/>
          <w:szCs w:val="28"/>
        </w:rPr>
        <w:t xml:space="preserve">, thoroughly mixed at room temperature for 30 minutes, and </w:t>
      </w:r>
      <w:r w:rsidR="00BC1381" w:rsidRPr="005F22CD">
        <w:rPr>
          <w:rFonts w:ascii="Times New Roman" w:hAnsi="Times New Roman" w:cs="Times New Roman"/>
          <w:sz w:val="28"/>
          <w:szCs w:val="28"/>
        </w:rPr>
        <w:t xml:space="preserve">then diluted to the doses specified </w:t>
      </w:r>
      <w:r w:rsidR="00121633" w:rsidRPr="005F22CD">
        <w:rPr>
          <w:rFonts w:ascii="Times New Roman" w:hAnsi="Times New Roman" w:cs="Times New Roman"/>
          <w:sz w:val="28"/>
          <w:szCs w:val="28"/>
        </w:rPr>
        <w:t xml:space="preserve">in </w:t>
      </w:r>
      <w:r w:rsidR="000E0EAA" w:rsidRPr="005F22CD">
        <w:rPr>
          <w:rFonts w:ascii="Times New Roman" w:hAnsi="Times New Roman" w:cs="Times New Roman"/>
          <w:sz w:val="28"/>
          <w:szCs w:val="28"/>
        </w:rPr>
        <w:t>“</w:t>
      </w:r>
      <w:r w:rsidR="00121633" w:rsidRPr="005F22CD">
        <w:rPr>
          <w:rFonts w:ascii="Times New Roman" w:hAnsi="Times New Roman" w:cs="Times New Roman"/>
          <w:sz w:val="28"/>
          <w:szCs w:val="28"/>
        </w:rPr>
        <w:t xml:space="preserve">Table </w:t>
      </w:r>
      <w:r w:rsidR="00005508" w:rsidRPr="005F22CD">
        <w:rPr>
          <w:rFonts w:ascii="Times New Roman" w:hAnsi="Times New Roman" w:cs="Times New Roman"/>
          <w:sz w:val="28"/>
          <w:szCs w:val="28"/>
        </w:rPr>
        <w:t>4</w:t>
      </w:r>
      <w:r w:rsidR="000E0EAA" w:rsidRPr="005F22CD">
        <w:rPr>
          <w:rFonts w:ascii="Times New Roman" w:hAnsi="Times New Roman" w:cs="Times New Roman"/>
          <w:sz w:val="28"/>
          <w:szCs w:val="28"/>
        </w:rPr>
        <w:t>”</w:t>
      </w:r>
      <w:r w:rsidRPr="005F22CD">
        <w:rPr>
          <w:rFonts w:ascii="Times New Roman" w:hAnsi="Times New Roman" w:cs="Times New Roman"/>
          <w:sz w:val="28"/>
          <w:szCs w:val="28"/>
        </w:rPr>
        <w:t xml:space="preserve">.  </w:t>
      </w:r>
    </w:p>
    <w:p w14:paraId="5F7F5803" w14:textId="77777777" w:rsidR="00FD2E80" w:rsidRPr="005F22CD" w:rsidRDefault="00FD2E80" w:rsidP="005F22CD">
      <w:pPr>
        <w:spacing w:after="0" w:line="240" w:lineRule="auto"/>
        <w:ind w:firstLine="708"/>
        <w:jc w:val="both"/>
        <w:rPr>
          <w:rFonts w:ascii="Times New Roman" w:hAnsi="Times New Roman" w:cs="Times New Roman"/>
          <w:sz w:val="28"/>
          <w:szCs w:val="28"/>
        </w:rPr>
      </w:pPr>
    </w:p>
    <w:p w14:paraId="21D6CC97" w14:textId="3128FFE6" w:rsidR="00226539" w:rsidRPr="005F22CD" w:rsidRDefault="00853685" w:rsidP="00A04427">
      <w:pPr>
        <w:spacing w:after="0" w:line="240" w:lineRule="auto"/>
        <w:ind w:firstLine="708"/>
        <w:rPr>
          <w:rFonts w:ascii="Times New Roman" w:hAnsi="Times New Roman" w:cs="Times New Roman"/>
          <w:sz w:val="28"/>
          <w:szCs w:val="28"/>
        </w:rPr>
      </w:pPr>
      <w:r w:rsidRPr="005F22CD">
        <w:rPr>
          <w:rFonts w:ascii="Times New Roman" w:hAnsi="Times New Roman" w:cs="Times New Roman"/>
          <w:sz w:val="28"/>
          <w:szCs w:val="28"/>
        </w:rPr>
        <w:t xml:space="preserve">Table </w:t>
      </w:r>
      <w:r w:rsidR="00D33792" w:rsidRPr="005F22CD">
        <w:rPr>
          <w:rFonts w:ascii="Times New Roman" w:hAnsi="Times New Roman" w:cs="Times New Roman"/>
          <w:sz w:val="28"/>
          <w:szCs w:val="28"/>
        </w:rPr>
        <w:t>4</w:t>
      </w:r>
      <w:r w:rsidRPr="005F22CD">
        <w:rPr>
          <w:rFonts w:ascii="Times New Roman" w:hAnsi="Times New Roman" w:cs="Times New Roman"/>
          <w:sz w:val="28"/>
          <w:szCs w:val="28"/>
        </w:rPr>
        <w:t xml:space="preserve"> </w:t>
      </w:r>
      <w:r w:rsidR="00AC2137" w:rsidRPr="005F22CD">
        <w:rPr>
          <w:rFonts w:ascii="Times New Roman" w:hAnsi="Times New Roman" w:cs="Times New Roman"/>
          <w:sz w:val="28"/>
          <w:szCs w:val="28"/>
        </w:rPr>
        <w:t>–</w:t>
      </w:r>
      <w:r w:rsidRPr="005F22CD">
        <w:rPr>
          <w:rFonts w:ascii="Times New Roman" w:hAnsi="Times New Roman" w:cs="Times New Roman"/>
          <w:sz w:val="28"/>
          <w:szCs w:val="28"/>
        </w:rPr>
        <w:t xml:space="preserve"> The CC-test (cytotoxic test) of </w:t>
      </w:r>
      <w:r w:rsidR="00121633" w:rsidRPr="005F22CD">
        <w:rPr>
          <w:rFonts w:ascii="Times New Roman" w:hAnsi="Times New Roman" w:cs="Times New Roman"/>
          <w:sz w:val="28"/>
          <w:szCs w:val="28"/>
        </w:rPr>
        <w:t>four drugs in increasing stock concentrations and exposure time, with a control for each drug, on E6-vero cells (24-well</w:t>
      </w:r>
      <w:r w:rsidRPr="005F22CD">
        <w:rPr>
          <w:rFonts w:ascii="Times New Roman" w:hAnsi="Times New Roman" w:cs="Times New Roman"/>
          <w:sz w:val="28"/>
          <w:szCs w:val="28"/>
        </w:rPr>
        <w:t xml:space="preserve"> assay)</w:t>
      </w:r>
    </w:p>
    <w:p w14:paraId="0CC788D1" w14:textId="77777777" w:rsidR="005F22CD" w:rsidRPr="00BF3DB2" w:rsidRDefault="005F22CD" w:rsidP="00A04427">
      <w:pPr>
        <w:spacing w:after="0" w:line="240" w:lineRule="auto"/>
        <w:ind w:firstLine="708"/>
        <w:rPr>
          <w:rFonts w:ascii="Times New Roman" w:hAnsi="Times New Roman" w:cs="Times New Roman"/>
          <w:sz w:val="28"/>
          <w:szCs w:val="28"/>
        </w:rPr>
      </w:pPr>
    </w:p>
    <w:tbl>
      <w:tblPr>
        <w:tblStyle w:val="af0"/>
        <w:tblW w:w="0" w:type="auto"/>
        <w:jc w:val="center"/>
        <w:tblLook w:val="04A0" w:firstRow="1" w:lastRow="0" w:firstColumn="1" w:lastColumn="0" w:noHBand="0" w:noVBand="1"/>
      </w:tblPr>
      <w:tblGrid>
        <w:gridCol w:w="1557"/>
        <w:gridCol w:w="1557"/>
        <w:gridCol w:w="1557"/>
        <w:gridCol w:w="1558"/>
        <w:gridCol w:w="1558"/>
        <w:gridCol w:w="1558"/>
      </w:tblGrid>
      <w:tr w:rsidR="00226539" w:rsidRPr="008F5867" w14:paraId="006DF09C" w14:textId="77777777" w:rsidTr="008F5867">
        <w:trPr>
          <w:jc w:val="center"/>
        </w:trPr>
        <w:tc>
          <w:tcPr>
            <w:tcW w:w="1557" w:type="dxa"/>
          </w:tcPr>
          <w:bookmarkEnd w:id="23"/>
          <w:p w14:paraId="48738D67" w14:textId="77777777" w:rsidR="00226539" w:rsidRPr="008F5867" w:rsidRDefault="00853685" w:rsidP="00A04427">
            <w:pPr>
              <w:spacing w:after="0" w:line="240" w:lineRule="auto"/>
              <w:jc w:val="both"/>
              <w:rPr>
                <w:rFonts w:ascii="Times New Roman" w:hAnsi="Times New Roman" w:cs="Times New Roman"/>
                <w:sz w:val="24"/>
                <w:szCs w:val="24"/>
                <w:lang w:val="ru-RU"/>
              </w:rPr>
            </w:pPr>
            <w:r w:rsidRPr="008F5867">
              <w:rPr>
                <w:rFonts w:ascii="Times New Roman" w:hAnsi="Times New Roman" w:cs="Times New Roman"/>
                <w:sz w:val="24"/>
                <w:szCs w:val="24"/>
                <w:lang w:val="ru-RU"/>
              </w:rPr>
              <w:t xml:space="preserve">1Х (4мг/мл) </w:t>
            </w:r>
            <w:r w:rsidRPr="008F5867">
              <w:rPr>
                <w:rFonts w:ascii="Times New Roman" w:hAnsi="Times New Roman" w:cs="Times New Roman"/>
                <w:sz w:val="24"/>
                <w:szCs w:val="24"/>
              </w:rPr>
              <w:t>DEX</w:t>
            </w:r>
            <w:r w:rsidRPr="008F5867">
              <w:rPr>
                <w:rFonts w:ascii="Times New Roman" w:hAnsi="Times New Roman" w:cs="Times New Roman"/>
                <w:sz w:val="24"/>
                <w:szCs w:val="24"/>
                <w:lang w:val="ru-RU"/>
              </w:rPr>
              <w:t>. 1</w:t>
            </w:r>
            <w:r w:rsidRPr="008F5867">
              <w:rPr>
                <w:rFonts w:ascii="Times New Roman" w:hAnsi="Times New Roman" w:cs="Times New Roman"/>
                <w:sz w:val="24"/>
                <w:szCs w:val="24"/>
              </w:rPr>
              <w:t>ml</w:t>
            </w:r>
          </w:p>
          <w:p w14:paraId="14048C60" w14:textId="77777777" w:rsidR="00226539" w:rsidRPr="008F5867" w:rsidRDefault="00853685" w:rsidP="00A04427">
            <w:pPr>
              <w:spacing w:after="0" w:line="240" w:lineRule="auto"/>
              <w:jc w:val="both"/>
              <w:rPr>
                <w:rFonts w:ascii="Times New Roman" w:hAnsi="Times New Roman" w:cs="Times New Roman"/>
                <w:sz w:val="24"/>
                <w:szCs w:val="24"/>
                <w:lang w:val="ru-RU"/>
              </w:rPr>
            </w:pPr>
            <w:r w:rsidRPr="008F5867">
              <w:rPr>
                <w:rFonts w:ascii="Times New Roman" w:hAnsi="Times New Roman" w:cs="Times New Roman"/>
                <w:sz w:val="24"/>
                <w:szCs w:val="24"/>
                <w:lang w:val="ru-RU"/>
              </w:rPr>
              <w:t>10 µ</w:t>
            </w:r>
            <w:r w:rsidRPr="008F5867">
              <w:rPr>
                <w:rFonts w:ascii="Times New Roman" w:hAnsi="Times New Roman" w:cs="Times New Roman"/>
                <w:sz w:val="24"/>
                <w:szCs w:val="24"/>
              </w:rPr>
              <w:t>M</w:t>
            </w:r>
          </w:p>
        </w:tc>
        <w:tc>
          <w:tcPr>
            <w:tcW w:w="1557" w:type="dxa"/>
          </w:tcPr>
          <w:p w14:paraId="0D89FE31" w14:textId="77777777" w:rsidR="00226539" w:rsidRPr="008F5867" w:rsidRDefault="00853685" w:rsidP="00A04427">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2Х в 10 ml</w:t>
            </w:r>
          </w:p>
          <w:p w14:paraId="01E963F0" w14:textId="77777777" w:rsidR="00226539" w:rsidRPr="008F5867" w:rsidRDefault="00853685" w:rsidP="00A04427">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20 µM</w:t>
            </w:r>
          </w:p>
        </w:tc>
        <w:tc>
          <w:tcPr>
            <w:tcW w:w="1557" w:type="dxa"/>
          </w:tcPr>
          <w:p w14:paraId="71ABA243" w14:textId="77777777" w:rsidR="00226539" w:rsidRPr="008F5867" w:rsidRDefault="00853685" w:rsidP="00A04427">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3Х10 ml 30 µM</w:t>
            </w:r>
          </w:p>
        </w:tc>
        <w:tc>
          <w:tcPr>
            <w:tcW w:w="1558" w:type="dxa"/>
          </w:tcPr>
          <w:p w14:paraId="607CC765" w14:textId="77777777" w:rsidR="00226539" w:rsidRPr="008F5867" w:rsidRDefault="00853685" w:rsidP="00A04427">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4Х10 ml</w:t>
            </w:r>
          </w:p>
          <w:p w14:paraId="2DFA638E" w14:textId="77777777" w:rsidR="00226539" w:rsidRPr="008F5867" w:rsidRDefault="00853685" w:rsidP="00A04427">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40 µM</w:t>
            </w:r>
          </w:p>
        </w:tc>
        <w:tc>
          <w:tcPr>
            <w:tcW w:w="1558" w:type="dxa"/>
          </w:tcPr>
          <w:p w14:paraId="79CA0DB5" w14:textId="77777777" w:rsidR="00226539" w:rsidRPr="008F5867" w:rsidRDefault="00853685" w:rsidP="00A04427">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5Х10 ml</w:t>
            </w:r>
          </w:p>
          <w:p w14:paraId="577CD1C3" w14:textId="77777777" w:rsidR="00226539" w:rsidRPr="008F5867" w:rsidRDefault="00853685" w:rsidP="00A04427">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50 µM</w:t>
            </w:r>
          </w:p>
        </w:tc>
        <w:tc>
          <w:tcPr>
            <w:tcW w:w="1558" w:type="dxa"/>
          </w:tcPr>
          <w:p w14:paraId="6A880D2A" w14:textId="77777777" w:rsidR="00226539" w:rsidRPr="008F5867" w:rsidRDefault="00853685" w:rsidP="00A04427">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Control</w:t>
            </w:r>
          </w:p>
        </w:tc>
      </w:tr>
      <w:tr w:rsidR="00226539" w:rsidRPr="008F5867" w14:paraId="48EDC7DA" w14:textId="77777777" w:rsidTr="008F5867">
        <w:trPr>
          <w:jc w:val="center"/>
        </w:trPr>
        <w:tc>
          <w:tcPr>
            <w:tcW w:w="1557" w:type="dxa"/>
          </w:tcPr>
          <w:p w14:paraId="14B436D0" w14:textId="77777777" w:rsidR="00226539" w:rsidRPr="008F5867" w:rsidRDefault="00853685" w:rsidP="002C2BCD">
            <w:pPr>
              <w:spacing w:after="0" w:line="240" w:lineRule="auto"/>
              <w:jc w:val="both"/>
              <w:rPr>
                <w:rFonts w:ascii="Times New Roman" w:hAnsi="Times New Roman" w:cs="Times New Roman"/>
                <w:sz w:val="24"/>
                <w:szCs w:val="24"/>
                <w:lang w:val="ru-RU"/>
              </w:rPr>
            </w:pPr>
            <w:r w:rsidRPr="008F5867">
              <w:rPr>
                <w:rFonts w:ascii="Times New Roman" w:hAnsi="Times New Roman" w:cs="Times New Roman"/>
                <w:sz w:val="24"/>
                <w:szCs w:val="24"/>
                <w:lang w:val="ru-RU"/>
              </w:rPr>
              <w:t>1Х 1300 µ</w:t>
            </w:r>
            <w:r w:rsidRPr="008F5867">
              <w:rPr>
                <w:rFonts w:ascii="Times New Roman" w:hAnsi="Times New Roman" w:cs="Times New Roman"/>
                <w:sz w:val="24"/>
                <w:szCs w:val="24"/>
              </w:rPr>
              <w:t>M</w:t>
            </w:r>
            <w:r w:rsidRPr="008F5867">
              <w:rPr>
                <w:rFonts w:ascii="Times New Roman" w:hAnsi="Times New Roman" w:cs="Times New Roman"/>
                <w:sz w:val="24"/>
                <w:szCs w:val="24"/>
                <w:lang w:val="ru-RU"/>
              </w:rPr>
              <w:t xml:space="preserve"> (200мг/мл) </w:t>
            </w:r>
            <w:r w:rsidRPr="008F5867">
              <w:rPr>
                <w:rFonts w:ascii="Times New Roman" w:hAnsi="Times New Roman" w:cs="Times New Roman"/>
                <w:sz w:val="24"/>
                <w:szCs w:val="24"/>
              </w:rPr>
              <w:t>FAV</w:t>
            </w:r>
            <w:r w:rsidRPr="008F5867">
              <w:rPr>
                <w:rFonts w:ascii="Times New Roman" w:hAnsi="Times New Roman" w:cs="Times New Roman"/>
                <w:sz w:val="24"/>
                <w:szCs w:val="24"/>
                <w:lang w:val="ru-RU"/>
              </w:rPr>
              <w:t xml:space="preserve"> 1</w:t>
            </w:r>
            <w:r w:rsidRPr="008F5867">
              <w:rPr>
                <w:rFonts w:ascii="Times New Roman" w:hAnsi="Times New Roman" w:cs="Times New Roman"/>
                <w:sz w:val="24"/>
                <w:szCs w:val="24"/>
              </w:rPr>
              <w:t>ml</w:t>
            </w:r>
          </w:p>
        </w:tc>
        <w:tc>
          <w:tcPr>
            <w:tcW w:w="1557" w:type="dxa"/>
          </w:tcPr>
          <w:p w14:paraId="60A78E7F"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2Х10ml</w:t>
            </w:r>
          </w:p>
          <w:p w14:paraId="171287AD"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2600µM</w:t>
            </w:r>
          </w:p>
        </w:tc>
        <w:tc>
          <w:tcPr>
            <w:tcW w:w="1557" w:type="dxa"/>
          </w:tcPr>
          <w:p w14:paraId="3CEBB870"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3Х10 ml</w:t>
            </w:r>
          </w:p>
          <w:p w14:paraId="3A0F6A31"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3900µM</w:t>
            </w:r>
          </w:p>
        </w:tc>
        <w:tc>
          <w:tcPr>
            <w:tcW w:w="1558" w:type="dxa"/>
          </w:tcPr>
          <w:p w14:paraId="7C69BAE8"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4Х10 ml</w:t>
            </w:r>
          </w:p>
          <w:p w14:paraId="7F343FB4"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5200 µM</w:t>
            </w:r>
          </w:p>
        </w:tc>
        <w:tc>
          <w:tcPr>
            <w:tcW w:w="1558" w:type="dxa"/>
          </w:tcPr>
          <w:p w14:paraId="127CCC1D"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5Х10 ml</w:t>
            </w:r>
          </w:p>
          <w:p w14:paraId="58AF216B"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6500 µM</w:t>
            </w:r>
          </w:p>
        </w:tc>
        <w:tc>
          <w:tcPr>
            <w:tcW w:w="1558" w:type="dxa"/>
          </w:tcPr>
          <w:p w14:paraId="51A1D824"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Control</w:t>
            </w:r>
          </w:p>
        </w:tc>
      </w:tr>
      <w:tr w:rsidR="00226539" w:rsidRPr="008F5867" w14:paraId="39DDBD70" w14:textId="77777777" w:rsidTr="008F5867">
        <w:trPr>
          <w:jc w:val="center"/>
        </w:trPr>
        <w:tc>
          <w:tcPr>
            <w:tcW w:w="1557" w:type="dxa"/>
          </w:tcPr>
          <w:p w14:paraId="6518C9D0" w14:textId="77777777" w:rsidR="00226539" w:rsidRPr="008F5867" w:rsidRDefault="00853685" w:rsidP="002C2BCD">
            <w:pPr>
              <w:spacing w:after="0" w:line="240" w:lineRule="auto"/>
              <w:jc w:val="both"/>
              <w:rPr>
                <w:rFonts w:ascii="Times New Roman" w:hAnsi="Times New Roman" w:cs="Times New Roman"/>
                <w:sz w:val="24"/>
                <w:szCs w:val="24"/>
                <w:lang w:val="ru-RU"/>
              </w:rPr>
            </w:pPr>
            <w:r w:rsidRPr="008F5867">
              <w:rPr>
                <w:rFonts w:ascii="Times New Roman" w:hAnsi="Times New Roman" w:cs="Times New Roman"/>
                <w:sz w:val="24"/>
                <w:szCs w:val="24"/>
                <w:lang w:val="ru-RU"/>
              </w:rPr>
              <w:t>1Х 820 µ</w:t>
            </w:r>
            <w:r w:rsidRPr="008F5867">
              <w:rPr>
                <w:rFonts w:ascii="Times New Roman" w:hAnsi="Times New Roman" w:cs="Times New Roman"/>
                <w:sz w:val="24"/>
                <w:szCs w:val="24"/>
              </w:rPr>
              <w:t>M</w:t>
            </w:r>
            <w:r w:rsidRPr="008F5867">
              <w:rPr>
                <w:rFonts w:ascii="Times New Roman" w:hAnsi="Times New Roman" w:cs="Times New Roman"/>
                <w:sz w:val="24"/>
                <w:szCs w:val="24"/>
                <w:lang w:val="ru-RU"/>
              </w:rPr>
              <w:t xml:space="preserve"> (200мг/</w:t>
            </w:r>
            <w:r w:rsidRPr="008F5867">
              <w:rPr>
                <w:rFonts w:ascii="Times New Roman" w:hAnsi="Times New Roman" w:cs="Times New Roman"/>
                <w:sz w:val="24"/>
                <w:szCs w:val="24"/>
              </w:rPr>
              <w:t>ml</w:t>
            </w:r>
            <w:r w:rsidRPr="008F5867">
              <w:rPr>
                <w:rFonts w:ascii="Times New Roman" w:hAnsi="Times New Roman" w:cs="Times New Roman"/>
                <w:sz w:val="24"/>
                <w:szCs w:val="24"/>
                <w:lang w:val="ru-RU"/>
              </w:rPr>
              <w:t xml:space="preserve">) </w:t>
            </w:r>
            <w:r w:rsidRPr="008F5867">
              <w:rPr>
                <w:rFonts w:ascii="Times New Roman" w:hAnsi="Times New Roman" w:cs="Times New Roman"/>
                <w:sz w:val="24"/>
                <w:szCs w:val="24"/>
              </w:rPr>
              <w:t>Ribo</w:t>
            </w:r>
            <w:r w:rsidRPr="008F5867">
              <w:rPr>
                <w:rFonts w:ascii="Times New Roman" w:hAnsi="Times New Roman" w:cs="Times New Roman"/>
                <w:sz w:val="24"/>
                <w:szCs w:val="24"/>
                <w:lang w:val="ru-RU"/>
              </w:rPr>
              <w:t>. 1</w:t>
            </w:r>
            <w:r w:rsidRPr="008F5867">
              <w:rPr>
                <w:rFonts w:ascii="Times New Roman" w:hAnsi="Times New Roman" w:cs="Times New Roman"/>
                <w:sz w:val="24"/>
                <w:szCs w:val="24"/>
              </w:rPr>
              <w:t>ml</w:t>
            </w:r>
          </w:p>
        </w:tc>
        <w:tc>
          <w:tcPr>
            <w:tcW w:w="1557" w:type="dxa"/>
          </w:tcPr>
          <w:p w14:paraId="030325AE"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2Х10 ml</w:t>
            </w:r>
          </w:p>
          <w:p w14:paraId="2AC93404"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820µM</w:t>
            </w:r>
          </w:p>
        </w:tc>
        <w:tc>
          <w:tcPr>
            <w:tcW w:w="1557" w:type="dxa"/>
          </w:tcPr>
          <w:p w14:paraId="03DD52F4"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3Х10 ml</w:t>
            </w:r>
          </w:p>
          <w:p w14:paraId="5CC4086C"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1640µM</w:t>
            </w:r>
          </w:p>
        </w:tc>
        <w:tc>
          <w:tcPr>
            <w:tcW w:w="1558" w:type="dxa"/>
          </w:tcPr>
          <w:p w14:paraId="6783F066"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4Х10 ml</w:t>
            </w:r>
          </w:p>
          <w:p w14:paraId="4BAA58BD"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2460µM</w:t>
            </w:r>
          </w:p>
        </w:tc>
        <w:tc>
          <w:tcPr>
            <w:tcW w:w="1558" w:type="dxa"/>
          </w:tcPr>
          <w:p w14:paraId="611B22C6"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5Х10 ml</w:t>
            </w:r>
          </w:p>
          <w:p w14:paraId="6911F725"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3280µM</w:t>
            </w:r>
          </w:p>
        </w:tc>
        <w:tc>
          <w:tcPr>
            <w:tcW w:w="1558" w:type="dxa"/>
          </w:tcPr>
          <w:p w14:paraId="714331E3"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Control</w:t>
            </w:r>
          </w:p>
        </w:tc>
      </w:tr>
      <w:tr w:rsidR="00226539" w:rsidRPr="008F5867" w14:paraId="1B7063F5" w14:textId="77777777" w:rsidTr="008F5867">
        <w:trPr>
          <w:trHeight w:val="373"/>
          <w:jc w:val="center"/>
        </w:trPr>
        <w:tc>
          <w:tcPr>
            <w:tcW w:w="1557" w:type="dxa"/>
          </w:tcPr>
          <w:p w14:paraId="0AB941CA" w14:textId="77777777" w:rsidR="00226539" w:rsidRPr="008F5867" w:rsidRDefault="00853685" w:rsidP="002C2BCD">
            <w:pPr>
              <w:spacing w:after="0" w:line="240" w:lineRule="auto"/>
              <w:jc w:val="both"/>
              <w:rPr>
                <w:rFonts w:ascii="Times New Roman" w:hAnsi="Times New Roman" w:cs="Times New Roman"/>
                <w:sz w:val="24"/>
                <w:szCs w:val="24"/>
                <w:lang w:val="ru-RU"/>
              </w:rPr>
            </w:pPr>
            <w:r w:rsidRPr="008F5867">
              <w:rPr>
                <w:rFonts w:ascii="Times New Roman" w:hAnsi="Times New Roman" w:cs="Times New Roman"/>
                <w:sz w:val="24"/>
                <w:szCs w:val="24"/>
                <w:lang w:val="ru-RU"/>
              </w:rPr>
              <w:t xml:space="preserve">1Х (300/мл) </w:t>
            </w:r>
            <w:r w:rsidRPr="008F5867">
              <w:rPr>
                <w:rFonts w:ascii="Times New Roman" w:hAnsi="Times New Roman" w:cs="Times New Roman"/>
                <w:sz w:val="24"/>
                <w:szCs w:val="24"/>
              </w:rPr>
              <w:t>Teno</w:t>
            </w:r>
            <w:r w:rsidRPr="008F5867">
              <w:rPr>
                <w:rFonts w:ascii="Times New Roman" w:hAnsi="Times New Roman" w:cs="Times New Roman"/>
                <w:sz w:val="24"/>
                <w:szCs w:val="24"/>
                <w:lang w:val="ru-RU"/>
              </w:rPr>
              <w:t>. 1</w:t>
            </w:r>
            <w:r w:rsidRPr="008F5867">
              <w:rPr>
                <w:rFonts w:ascii="Times New Roman" w:hAnsi="Times New Roman" w:cs="Times New Roman"/>
                <w:sz w:val="24"/>
                <w:szCs w:val="24"/>
              </w:rPr>
              <w:t>ml</w:t>
            </w:r>
            <w:r w:rsidRPr="008F5867">
              <w:rPr>
                <w:rFonts w:ascii="Times New Roman" w:hAnsi="Times New Roman" w:cs="Times New Roman"/>
                <w:sz w:val="24"/>
                <w:szCs w:val="24"/>
                <w:lang w:val="ru-RU"/>
              </w:rPr>
              <w:t xml:space="preserve"> 1045µ</w:t>
            </w:r>
            <w:r w:rsidRPr="008F5867">
              <w:rPr>
                <w:rFonts w:ascii="Times New Roman" w:hAnsi="Times New Roman" w:cs="Times New Roman"/>
                <w:sz w:val="24"/>
                <w:szCs w:val="24"/>
              </w:rPr>
              <w:t>M</w:t>
            </w:r>
          </w:p>
        </w:tc>
        <w:tc>
          <w:tcPr>
            <w:tcW w:w="1557" w:type="dxa"/>
          </w:tcPr>
          <w:p w14:paraId="001D9C88"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2Х 10 ml</w:t>
            </w:r>
          </w:p>
          <w:p w14:paraId="0B0ABF16"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2090µM</w:t>
            </w:r>
          </w:p>
        </w:tc>
        <w:tc>
          <w:tcPr>
            <w:tcW w:w="1557" w:type="dxa"/>
          </w:tcPr>
          <w:p w14:paraId="365172E1"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3Х10 ml</w:t>
            </w:r>
          </w:p>
          <w:p w14:paraId="6DB0F951"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3135µM</w:t>
            </w:r>
          </w:p>
        </w:tc>
        <w:tc>
          <w:tcPr>
            <w:tcW w:w="1558" w:type="dxa"/>
          </w:tcPr>
          <w:p w14:paraId="3959964E"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4Х10 ml</w:t>
            </w:r>
          </w:p>
          <w:p w14:paraId="3CE80E2B"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0</w:t>
            </w:r>
          </w:p>
        </w:tc>
        <w:tc>
          <w:tcPr>
            <w:tcW w:w="1558" w:type="dxa"/>
          </w:tcPr>
          <w:p w14:paraId="2D746DAD"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5Х10 ml</w:t>
            </w:r>
          </w:p>
          <w:p w14:paraId="66A04875"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0</w:t>
            </w:r>
          </w:p>
        </w:tc>
        <w:tc>
          <w:tcPr>
            <w:tcW w:w="1558" w:type="dxa"/>
          </w:tcPr>
          <w:p w14:paraId="2E089CB4"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Control</w:t>
            </w:r>
          </w:p>
        </w:tc>
      </w:tr>
      <w:tr w:rsidR="00226539" w:rsidRPr="008F5867" w14:paraId="27A3F23D" w14:textId="77777777" w:rsidTr="008F5867">
        <w:trPr>
          <w:jc w:val="center"/>
        </w:trPr>
        <w:tc>
          <w:tcPr>
            <w:tcW w:w="1557" w:type="dxa"/>
          </w:tcPr>
          <w:p w14:paraId="41B77B2E"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1day</w:t>
            </w:r>
          </w:p>
        </w:tc>
        <w:tc>
          <w:tcPr>
            <w:tcW w:w="1557" w:type="dxa"/>
          </w:tcPr>
          <w:p w14:paraId="36FD70FF"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1day</w:t>
            </w:r>
          </w:p>
        </w:tc>
        <w:tc>
          <w:tcPr>
            <w:tcW w:w="1557" w:type="dxa"/>
          </w:tcPr>
          <w:p w14:paraId="33E4C5F2"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1day</w:t>
            </w:r>
          </w:p>
        </w:tc>
        <w:tc>
          <w:tcPr>
            <w:tcW w:w="1558" w:type="dxa"/>
          </w:tcPr>
          <w:p w14:paraId="6A8AB08D"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1day</w:t>
            </w:r>
          </w:p>
        </w:tc>
        <w:tc>
          <w:tcPr>
            <w:tcW w:w="1558" w:type="dxa"/>
          </w:tcPr>
          <w:p w14:paraId="65A3F0AE"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 xml:space="preserve">1day </w:t>
            </w:r>
          </w:p>
        </w:tc>
        <w:tc>
          <w:tcPr>
            <w:tcW w:w="1558" w:type="dxa"/>
          </w:tcPr>
          <w:p w14:paraId="5D552CC9" w14:textId="77777777" w:rsidR="00226539" w:rsidRPr="008F5867" w:rsidRDefault="00853685" w:rsidP="002C2BCD">
            <w:pPr>
              <w:spacing w:after="0" w:line="240" w:lineRule="auto"/>
              <w:jc w:val="both"/>
              <w:rPr>
                <w:rFonts w:ascii="Times New Roman" w:hAnsi="Times New Roman" w:cs="Times New Roman"/>
                <w:sz w:val="24"/>
                <w:szCs w:val="24"/>
              </w:rPr>
            </w:pPr>
            <w:r w:rsidRPr="008F5867">
              <w:rPr>
                <w:rFonts w:ascii="Times New Roman" w:hAnsi="Times New Roman" w:cs="Times New Roman"/>
                <w:sz w:val="24"/>
                <w:szCs w:val="24"/>
              </w:rPr>
              <w:t>1day</w:t>
            </w:r>
          </w:p>
        </w:tc>
      </w:tr>
    </w:tbl>
    <w:p w14:paraId="1806A027" w14:textId="77777777" w:rsidR="003876F9" w:rsidRDefault="003876F9" w:rsidP="008F5867">
      <w:pPr>
        <w:spacing w:line="240" w:lineRule="auto"/>
        <w:ind w:firstLine="709"/>
        <w:jc w:val="both"/>
        <w:rPr>
          <w:rFonts w:ascii="Times New Roman" w:hAnsi="Times New Roman" w:cs="Times New Roman"/>
          <w:sz w:val="28"/>
          <w:szCs w:val="28"/>
        </w:rPr>
      </w:pPr>
      <w:bookmarkStart w:id="24" w:name="_Hlk164102982"/>
    </w:p>
    <w:p w14:paraId="69D9BF6F" w14:textId="003BFA86" w:rsidR="00226539" w:rsidRPr="008F5867" w:rsidRDefault="008F5867" w:rsidP="008F5867">
      <w:pPr>
        <w:spacing w:line="240" w:lineRule="auto"/>
        <w:ind w:firstLine="709"/>
        <w:jc w:val="both"/>
        <w:rPr>
          <w:rFonts w:ascii="Times New Roman" w:hAnsi="Times New Roman" w:cs="Times New Roman"/>
          <w:sz w:val="28"/>
          <w:szCs w:val="28"/>
        </w:rPr>
      </w:pPr>
      <w:r w:rsidRPr="008F5867">
        <w:rPr>
          <w:rFonts w:ascii="Times New Roman" w:hAnsi="Times New Roman" w:cs="Times New Roman"/>
          <w:sz w:val="28"/>
          <w:szCs w:val="28"/>
        </w:rPr>
        <w:t>The manufacturer or local distributors deliver the medications in stock concentrations in water-soluble agents.</w:t>
      </w:r>
      <w:bookmarkStart w:id="25" w:name="_Hlk164103150"/>
      <w:bookmarkEnd w:id="24"/>
      <w:r w:rsidRPr="008F5867">
        <w:rPr>
          <w:rFonts w:ascii="Times New Roman" w:hAnsi="Times New Roman" w:cs="Times New Roman"/>
          <w:sz w:val="28"/>
          <w:szCs w:val="28"/>
        </w:rPr>
        <w:t xml:space="preserve"> </w:t>
      </w:r>
      <w:r w:rsidR="00853685" w:rsidRPr="008F5867">
        <w:rPr>
          <w:rFonts w:ascii="Times New Roman" w:hAnsi="Times New Roman" w:cs="Times New Roman"/>
          <w:sz w:val="28"/>
          <w:szCs w:val="28"/>
        </w:rPr>
        <w:t xml:space="preserve">The medium was </w:t>
      </w:r>
      <w:r w:rsidR="00121633" w:rsidRPr="008F5867">
        <w:rPr>
          <w:rFonts w:ascii="Times New Roman" w:hAnsi="Times New Roman" w:cs="Times New Roman"/>
          <w:sz w:val="28"/>
          <w:szCs w:val="28"/>
        </w:rPr>
        <w:t xml:space="preserve">prepared using DMEM (D6546) supplemented with </w:t>
      </w:r>
      <w:r>
        <w:rPr>
          <w:rFonts w:ascii="Times New Roman" w:hAnsi="Times New Roman" w:cs="Times New Roman"/>
          <w:sz w:val="28"/>
          <w:szCs w:val="28"/>
        </w:rPr>
        <w:t>2</w:t>
      </w:r>
      <w:r w:rsidR="00121633" w:rsidRPr="008F5867">
        <w:rPr>
          <w:rFonts w:ascii="Times New Roman" w:hAnsi="Times New Roman" w:cs="Times New Roman"/>
          <w:sz w:val="28"/>
          <w:szCs w:val="28"/>
        </w:rPr>
        <w:t xml:space="preserve"> mM L-glutamine (G7513) and 10% FBS/FCS (F2442). </w:t>
      </w:r>
      <w:r w:rsidR="00121633" w:rsidRPr="008F5867">
        <w:rPr>
          <w:rFonts w:ascii="Times New Roman" w:hAnsi="Times New Roman" w:cs="Times New Roman"/>
          <w:sz w:val="28"/>
          <w:szCs w:val="28"/>
        </w:rPr>
        <w:lastRenderedPageBreak/>
        <w:t>This medium consisted of DMEM with 2% bovine serum and 0.01% (100 U/ml) antibiotics (Penicillin-Streptomycin)</w:t>
      </w:r>
      <w:r w:rsidR="00853685" w:rsidRPr="008F5867">
        <w:rPr>
          <w:rFonts w:ascii="Times New Roman" w:hAnsi="Times New Roman" w:cs="Times New Roman"/>
          <w:sz w:val="28"/>
          <w:szCs w:val="28"/>
        </w:rPr>
        <w:t>.</w:t>
      </w:r>
    </w:p>
    <w:p w14:paraId="47278084" w14:textId="0BCC668A" w:rsidR="001F21D5" w:rsidRPr="00D644A8" w:rsidRDefault="00853685" w:rsidP="00D644A8">
      <w:pPr>
        <w:spacing w:after="0" w:line="240" w:lineRule="auto"/>
        <w:ind w:firstLine="709"/>
        <w:jc w:val="both"/>
        <w:rPr>
          <w:rFonts w:ascii="Times New Roman" w:hAnsi="Times New Roman" w:cs="Times New Roman"/>
          <w:sz w:val="28"/>
          <w:szCs w:val="28"/>
        </w:rPr>
      </w:pPr>
      <w:bookmarkStart w:id="26" w:name="_Hlk164103281"/>
      <w:bookmarkEnd w:id="25"/>
      <w:r w:rsidRPr="00D644A8">
        <w:rPr>
          <w:rFonts w:ascii="Times New Roman" w:hAnsi="Times New Roman" w:cs="Times New Roman"/>
          <w:i/>
          <w:iCs/>
          <w:sz w:val="28"/>
          <w:szCs w:val="28"/>
          <w:u w:val="single"/>
        </w:rPr>
        <w:t>Dose-de-escalation</w:t>
      </w:r>
      <w:r w:rsidRPr="00D644A8">
        <w:rPr>
          <w:rFonts w:ascii="Times New Roman" w:hAnsi="Times New Roman" w:cs="Times New Roman"/>
          <w:sz w:val="28"/>
          <w:szCs w:val="28"/>
          <w:u w:val="single"/>
        </w:rPr>
        <w:t xml:space="preserve"> </w:t>
      </w:r>
      <w:r w:rsidRPr="00D644A8">
        <w:rPr>
          <w:rFonts w:ascii="Times New Roman" w:hAnsi="Times New Roman" w:cs="Times New Roman"/>
          <w:i/>
          <w:iCs/>
          <w:sz w:val="28"/>
          <w:szCs w:val="28"/>
          <w:u w:val="single"/>
        </w:rPr>
        <w:t>in vitro</w:t>
      </w:r>
      <w:r w:rsidRPr="00D644A8">
        <w:rPr>
          <w:rFonts w:ascii="Times New Roman" w:hAnsi="Times New Roman" w:cs="Times New Roman"/>
          <w:sz w:val="28"/>
          <w:szCs w:val="28"/>
        </w:rPr>
        <w:t xml:space="preserve"> </w:t>
      </w:r>
      <w:r w:rsidR="000E0EAA" w:rsidRPr="00D644A8">
        <w:rPr>
          <w:rFonts w:ascii="Times New Roman" w:hAnsi="Times New Roman" w:cs="Times New Roman"/>
          <w:sz w:val="28"/>
          <w:szCs w:val="28"/>
        </w:rPr>
        <w:t xml:space="preserve">was observed in the 24 wells </w:t>
      </w:r>
      <w:r w:rsidR="00FD2E80">
        <w:rPr>
          <w:rFonts w:ascii="Times New Roman" w:hAnsi="Times New Roman" w:cs="Times New Roman"/>
          <w:sz w:val="28"/>
          <w:szCs w:val="28"/>
        </w:rPr>
        <w:t>containing Vero E6 cells, each with a different drug concentration pattern</w:t>
      </w:r>
      <w:r w:rsidR="000E0EAA" w:rsidRPr="00D644A8">
        <w:rPr>
          <w:rFonts w:ascii="Times New Roman" w:hAnsi="Times New Roman" w:cs="Times New Roman"/>
          <w:sz w:val="28"/>
          <w:szCs w:val="28"/>
        </w:rPr>
        <w:t xml:space="preserve">. The concentrations of Favipiravir </w:t>
      </w:r>
      <w:r w:rsidR="00B019C9" w:rsidRPr="00D644A8">
        <w:rPr>
          <w:rFonts w:ascii="Times New Roman" w:hAnsi="Times New Roman" w:cs="Times New Roman"/>
          <w:sz w:val="28"/>
          <w:szCs w:val="28"/>
        </w:rPr>
        <w:t xml:space="preserve">were 1270 µM, 318 µM, 127 µM, 12.7 µM, 1.27 µM, 0.127 µM, </w:t>
      </w:r>
      <w:r w:rsidRPr="00D644A8">
        <w:rPr>
          <w:rFonts w:ascii="Times New Roman" w:hAnsi="Times New Roman" w:cs="Times New Roman"/>
          <w:sz w:val="28"/>
          <w:szCs w:val="28"/>
        </w:rPr>
        <w:t>and control</w:t>
      </w:r>
      <w:r w:rsidR="00B019C9" w:rsidRPr="00D644A8">
        <w:rPr>
          <w:rFonts w:ascii="Times New Roman" w:hAnsi="Times New Roman" w:cs="Times New Roman"/>
          <w:sz w:val="28"/>
          <w:szCs w:val="28"/>
        </w:rPr>
        <w:t>.</w:t>
      </w:r>
      <w:r w:rsidRPr="00D644A8">
        <w:rPr>
          <w:rFonts w:ascii="Times New Roman" w:hAnsi="Times New Roman" w:cs="Times New Roman"/>
          <w:sz w:val="28"/>
          <w:szCs w:val="28"/>
        </w:rPr>
        <w:t xml:space="preserve"> Ribavirin concentrations were: 820µM, 205 µM, </w:t>
      </w:r>
      <w:bookmarkEnd w:id="21"/>
      <w:r w:rsidRPr="00D644A8">
        <w:rPr>
          <w:rFonts w:ascii="Times New Roman" w:hAnsi="Times New Roman" w:cs="Times New Roman"/>
          <w:sz w:val="28"/>
          <w:szCs w:val="28"/>
        </w:rPr>
        <w:t>82µM,8,2µM,0,82µM, 0,082µM and control</w:t>
      </w:r>
      <w:r w:rsidR="00B019C9" w:rsidRPr="00D644A8">
        <w:rPr>
          <w:rFonts w:ascii="Times New Roman" w:hAnsi="Times New Roman" w:cs="Times New Roman"/>
          <w:sz w:val="28"/>
          <w:szCs w:val="28"/>
        </w:rPr>
        <w:t>.</w:t>
      </w:r>
      <w:r w:rsidRPr="00D644A8">
        <w:rPr>
          <w:rFonts w:ascii="Times New Roman" w:hAnsi="Times New Roman" w:cs="Times New Roman"/>
          <w:sz w:val="28"/>
          <w:szCs w:val="28"/>
        </w:rPr>
        <w:t xml:space="preserve"> Tenofovir concentrations were: 1050µM, 174µM,10,5µM,1,5µM, 0.105µM and control. Dexamethasone concentrations were</w:t>
      </w:r>
      <w:r w:rsidR="00121633" w:rsidRPr="00D644A8">
        <w:rPr>
          <w:rFonts w:ascii="Times New Roman" w:hAnsi="Times New Roman" w:cs="Times New Roman"/>
          <w:sz w:val="28"/>
          <w:szCs w:val="28"/>
        </w:rPr>
        <w:t xml:space="preserve"> </w:t>
      </w:r>
      <w:r w:rsidR="00ED562C" w:rsidRPr="00D644A8">
        <w:rPr>
          <w:rFonts w:ascii="Times New Roman" w:hAnsi="Times New Roman" w:cs="Times New Roman"/>
          <w:sz w:val="28"/>
          <w:szCs w:val="28"/>
        </w:rPr>
        <w:t xml:space="preserve">10 µM, 20 µM, 30 µM, and control. The samples were </w:t>
      </w:r>
      <w:r w:rsidR="00121633" w:rsidRPr="00D644A8">
        <w:rPr>
          <w:rFonts w:ascii="Times New Roman" w:hAnsi="Times New Roman" w:cs="Times New Roman"/>
          <w:sz w:val="28"/>
          <w:szCs w:val="28"/>
        </w:rPr>
        <w:t xml:space="preserve">transferred to a 5% CO2 incubator at 37 °C for </w:t>
      </w:r>
      <w:r w:rsidR="00ED562C" w:rsidRPr="00D644A8">
        <w:rPr>
          <w:rFonts w:ascii="Times New Roman" w:hAnsi="Times New Roman" w:cs="Times New Roman"/>
          <w:sz w:val="28"/>
          <w:szCs w:val="28"/>
        </w:rPr>
        <w:t>72</w:t>
      </w:r>
      <w:r w:rsidR="00121633" w:rsidRPr="00D644A8">
        <w:rPr>
          <w:rFonts w:ascii="Times New Roman" w:hAnsi="Times New Roman" w:cs="Times New Roman"/>
          <w:sz w:val="28"/>
          <w:szCs w:val="28"/>
        </w:rPr>
        <w:t xml:space="preserve"> hours</w:t>
      </w:r>
      <w:r w:rsidRPr="00D644A8">
        <w:rPr>
          <w:rFonts w:ascii="Times New Roman" w:hAnsi="Times New Roman" w:cs="Times New Roman"/>
          <w:sz w:val="28"/>
          <w:szCs w:val="28"/>
        </w:rPr>
        <w:t xml:space="preserve">. </w:t>
      </w:r>
      <w:bookmarkStart w:id="27" w:name="_Hlk164847908"/>
      <w:bookmarkStart w:id="28" w:name="_Hlk164847950"/>
      <w:r w:rsidRPr="00D644A8">
        <w:rPr>
          <w:rFonts w:ascii="Times New Roman" w:hAnsi="Times New Roman" w:cs="Times New Roman"/>
          <w:sz w:val="28"/>
          <w:szCs w:val="28"/>
        </w:rPr>
        <w:t>According to the manufacturer</w:t>
      </w:r>
      <w:r w:rsidR="00AC2137" w:rsidRPr="00D644A8">
        <w:rPr>
          <w:rFonts w:ascii="Times New Roman" w:hAnsi="Times New Roman" w:cs="Times New Roman"/>
          <w:sz w:val="28"/>
          <w:szCs w:val="28"/>
        </w:rPr>
        <w:t>’</w:t>
      </w:r>
      <w:r w:rsidRPr="00D644A8">
        <w:rPr>
          <w:rFonts w:ascii="Times New Roman" w:hAnsi="Times New Roman" w:cs="Times New Roman"/>
          <w:sz w:val="28"/>
          <w:szCs w:val="28"/>
        </w:rPr>
        <w:t>s instructions, viral RNA was isolated from virus-containing material using the QIAamp Viral RNA Mini Kit</w:t>
      </w:r>
      <w:bookmarkEnd w:id="27"/>
      <w:r w:rsidR="00121633" w:rsidRPr="00D644A8">
        <w:rPr>
          <w:rFonts w:ascii="Times New Roman" w:hAnsi="Times New Roman" w:cs="Times New Roman"/>
          <w:sz w:val="28"/>
          <w:szCs w:val="28"/>
        </w:rPr>
        <w:t xml:space="preserve"> (Qiagen)</w:t>
      </w:r>
      <w:r w:rsidRPr="00D644A8">
        <w:rPr>
          <w:rFonts w:ascii="Times New Roman" w:hAnsi="Times New Roman" w:cs="Times New Roman"/>
          <w:sz w:val="28"/>
          <w:szCs w:val="28"/>
        </w:rPr>
        <w:t xml:space="preserve">. </w:t>
      </w:r>
      <w:r w:rsidR="00FD2E80">
        <w:rPr>
          <w:rFonts w:ascii="Times New Roman" w:hAnsi="Times New Roman" w:cs="Times New Roman"/>
          <w:sz w:val="28"/>
          <w:szCs w:val="28"/>
        </w:rPr>
        <w:t>A case of coronavirus infection was used as the</w:t>
      </w:r>
      <w:r w:rsidRPr="00D644A8">
        <w:rPr>
          <w:rFonts w:ascii="Times New Roman" w:hAnsi="Times New Roman" w:cs="Times New Roman"/>
          <w:sz w:val="28"/>
          <w:szCs w:val="28"/>
        </w:rPr>
        <w:t xml:space="preserve"> </w:t>
      </w:r>
      <w:r w:rsidR="003D11DA">
        <w:rPr>
          <w:rFonts w:ascii="Times New Roman" w:hAnsi="Times New Roman" w:cs="Times New Roman"/>
          <w:sz w:val="28"/>
          <w:szCs w:val="28"/>
        </w:rPr>
        <w:t>research object</w:t>
      </w:r>
      <w:r w:rsidRPr="00D644A8">
        <w:rPr>
          <w:rFonts w:ascii="Times New Roman" w:hAnsi="Times New Roman" w:cs="Times New Roman"/>
          <w:sz w:val="28"/>
          <w:szCs w:val="28"/>
        </w:rPr>
        <w:t>.</w:t>
      </w:r>
    </w:p>
    <w:p w14:paraId="5B840EF3" w14:textId="6810E2BB" w:rsidR="00226539" w:rsidRPr="00D644A8" w:rsidRDefault="00853685" w:rsidP="00D644A8">
      <w:pPr>
        <w:spacing w:after="0" w:line="240" w:lineRule="auto"/>
        <w:ind w:firstLine="709"/>
        <w:jc w:val="both"/>
        <w:rPr>
          <w:rFonts w:ascii="Times New Roman" w:hAnsi="Times New Roman" w:cs="Times New Roman"/>
          <w:i/>
          <w:iCs/>
          <w:sz w:val="28"/>
          <w:szCs w:val="28"/>
          <w:u w:val="single"/>
        </w:rPr>
      </w:pPr>
      <w:r w:rsidRPr="00D644A8">
        <w:rPr>
          <w:rFonts w:ascii="Times New Roman" w:hAnsi="Times New Roman" w:cs="Times New Roman"/>
          <w:i/>
          <w:iCs/>
          <w:sz w:val="28"/>
          <w:szCs w:val="28"/>
          <w:u w:val="single"/>
        </w:rPr>
        <w:t xml:space="preserve">CCK8 test for </w:t>
      </w:r>
      <w:r w:rsidR="00F1287C" w:rsidRPr="00D644A8">
        <w:rPr>
          <w:rFonts w:ascii="Times New Roman" w:hAnsi="Times New Roman" w:cs="Times New Roman"/>
          <w:i/>
          <w:iCs/>
          <w:sz w:val="28"/>
          <w:szCs w:val="28"/>
          <w:u w:val="single"/>
        </w:rPr>
        <w:t>cell viability</w:t>
      </w:r>
      <w:r w:rsidRPr="00D644A8">
        <w:rPr>
          <w:rFonts w:ascii="Times New Roman" w:hAnsi="Times New Roman" w:cs="Times New Roman"/>
          <w:i/>
          <w:iCs/>
          <w:sz w:val="28"/>
          <w:szCs w:val="28"/>
          <w:u w:val="single"/>
        </w:rPr>
        <w:t xml:space="preserve"> in four </w:t>
      </w:r>
      <w:r w:rsidR="00F1287C" w:rsidRPr="00D644A8">
        <w:rPr>
          <w:rFonts w:ascii="Times New Roman" w:hAnsi="Times New Roman" w:cs="Times New Roman"/>
          <w:i/>
          <w:iCs/>
          <w:sz w:val="28"/>
          <w:szCs w:val="28"/>
          <w:u w:val="single"/>
        </w:rPr>
        <w:t>drug</w:t>
      </w:r>
      <w:r w:rsidRPr="00D644A8">
        <w:rPr>
          <w:rFonts w:ascii="Times New Roman" w:hAnsi="Times New Roman" w:cs="Times New Roman"/>
          <w:i/>
          <w:iCs/>
          <w:sz w:val="28"/>
          <w:szCs w:val="28"/>
          <w:u w:val="single"/>
        </w:rPr>
        <w:t xml:space="preserve"> </w:t>
      </w:r>
      <w:r w:rsidR="00F1287C" w:rsidRPr="00D644A8">
        <w:rPr>
          <w:rFonts w:ascii="Times New Roman" w:hAnsi="Times New Roman" w:cs="Times New Roman"/>
          <w:i/>
          <w:iCs/>
          <w:sz w:val="28"/>
          <w:szCs w:val="28"/>
          <w:u w:val="single"/>
        </w:rPr>
        <w:t>concentrations</w:t>
      </w:r>
      <w:r w:rsidRPr="00D644A8">
        <w:rPr>
          <w:rFonts w:ascii="Times New Roman" w:hAnsi="Times New Roman" w:cs="Times New Roman"/>
          <w:i/>
          <w:iCs/>
          <w:sz w:val="28"/>
          <w:szCs w:val="28"/>
          <w:u w:val="single"/>
        </w:rPr>
        <w:t xml:space="preserve"> </w:t>
      </w:r>
    </w:p>
    <w:bookmarkEnd w:id="28"/>
    <w:p w14:paraId="743E6C52" w14:textId="680CD454" w:rsidR="00226539" w:rsidRPr="00D644A8" w:rsidRDefault="00853685" w:rsidP="00D644A8">
      <w:pPr>
        <w:spacing w:after="0" w:line="240" w:lineRule="auto"/>
        <w:ind w:firstLine="709"/>
        <w:jc w:val="both"/>
        <w:rPr>
          <w:rFonts w:ascii="Times New Roman" w:hAnsi="Times New Roman" w:cs="Times New Roman"/>
          <w:sz w:val="28"/>
          <w:szCs w:val="28"/>
        </w:rPr>
      </w:pPr>
      <w:r w:rsidRPr="00D644A8">
        <w:rPr>
          <w:rFonts w:ascii="Times New Roman" w:hAnsi="Times New Roman" w:cs="Times New Roman"/>
          <w:sz w:val="28"/>
          <w:szCs w:val="28"/>
        </w:rPr>
        <w:t xml:space="preserve">The CD8-Kit-8 (KK-8) enables sensitive </w:t>
      </w:r>
      <w:r w:rsidR="00DA2F40" w:rsidRPr="00D644A8">
        <w:rPr>
          <w:rFonts w:ascii="Times New Roman" w:hAnsi="Times New Roman" w:cs="Times New Roman"/>
          <w:sz w:val="28"/>
          <w:szCs w:val="28"/>
        </w:rPr>
        <w:t>colourimetric</w:t>
      </w:r>
      <w:r w:rsidRPr="00D644A8">
        <w:rPr>
          <w:rFonts w:ascii="Times New Roman" w:hAnsi="Times New Roman" w:cs="Times New Roman"/>
          <w:sz w:val="28"/>
          <w:szCs w:val="28"/>
        </w:rPr>
        <w:t xml:space="preserve"> </w:t>
      </w:r>
      <w:r w:rsidR="00FD2E80">
        <w:rPr>
          <w:rFonts w:ascii="Times New Roman" w:hAnsi="Times New Roman" w:cs="Times New Roman"/>
          <w:sz w:val="28"/>
          <w:szCs w:val="28"/>
        </w:rPr>
        <w:t>analysis to determine cell viability in studies</w:t>
      </w:r>
      <w:r w:rsidRPr="00D644A8">
        <w:rPr>
          <w:rFonts w:ascii="Times New Roman" w:hAnsi="Times New Roman" w:cs="Times New Roman"/>
          <w:sz w:val="28"/>
          <w:szCs w:val="28"/>
        </w:rPr>
        <w:t xml:space="preserve"> of cell proliferation and cytotoxicity. The </w:t>
      </w:r>
      <w:r w:rsidR="00FD2E80">
        <w:rPr>
          <w:rFonts w:ascii="Times New Roman" w:hAnsi="Times New Roman" w:cs="Times New Roman"/>
          <w:sz w:val="28"/>
          <w:szCs w:val="28"/>
        </w:rPr>
        <w:t>water-soluble dojo-tetrazole salt, WST-8, is reduced</w:t>
      </w:r>
      <w:r w:rsidR="00121633" w:rsidRPr="00D644A8">
        <w:rPr>
          <w:rFonts w:ascii="Times New Roman" w:hAnsi="Times New Roman" w:cs="Times New Roman"/>
          <w:sz w:val="28"/>
          <w:szCs w:val="28"/>
        </w:rPr>
        <w:t xml:space="preserve"> in cells by dehydrogenase activity, forming a yellow formazan dye soluble in tissue culture medium</w:t>
      </w:r>
      <w:r w:rsidRPr="00D644A8">
        <w:rPr>
          <w:rFonts w:ascii="Times New Roman" w:hAnsi="Times New Roman" w:cs="Times New Roman"/>
          <w:sz w:val="28"/>
          <w:szCs w:val="28"/>
        </w:rPr>
        <w:t xml:space="preserve">. The amount of the dye formazan, </w:t>
      </w:r>
      <w:r w:rsidR="00FD2E80">
        <w:rPr>
          <w:rFonts w:ascii="Times New Roman" w:hAnsi="Times New Roman" w:cs="Times New Roman"/>
          <w:sz w:val="28"/>
          <w:szCs w:val="28"/>
        </w:rPr>
        <w:t>produced by</w:t>
      </w:r>
      <w:r w:rsidRPr="00D644A8">
        <w:rPr>
          <w:rFonts w:ascii="Times New Roman" w:hAnsi="Times New Roman" w:cs="Times New Roman"/>
          <w:sz w:val="28"/>
          <w:szCs w:val="28"/>
        </w:rPr>
        <w:t xml:space="preserve"> the activity of dehydrogenases in cells, is directly proportional to the number of living cells. Step 1: Add 10 Pl of Cell Counting Kit-8 to each well in a 96-well microplate. Step 2: Place in a CO</w:t>
      </w:r>
      <w:r w:rsidRPr="00D644A8">
        <w:rPr>
          <w:rFonts w:ascii="Times New Roman" w:hAnsi="Times New Roman" w:cs="Times New Roman"/>
          <w:sz w:val="28"/>
          <w:szCs w:val="28"/>
          <w:vertAlign w:val="subscript"/>
        </w:rPr>
        <w:t>2</w:t>
      </w:r>
      <w:r w:rsidRPr="00D644A8">
        <w:rPr>
          <w:rFonts w:ascii="Times New Roman" w:hAnsi="Times New Roman" w:cs="Times New Roman"/>
          <w:sz w:val="28"/>
          <w:szCs w:val="28"/>
        </w:rPr>
        <w:t xml:space="preserve"> incubator for 1-4 hours to </w:t>
      </w:r>
      <w:r w:rsidR="00FD2E80">
        <w:rPr>
          <w:rFonts w:ascii="Times New Roman" w:hAnsi="Times New Roman" w:cs="Times New Roman"/>
          <w:sz w:val="28"/>
          <w:szCs w:val="28"/>
        </w:rPr>
        <w:t>allow the reaction to proceed</w:t>
      </w:r>
      <w:r w:rsidRPr="00D644A8">
        <w:rPr>
          <w:rFonts w:ascii="Times New Roman" w:hAnsi="Times New Roman" w:cs="Times New Roman"/>
          <w:sz w:val="28"/>
          <w:szCs w:val="28"/>
        </w:rPr>
        <w:t xml:space="preserve">. Step 3: Measure the absorbance at 450 nm </w:t>
      </w:r>
      <w:r w:rsidR="00B019C9" w:rsidRPr="00D644A8">
        <w:rPr>
          <w:rFonts w:ascii="Times New Roman" w:hAnsi="Times New Roman" w:cs="Times New Roman"/>
          <w:sz w:val="28"/>
          <w:szCs w:val="28"/>
        </w:rPr>
        <w:t>using a microplate reader [126</w:t>
      </w:r>
      <w:r w:rsidRPr="00D644A8">
        <w:rPr>
          <w:rFonts w:ascii="Times New Roman" w:hAnsi="Times New Roman" w:cs="Times New Roman"/>
          <w:sz w:val="28"/>
          <w:szCs w:val="28"/>
        </w:rPr>
        <w:t>].</w:t>
      </w:r>
      <w:bookmarkEnd w:id="26"/>
      <w:r w:rsidR="00DA2F40" w:rsidRPr="00D644A8">
        <w:rPr>
          <w:rFonts w:ascii="Times New Roman" w:hAnsi="Times New Roman" w:cs="Times New Roman"/>
          <w:sz w:val="28"/>
          <w:szCs w:val="28"/>
        </w:rPr>
        <w:t xml:space="preserve">  </w:t>
      </w:r>
    </w:p>
    <w:p w14:paraId="3956079A" w14:textId="46856CBD" w:rsidR="00226539" w:rsidRPr="00D644A8" w:rsidRDefault="00853685" w:rsidP="00D644A8">
      <w:pPr>
        <w:spacing w:after="0" w:line="240" w:lineRule="auto"/>
        <w:ind w:firstLine="708"/>
        <w:rPr>
          <w:rFonts w:ascii="Times New Roman" w:eastAsia="Calibri" w:hAnsi="Times New Roman" w:cs="Times New Roman"/>
          <w:i/>
          <w:iCs/>
          <w:color w:val="00000A"/>
          <w:sz w:val="28"/>
          <w:szCs w:val="28"/>
          <w:u w:val="single"/>
        </w:rPr>
      </w:pPr>
      <w:bookmarkStart w:id="29" w:name="_Hlk180316168"/>
      <w:r w:rsidRPr="00D644A8">
        <w:rPr>
          <w:rFonts w:ascii="Times New Roman" w:eastAsia="Calibri" w:hAnsi="Times New Roman" w:cs="Times New Roman"/>
          <w:i/>
          <w:iCs/>
          <w:color w:val="00000A"/>
          <w:sz w:val="28"/>
          <w:szCs w:val="28"/>
          <w:u w:val="single"/>
        </w:rPr>
        <w:t>Determination of cytotoxicity of drugs for cell culture</w:t>
      </w:r>
      <w:bookmarkEnd w:id="29"/>
    </w:p>
    <w:p w14:paraId="7AC03133" w14:textId="43FACF84" w:rsidR="00D84C10" w:rsidRPr="00D644A8" w:rsidRDefault="00853685" w:rsidP="00D644A8">
      <w:pPr>
        <w:spacing w:after="0" w:line="240" w:lineRule="auto"/>
        <w:ind w:firstLine="708"/>
        <w:jc w:val="both"/>
        <w:rPr>
          <w:rFonts w:ascii="Times New Roman" w:eastAsia="Calibri" w:hAnsi="Times New Roman" w:cs="Times New Roman"/>
          <w:color w:val="00000A"/>
          <w:sz w:val="28"/>
          <w:szCs w:val="28"/>
        </w:rPr>
      </w:pPr>
      <w:r w:rsidRPr="00D644A8">
        <w:rPr>
          <w:rFonts w:ascii="Times New Roman" w:eastAsia="Calibri" w:hAnsi="Times New Roman" w:cs="Times New Roman"/>
          <w:color w:val="00000A"/>
          <w:sz w:val="28"/>
          <w:szCs w:val="28"/>
        </w:rPr>
        <w:t xml:space="preserve">Dexamethasone, Ribavirin, </w:t>
      </w:r>
      <w:bookmarkStart w:id="30" w:name="_Hlk170030903"/>
      <w:r w:rsidR="00121633" w:rsidRPr="00D644A8">
        <w:rPr>
          <w:rFonts w:ascii="Times New Roman" w:eastAsia="Calibri" w:hAnsi="Times New Roman" w:cs="Times New Roman"/>
          <w:color w:val="00000A"/>
          <w:sz w:val="28"/>
          <w:szCs w:val="28"/>
        </w:rPr>
        <w:t xml:space="preserve">Tenofovir, and Favipiravir were selected for study to evaluate their </w:t>
      </w:r>
      <w:r w:rsidRPr="00D644A8">
        <w:rPr>
          <w:rFonts w:ascii="Times New Roman" w:eastAsia="Calibri" w:hAnsi="Times New Roman" w:cs="Times New Roman"/>
          <w:color w:val="00000A"/>
          <w:sz w:val="28"/>
          <w:szCs w:val="28"/>
        </w:rPr>
        <w:t xml:space="preserve">antiviral activity against </w:t>
      </w:r>
      <w:r w:rsidR="00FD2E80">
        <w:rPr>
          <w:rFonts w:ascii="Times New Roman" w:eastAsia="Calibri" w:hAnsi="Times New Roman" w:cs="Times New Roman"/>
          <w:color w:val="00000A"/>
          <w:sz w:val="28"/>
          <w:szCs w:val="28"/>
        </w:rPr>
        <w:t>SARS-CoV-2</w:t>
      </w:r>
      <w:r w:rsidRPr="00D644A8">
        <w:rPr>
          <w:rFonts w:ascii="Times New Roman" w:eastAsia="Calibri" w:hAnsi="Times New Roman" w:cs="Times New Roman"/>
          <w:color w:val="00000A"/>
          <w:sz w:val="28"/>
          <w:szCs w:val="28"/>
        </w:rPr>
        <w:t xml:space="preserve">. Before determining the antiviral activity, a working dose </w:t>
      </w:r>
      <w:r w:rsidR="00121633" w:rsidRPr="00D644A8">
        <w:rPr>
          <w:rFonts w:ascii="Times New Roman" w:eastAsia="Calibri" w:hAnsi="Times New Roman" w:cs="Times New Roman"/>
          <w:color w:val="00000A"/>
          <w:sz w:val="28"/>
          <w:szCs w:val="28"/>
        </w:rPr>
        <w:t>was established that did not cause toxicity in cell culture</w:t>
      </w:r>
      <w:r w:rsidRPr="00D644A8">
        <w:rPr>
          <w:rFonts w:ascii="Times New Roman" w:eastAsia="Calibri" w:hAnsi="Times New Roman" w:cs="Times New Roman"/>
          <w:color w:val="00000A"/>
          <w:sz w:val="28"/>
          <w:szCs w:val="28"/>
        </w:rPr>
        <w:t>.</w:t>
      </w:r>
      <w:r w:rsidRPr="00D644A8">
        <w:rPr>
          <w:rFonts w:ascii="Times New Roman" w:hAnsi="Times New Roman" w:cs="Times New Roman"/>
          <w:sz w:val="28"/>
          <w:szCs w:val="28"/>
        </w:rPr>
        <w:t xml:space="preserve"> </w:t>
      </w:r>
      <w:r w:rsidRPr="00D644A8">
        <w:rPr>
          <w:rFonts w:ascii="Times New Roman" w:eastAsia="Calibri" w:hAnsi="Times New Roman" w:cs="Times New Roman"/>
          <w:color w:val="00000A"/>
          <w:sz w:val="28"/>
          <w:szCs w:val="28"/>
        </w:rPr>
        <w:t>Dexamethasone was used in ampoules containing 4 mg/ml in 5 dosages (20, 16, 12, 8, and 4 mg/ml).</w:t>
      </w:r>
      <w:bookmarkEnd w:id="30"/>
    </w:p>
    <w:p w14:paraId="0B451DE8" w14:textId="2096522B" w:rsidR="00226539" w:rsidRPr="00D644A8" w:rsidRDefault="00853685" w:rsidP="00D644A8">
      <w:pPr>
        <w:spacing w:after="0" w:line="240" w:lineRule="auto"/>
        <w:ind w:firstLine="708"/>
        <w:jc w:val="both"/>
        <w:rPr>
          <w:rFonts w:ascii="Times New Roman" w:hAnsi="Times New Roman" w:cs="Times New Roman"/>
          <w:i/>
          <w:iCs/>
          <w:sz w:val="28"/>
          <w:szCs w:val="28"/>
          <w:u w:val="single"/>
        </w:rPr>
      </w:pPr>
      <w:r w:rsidRPr="00D644A8">
        <w:rPr>
          <w:rFonts w:ascii="Times New Roman" w:hAnsi="Times New Roman" w:cs="Times New Roman"/>
          <w:i/>
          <w:iCs/>
          <w:sz w:val="28"/>
          <w:szCs w:val="28"/>
          <w:u w:val="single"/>
        </w:rPr>
        <w:t>Measuring the Efficacy of Antivirals Against SARS-CoV-2</w:t>
      </w:r>
    </w:p>
    <w:p w14:paraId="7EC07612" w14:textId="457EC0A9" w:rsidR="00B019C9" w:rsidRPr="00D644A8" w:rsidRDefault="00B019C9" w:rsidP="00D644A8">
      <w:pPr>
        <w:spacing w:after="0" w:line="240" w:lineRule="auto"/>
        <w:ind w:firstLine="708"/>
        <w:jc w:val="both"/>
        <w:rPr>
          <w:rFonts w:ascii="Times New Roman" w:hAnsi="Times New Roman" w:cs="Times New Roman"/>
          <w:b/>
          <w:bCs/>
          <w:sz w:val="28"/>
          <w:szCs w:val="28"/>
        </w:rPr>
      </w:pPr>
      <w:r w:rsidRPr="00D644A8">
        <w:rPr>
          <w:rFonts w:ascii="Times New Roman" w:hAnsi="Times New Roman" w:cs="Times New Roman"/>
          <w:sz w:val="28"/>
          <w:szCs w:val="28"/>
        </w:rPr>
        <w:t>Optimised</w:t>
      </w:r>
      <w:r w:rsidR="00A80B36" w:rsidRPr="00D644A8">
        <w:rPr>
          <w:rFonts w:ascii="Times New Roman" w:hAnsi="Times New Roman" w:cs="Times New Roman"/>
          <w:sz w:val="28"/>
          <w:szCs w:val="28"/>
        </w:rPr>
        <w:t xml:space="preserve"> 96-Well Plate Protocol: Antiviral Activity of TAF on SARS-CoV-2 in Vero E6 Cells</w:t>
      </w:r>
      <w:r w:rsidRPr="00D644A8">
        <w:rPr>
          <w:rFonts w:ascii="Times New Roman" w:hAnsi="Times New Roman" w:cs="Times New Roman"/>
          <w:sz w:val="28"/>
          <w:szCs w:val="28"/>
        </w:rPr>
        <w:t xml:space="preserve">. </w:t>
      </w:r>
      <w:r w:rsidR="00A80B36" w:rsidRPr="00D644A8">
        <w:rPr>
          <w:rFonts w:ascii="Times New Roman" w:hAnsi="Times New Roman" w:cs="Times New Roman"/>
          <w:sz w:val="28"/>
          <w:szCs w:val="28"/>
        </w:rPr>
        <w:t>Objective: Confirm a 2-log reduction (log&lt;sub&gt;10</w:t>
      </w:r>
      <w:r w:rsidR="00A80B36" w:rsidRPr="00D644A8">
        <w:rPr>
          <w:rFonts w:ascii="Times New Roman" w:hAnsi="Times New Roman" w:cs="Times New Roman"/>
          <w:sz w:val="28"/>
          <w:szCs w:val="28"/>
          <w:vertAlign w:val="superscript"/>
        </w:rPr>
        <w:t>7</w:t>
      </w:r>
      <w:r w:rsidR="00A80B36" w:rsidRPr="00D644A8">
        <w:rPr>
          <w:rFonts w:ascii="Times New Roman" w:hAnsi="Times New Roman" w:cs="Times New Roman"/>
          <w:sz w:val="28"/>
          <w:szCs w:val="28"/>
        </w:rPr>
        <w:t xml:space="preserve"> → log10</w:t>
      </w:r>
      <w:r w:rsidR="00A80B36" w:rsidRPr="00D644A8">
        <w:rPr>
          <w:rFonts w:ascii="Times New Roman" w:hAnsi="Times New Roman" w:cs="Times New Roman"/>
          <w:sz w:val="28"/>
          <w:szCs w:val="28"/>
          <w:vertAlign w:val="superscript"/>
        </w:rPr>
        <w:t>5</w:t>
      </w:r>
      <w:r w:rsidR="00A80B36" w:rsidRPr="00D644A8">
        <w:rPr>
          <w:rFonts w:ascii="Times New Roman" w:hAnsi="Times New Roman" w:cs="Times New Roman"/>
          <w:sz w:val="28"/>
          <w:szCs w:val="28"/>
        </w:rPr>
        <w:t xml:space="preserve"> copies/mL) using qRT-PCR, while integrating cytotoxicity and antiviral efficacy (in a single plate</w:t>
      </w:r>
      <w:r w:rsidR="00A80B36" w:rsidRPr="00D644A8">
        <w:rPr>
          <w:rFonts w:ascii="Times New Roman" w:hAnsi="Times New Roman" w:cs="Times New Roman"/>
          <w:b/>
          <w:bCs/>
          <w:sz w:val="28"/>
          <w:szCs w:val="28"/>
        </w:rPr>
        <w:t>.</w:t>
      </w:r>
    </w:p>
    <w:p w14:paraId="66B18AF6" w14:textId="77777777" w:rsidR="00A80B36" w:rsidRPr="00D644A8" w:rsidRDefault="00A80B36" w:rsidP="00D644A8">
      <w:pPr>
        <w:spacing w:after="0" w:line="240" w:lineRule="auto"/>
        <w:ind w:firstLine="708"/>
        <w:jc w:val="both"/>
        <w:rPr>
          <w:rFonts w:ascii="Times New Roman" w:hAnsi="Times New Roman" w:cs="Times New Roman"/>
          <w:i/>
          <w:iCs/>
          <w:sz w:val="28"/>
          <w:szCs w:val="28"/>
          <w:u w:val="single"/>
        </w:rPr>
      </w:pPr>
      <w:r w:rsidRPr="00D644A8">
        <w:rPr>
          <w:rFonts w:ascii="Times New Roman" w:hAnsi="Times New Roman" w:cs="Times New Roman"/>
          <w:i/>
          <w:iCs/>
          <w:sz w:val="28"/>
          <w:szCs w:val="28"/>
          <w:u w:val="single"/>
        </w:rPr>
        <w:t>Plate Layout (96-Well Plate)</w:t>
      </w:r>
    </w:p>
    <w:p w14:paraId="57D17A17" w14:textId="0CB2DECA" w:rsidR="000228C0" w:rsidRPr="00A146BD" w:rsidRDefault="00DC730F" w:rsidP="00A146BD">
      <w:pPr>
        <w:spacing w:after="0" w:line="240" w:lineRule="auto"/>
        <w:ind w:firstLine="709"/>
        <w:jc w:val="both"/>
        <w:rPr>
          <w:rFonts w:ascii="Times New Roman" w:hAnsi="Times New Roman" w:cs="Times New Roman"/>
          <w:sz w:val="28"/>
          <w:szCs w:val="28"/>
        </w:rPr>
      </w:pPr>
      <w:r w:rsidRPr="00D644A8">
        <w:rPr>
          <w:rFonts w:ascii="Times New Roman" w:hAnsi="Times New Roman" w:cs="Times New Roman"/>
          <w:sz w:val="28"/>
          <w:szCs w:val="28"/>
        </w:rPr>
        <w:t xml:space="preserve">The 96-well plate layout </w:t>
      </w:r>
      <w:r w:rsidR="00A146BD">
        <w:rPr>
          <w:rFonts w:ascii="Times New Roman" w:hAnsi="Times New Roman" w:cs="Times New Roman"/>
          <w:sz w:val="28"/>
          <w:szCs w:val="28"/>
        </w:rPr>
        <w:t>comprised 96 wells (12 columns × 8 rows), organised into six experimental conditions,</w:t>
      </w:r>
      <w:r w:rsidRPr="00D644A8">
        <w:rPr>
          <w:rFonts w:ascii="Times New Roman" w:hAnsi="Times New Roman" w:cs="Times New Roman"/>
          <w:sz w:val="28"/>
          <w:szCs w:val="28"/>
        </w:rPr>
        <w:t xml:space="preserve"> with 16 replicates per condition to ensure statistical reliability. The design included a TAF dose–response setup with four concentrations alongside control groups, ensuring maximal plate utilisation. Specifically, cell controls (uninfected, no drug) occupied wells A1–A4, B1–B4, C1–C4, and D1–D4; virus controls (infected, no drug) occupied wells E1–E4, F1–F4, G1–G4, and H1–H4; and the remaining wells were assigned to TAF-treated groups across the four concentration gradients.</w:t>
      </w:r>
    </w:p>
    <w:p w14:paraId="31144E02" w14:textId="2E0DF8C2" w:rsidR="00A80B36" w:rsidRPr="00D644A8" w:rsidRDefault="00A80B36" w:rsidP="00D644A8">
      <w:pPr>
        <w:spacing w:after="0" w:line="240" w:lineRule="auto"/>
        <w:ind w:firstLine="708"/>
        <w:jc w:val="both"/>
        <w:rPr>
          <w:rFonts w:ascii="Times New Roman" w:hAnsi="Times New Roman" w:cs="Times New Roman"/>
          <w:i/>
          <w:iCs/>
          <w:sz w:val="28"/>
          <w:szCs w:val="28"/>
          <w:u w:val="single"/>
        </w:rPr>
      </w:pPr>
      <w:r w:rsidRPr="00D644A8">
        <w:rPr>
          <w:rFonts w:ascii="Times New Roman" w:hAnsi="Times New Roman" w:cs="Times New Roman"/>
          <w:i/>
          <w:iCs/>
          <w:sz w:val="28"/>
          <w:szCs w:val="28"/>
          <w:u w:val="single"/>
        </w:rPr>
        <w:t>TAF Concentrations (µg/mL):</w:t>
      </w:r>
    </w:p>
    <w:p w14:paraId="15C159C9" w14:textId="3968FC7F" w:rsidR="001F21D5" w:rsidRPr="00D644A8" w:rsidRDefault="00DC730F" w:rsidP="00D644A8">
      <w:pPr>
        <w:spacing w:after="0" w:line="240" w:lineRule="auto"/>
        <w:ind w:firstLine="709"/>
        <w:jc w:val="both"/>
        <w:rPr>
          <w:rFonts w:ascii="Times New Roman" w:hAnsi="Times New Roman" w:cs="Times New Roman"/>
          <w:sz w:val="28"/>
          <w:szCs w:val="28"/>
          <w:lang w:val="en-US"/>
        </w:rPr>
      </w:pPr>
      <w:r w:rsidRPr="00D644A8">
        <w:rPr>
          <w:rFonts w:ascii="Times New Roman" w:hAnsi="Times New Roman" w:cs="Times New Roman"/>
          <w:sz w:val="28"/>
          <w:szCs w:val="28"/>
          <w:lang w:val="en-US"/>
        </w:rPr>
        <w:t xml:space="preserve">The TAF dose–response experiment was conducted using four concentrations of tenofovir alafenamide (TAF)—6.25, 12.5, 25, and 50 µg/mL—each tested in eight </w:t>
      </w:r>
      <w:r w:rsidRPr="00D644A8">
        <w:rPr>
          <w:rFonts w:ascii="Times New Roman" w:hAnsi="Times New Roman" w:cs="Times New Roman"/>
          <w:sz w:val="28"/>
          <w:szCs w:val="28"/>
          <w:lang w:val="en-US"/>
        </w:rPr>
        <w:lastRenderedPageBreak/>
        <w:t>replicates (</w:t>
      </w:r>
      <w:r w:rsidR="00FC28C2">
        <w:rPr>
          <w:rFonts w:ascii="Times New Roman" w:hAnsi="Times New Roman" w:cs="Times New Roman"/>
          <w:sz w:val="28"/>
          <w:szCs w:val="28"/>
          <w:lang w:val="en-US"/>
        </w:rPr>
        <w:t>totalling</w:t>
      </w:r>
      <w:r w:rsidRPr="00D644A8">
        <w:rPr>
          <w:rFonts w:ascii="Times New Roman" w:hAnsi="Times New Roman" w:cs="Times New Roman"/>
          <w:sz w:val="28"/>
          <w:szCs w:val="28"/>
          <w:lang w:val="en-US"/>
        </w:rPr>
        <w:t xml:space="preserve"> 64 wells). Lower doses (6.25–12.5 µg/mL) were assigned to rows A–D, while higher doses (25–50 µg/mL) were placed in rows E–H.</w:t>
      </w:r>
      <w:r w:rsidR="001F21D5" w:rsidRPr="00D644A8">
        <w:rPr>
          <w:rFonts w:ascii="Times New Roman" w:hAnsi="Times New Roman" w:cs="Times New Roman"/>
          <w:sz w:val="28"/>
          <w:szCs w:val="28"/>
          <w:lang w:val="en-US"/>
        </w:rPr>
        <w:t xml:space="preserve"> </w:t>
      </w:r>
      <w:r w:rsidRPr="00D644A8">
        <w:rPr>
          <w:rFonts w:ascii="Times New Roman" w:hAnsi="Times New Roman" w:cs="Times New Roman"/>
          <w:sz w:val="28"/>
          <w:szCs w:val="28"/>
          <w:lang w:val="en-US"/>
        </w:rPr>
        <w:t>In China</w:t>
      </w:r>
      <w:r w:rsidRPr="00D644A8">
        <w:rPr>
          <w:rFonts w:ascii="Times New Roman" w:hAnsi="Times New Roman" w:cs="Times New Roman"/>
          <w:i/>
          <w:iCs/>
          <w:sz w:val="28"/>
          <w:szCs w:val="28"/>
          <w:lang w:val="en-US"/>
        </w:rPr>
        <w:t>,</w:t>
      </w:r>
      <w:r w:rsidRPr="00D644A8">
        <w:rPr>
          <w:rFonts w:ascii="Times New Roman" w:hAnsi="Times New Roman" w:cs="Times New Roman"/>
          <w:sz w:val="28"/>
          <w:szCs w:val="28"/>
          <w:lang w:val="en-US"/>
        </w:rPr>
        <w:t xml:space="preserve"> the experimental workflow proceeded as follows: on Day 0, Vero E6 cells were seeded at 2.5 × 10⁴ cells per well in 100 µL of DMEM supplemented with 10% FBS and incubated for 24 hours at 37 °C and 5% CO₂ to reach 80–90% confluence.</w:t>
      </w:r>
    </w:p>
    <w:p w14:paraId="350B49B1" w14:textId="367731E1" w:rsidR="00DC730F" w:rsidRPr="00D644A8" w:rsidRDefault="00DC730F" w:rsidP="00D644A8">
      <w:pPr>
        <w:spacing w:after="0" w:line="240" w:lineRule="auto"/>
        <w:ind w:firstLine="709"/>
        <w:jc w:val="both"/>
        <w:rPr>
          <w:rFonts w:ascii="Times New Roman" w:hAnsi="Times New Roman" w:cs="Times New Roman"/>
          <w:sz w:val="28"/>
          <w:szCs w:val="28"/>
          <w:lang w:val="en-US"/>
        </w:rPr>
      </w:pPr>
      <w:r w:rsidRPr="00D644A8">
        <w:rPr>
          <w:rFonts w:ascii="Times New Roman" w:hAnsi="Times New Roman" w:cs="Times New Roman"/>
          <w:sz w:val="28"/>
          <w:szCs w:val="28"/>
          <w:lang w:val="en-US"/>
        </w:rPr>
        <w:t xml:space="preserve"> On Day 1, the virus inoculum was prepared by diluting SARS-CoV-2 in serum-free DMEM to a multiplicity of infection (MOI) of 0.05, corresponding to approximately 10⁷ copies/mL in virus control wells after 48 hours. Infection was initiated in the virus control (VC) and TAF-treated groups by aspirating the medium and adding 50 µL of virus inoculum per well, followed by 1.5 hours of adsorption at 37 °C.</w:t>
      </w:r>
    </w:p>
    <w:p w14:paraId="0D16D51C" w14:textId="5DD94FAF" w:rsidR="00DC730F" w:rsidRPr="00D644A8" w:rsidRDefault="00DC730F" w:rsidP="00D644A8">
      <w:pPr>
        <w:spacing w:after="0" w:line="240" w:lineRule="auto"/>
        <w:ind w:firstLine="709"/>
        <w:jc w:val="both"/>
        <w:rPr>
          <w:rFonts w:ascii="Times New Roman" w:hAnsi="Times New Roman" w:cs="Times New Roman"/>
          <w:sz w:val="28"/>
          <w:szCs w:val="28"/>
          <w:lang w:val="en-US"/>
        </w:rPr>
      </w:pPr>
      <w:r w:rsidRPr="00D644A8">
        <w:rPr>
          <w:rFonts w:ascii="Times New Roman" w:hAnsi="Times New Roman" w:cs="Times New Roman"/>
          <w:sz w:val="28"/>
          <w:szCs w:val="28"/>
          <w:lang w:val="en-US"/>
        </w:rPr>
        <w:t>After infection, the inoculum was removed, wells were washed once with PBS, and treatments were applied: cell controls (CC) and virus controls (VC) received serum-free DMEM with 0.1% DMSO. In contrast, TAF wells received serum-free DMEM containing the corresponding drug concentrations. All plates were incubated for 48 hours at 37 °C and 5% CO₂.</w:t>
      </w:r>
    </w:p>
    <w:p w14:paraId="3FFA436D" w14:textId="77777777" w:rsidR="00DC730F" w:rsidRPr="00D644A8" w:rsidRDefault="00DC730F" w:rsidP="00D644A8">
      <w:pPr>
        <w:spacing w:after="0" w:line="240" w:lineRule="auto"/>
        <w:ind w:firstLine="709"/>
        <w:jc w:val="both"/>
        <w:rPr>
          <w:rFonts w:ascii="Times New Roman" w:hAnsi="Times New Roman" w:cs="Times New Roman"/>
          <w:sz w:val="28"/>
          <w:szCs w:val="28"/>
          <w:lang w:val="en-US"/>
        </w:rPr>
      </w:pPr>
      <w:r w:rsidRPr="00D644A8">
        <w:rPr>
          <w:rFonts w:ascii="Times New Roman" w:hAnsi="Times New Roman" w:cs="Times New Roman"/>
          <w:sz w:val="28"/>
          <w:szCs w:val="28"/>
          <w:lang w:val="en-US"/>
        </w:rPr>
        <w:t xml:space="preserve">On Day 3, supernatants (80 µL per well) were collected into a 96-well PCR plate for RNA extraction after centrifugation at 3,000 × g for 10 minutes. In parallel, cytotoxicity was evaluated by adding 10 µL of </w:t>
      </w:r>
      <w:proofErr w:type="spellStart"/>
      <w:r w:rsidRPr="00D644A8">
        <w:rPr>
          <w:rFonts w:ascii="Times New Roman" w:hAnsi="Times New Roman" w:cs="Times New Roman"/>
          <w:sz w:val="28"/>
          <w:szCs w:val="28"/>
          <w:lang w:val="en-US"/>
        </w:rPr>
        <w:t>PrestoBlue</w:t>
      </w:r>
      <w:proofErr w:type="spellEnd"/>
      <w:r w:rsidRPr="00D644A8">
        <w:rPr>
          <w:rFonts w:ascii="Times New Roman" w:hAnsi="Times New Roman" w:cs="Times New Roman"/>
          <w:sz w:val="28"/>
          <w:szCs w:val="28"/>
          <w:lang w:val="en-US"/>
        </w:rPr>
        <w:t>® reagent to each well, incubating for 1 hour at 37 °C, and measuring fluorescence (560ₑₓ/590ₑₘ).</w:t>
      </w:r>
    </w:p>
    <w:p w14:paraId="7EF98589" w14:textId="77777777" w:rsidR="00DC730F" w:rsidRPr="00D644A8" w:rsidRDefault="00DC730F" w:rsidP="00D644A8">
      <w:pPr>
        <w:spacing w:after="0" w:line="240" w:lineRule="auto"/>
        <w:ind w:firstLine="708"/>
        <w:jc w:val="both"/>
        <w:rPr>
          <w:rFonts w:ascii="Times New Roman" w:hAnsi="Times New Roman" w:cs="Times New Roman"/>
          <w:sz w:val="28"/>
          <w:szCs w:val="28"/>
          <w:lang w:val="en-US"/>
        </w:rPr>
      </w:pPr>
      <w:r w:rsidRPr="00D644A8">
        <w:rPr>
          <w:rFonts w:ascii="Times New Roman" w:hAnsi="Times New Roman" w:cs="Times New Roman"/>
          <w:sz w:val="28"/>
          <w:szCs w:val="28"/>
          <w:lang w:val="en-US"/>
        </w:rPr>
        <w:t xml:space="preserve">RNA extraction was performed using the QIAamp 96 Viral RNA Kit, with 50 µL of cleared supernatant as input. qRT-PCR targeting the SARS-CoV-2 N1 gene (CDC primers and probes) was conducted using </w:t>
      </w:r>
      <w:proofErr w:type="spellStart"/>
      <w:r w:rsidRPr="00D644A8">
        <w:rPr>
          <w:rFonts w:ascii="Times New Roman" w:hAnsi="Times New Roman" w:cs="Times New Roman"/>
          <w:sz w:val="28"/>
          <w:szCs w:val="28"/>
          <w:lang w:val="en-US"/>
        </w:rPr>
        <w:t>TaqPath</w:t>
      </w:r>
      <w:proofErr w:type="spellEnd"/>
      <w:r w:rsidRPr="00D644A8">
        <w:rPr>
          <w:rFonts w:ascii="Times New Roman" w:hAnsi="Times New Roman" w:cs="Times New Roman"/>
          <w:sz w:val="28"/>
          <w:szCs w:val="28"/>
          <w:lang w:val="en-US"/>
        </w:rPr>
        <w:t>™ 1-Step RT-qPCR Master Mix (5 µL RNA + 15 µL mix). Quantification was based on a standard curve generated from 10-fold serial dilutions of SARS-CoV-2 RNA (10¹–10⁸ copies/µL). The thermal cycling conditions were 50 °C for 15 min, 95 °C for 2 min, followed by 40 cycles of 95 °C for 3 sec and 60 °C for 30 sec.</w:t>
      </w:r>
    </w:p>
    <w:p w14:paraId="20F0ADA3" w14:textId="05D16B0C" w:rsidR="00EE3B5E" w:rsidRPr="00D644A8" w:rsidRDefault="00DC730F" w:rsidP="00D644A8">
      <w:pPr>
        <w:spacing w:after="0" w:line="240" w:lineRule="auto"/>
        <w:jc w:val="both"/>
        <w:rPr>
          <w:rFonts w:ascii="Times New Roman" w:hAnsi="Times New Roman" w:cs="Times New Roman"/>
          <w:sz w:val="28"/>
          <w:szCs w:val="28"/>
          <w:lang w:val="en-US"/>
        </w:rPr>
      </w:pPr>
      <w:r w:rsidRPr="00D644A8">
        <w:rPr>
          <w:rFonts w:ascii="Times New Roman" w:hAnsi="Times New Roman" w:cs="Times New Roman"/>
          <w:sz w:val="28"/>
          <w:szCs w:val="28"/>
          <w:lang w:val="en-US"/>
        </w:rPr>
        <w:t>A ≥2-log reduction in viral load—defined as ≤10⁵ copies/mL in TAF-treated wells compared to ≥10⁷ copies/mL in virus control wells—was considered evidence of significant antiviral activity. Statistical validation was performed using ANOVA followed by Dunnett’s test (p &lt; 0.05), confirming a dose-dependent reduction in viral replication with increasing TAF concentrations.</w:t>
      </w:r>
    </w:p>
    <w:p w14:paraId="5DA42CA5" w14:textId="250737B4" w:rsidR="00A80B36" w:rsidRPr="00D644A8" w:rsidRDefault="00A80B36" w:rsidP="00D644A8">
      <w:pPr>
        <w:spacing w:after="0" w:line="240" w:lineRule="auto"/>
        <w:ind w:left="6" w:firstLine="703"/>
        <w:jc w:val="both"/>
        <w:rPr>
          <w:rFonts w:ascii="Times New Roman" w:hAnsi="Times New Roman" w:cs="Times New Roman"/>
          <w:i/>
          <w:iCs/>
          <w:sz w:val="28"/>
          <w:szCs w:val="28"/>
          <w:u w:val="single"/>
        </w:rPr>
      </w:pPr>
      <w:r w:rsidRPr="00D644A8">
        <w:rPr>
          <w:rFonts w:ascii="Times New Roman" w:hAnsi="Times New Roman" w:cs="Times New Roman"/>
          <w:i/>
          <w:iCs/>
          <w:sz w:val="28"/>
          <w:szCs w:val="28"/>
          <w:u w:val="single"/>
        </w:rPr>
        <w:t>Expected Results for TAF</w:t>
      </w:r>
    </w:p>
    <w:p w14:paraId="12C8AA2B" w14:textId="77777777" w:rsidR="00192392" w:rsidRPr="00D644A8" w:rsidRDefault="00192392" w:rsidP="00D644A8">
      <w:pPr>
        <w:spacing w:after="0" w:line="240" w:lineRule="auto"/>
        <w:ind w:left="6" w:firstLine="703"/>
        <w:jc w:val="both"/>
        <w:rPr>
          <w:rFonts w:ascii="Times New Roman" w:hAnsi="Times New Roman" w:cs="Times New Roman"/>
          <w:sz w:val="28"/>
          <w:szCs w:val="28"/>
          <w:lang w:val="en-US"/>
        </w:rPr>
      </w:pPr>
      <w:r w:rsidRPr="00D644A8">
        <w:rPr>
          <w:rFonts w:ascii="Times New Roman" w:hAnsi="Times New Roman" w:cs="Times New Roman"/>
          <w:sz w:val="28"/>
          <w:szCs w:val="28"/>
          <w:lang w:val="en-US"/>
        </w:rPr>
        <w:t>The expected results for tenofovir alafenamide (TAF) treatment include identification of the effective concentration achieving a log reduction ≥ 2.0 and viral inhibition ≥ 99%, along with a safety margin (CC₅₀/EC₅₀ &gt; 10), indicating minimal cytotoxicity.</w:t>
      </w:r>
    </w:p>
    <w:p w14:paraId="3734E29A" w14:textId="0BD492DE" w:rsidR="00192392" w:rsidRPr="001B27A1" w:rsidRDefault="00192392" w:rsidP="001B27A1">
      <w:pPr>
        <w:spacing w:after="0" w:line="240" w:lineRule="auto"/>
        <w:ind w:left="6" w:firstLine="703"/>
        <w:jc w:val="both"/>
        <w:rPr>
          <w:rFonts w:ascii="Times New Roman" w:hAnsi="Times New Roman" w:cs="Times New Roman"/>
          <w:sz w:val="28"/>
          <w:szCs w:val="28"/>
          <w:lang w:val="en-US"/>
        </w:rPr>
      </w:pPr>
      <w:r w:rsidRPr="001B27A1">
        <w:rPr>
          <w:rFonts w:ascii="Times New Roman" w:hAnsi="Times New Roman" w:cs="Times New Roman"/>
          <w:sz w:val="28"/>
          <w:szCs w:val="28"/>
          <w:lang w:val="en-US"/>
        </w:rPr>
        <w:t xml:space="preserve">The 96-well plate layout was designed to ensure balanced experimental conditions and high statistical reliability. Cell controls (CC) represented uninfected, untreated wells, while virus controls (VC) represented infected, untreated wells. TAF-treated groups included concentrations of 6.25, 12.5, 25, and 50 µg/mL, each tested in eight replicates across the plate </w:t>
      </w:r>
      <w:r w:rsidR="00B82B8B">
        <w:rPr>
          <w:rFonts w:ascii="Times New Roman" w:hAnsi="Times New Roman" w:cs="Times New Roman"/>
          <w:sz w:val="28"/>
          <w:szCs w:val="28"/>
          <w:lang w:val="en-US"/>
        </w:rPr>
        <w:t>to determine the EC₅₀ accurately</w:t>
      </w:r>
      <w:r w:rsidRPr="001B27A1">
        <w:rPr>
          <w:rFonts w:ascii="Times New Roman" w:hAnsi="Times New Roman" w:cs="Times New Roman"/>
          <w:sz w:val="28"/>
          <w:szCs w:val="28"/>
          <w:lang w:val="en-US"/>
        </w:rPr>
        <w:t>. Rows A–D primarily contained cell controls and lower TAF doses, whereas rows E–H included virus controls and higher TAF concentrations.</w:t>
      </w:r>
    </w:p>
    <w:p w14:paraId="02E60384" w14:textId="38CB6020" w:rsidR="00192392" w:rsidRPr="001B27A1" w:rsidRDefault="00192392" w:rsidP="001B27A1">
      <w:pPr>
        <w:spacing w:after="0" w:line="240" w:lineRule="auto"/>
        <w:ind w:left="6" w:firstLine="703"/>
        <w:jc w:val="both"/>
        <w:rPr>
          <w:rFonts w:ascii="Times New Roman" w:hAnsi="Times New Roman" w:cs="Times New Roman"/>
          <w:sz w:val="28"/>
          <w:szCs w:val="28"/>
          <w:lang w:val="en-US"/>
        </w:rPr>
      </w:pPr>
      <w:r w:rsidRPr="001B27A1">
        <w:rPr>
          <w:rFonts w:ascii="Times New Roman" w:hAnsi="Times New Roman" w:cs="Times New Roman"/>
          <w:sz w:val="28"/>
          <w:szCs w:val="28"/>
          <w:lang w:val="en-US"/>
        </w:rPr>
        <w:lastRenderedPageBreak/>
        <w:t>The high-throughput design enabled efficient processing by allowing supernatant transfer and RNA extraction in a 96-well format, significantly reducing manual handling. Parallel measurements of cytotoxicity and qRT-PCR facilitated same-day data acquisition. The use of 16 replicates for control groups (VC/CC) minimised variability, and eight replicates per TAF dose ensured robust statistical power for dose–response analysis.</w:t>
      </w:r>
    </w:p>
    <w:p w14:paraId="6F8BCE28" w14:textId="066867A3" w:rsidR="00A80B36" w:rsidRPr="001B27A1" w:rsidRDefault="00192392" w:rsidP="001B27A1">
      <w:pPr>
        <w:spacing w:after="0" w:line="240" w:lineRule="auto"/>
        <w:ind w:left="7" w:firstLine="701"/>
        <w:jc w:val="both"/>
        <w:rPr>
          <w:rFonts w:ascii="Times New Roman" w:hAnsi="Times New Roman" w:cs="Times New Roman"/>
          <w:sz w:val="28"/>
          <w:szCs w:val="28"/>
          <w:lang w:val="en-US"/>
        </w:rPr>
      </w:pPr>
      <w:r w:rsidRPr="001B27A1">
        <w:rPr>
          <w:rFonts w:ascii="Times New Roman" w:hAnsi="Times New Roman" w:cs="Times New Roman"/>
          <w:sz w:val="28"/>
          <w:szCs w:val="28"/>
          <w:lang w:val="en-US"/>
        </w:rPr>
        <w:t xml:space="preserve">All experimental procedures involving live SARS-CoV-2 were performed under biosafety level 3 (BSL-3) containment, </w:t>
      </w:r>
      <w:r w:rsidR="00A146BD">
        <w:rPr>
          <w:rFonts w:ascii="Times New Roman" w:hAnsi="Times New Roman" w:cs="Times New Roman"/>
          <w:sz w:val="28"/>
          <w:szCs w:val="28"/>
          <w:lang w:val="en-US"/>
        </w:rPr>
        <w:t>in accordance with</w:t>
      </w:r>
      <w:r w:rsidRPr="001B27A1">
        <w:rPr>
          <w:rFonts w:ascii="Times New Roman" w:hAnsi="Times New Roman" w:cs="Times New Roman"/>
          <w:sz w:val="28"/>
          <w:szCs w:val="28"/>
          <w:lang w:val="en-US"/>
        </w:rPr>
        <w:t xml:space="preserve"> international biosafety standards. </w:t>
      </w:r>
      <w:r w:rsidR="00A80B36" w:rsidRPr="001B27A1">
        <w:rPr>
          <w:rFonts w:ascii="Times New Roman" w:hAnsi="Times New Roman" w:cs="Times New Roman"/>
          <w:sz w:val="28"/>
          <w:szCs w:val="28"/>
        </w:rPr>
        <w:t xml:space="preserve">This design </w:t>
      </w:r>
      <w:r w:rsidR="00C71A5A" w:rsidRPr="001B27A1">
        <w:rPr>
          <w:rFonts w:ascii="Times New Roman" w:hAnsi="Times New Roman" w:cs="Times New Roman"/>
          <w:sz w:val="28"/>
          <w:szCs w:val="28"/>
        </w:rPr>
        <w:t>maximises</w:t>
      </w:r>
      <w:r w:rsidR="00A80B36" w:rsidRPr="001B27A1">
        <w:rPr>
          <w:rFonts w:ascii="Times New Roman" w:hAnsi="Times New Roman" w:cs="Times New Roman"/>
          <w:sz w:val="28"/>
          <w:szCs w:val="28"/>
        </w:rPr>
        <w:t xml:space="preserve"> the 96-well plate capacity to deliver definitive confirmation of TAF's antiviral activity and safety profile in a single experiment.</w:t>
      </w:r>
    </w:p>
    <w:p w14:paraId="0E23DD71" w14:textId="139D13EC" w:rsidR="00AC2137" w:rsidRPr="001B27A1" w:rsidRDefault="00853685" w:rsidP="001B27A1">
      <w:pPr>
        <w:spacing w:after="0" w:line="240" w:lineRule="auto"/>
        <w:ind w:firstLine="708"/>
        <w:jc w:val="both"/>
        <w:rPr>
          <w:rFonts w:ascii="Times New Roman" w:hAnsi="Times New Roman" w:cs="Times New Roman"/>
          <w:sz w:val="28"/>
          <w:szCs w:val="28"/>
        </w:rPr>
      </w:pPr>
      <w:r w:rsidRPr="001B27A1">
        <w:rPr>
          <w:rFonts w:ascii="Times New Roman" w:hAnsi="Times New Roman" w:cs="Times New Roman"/>
          <w:sz w:val="28"/>
          <w:szCs w:val="28"/>
        </w:rPr>
        <w:t>Researchers evaluate the effectiveness of antiviral drugs against SARS-CoV-2 using in vitro (cell-based)</w:t>
      </w:r>
      <w:r w:rsidR="00121633" w:rsidRPr="001B27A1">
        <w:rPr>
          <w:rFonts w:ascii="Times New Roman" w:hAnsi="Times New Roman" w:cs="Times New Roman"/>
          <w:sz w:val="28"/>
          <w:szCs w:val="28"/>
        </w:rPr>
        <w:t xml:space="preserve"> and in vivo (animal models) studies, as well as</w:t>
      </w:r>
      <w:r w:rsidRPr="001B27A1">
        <w:rPr>
          <w:rFonts w:ascii="Times New Roman" w:hAnsi="Times New Roman" w:cs="Times New Roman"/>
          <w:sz w:val="28"/>
          <w:szCs w:val="28"/>
        </w:rPr>
        <w:t xml:space="preserve"> clinical trials (human studies). The most common efficacy metrics include viral load reduction, cytotoxicity, and clinical outcomes.</w:t>
      </w:r>
    </w:p>
    <w:p w14:paraId="77B3D147" w14:textId="77777777" w:rsidR="00226539" w:rsidRPr="001B27A1" w:rsidRDefault="00853685" w:rsidP="001B27A1">
      <w:pPr>
        <w:spacing w:after="0" w:line="240" w:lineRule="auto"/>
        <w:ind w:firstLine="708"/>
        <w:jc w:val="both"/>
        <w:rPr>
          <w:rFonts w:ascii="Times New Roman" w:hAnsi="Times New Roman" w:cs="Times New Roman"/>
          <w:i/>
          <w:iCs/>
          <w:sz w:val="28"/>
          <w:szCs w:val="28"/>
          <w:u w:val="single"/>
        </w:rPr>
      </w:pPr>
      <w:r w:rsidRPr="001B27A1">
        <w:rPr>
          <w:rFonts w:ascii="Times New Roman" w:hAnsi="Times New Roman" w:cs="Times New Roman"/>
          <w:i/>
          <w:iCs/>
          <w:sz w:val="28"/>
          <w:szCs w:val="28"/>
          <w:u w:val="single"/>
        </w:rPr>
        <w:t xml:space="preserve"> In Vitro (Cell Culture) Studies</w:t>
      </w:r>
    </w:p>
    <w:p w14:paraId="34767319" w14:textId="231BFCF5" w:rsidR="00F1287C" w:rsidRPr="00503519" w:rsidRDefault="00853685" w:rsidP="001B27A1">
      <w:pPr>
        <w:spacing w:after="0" w:line="240" w:lineRule="auto"/>
        <w:ind w:firstLine="708"/>
        <w:jc w:val="both"/>
        <w:rPr>
          <w:rFonts w:ascii="Times New Roman" w:hAnsi="Times New Roman" w:cs="Times New Roman"/>
          <w:sz w:val="28"/>
          <w:szCs w:val="28"/>
          <w:lang w:val="en-US"/>
        </w:rPr>
      </w:pPr>
      <w:r w:rsidRPr="001B27A1">
        <w:rPr>
          <w:rFonts w:ascii="Times New Roman" w:hAnsi="Times New Roman" w:cs="Times New Roman"/>
          <w:sz w:val="28"/>
          <w:szCs w:val="28"/>
        </w:rPr>
        <w:t xml:space="preserve">These assays measure </w:t>
      </w:r>
      <w:r w:rsidR="00121633" w:rsidRPr="001B27A1">
        <w:rPr>
          <w:rFonts w:ascii="Times New Roman" w:hAnsi="Times New Roman" w:cs="Times New Roman"/>
          <w:sz w:val="28"/>
          <w:szCs w:val="28"/>
        </w:rPr>
        <w:t>the extent to which</w:t>
      </w:r>
      <w:r w:rsidRPr="001B27A1">
        <w:rPr>
          <w:rFonts w:ascii="Times New Roman" w:hAnsi="Times New Roman" w:cs="Times New Roman"/>
          <w:sz w:val="28"/>
          <w:szCs w:val="28"/>
        </w:rPr>
        <w:t xml:space="preserve"> a drug inhibits viral replication in </w:t>
      </w:r>
      <w:r w:rsidR="00F1287C" w:rsidRPr="001B27A1">
        <w:rPr>
          <w:rFonts w:ascii="Times New Roman" w:hAnsi="Times New Roman" w:cs="Times New Roman"/>
          <w:sz w:val="28"/>
          <w:szCs w:val="28"/>
        </w:rPr>
        <w:t>cells infected with the virus</w:t>
      </w:r>
      <w:r w:rsidRPr="001B27A1">
        <w:rPr>
          <w:rFonts w:ascii="Times New Roman" w:hAnsi="Times New Roman" w:cs="Times New Roman"/>
          <w:sz w:val="28"/>
          <w:szCs w:val="28"/>
        </w:rPr>
        <w:t xml:space="preserve">. Plaque Reduction Assay (PRA): Measures the ability of a drug to reduce the formation of virus-induced plaques in a cell monolayer. </w:t>
      </w:r>
      <w:r w:rsidR="003D6C59" w:rsidRPr="001B27A1">
        <w:rPr>
          <w:rFonts w:ascii="Times New Roman" w:hAnsi="Times New Roman" w:cs="Times New Roman"/>
          <w:sz w:val="28"/>
          <w:szCs w:val="28"/>
        </w:rPr>
        <w:t xml:space="preserve">– </w:t>
      </w:r>
      <w:r w:rsidR="002559D7" w:rsidRPr="001B27A1">
        <w:rPr>
          <w:rFonts w:ascii="Times New Roman" w:hAnsi="Times New Roman" w:cs="Times New Roman"/>
          <w:sz w:val="28"/>
          <w:szCs w:val="28"/>
        </w:rPr>
        <w:t xml:space="preserve">This approach was performed in China, </w:t>
      </w:r>
      <w:r w:rsidR="00121633" w:rsidRPr="001B27A1">
        <w:rPr>
          <w:rFonts w:ascii="Times New Roman" w:hAnsi="Times New Roman" w:cs="Times New Roman"/>
          <w:sz w:val="28"/>
          <w:szCs w:val="28"/>
        </w:rPr>
        <w:t>yielding results identical to</w:t>
      </w:r>
      <w:r w:rsidR="002559D7" w:rsidRPr="001B27A1">
        <w:rPr>
          <w:rFonts w:ascii="Times New Roman" w:hAnsi="Times New Roman" w:cs="Times New Roman"/>
          <w:sz w:val="28"/>
          <w:szCs w:val="28"/>
        </w:rPr>
        <w:t xml:space="preserve"> </w:t>
      </w:r>
      <w:r w:rsidR="00F1287C" w:rsidRPr="001B27A1">
        <w:rPr>
          <w:rFonts w:ascii="Times New Roman" w:hAnsi="Times New Roman" w:cs="Times New Roman"/>
          <w:sz w:val="28"/>
          <w:szCs w:val="28"/>
        </w:rPr>
        <w:t>those obtained from cytotoxicity assays</w:t>
      </w:r>
      <w:r w:rsidR="002559D7" w:rsidRPr="001B27A1">
        <w:rPr>
          <w:rFonts w:ascii="Times New Roman" w:hAnsi="Times New Roman" w:cs="Times New Roman"/>
          <w:sz w:val="28"/>
          <w:szCs w:val="28"/>
        </w:rPr>
        <w:t xml:space="preserve">. </w:t>
      </w:r>
      <w:r w:rsidRPr="001B27A1">
        <w:rPr>
          <w:rFonts w:ascii="Times New Roman" w:hAnsi="Times New Roman" w:cs="Times New Roman"/>
          <w:sz w:val="28"/>
          <w:szCs w:val="28"/>
        </w:rPr>
        <w:t>Output: Plaque reduction (%) or IC₅₀ (half-maximal inhibitory concentration</w:t>
      </w:r>
      <w:r w:rsidR="003F53BF" w:rsidRPr="001B27A1">
        <w:rPr>
          <w:rFonts w:ascii="Times New Roman" w:hAnsi="Times New Roman" w:cs="Times New Roman"/>
          <w:sz w:val="28"/>
          <w:szCs w:val="28"/>
        </w:rPr>
        <w:t>). TCID</w:t>
      </w:r>
      <w:r w:rsidRPr="001B27A1">
        <w:rPr>
          <w:rFonts w:ascii="Times New Roman" w:hAnsi="Times New Roman" w:cs="Times New Roman"/>
          <w:sz w:val="28"/>
          <w:szCs w:val="28"/>
        </w:rPr>
        <w:t>₅₀ (Tissue Culture Infectious Dose 50%): Measures the drug's effect on reducing the number of infectious viral particles.</w:t>
      </w:r>
      <w:r w:rsidR="003F53BF" w:rsidRPr="001B27A1">
        <w:rPr>
          <w:rFonts w:ascii="Times New Roman" w:hAnsi="Times New Roman" w:cs="Times New Roman"/>
          <w:sz w:val="28"/>
          <w:szCs w:val="28"/>
        </w:rPr>
        <w:t xml:space="preserve"> </w:t>
      </w:r>
      <w:r w:rsidR="00560C5D" w:rsidRPr="001B27A1">
        <w:rPr>
          <w:rFonts w:ascii="Times New Roman" w:hAnsi="Times New Roman" w:cs="Times New Roman"/>
          <w:sz w:val="28"/>
          <w:szCs w:val="28"/>
        </w:rPr>
        <w:t xml:space="preserve">The reduction in TCID₅₀ </w:t>
      </w:r>
      <w:r w:rsidR="0079177F" w:rsidRPr="001B27A1">
        <w:rPr>
          <w:rFonts w:ascii="Times New Roman" w:hAnsi="Times New Roman" w:cs="Times New Roman"/>
          <w:sz w:val="28"/>
          <w:szCs w:val="28"/>
        </w:rPr>
        <w:t>titer</w:t>
      </w:r>
      <w:r w:rsidR="003F53BF" w:rsidRPr="001B27A1">
        <w:rPr>
          <w:rFonts w:ascii="Times New Roman" w:hAnsi="Times New Roman" w:cs="Times New Roman"/>
          <w:sz w:val="28"/>
          <w:szCs w:val="28"/>
        </w:rPr>
        <w:t xml:space="preserve"> was </w:t>
      </w:r>
      <w:r w:rsidR="00121633" w:rsidRPr="001B27A1">
        <w:rPr>
          <w:rFonts w:ascii="Times New Roman" w:hAnsi="Times New Roman" w:cs="Times New Roman"/>
          <w:sz w:val="28"/>
          <w:szCs w:val="28"/>
        </w:rPr>
        <w:t xml:space="preserve">determined by quantitative reverse transcription </w:t>
      </w:r>
      <w:r w:rsidR="00B042E1" w:rsidRPr="001B27A1">
        <w:rPr>
          <w:rFonts w:ascii="Times New Roman" w:hAnsi="Times New Roman" w:cs="Times New Roman"/>
          <w:sz w:val="28"/>
          <w:szCs w:val="28"/>
        </w:rPr>
        <w:t>polymerase chain reaction</w:t>
      </w:r>
      <w:r w:rsidR="00121633" w:rsidRPr="001B27A1">
        <w:rPr>
          <w:rFonts w:ascii="Times New Roman" w:hAnsi="Times New Roman" w:cs="Times New Roman"/>
          <w:sz w:val="28"/>
          <w:szCs w:val="28"/>
        </w:rPr>
        <w:t xml:space="preserve"> (qRT-PCR), which measures SARS-CoV-2 RNA levels in the </w:t>
      </w:r>
      <w:r w:rsidRPr="001B27A1">
        <w:rPr>
          <w:rFonts w:ascii="Times New Roman" w:hAnsi="Times New Roman" w:cs="Times New Roman"/>
          <w:sz w:val="28"/>
          <w:szCs w:val="28"/>
        </w:rPr>
        <w:t>culture supernatant after treatment.</w:t>
      </w:r>
      <w:r w:rsidR="00BF6702" w:rsidRPr="001B27A1">
        <w:rPr>
          <w:rFonts w:ascii="Times New Roman" w:hAnsi="Times New Roman" w:cs="Times New Roman"/>
          <w:sz w:val="28"/>
          <w:szCs w:val="28"/>
        </w:rPr>
        <w:t xml:space="preserve"> </w:t>
      </w:r>
      <w:r w:rsidRPr="001B27A1">
        <w:rPr>
          <w:rFonts w:ascii="Times New Roman" w:hAnsi="Times New Roman" w:cs="Times New Roman"/>
          <w:sz w:val="28"/>
          <w:szCs w:val="28"/>
        </w:rPr>
        <w:t>Output: Viral RNA copies/ml (Ct values)</w:t>
      </w:r>
      <w:r w:rsidR="00C120DD" w:rsidRPr="001B27A1">
        <w:rPr>
          <w:rFonts w:ascii="Times New Roman" w:hAnsi="Times New Roman" w:cs="Times New Roman"/>
          <w:sz w:val="28"/>
          <w:szCs w:val="28"/>
        </w:rPr>
        <w:t>.</w:t>
      </w:r>
    </w:p>
    <w:p w14:paraId="3B443F5E" w14:textId="1A1D556D" w:rsidR="00A46D84" w:rsidRPr="001B27A1" w:rsidRDefault="00A46D84" w:rsidP="001B27A1">
      <w:pPr>
        <w:spacing w:after="0" w:line="240" w:lineRule="auto"/>
        <w:ind w:firstLine="708"/>
        <w:jc w:val="both"/>
        <w:rPr>
          <w:rFonts w:ascii="Times New Roman" w:hAnsi="Times New Roman" w:cs="Times New Roman"/>
          <w:i/>
          <w:iCs/>
          <w:sz w:val="28"/>
          <w:szCs w:val="28"/>
          <w:u w:val="single"/>
        </w:rPr>
      </w:pPr>
      <w:r w:rsidRPr="001B27A1">
        <w:rPr>
          <w:rFonts w:ascii="Times New Roman" w:hAnsi="Times New Roman" w:cs="Times New Roman"/>
          <w:i/>
          <w:iCs/>
          <w:sz w:val="28"/>
          <w:szCs w:val="28"/>
          <w:u w:val="single"/>
        </w:rPr>
        <w:t>Gaining the viral titer of SARS-CoV2 of MOI of 2 (viral load) from eight isolates with an overall Mean Cq of 22 using VERO E6 cells' supernatant</w:t>
      </w:r>
    </w:p>
    <w:p w14:paraId="7C82DC31" w14:textId="65B7A19D" w:rsidR="00216B0A" w:rsidRPr="001B27A1" w:rsidRDefault="00216B0A" w:rsidP="001B27A1">
      <w:pPr>
        <w:spacing w:after="0" w:line="240" w:lineRule="auto"/>
        <w:ind w:firstLine="708"/>
        <w:jc w:val="both"/>
        <w:rPr>
          <w:rFonts w:ascii="Times New Roman" w:hAnsi="Times New Roman" w:cs="Times New Roman"/>
          <w:sz w:val="28"/>
          <w:szCs w:val="28"/>
          <w:lang w:val="en-US"/>
        </w:rPr>
      </w:pPr>
      <w:r w:rsidRPr="001B27A1">
        <w:rPr>
          <w:rFonts w:ascii="Times New Roman" w:hAnsi="Times New Roman" w:cs="Times New Roman"/>
          <w:sz w:val="28"/>
          <w:szCs w:val="28"/>
          <w:lang w:val="en-US"/>
        </w:rPr>
        <w:t>To obtain a viral titer of SARS-CoV-2 corresponding to an MOI of 2, viral supernatants were collected from eight isolates cultured in Vero E6 cells, yielding an overall mean Cq value of 22. Vero E6 cells were seeded in 24-well plates at 2.5 × 10⁵ cells per well (80–90% confluency) and maintained in DMEM supplemented with 2% FBS during infection. The virus was adsorbed for 1 hour at 37 °C and 5% CO₂, after which wells were washed three times with PBS and supplied with fresh medium. Sampling was performed at 24-, 48-, and 72-hours post-infection (</w:t>
      </w:r>
      <w:proofErr w:type="spellStart"/>
      <w:r w:rsidRPr="001B27A1">
        <w:rPr>
          <w:rFonts w:ascii="Times New Roman" w:hAnsi="Times New Roman" w:cs="Times New Roman"/>
          <w:sz w:val="28"/>
          <w:szCs w:val="28"/>
          <w:lang w:val="en-US"/>
        </w:rPr>
        <w:t>hpi</w:t>
      </w:r>
      <w:proofErr w:type="spellEnd"/>
      <w:r w:rsidRPr="001B27A1">
        <w:rPr>
          <w:rFonts w:ascii="Times New Roman" w:hAnsi="Times New Roman" w:cs="Times New Roman"/>
          <w:sz w:val="28"/>
          <w:szCs w:val="28"/>
          <w:lang w:val="en-US"/>
        </w:rPr>
        <w:t xml:space="preserve">), avoiding Cq values outside the 15–28 range, with timing adjusted to maintain a target Cq of 22—early collection (24–36 </w:t>
      </w:r>
      <w:proofErr w:type="spellStart"/>
      <w:r w:rsidRPr="001B27A1">
        <w:rPr>
          <w:rFonts w:ascii="Times New Roman" w:hAnsi="Times New Roman" w:cs="Times New Roman"/>
          <w:sz w:val="28"/>
          <w:szCs w:val="28"/>
          <w:lang w:val="en-US"/>
        </w:rPr>
        <w:t>hpi</w:t>
      </w:r>
      <w:proofErr w:type="spellEnd"/>
      <w:r w:rsidRPr="001B27A1">
        <w:rPr>
          <w:rFonts w:ascii="Times New Roman" w:hAnsi="Times New Roman" w:cs="Times New Roman"/>
          <w:sz w:val="28"/>
          <w:szCs w:val="28"/>
          <w:lang w:val="en-US"/>
        </w:rPr>
        <w:t xml:space="preserve">) for faster replication (Cq &lt; 20) and later collection (48–60 </w:t>
      </w:r>
      <w:proofErr w:type="spellStart"/>
      <w:r w:rsidRPr="001B27A1">
        <w:rPr>
          <w:rFonts w:ascii="Times New Roman" w:hAnsi="Times New Roman" w:cs="Times New Roman"/>
          <w:sz w:val="28"/>
          <w:szCs w:val="28"/>
          <w:lang w:val="en-US"/>
        </w:rPr>
        <w:t>hpi</w:t>
      </w:r>
      <w:proofErr w:type="spellEnd"/>
      <w:r w:rsidRPr="001B27A1">
        <w:rPr>
          <w:rFonts w:ascii="Times New Roman" w:hAnsi="Times New Roman" w:cs="Times New Roman"/>
          <w:sz w:val="28"/>
          <w:szCs w:val="28"/>
          <w:lang w:val="en-US"/>
        </w:rPr>
        <w:t xml:space="preserve">) for slower replication (Cq &gt; 24). For instance, </w:t>
      </w:r>
      <w:r w:rsidR="00A146BD">
        <w:rPr>
          <w:rFonts w:ascii="Times New Roman" w:hAnsi="Times New Roman" w:cs="Times New Roman"/>
          <w:sz w:val="28"/>
          <w:szCs w:val="28"/>
          <w:lang w:val="en-US"/>
        </w:rPr>
        <w:t>isolate</w:t>
      </w:r>
      <w:r w:rsidRPr="001B27A1">
        <w:rPr>
          <w:rFonts w:ascii="Times New Roman" w:hAnsi="Times New Roman" w:cs="Times New Roman"/>
          <w:sz w:val="28"/>
          <w:szCs w:val="28"/>
          <w:lang w:val="en-US"/>
        </w:rPr>
        <w:t xml:space="preserve"> 1 (fast-replicating) was harvested at 30 </w:t>
      </w:r>
      <w:proofErr w:type="spellStart"/>
      <w:r w:rsidRPr="001B27A1">
        <w:rPr>
          <w:rFonts w:ascii="Times New Roman" w:hAnsi="Times New Roman" w:cs="Times New Roman"/>
          <w:sz w:val="28"/>
          <w:szCs w:val="28"/>
          <w:lang w:val="en-US"/>
        </w:rPr>
        <w:t>hpi</w:t>
      </w:r>
      <w:proofErr w:type="spellEnd"/>
      <w:r w:rsidRPr="001B27A1">
        <w:rPr>
          <w:rFonts w:ascii="Times New Roman" w:hAnsi="Times New Roman" w:cs="Times New Roman"/>
          <w:sz w:val="28"/>
          <w:szCs w:val="28"/>
          <w:lang w:val="en-US"/>
        </w:rPr>
        <w:t xml:space="preserve"> (Cq = 21.9), whereas Isolate 8 (slow-replicating) was collected at 54 </w:t>
      </w:r>
      <w:proofErr w:type="spellStart"/>
      <w:r w:rsidRPr="001B27A1">
        <w:rPr>
          <w:rFonts w:ascii="Times New Roman" w:hAnsi="Times New Roman" w:cs="Times New Roman"/>
          <w:sz w:val="28"/>
          <w:szCs w:val="28"/>
          <w:lang w:val="en-US"/>
        </w:rPr>
        <w:t>hpi</w:t>
      </w:r>
      <w:proofErr w:type="spellEnd"/>
      <w:r w:rsidRPr="001B27A1">
        <w:rPr>
          <w:rFonts w:ascii="Times New Roman" w:hAnsi="Times New Roman" w:cs="Times New Roman"/>
          <w:sz w:val="28"/>
          <w:szCs w:val="28"/>
          <w:lang w:val="en-US"/>
        </w:rPr>
        <w:t xml:space="preserve"> (Cq = 22.1).</w:t>
      </w:r>
    </w:p>
    <w:p w14:paraId="761444DD" w14:textId="6A2B8286" w:rsidR="00192392" w:rsidRPr="001B27A1" w:rsidRDefault="00216B0A" w:rsidP="00FD2E80">
      <w:pPr>
        <w:spacing w:after="0" w:line="240" w:lineRule="auto"/>
        <w:ind w:firstLine="708"/>
        <w:jc w:val="both"/>
        <w:rPr>
          <w:rFonts w:ascii="Times New Roman" w:hAnsi="Times New Roman" w:cs="Times New Roman"/>
          <w:sz w:val="28"/>
          <w:szCs w:val="28"/>
          <w:lang w:val="en-US"/>
        </w:rPr>
      </w:pPr>
      <w:r w:rsidRPr="001B27A1">
        <w:rPr>
          <w:rFonts w:ascii="Times New Roman" w:hAnsi="Times New Roman" w:cs="Times New Roman"/>
          <w:sz w:val="28"/>
          <w:szCs w:val="28"/>
          <w:lang w:val="en-US"/>
        </w:rPr>
        <w:t xml:space="preserve">Collected supernatants in “Table 5” were centrifuged at 300 × g for 5 minutes to remove debris and stored at −80 °C in an RNA-stabilising buffer. Viral RNA was extracted using the QIAamp Viral RNA Kit and quantified by RT-qPCR under the following cycling conditions: 95 °C for 3 min, followed by 45 cycles of 95 °C for 10 </w:t>
      </w:r>
      <w:r w:rsidRPr="001B27A1">
        <w:rPr>
          <w:rFonts w:ascii="Times New Roman" w:hAnsi="Times New Roman" w:cs="Times New Roman"/>
          <w:sz w:val="28"/>
          <w:szCs w:val="28"/>
          <w:lang w:val="en-US"/>
        </w:rPr>
        <w:lastRenderedPageBreak/>
        <w:t>sec and 60 °C for 30 sec. A standard curve generated from 10²–10⁷ copies/µL of SARS-CoV-2 RNA enabled absolute quantification of viral load in the supernatant samples.</w:t>
      </w:r>
    </w:p>
    <w:p w14:paraId="2DAB0238" w14:textId="77777777" w:rsidR="00172F4F" w:rsidRPr="001B27A1" w:rsidRDefault="00172F4F" w:rsidP="00FD2E80">
      <w:pPr>
        <w:spacing w:after="0" w:line="240" w:lineRule="auto"/>
        <w:ind w:firstLine="708"/>
        <w:jc w:val="both"/>
        <w:rPr>
          <w:rFonts w:ascii="Times New Roman" w:hAnsi="Times New Roman" w:cs="Times New Roman"/>
          <w:sz w:val="28"/>
          <w:szCs w:val="28"/>
          <w:lang w:val="en-US"/>
        </w:rPr>
      </w:pPr>
    </w:p>
    <w:p w14:paraId="4471B6D4" w14:textId="3B621B09" w:rsidR="00D74671" w:rsidRDefault="00D74671" w:rsidP="00FD2E80">
      <w:pPr>
        <w:spacing w:after="0" w:line="240" w:lineRule="auto"/>
        <w:ind w:firstLine="708"/>
        <w:jc w:val="both"/>
        <w:rPr>
          <w:rFonts w:ascii="Times New Roman" w:hAnsi="Times New Roman" w:cs="Times New Roman"/>
          <w:sz w:val="28"/>
          <w:szCs w:val="28"/>
          <w:lang w:val="ru-RU"/>
        </w:rPr>
      </w:pPr>
      <w:r w:rsidRPr="001B27A1">
        <w:rPr>
          <w:rFonts w:ascii="Times New Roman" w:hAnsi="Times New Roman" w:cs="Times New Roman"/>
          <w:sz w:val="28"/>
          <w:szCs w:val="28"/>
        </w:rPr>
        <w:t xml:space="preserve">Table </w:t>
      </w:r>
      <w:r w:rsidR="00255D2A" w:rsidRPr="001B27A1">
        <w:rPr>
          <w:rFonts w:ascii="Times New Roman" w:hAnsi="Times New Roman" w:cs="Times New Roman"/>
          <w:sz w:val="28"/>
          <w:szCs w:val="28"/>
        </w:rPr>
        <w:t>5</w:t>
      </w:r>
      <w:r w:rsidRPr="001B27A1">
        <w:rPr>
          <w:rFonts w:ascii="Times New Roman" w:hAnsi="Times New Roman" w:cs="Times New Roman"/>
          <w:sz w:val="28"/>
          <w:szCs w:val="28"/>
        </w:rPr>
        <w:t xml:space="preserve"> </w:t>
      </w:r>
      <w:r w:rsidR="00845139" w:rsidRPr="001B27A1">
        <w:rPr>
          <w:rFonts w:ascii="Times New Roman" w:hAnsi="Times New Roman" w:cs="Times New Roman"/>
          <w:iCs/>
          <w:sz w:val="28"/>
          <w:szCs w:val="28"/>
        </w:rPr>
        <w:t>–</w:t>
      </w:r>
      <w:r w:rsidRPr="001B27A1">
        <w:rPr>
          <w:rFonts w:ascii="Times New Roman" w:hAnsi="Times New Roman" w:cs="Times New Roman"/>
          <w:sz w:val="28"/>
          <w:szCs w:val="28"/>
        </w:rPr>
        <w:t xml:space="preserve"> Expected Results &amp; Validation, Homogeneity of variance: Levene’s test (p &gt; 0.05). ANOVA power: β &gt; 0.8 for detecting ±1.5 Cq differences</w:t>
      </w:r>
    </w:p>
    <w:p w14:paraId="64E1FEFD" w14:textId="77777777" w:rsidR="00C3520C" w:rsidRPr="00C3520C" w:rsidRDefault="00C3520C" w:rsidP="00FD2E80">
      <w:pPr>
        <w:spacing w:after="0" w:line="240" w:lineRule="auto"/>
        <w:ind w:firstLine="708"/>
        <w:jc w:val="both"/>
        <w:rPr>
          <w:rFonts w:ascii="Times New Roman" w:hAnsi="Times New Roman" w:cs="Times New Roman"/>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56"/>
        <w:gridCol w:w="1732"/>
        <w:gridCol w:w="2704"/>
        <w:gridCol w:w="3023"/>
      </w:tblGrid>
      <w:tr w:rsidR="00E55225" w:rsidRPr="00E55225" w14:paraId="730A1023" w14:textId="77777777" w:rsidTr="00E55225">
        <w:trPr>
          <w:tblHeader/>
        </w:trPr>
        <w:tc>
          <w:tcPr>
            <w:tcW w:w="0" w:type="auto"/>
            <w:tcMar>
              <w:top w:w="150" w:type="dxa"/>
              <w:left w:w="0" w:type="dxa"/>
              <w:bottom w:w="150" w:type="dxa"/>
              <w:right w:w="240" w:type="dxa"/>
            </w:tcMar>
            <w:vAlign w:val="center"/>
            <w:hideMark/>
          </w:tcPr>
          <w:p w14:paraId="360A263E" w14:textId="1DC96A20" w:rsidR="00E55225" w:rsidRPr="00E55225" w:rsidRDefault="00E55225" w:rsidP="00E55225">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Isolate</w:t>
            </w:r>
          </w:p>
        </w:tc>
        <w:tc>
          <w:tcPr>
            <w:tcW w:w="0" w:type="auto"/>
            <w:tcMar>
              <w:top w:w="150" w:type="dxa"/>
              <w:left w:w="240" w:type="dxa"/>
              <w:bottom w:w="150" w:type="dxa"/>
              <w:right w:w="240" w:type="dxa"/>
            </w:tcMar>
            <w:vAlign w:val="center"/>
            <w:hideMark/>
          </w:tcPr>
          <w:p w14:paraId="3E69E6C0" w14:textId="7BC28DEF" w:rsidR="00E55225" w:rsidRPr="00E55225" w:rsidRDefault="00E55225" w:rsidP="00E55225">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Target HPI</w:t>
            </w:r>
          </w:p>
        </w:tc>
        <w:tc>
          <w:tcPr>
            <w:tcW w:w="0" w:type="auto"/>
            <w:tcMar>
              <w:top w:w="150" w:type="dxa"/>
              <w:left w:w="240" w:type="dxa"/>
              <w:bottom w:w="150" w:type="dxa"/>
              <w:right w:w="240" w:type="dxa"/>
            </w:tcMar>
            <w:vAlign w:val="center"/>
            <w:hideMark/>
          </w:tcPr>
          <w:p w14:paraId="7FC61F80" w14:textId="77777777" w:rsidR="00E55225" w:rsidRPr="00E55225" w:rsidRDefault="00E55225" w:rsidP="00E55225">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Expected Cq Range</w:t>
            </w:r>
          </w:p>
        </w:tc>
        <w:tc>
          <w:tcPr>
            <w:tcW w:w="0" w:type="auto"/>
            <w:tcMar>
              <w:top w:w="150" w:type="dxa"/>
              <w:left w:w="240" w:type="dxa"/>
              <w:bottom w:w="150" w:type="dxa"/>
              <w:right w:w="240" w:type="dxa"/>
            </w:tcMar>
            <w:vAlign w:val="center"/>
            <w:hideMark/>
          </w:tcPr>
          <w:p w14:paraId="6EB363D7" w14:textId="77777777" w:rsidR="00E55225" w:rsidRPr="00E55225" w:rsidRDefault="00E55225" w:rsidP="00E55225">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Viral Load, copies/mL</w:t>
            </w:r>
          </w:p>
        </w:tc>
      </w:tr>
      <w:tr w:rsidR="00E55225" w:rsidRPr="00E55225" w14:paraId="72FA33A2" w14:textId="77777777" w:rsidTr="00E55225">
        <w:tc>
          <w:tcPr>
            <w:tcW w:w="0" w:type="auto"/>
            <w:tcMar>
              <w:top w:w="150" w:type="dxa"/>
              <w:left w:w="0" w:type="dxa"/>
              <w:bottom w:w="150" w:type="dxa"/>
              <w:right w:w="240" w:type="dxa"/>
            </w:tcMar>
            <w:vAlign w:val="center"/>
            <w:hideMark/>
          </w:tcPr>
          <w:p w14:paraId="6419F13E" w14:textId="77777777" w:rsidR="00E55225" w:rsidRPr="00E55225" w:rsidRDefault="00E55225" w:rsidP="00FB024E">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1</w:t>
            </w:r>
          </w:p>
        </w:tc>
        <w:tc>
          <w:tcPr>
            <w:tcW w:w="0" w:type="auto"/>
            <w:tcMar>
              <w:top w:w="150" w:type="dxa"/>
              <w:left w:w="240" w:type="dxa"/>
              <w:bottom w:w="150" w:type="dxa"/>
              <w:right w:w="240" w:type="dxa"/>
            </w:tcMar>
            <w:vAlign w:val="center"/>
            <w:hideMark/>
          </w:tcPr>
          <w:p w14:paraId="5248D255" w14:textId="77777777" w:rsidR="00E55225" w:rsidRPr="00E55225" w:rsidRDefault="00E55225" w:rsidP="00E55225">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30</w:t>
            </w:r>
          </w:p>
        </w:tc>
        <w:tc>
          <w:tcPr>
            <w:tcW w:w="0" w:type="auto"/>
            <w:tcMar>
              <w:top w:w="150" w:type="dxa"/>
              <w:left w:w="240" w:type="dxa"/>
              <w:bottom w:w="150" w:type="dxa"/>
              <w:right w:w="240" w:type="dxa"/>
            </w:tcMar>
            <w:vAlign w:val="center"/>
            <w:hideMark/>
          </w:tcPr>
          <w:p w14:paraId="4EB9D58E" w14:textId="77777777" w:rsidR="00E55225" w:rsidRPr="00E55225" w:rsidRDefault="00E55225" w:rsidP="00E55225">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21.5–22.5</w:t>
            </w:r>
          </w:p>
        </w:tc>
        <w:tc>
          <w:tcPr>
            <w:tcW w:w="0" w:type="auto"/>
            <w:tcMar>
              <w:top w:w="150" w:type="dxa"/>
              <w:left w:w="240" w:type="dxa"/>
              <w:bottom w:w="150" w:type="dxa"/>
              <w:right w:w="0" w:type="dxa"/>
            </w:tcMar>
            <w:vAlign w:val="center"/>
            <w:hideMark/>
          </w:tcPr>
          <w:p w14:paraId="4A4277C9" w14:textId="77777777" w:rsidR="00E55225" w:rsidRPr="00E55225" w:rsidRDefault="00E55225" w:rsidP="00E55225">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~1.5 × 10⁷</w:t>
            </w:r>
          </w:p>
        </w:tc>
      </w:tr>
      <w:tr w:rsidR="00E55225" w:rsidRPr="00E55225" w14:paraId="52B50F29" w14:textId="77777777" w:rsidTr="00E55225">
        <w:tc>
          <w:tcPr>
            <w:tcW w:w="0" w:type="auto"/>
            <w:tcMar>
              <w:top w:w="150" w:type="dxa"/>
              <w:left w:w="0" w:type="dxa"/>
              <w:bottom w:w="150" w:type="dxa"/>
              <w:right w:w="240" w:type="dxa"/>
            </w:tcMar>
            <w:vAlign w:val="center"/>
            <w:hideMark/>
          </w:tcPr>
          <w:p w14:paraId="039BB0FC" w14:textId="77777777" w:rsidR="00E55225" w:rsidRPr="00E55225" w:rsidRDefault="00E55225" w:rsidP="00FB024E">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2</w:t>
            </w:r>
          </w:p>
        </w:tc>
        <w:tc>
          <w:tcPr>
            <w:tcW w:w="0" w:type="auto"/>
            <w:tcMar>
              <w:top w:w="150" w:type="dxa"/>
              <w:left w:w="240" w:type="dxa"/>
              <w:bottom w:w="150" w:type="dxa"/>
              <w:right w:w="240" w:type="dxa"/>
            </w:tcMar>
            <w:vAlign w:val="center"/>
            <w:hideMark/>
          </w:tcPr>
          <w:p w14:paraId="06E17304" w14:textId="77777777" w:rsidR="00E55225" w:rsidRPr="00E55225" w:rsidRDefault="00E55225" w:rsidP="00E55225">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36</w:t>
            </w:r>
          </w:p>
        </w:tc>
        <w:tc>
          <w:tcPr>
            <w:tcW w:w="0" w:type="auto"/>
            <w:tcMar>
              <w:top w:w="150" w:type="dxa"/>
              <w:left w:w="240" w:type="dxa"/>
              <w:bottom w:w="150" w:type="dxa"/>
              <w:right w:w="240" w:type="dxa"/>
            </w:tcMar>
            <w:vAlign w:val="center"/>
            <w:hideMark/>
          </w:tcPr>
          <w:p w14:paraId="12060E2A" w14:textId="77777777" w:rsidR="00E55225" w:rsidRPr="00E55225" w:rsidRDefault="00E55225" w:rsidP="00E55225">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21.7–22.8</w:t>
            </w:r>
          </w:p>
        </w:tc>
        <w:tc>
          <w:tcPr>
            <w:tcW w:w="0" w:type="auto"/>
            <w:tcMar>
              <w:top w:w="150" w:type="dxa"/>
              <w:left w:w="240" w:type="dxa"/>
              <w:bottom w:w="150" w:type="dxa"/>
              <w:right w:w="0" w:type="dxa"/>
            </w:tcMar>
            <w:vAlign w:val="center"/>
            <w:hideMark/>
          </w:tcPr>
          <w:p w14:paraId="0D5A0D18" w14:textId="77777777" w:rsidR="00E55225" w:rsidRPr="00E55225" w:rsidRDefault="00E55225" w:rsidP="00E55225">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~1.2 × 10⁷</w:t>
            </w:r>
          </w:p>
        </w:tc>
      </w:tr>
      <w:tr w:rsidR="00E55225" w:rsidRPr="00E55225" w14:paraId="35DF3EDA" w14:textId="77777777" w:rsidTr="00E55225">
        <w:tc>
          <w:tcPr>
            <w:tcW w:w="0" w:type="auto"/>
            <w:tcMar>
              <w:top w:w="150" w:type="dxa"/>
              <w:left w:w="0" w:type="dxa"/>
              <w:bottom w:w="150" w:type="dxa"/>
              <w:right w:w="240" w:type="dxa"/>
            </w:tcMar>
            <w:vAlign w:val="center"/>
            <w:hideMark/>
          </w:tcPr>
          <w:p w14:paraId="07136FA4" w14:textId="77777777" w:rsidR="00E55225" w:rsidRPr="00E55225" w:rsidRDefault="00E55225" w:rsidP="00FB024E">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w:t>
            </w:r>
          </w:p>
        </w:tc>
        <w:tc>
          <w:tcPr>
            <w:tcW w:w="0" w:type="auto"/>
            <w:tcMar>
              <w:top w:w="150" w:type="dxa"/>
              <w:left w:w="240" w:type="dxa"/>
              <w:bottom w:w="150" w:type="dxa"/>
              <w:right w:w="240" w:type="dxa"/>
            </w:tcMar>
            <w:vAlign w:val="center"/>
            <w:hideMark/>
          </w:tcPr>
          <w:p w14:paraId="0FAE8E98" w14:textId="77777777" w:rsidR="00E55225" w:rsidRPr="00E55225" w:rsidRDefault="00E55225" w:rsidP="00E55225">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w:t>
            </w:r>
          </w:p>
        </w:tc>
        <w:tc>
          <w:tcPr>
            <w:tcW w:w="0" w:type="auto"/>
            <w:tcMar>
              <w:top w:w="150" w:type="dxa"/>
              <w:left w:w="240" w:type="dxa"/>
              <w:bottom w:w="150" w:type="dxa"/>
              <w:right w:w="240" w:type="dxa"/>
            </w:tcMar>
            <w:vAlign w:val="center"/>
            <w:hideMark/>
          </w:tcPr>
          <w:p w14:paraId="36A1108C" w14:textId="77777777" w:rsidR="00E55225" w:rsidRPr="00E55225" w:rsidRDefault="00E55225" w:rsidP="00FB024E">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w:t>
            </w:r>
          </w:p>
        </w:tc>
        <w:tc>
          <w:tcPr>
            <w:tcW w:w="0" w:type="auto"/>
            <w:tcMar>
              <w:top w:w="150" w:type="dxa"/>
              <w:left w:w="240" w:type="dxa"/>
              <w:bottom w:w="150" w:type="dxa"/>
              <w:right w:w="0" w:type="dxa"/>
            </w:tcMar>
            <w:vAlign w:val="center"/>
            <w:hideMark/>
          </w:tcPr>
          <w:p w14:paraId="5C048E98" w14:textId="77777777" w:rsidR="00E55225" w:rsidRPr="00E55225" w:rsidRDefault="00E55225" w:rsidP="00E55225">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w:t>
            </w:r>
          </w:p>
        </w:tc>
      </w:tr>
      <w:tr w:rsidR="00E55225" w:rsidRPr="00E55225" w14:paraId="4E2E2029" w14:textId="77777777" w:rsidTr="00E55225">
        <w:tc>
          <w:tcPr>
            <w:tcW w:w="0" w:type="auto"/>
            <w:tcMar>
              <w:top w:w="150" w:type="dxa"/>
              <w:left w:w="0" w:type="dxa"/>
              <w:bottom w:w="150" w:type="dxa"/>
              <w:right w:w="240" w:type="dxa"/>
            </w:tcMar>
            <w:vAlign w:val="center"/>
            <w:hideMark/>
          </w:tcPr>
          <w:p w14:paraId="507AFEAC" w14:textId="77777777" w:rsidR="00E55225" w:rsidRPr="00E55225" w:rsidRDefault="00E55225" w:rsidP="00FB024E">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8</w:t>
            </w:r>
          </w:p>
        </w:tc>
        <w:tc>
          <w:tcPr>
            <w:tcW w:w="0" w:type="auto"/>
            <w:tcMar>
              <w:top w:w="150" w:type="dxa"/>
              <w:left w:w="240" w:type="dxa"/>
              <w:bottom w:w="150" w:type="dxa"/>
              <w:right w:w="240" w:type="dxa"/>
            </w:tcMar>
            <w:vAlign w:val="center"/>
            <w:hideMark/>
          </w:tcPr>
          <w:p w14:paraId="1988DF48" w14:textId="77777777" w:rsidR="00E55225" w:rsidRPr="00E55225" w:rsidRDefault="00E55225" w:rsidP="00E55225">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54</w:t>
            </w:r>
          </w:p>
        </w:tc>
        <w:tc>
          <w:tcPr>
            <w:tcW w:w="0" w:type="auto"/>
            <w:tcMar>
              <w:top w:w="150" w:type="dxa"/>
              <w:left w:w="240" w:type="dxa"/>
              <w:bottom w:w="150" w:type="dxa"/>
              <w:right w:w="240" w:type="dxa"/>
            </w:tcMar>
            <w:vAlign w:val="center"/>
            <w:hideMark/>
          </w:tcPr>
          <w:p w14:paraId="32EA9BFB" w14:textId="77777777" w:rsidR="00E55225" w:rsidRPr="00E55225" w:rsidRDefault="00E55225" w:rsidP="00E55225">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21.8–22.6</w:t>
            </w:r>
          </w:p>
        </w:tc>
        <w:tc>
          <w:tcPr>
            <w:tcW w:w="0" w:type="auto"/>
            <w:tcMar>
              <w:top w:w="150" w:type="dxa"/>
              <w:left w:w="240" w:type="dxa"/>
              <w:bottom w:w="150" w:type="dxa"/>
              <w:right w:w="0" w:type="dxa"/>
            </w:tcMar>
            <w:vAlign w:val="center"/>
            <w:hideMark/>
          </w:tcPr>
          <w:p w14:paraId="6D6EC951" w14:textId="77777777" w:rsidR="00E55225" w:rsidRPr="00E55225" w:rsidRDefault="00E55225" w:rsidP="00E55225">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~1.6 × 10⁷</w:t>
            </w:r>
          </w:p>
        </w:tc>
      </w:tr>
      <w:tr w:rsidR="00E55225" w:rsidRPr="00E55225" w14:paraId="3A79F45E" w14:textId="77777777" w:rsidTr="00E55225">
        <w:tc>
          <w:tcPr>
            <w:tcW w:w="0" w:type="auto"/>
            <w:tcMar>
              <w:top w:w="150" w:type="dxa"/>
              <w:left w:w="0" w:type="dxa"/>
              <w:bottom w:w="150" w:type="dxa"/>
              <w:right w:w="240" w:type="dxa"/>
            </w:tcMar>
            <w:vAlign w:val="center"/>
            <w:hideMark/>
          </w:tcPr>
          <w:p w14:paraId="5A94A8EC" w14:textId="77777777" w:rsidR="00E55225" w:rsidRPr="00E55225" w:rsidRDefault="00E55225" w:rsidP="00E55225">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Overall mean</w:t>
            </w:r>
          </w:p>
        </w:tc>
        <w:tc>
          <w:tcPr>
            <w:tcW w:w="0" w:type="auto"/>
            <w:tcMar>
              <w:top w:w="150" w:type="dxa"/>
              <w:left w:w="240" w:type="dxa"/>
              <w:bottom w:w="150" w:type="dxa"/>
              <w:right w:w="240" w:type="dxa"/>
            </w:tcMar>
            <w:vAlign w:val="center"/>
            <w:hideMark/>
          </w:tcPr>
          <w:p w14:paraId="14215262" w14:textId="77777777" w:rsidR="00E55225" w:rsidRPr="00E55225" w:rsidRDefault="00E55225" w:rsidP="00E55225">
            <w:pPr>
              <w:spacing w:after="0" w:line="240" w:lineRule="auto"/>
              <w:ind w:firstLineChars="709" w:firstLine="1985"/>
              <w:jc w:val="both"/>
              <w:rPr>
                <w:rFonts w:ascii="Times New Roman" w:hAnsi="Times New Roman" w:cs="Times New Roman"/>
                <w:sz w:val="28"/>
                <w:szCs w:val="28"/>
              </w:rPr>
            </w:pPr>
          </w:p>
        </w:tc>
        <w:tc>
          <w:tcPr>
            <w:tcW w:w="0" w:type="auto"/>
            <w:tcMar>
              <w:top w:w="150" w:type="dxa"/>
              <w:left w:w="240" w:type="dxa"/>
              <w:bottom w:w="150" w:type="dxa"/>
              <w:right w:w="240" w:type="dxa"/>
            </w:tcMar>
            <w:vAlign w:val="center"/>
            <w:hideMark/>
          </w:tcPr>
          <w:p w14:paraId="5D623B9D" w14:textId="77777777" w:rsidR="00E55225" w:rsidRPr="00E55225" w:rsidRDefault="00E55225" w:rsidP="00E55225">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22.0 ± 0.4</w:t>
            </w:r>
          </w:p>
        </w:tc>
        <w:tc>
          <w:tcPr>
            <w:tcW w:w="0" w:type="auto"/>
            <w:tcMar>
              <w:top w:w="150" w:type="dxa"/>
              <w:left w:w="240" w:type="dxa"/>
              <w:bottom w:w="150" w:type="dxa"/>
              <w:right w:w="0" w:type="dxa"/>
            </w:tcMar>
            <w:vAlign w:val="center"/>
            <w:hideMark/>
          </w:tcPr>
          <w:p w14:paraId="1C95D0DA" w14:textId="390A6D52" w:rsidR="00E55225" w:rsidRPr="00E55225" w:rsidRDefault="00E55225" w:rsidP="00E55225">
            <w:pPr>
              <w:spacing w:after="0" w:line="240" w:lineRule="auto"/>
              <w:jc w:val="both"/>
              <w:rPr>
                <w:rFonts w:ascii="Times New Roman" w:hAnsi="Times New Roman" w:cs="Times New Roman"/>
                <w:sz w:val="28"/>
                <w:szCs w:val="28"/>
              </w:rPr>
            </w:pPr>
            <w:r w:rsidRPr="00E55225">
              <w:rPr>
                <w:rFonts w:ascii="Times New Roman" w:hAnsi="Times New Roman" w:cs="Times New Roman"/>
                <w:sz w:val="28"/>
                <w:szCs w:val="28"/>
              </w:rPr>
              <w:t>1.4 × 10⁷</w:t>
            </w:r>
          </w:p>
        </w:tc>
      </w:tr>
    </w:tbl>
    <w:p w14:paraId="73A08453" w14:textId="3C0C6B38" w:rsidR="00E55225" w:rsidRPr="00E55225" w:rsidRDefault="00E55225" w:rsidP="00E55225">
      <w:pPr>
        <w:spacing w:after="0" w:line="240" w:lineRule="auto"/>
        <w:jc w:val="both"/>
        <w:rPr>
          <w:rFonts w:ascii="Times New Roman" w:hAnsi="Times New Roman" w:cs="Times New Roman"/>
          <w:sz w:val="28"/>
          <w:szCs w:val="28"/>
          <w:lang w:val="en-US"/>
        </w:rPr>
      </w:pPr>
      <w:r w:rsidRPr="00E55225">
        <w:rPr>
          <w:rFonts w:ascii="Times New Roman" w:hAnsi="Times New Roman" w:cs="Times New Roman"/>
          <w:sz w:val="28"/>
          <w:szCs w:val="28"/>
          <w:lang w:val="en-US"/>
        </w:rPr>
        <w:t>Note: HPI - hours post-infection; Cq - quantification cycle.</w:t>
      </w:r>
      <w:r w:rsidRPr="00E55225">
        <w:rPr>
          <w:rFonts w:ascii="Times New Roman" w:hAnsi="Times New Roman" w:cs="Times New Roman"/>
          <w:sz w:val="28"/>
          <w:szCs w:val="28"/>
          <w:lang w:val="en-US"/>
        </w:rPr>
        <w:br/>
        <w:t>** - Data for isolates 3-7 are omitted for compactness. *</w:t>
      </w:r>
    </w:p>
    <w:p w14:paraId="71D9557C" w14:textId="77777777" w:rsidR="00F67E69" w:rsidRPr="001B27A1" w:rsidRDefault="00F67E69" w:rsidP="00FD2E80">
      <w:pPr>
        <w:spacing w:after="0" w:line="240" w:lineRule="auto"/>
        <w:ind w:firstLineChars="709" w:firstLine="1985"/>
        <w:jc w:val="both"/>
        <w:rPr>
          <w:rFonts w:ascii="Times New Roman" w:hAnsi="Times New Roman" w:cs="Times New Roman"/>
          <w:sz w:val="28"/>
          <w:szCs w:val="28"/>
        </w:rPr>
      </w:pPr>
    </w:p>
    <w:p w14:paraId="79AE657B" w14:textId="133FD278" w:rsidR="00314579" w:rsidRPr="001B27A1" w:rsidRDefault="00D74671" w:rsidP="00FD2E80">
      <w:pPr>
        <w:spacing w:after="0" w:line="240" w:lineRule="auto"/>
        <w:ind w:firstLine="708"/>
        <w:jc w:val="both"/>
        <w:rPr>
          <w:rFonts w:ascii="Times New Roman" w:hAnsi="Times New Roman" w:cs="Times New Roman"/>
          <w:sz w:val="28"/>
          <w:szCs w:val="28"/>
        </w:rPr>
      </w:pPr>
      <w:r w:rsidRPr="001B27A1">
        <w:rPr>
          <w:rFonts w:ascii="Times New Roman" w:hAnsi="Times New Roman" w:cs="Times New Roman"/>
          <w:sz w:val="28"/>
          <w:szCs w:val="28"/>
        </w:rPr>
        <w:t>The experiment design ensures a statistically robust comparison of viral replication kinetics while controlling for isolate-specific growth rates. Time-course optimisation is critical to achieve the target mean Cq of 22.</w:t>
      </w:r>
    </w:p>
    <w:p w14:paraId="4F693257" w14:textId="07F52342" w:rsidR="00D97794" w:rsidRPr="001B27A1" w:rsidRDefault="00D97794" w:rsidP="001B27A1">
      <w:pPr>
        <w:spacing w:after="0" w:line="240" w:lineRule="auto"/>
        <w:ind w:firstLine="708"/>
        <w:jc w:val="both"/>
        <w:rPr>
          <w:rFonts w:ascii="Times New Roman" w:hAnsi="Times New Roman" w:cs="Times New Roman"/>
          <w:i/>
          <w:iCs/>
          <w:sz w:val="28"/>
          <w:szCs w:val="28"/>
          <w:u w:val="single"/>
        </w:rPr>
      </w:pPr>
      <w:r w:rsidRPr="001B27A1">
        <w:rPr>
          <w:rFonts w:ascii="Times New Roman" w:hAnsi="Times New Roman" w:cs="Times New Roman"/>
          <w:i/>
          <w:iCs/>
          <w:sz w:val="28"/>
          <w:szCs w:val="28"/>
          <w:u w:val="single"/>
        </w:rPr>
        <w:t>Electron microscopy of sample collection and fixation</w:t>
      </w:r>
    </w:p>
    <w:p w14:paraId="606B91B7" w14:textId="0113A163" w:rsidR="00EF53D4" w:rsidRPr="001B27A1" w:rsidRDefault="00EF53D4" w:rsidP="001B27A1">
      <w:pPr>
        <w:spacing w:after="0" w:line="240" w:lineRule="auto"/>
        <w:ind w:firstLine="709"/>
        <w:jc w:val="both"/>
        <w:rPr>
          <w:rFonts w:ascii="Times New Roman" w:hAnsi="Times New Roman" w:cs="Times New Roman"/>
          <w:sz w:val="28"/>
          <w:szCs w:val="28"/>
        </w:rPr>
      </w:pPr>
      <w:r w:rsidRPr="001B27A1">
        <w:rPr>
          <w:rFonts w:ascii="Times New Roman" w:hAnsi="Times New Roman" w:cs="Times New Roman"/>
          <w:sz w:val="28"/>
          <w:szCs w:val="28"/>
        </w:rPr>
        <w:t>Samples, including infected cell cultures (e.g., Vero E6 cells), lung tissue, or nasal swabs, were fixed in 2.5% glutaraldehyde prepared in 0.1 M phosphate buffer (pH 7.4) for at least 2 hours at 4 °C, followed by post-fixation with 1% osmium tetroxide in the same buffer for 1 hour at 4 °C. The specimens were then dehydrated through a graded ethanol series (30%, 50%, 70%, 90%, and 100%), with an additional propylene oxide transition step for epoxy resin embedding. Finally, the samples were embedded in epoxy resin (</w:t>
      </w:r>
      <w:proofErr w:type="spellStart"/>
      <w:r w:rsidRPr="001B27A1">
        <w:rPr>
          <w:rFonts w:ascii="Times New Roman" w:hAnsi="Times New Roman" w:cs="Times New Roman"/>
          <w:sz w:val="28"/>
          <w:szCs w:val="28"/>
        </w:rPr>
        <w:t>Epon</w:t>
      </w:r>
      <w:proofErr w:type="spellEnd"/>
      <w:r w:rsidRPr="001B27A1">
        <w:rPr>
          <w:rFonts w:ascii="Times New Roman" w:hAnsi="Times New Roman" w:cs="Times New Roman"/>
          <w:sz w:val="28"/>
          <w:szCs w:val="28"/>
        </w:rPr>
        <w:t xml:space="preserve"> 812 or Spurr’s resin) and polymerised at 60 °C for 24–48 hours.</w:t>
      </w:r>
    </w:p>
    <w:p w14:paraId="38B8C36A" w14:textId="2371D0FF" w:rsidR="00D97794" w:rsidRPr="001B27A1" w:rsidRDefault="00D97794" w:rsidP="001B27A1">
      <w:pPr>
        <w:spacing w:after="0" w:line="240" w:lineRule="auto"/>
        <w:ind w:firstLine="708"/>
        <w:jc w:val="both"/>
        <w:rPr>
          <w:rFonts w:ascii="Times New Roman" w:hAnsi="Times New Roman" w:cs="Times New Roman"/>
          <w:i/>
          <w:iCs/>
          <w:sz w:val="28"/>
          <w:szCs w:val="28"/>
          <w:u w:val="single"/>
        </w:rPr>
      </w:pPr>
      <w:r w:rsidRPr="001B27A1">
        <w:rPr>
          <w:rFonts w:ascii="Times New Roman" w:hAnsi="Times New Roman" w:cs="Times New Roman"/>
          <w:i/>
          <w:iCs/>
          <w:sz w:val="28"/>
          <w:szCs w:val="28"/>
          <w:u w:val="single"/>
        </w:rPr>
        <w:t>Sectioning</w:t>
      </w:r>
    </w:p>
    <w:p w14:paraId="193189D6" w14:textId="517CE62E" w:rsidR="00C43464" w:rsidRDefault="00EF53D4" w:rsidP="001B27A1">
      <w:pPr>
        <w:spacing w:after="0" w:line="240" w:lineRule="auto"/>
        <w:ind w:firstLine="709"/>
        <w:jc w:val="both"/>
        <w:rPr>
          <w:rFonts w:ascii="Times New Roman" w:hAnsi="Times New Roman" w:cs="Times New Roman"/>
          <w:sz w:val="28"/>
          <w:szCs w:val="28"/>
        </w:rPr>
      </w:pPr>
      <w:r w:rsidRPr="001B27A1">
        <w:rPr>
          <w:rFonts w:ascii="Times New Roman" w:hAnsi="Times New Roman" w:cs="Times New Roman"/>
          <w:sz w:val="28"/>
          <w:szCs w:val="28"/>
        </w:rPr>
        <w:t>Ultrathin sections (60–90 nm) were prepared using an ultramicrotome and mounted on 200-mesh copper TEM grids. The sections were stained with uranyl acetate for 10–30 minutes, followed by lead citrate for 5–10 minutes. Imaging was performed using a JEOL JEM-100CX transmission electron microscope operated at 80–100 kV. Virus particles were identified by scanning sections of infected cells, revealing SARS-CoV-2 virions with a spherical to pleomorphic shape, measuring approximately 80–120 nm in diameter, and exhibiting distinctive surface spike (S) protein projections that produced the characteristic “corona” appearance [126]</w:t>
      </w:r>
      <w:r w:rsidR="00A04427">
        <w:rPr>
          <w:rFonts w:ascii="Times New Roman" w:hAnsi="Times New Roman" w:cs="Times New Roman"/>
          <w:sz w:val="28"/>
          <w:szCs w:val="28"/>
        </w:rPr>
        <w:t>.</w:t>
      </w:r>
    </w:p>
    <w:p w14:paraId="1F443474" w14:textId="77777777" w:rsidR="00FD2E80" w:rsidRDefault="00FD2E80" w:rsidP="001B27A1">
      <w:pPr>
        <w:spacing w:after="0" w:line="240" w:lineRule="auto"/>
        <w:ind w:firstLine="709"/>
        <w:jc w:val="both"/>
        <w:rPr>
          <w:rFonts w:ascii="Times New Roman" w:hAnsi="Times New Roman" w:cs="Times New Roman"/>
          <w:sz w:val="28"/>
          <w:szCs w:val="28"/>
        </w:rPr>
      </w:pPr>
    </w:p>
    <w:p w14:paraId="16979D5E" w14:textId="77777777" w:rsidR="00A04427" w:rsidRPr="001B27A1" w:rsidRDefault="00A04427" w:rsidP="003A3FC9">
      <w:pPr>
        <w:spacing w:after="0" w:line="240" w:lineRule="auto"/>
        <w:jc w:val="both"/>
        <w:rPr>
          <w:rFonts w:ascii="Times New Roman" w:hAnsi="Times New Roman" w:cs="Times New Roman"/>
          <w:sz w:val="28"/>
          <w:szCs w:val="28"/>
        </w:rPr>
      </w:pPr>
    </w:p>
    <w:p w14:paraId="45D57F7C" w14:textId="37EC285A" w:rsidR="003A4E6A" w:rsidRPr="00AC01CC" w:rsidRDefault="00A0261C" w:rsidP="001B27A1">
      <w:pPr>
        <w:spacing w:after="0" w:line="240" w:lineRule="auto"/>
        <w:ind w:firstLine="708"/>
        <w:jc w:val="both"/>
        <w:rPr>
          <w:rFonts w:ascii="Times New Roman" w:hAnsi="Times New Roman" w:cs="Times New Roman"/>
          <w:i/>
          <w:iCs/>
          <w:sz w:val="28"/>
          <w:szCs w:val="28"/>
          <w:u w:val="single"/>
        </w:rPr>
      </w:pPr>
      <w:r w:rsidRPr="00AC01CC">
        <w:rPr>
          <w:rFonts w:ascii="Times New Roman" w:hAnsi="Times New Roman" w:cs="Times New Roman"/>
          <w:i/>
          <w:iCs/>
          <w:sz w:val="28"/>
          <w:szCs w:val="28"/>
          <w:u w:val="single"/>
        </w:rPr>
        <w:lastRenderedPageBreak/>
        <w:t>The</w:t>
      </w:r>
      <w:r w:rsidR="00795F31" w:rsidRPr="00AC01CC">
        <w:rPr>
          <w:rFonts w:ascii="Times New Roman" w:hAnsi="Times New Roman" w:cs="Times New Roman"/>
          <w:i/>
          <w:iCs/>
          <w:sz w:val="28"/>
          <w:szCs w:val="28"/>
          <w:u w:val="single"/>
        </w:rPr>
        <w:t xml:space="preserve"> main steps </w:t>
      </w:r>
      <w:r w:rsidR="00AB11F8" w:rsidRPr="00AC01CC">
        <w:rPr>
          <w:rFonts w:ascii="Times New Roman" w:hAnsi="Times New Roman" w:cs="Times New Roman"/>
          <w:i/>
          <w:iCs/>
          <w:sz w:val="28"/>
          <w:szCs w:val="28"/>
          <w:u w:val="single"/>
        </w:rPr>
        <w:t>of the pre</w:t>
      </w:r>
      <w:r w:rsidRPr="00AC01CC">
        <w:rPr>
          <w:rFonts w:ascii="Times New Roman" w:hAnsi="Times New Roman" w:cs="Times New Roman"/>
          <w:i/>
          <w:iCs/>
          <w:sz w:val="28"/>
          <w:szCs w:val="28"/>
          <w:u w:val="single"/>
        </w:rPr>
        <w:t xml:space="preserve">-clinical test of </w:t>
      </w:r>
      <w:r w:rsidR="00BD308C" w:rsidRPr="00AC01CC">
        <w:rPr>
          <w:rFonts w:ascii="Times New Roman" w:hAnsi="Times New Roman" w:cs="Times New Roman"/>
          <w:i/>
          <w:iCs/>
          <w:sz w:val="28"/>
          <w:szCs w:val="28"/>
          <w:u w:val="single"/>
        </w:rPr>
        <w:t xml:space="preserve">recombinant mouse </w:t>
      </w:r>
      <w:r w:rsidR="00625491" w:rsidRPr="00AC01CC">
        <w:rPr>
          <w:rFonts w:ascii="Times New Roman" w:hAnsi="Times New Roman" w:cs="Times New Roman"/>
          <w:i/>
          <w:iCs/>
          <w:sz w:val="28"/>
          <w:szCs w:val="28"/>
          <w:u w:val="single"/>
        </w:rPr>
        <w:t>IL33</w:t>
      </w:r>
      <w:r w:rsidRPr="00AC01CC">
        <w:rPr>
          <w:rFonts w:ascii="Times New Roman" w:hAnsi="Times New Roman" w:cs="Times New Roman"/>
          <w:i/>
          <w:iCs/>
          <w:sz w:val="28"/>
          <w:szCs w:val="28"/>
          <w:u w:val="single"/>
        </w:rPr>
        <w:t xml:space="preserve"> on </w:t>
      </w:r>
      <w:r w:rsidR="003C5381" w:rsidRPr="00AC01CC">
        <w:rPr>
          <w:rFonts w:ascii="Times New Roman" w:hAnsi="Times New Roman" w:cs="Times New Roman"/>
          <w:i/>
          <w:iCs/>
          <w:sz w:val="28"/>
          <w:szCs w:val="28"/>
          <w:u w:val="single"/>
        </w:rPr>
        <w:t>6-8</w:t>
      </w:r>
      <w:r w:rsidRPr="00AC01CC">
        <w:rPr>
          <w:rFonts w:ascii="Times New Roman" w:hAnsi="Times New Roman" w:cs="Times New Roman"/>
          <w:i/>
          <w:iCs/>
          <w:color w:val="1B1B1B"/>
          <w:sz w:val="28"/>
          <w:szCs w:val="28"/>
          <w:u w:val="single"/>
          <w:shd w:val="clear" w:color="auto" w:fill="FFFFFF"/>
        </w:rPr>
        <w:t>-week</w:t>
      </w:r>
      <w:r w:rsidR="00625491" w:rsidRPr="00AC01CC">
        <w:rPr>
          <w:rFonts w:ascii="Times New Roman" w:hAnsi="Times New Roman" w:cs="Times New Roman"/>
          <w:i/>
          <w:iCs/>
          <w:color w:val="1B1B1B"/>
          <w:sz w:val="28"/>
          <w:szCs w:val="28"/>
          <w:u w:val="single"/>
          <w:shd w:val="clear" w:color="auto" w:fill="FFFFFF"/>
        </w:rPr>
        <w:t>s</w:t>
      </w:r>
      <w:r w:rsidRPr="00AC01CC">
        <w:rPr>
          <w:rFonts w:ascii="Times New Roman" w:hAnsi="Times New Roman" w:cs="Times New Roman"/>
          <w:i/>
          <w:iCs/>
          <w:color w:val="1B1B1B"/>
          <w:sz w:val="28"/>
          <w:szCs w:val="28"/>
          <w:u w:val="single"/>
          <w:shd w:val="clear" w:color="auto" w:fill="FFFFFF"/>
        </w:rPr>
        <w:t>-old</w:t>
      </w:r>
      <w:r w:rsidR="003C5381" w:rsidRPr="00AC01CC">
        <w:rPr>
          <w:rFonts w:ascii="Times New Roman" w:hAnsi="Times New Roman" w:cs="Times New Roman"/>
          <w:i/>
          <w:iCs/>
          <w:color w:val="1B1B1B"/>
          <w:sz w:val="28"/>
          <w:szCs w:val="28"/>
          <w:u w:val="single"/>
          <w:shd w:val="clear" w:color="auto" w:fill="FFFFFF"/>
        </w:rPr>
        <w:t xml:space="preserve"> 30</w:t>
      </w:r>
      <w:r w:rsidRPr="00AC01CC">
        <w:rPr>
          <w:rFonts w:ascii="Times New Roman" w:hAnsi="Times New Roman" w:cs="Times New Roman"/>
          <w:i/>
          <w:iCs/>
          <w:color w:val="1B1B1B"/>
          <w:sz w:val="28"/>
          <w:szCs w:val="28"/>
          <w:u w:val="single"/>
          <w:shd w:val="clear" w:color="auto" w:fill="FFFFFF"/>
        </w:rPr>
        <w:t xml:space="preserve"> </w:t>
      </w:r>
      <w:r w:rsidRPr="00AC01CC">
        <w:rPr>
          <w:rFonts w:ascii="Times New Roman" w:hAnsi="Times New Roman" w:cs="Times New Roman"/>
          <w:i/>
          <w:iCs/>
          <w:sz w:val="28"/>
          <w:szCs w:val="28"/>
          <w:u w:val="single"/>
        </w:rPr>
        <w:t xml:space="preserve">WT-Mice </w:t>
      </w:r>
    </w:p>
    <w:p w14:paraId="01B2B860" w14:textId="001F24DA" w:rsidR="00C71A5A" w:rsidRPr="00C3520C" w:rsidRDefault="002D4CF8" w:rsidP="00C3520C">
      <w:pPr>
        <w:spacing w:after="0" w:line="240" w:lineRule="auto"/>
        <w:ind w:firstLine="709"/>
        <w:jc w:val="both"/>
        <w:rPr>
          <w:rFonts w:ascii="Times New Roman" w:hAnsi="Times New Roman" w:cs="Times New Roman"/>
          <w:sz w:val="28"/>
          <w:szCs w:val="28"/>
        </w:rPr>
      </w:pPr>
      <w:r w:rsidRPr="001B27A1">
        <w:rPr>
          <w:rFonts w:ascii="Times New Roman" w:hAnsi="Times New Roman" w:cs="Times New Roman"/>
          <w:color w:val="1B1B1B"/>
          <w:sz w:val="28"/>
          <w:szCs w:val="28"/>
          <w:shd w:val="clear" w:color="auto" w:fill="FFFFFF"/>
        </w:rPr>
        <w:t>Dose-Dependent Induction of Pulmonary ILC2 by Intranasal IL-33 in WT Mice</w:t>
      </w:r>
      <w:r w:rsidR="00730BB0" w:rsidRPr="001B27A1">
        <w:rPr>
          <w:rFonts w:ascii="Times New Roman" w:hAnsi="Times New Roman" w:cs="Times New Roman"/>
          <w:color w:val="1B1B1B"/>
          <w:sz w:val="28"/>
          <w:szCs w:val="28"/>
          <w:shd w:val="clear" w:color="auto" w:fill="FFFFFF"/>
        </w:rPr>
        <w:t xml:space="preserve">. </w:t>
      </w:r>
      <w:r w:rsidR="009B165D" w:rsidRPr="001B27A1">
        <w:rPr>
          <w:rFonts w:ascii="Times New Roman" w:hAnsi="Times New Roman" w:cs="Times New Roman"/>
          <w:color w:val="1B1B1B"/>
          <w:sz w:val="28"/>
          <w:szCs w:val="28"/>
          <w:shd w:val="clear" w:color="auto" w:fill="FFFFFF"/>
        </w:rPr>
        <w:t xml:space="preserve">To evaluate the dose-dependent effect of intranasal recombinant mouse IL-33 on the expansion of pulmonary Group 2 Innate Lymphoid Cells (ILC2) in wild-type (WT) </w:t>
      </w:r>
      <w:r w:rsidR="009B165D" w:rsidRPr="00C3520C">
        <w:rPr>
          <w:rFonts w:ascii="Times New Roman" w:hAnsi="Times New Roman" w:cs="Times New Roman"/>
          <w:color w:val="1B1B1B"/>
          <w:sz w:val="28"/>
          <w:szCs w:val="28"/>
          <w:shd w:val="clear" w:color="auto" w:fill="FFFFFF"/>
        </w:rPr>
        <w:t xml:space="preserve">mice after 4 days of stimulation. </w:t>
      </w:r>
      <w:r w:rsidR="003C5381" w:rsidRPr="00C3520C">
        <w:rPr>
          <w:rFonts w:ascii="Times New Roman" w:hAnsi="Times New Roman" w:cs="Times New Roman"/>
          <w:color w:val="1B1B1B"/>
          <w:sz w:val="28"/>
          <w:szCs w:val="28"/>
          <w:shd w:val="clear" w:color="auto" w:fill="FFFFFF"/>
        </w:rPr>
        <w:t>Increasing doses of IL-33 will induce a dose-dependent expansion of pulmonary ILC2, with 100 ng eliciting the strongest response.</w:t>
      </w:r>
      <w:r w:rsidR="00510A84" w:rsidRPr="00C3520C">
        <w:rPr>
          <w:rFonts w:ascii="Times New Roman" w:eastAsia="Times New Roman" w:hAnsi="Times New Roman" w:cs="Times New Roman"/>
          <w:color w:val="404040"/>
          <w:sz w:val="28"/>
          <w:szCs w:val="28"/>
        </w:rPr>
        <w:t xml:space="preserve"> </w:t>
      </w:r>
    </w:p>
    <w:p w14:paraId="633BC5CF" w14:textId="77777777" w:rsidR="003F698A" w:rsidRPr="00C3520C" w:rsidRDefault="003F698A" w:rsidP="00C3520C">
      <w:pPr>
        <w:spacing w:after="0" w:line="240" w:lineRule="auto"/>
        <w:ind w:firstLine="709"/>
        <w:jc w:val="both"/>
        <w:rPr>
          <w:rFonts w:ascii="Times New Roman" w:hAnsi="Times New Roman" w:cs="Times New Roman"/>
          <w:color w:val="1B1B1B"/>
          <w:sz w:val="28"/>
          <w:szCs w:val="28"/>
          <w:shd w:val="clear" w:color="auto" w:fill="FFFFFF"/>
          <w:lang w:val="en-US"/>
        </w:rPr>
      </w:pPr>
      <w:r w:rsidRPr="00C3520C">
        <w:rPr>
          <w:rFonts w:ascii="Times New Roman" w:hAnsi="Times New Roman" w:cs="Times New Roman"/>
          <w:color w:val="1B1B1B"/>
          <w:sz w:val="28"/>
          <w:szCs w:val="28"/>
          <w:shd w:val="clear" w:color="auto" w:fill="FFFFFF"/>
          <w:lang w:val="en-US"/>
        </w:rPr>
        <w:t>A total of 30 wild-type C57BL/6 mice (6–8 weeks old, sex-matched) were divided into four groups (n = 7–8 per group): a control group receiving intranasal PBS, and three treatment groups receiving 10 ng, 50 ng, or 100 ng of IL-33 in PBS daily for four consecutive days. After treatment, mice were perfused via the right ventricle with 10 mL of ice-cold PBS, and lungs were dissected, minced, and digested in RPMI containing 1 mg/mL collagenase IV and 0.1 mg/mL DNase I at 37 °C for 30 minutes. Single-cell suspensions were prepared by filtration through a 70-µm strainer, followed by red blood cell lysis using ACK buffer.</w:t>
      </w:r>
    </w:p>
    <w:p w14:paraId="07207909" w14:textId="5131A377" w:rsidR="003F698A" w:rsidRPr="00C3520C" w:rsidRDefault="003F698A" w:rsidP="00C3520C">
      <w:pPr>
        <w:spacing w:after="0" w:line="240" w:lineRule="auto"/>
        <w:ind w:firstLine="709"/>
        <w:jc w:val="both"/>
        <w:rPr>
          <w:rFonts w:ascii="Times New Roman" w:hAnsi="Times New Roman" w:cs="Times New Roman"/>
          <w:color w:val="1B1B1B"/>
          <w:sz w:val="28"/>
          <w:szCs w:val="28"/>
          <w:shd w:val="clear" w:color="auto" w:fill="FFFFFF"/>
          <w:lang w:val="en-US"/>
        </w:rPr>
      </w:pPr>
      <w:r w:rsidRPr="00C3520C">
        <w:rPr>
          <w:rFonts w:ascii="Times New Roman" w:hAnsi="Times New Roman" w:cs="Times New Roman"/>
          <w:color w:val="1B1B1B"/>
          <w:sz w:val="28"/>
          <w:szCs w:val="28"/>
          <w:shd w:val="clear" w:color="auto" w:fill="FFFFFF"/>
          <w:lang w:val="en-US"/>
        </w:rPr>
        <w:t>For ILC2 quantification, flow cytometry staining included surface markers CD45, lineage (CD3</w:t>
      </w:r>
      <w:r w:rsidRPr="00C3520C">
        <w:rPr>
          <w:rFonts w:ascii="Times New Roman" w:hAnsi="Times New Roman" w:cs="Times New Roman"/>
          <w:color w:val="1B1B1B"/>
          <w:sz w:val="28"/>
          <w:szCs w:val="28"/>
          <w:shd w:val="clear" w:color="auto" w:fill="FFFFFF"/>
          <w:lang w:val="ru-RU"/>
        </w:rPr>
        <w:t>ε</w:t>
      </w:r>
      <w:r w:rsidRPr="00C3520C">
        <w:rPr>
          <w:rFonts w:ascii="Times New Roman" w:hAnsi="Times New Roman" w:cs="Times New Roman"/>
          <w:color w:val="1B1B1B"/>
          <w:sz w:val="28"/>
          <w:szCs w:val="28"/>
          <w:shd w:val="clear" w:color="auto" w:fill="FFFFFF"/>
          <w:lang w:val="en-US"/>
        </w:rPr>
        <w:t xml:space="preserve">, CD11b, CD11c, CD19, B220, Ly6G, NK1.1, TER-119), CD90.2, CD127, and ST2 (IL-33R), with Zombie NIR™ viability dye and, where applicable, intracellular GATA3. The ILC2 gating strategy was: </w:t>
      </w:r>
      <w:r w:rsidRPr="00C3520C">
        <w:rPr>
          <w:rFonts w:ascii="Times New Roman" w:hAnsi="Times New Roman" w:cs="Times New Roman"/>
          <w:i/>
          <w:iCs/>
          <w:color w:val="1B1B1B"/>
          <w:sz w:val="28"/>
          <w:szCs w:val="28"/>
          <w:shd w:val="clear" w:color="auto" w:fill="FFFFFF"/>
          <w:lang w:val="en-US"/>
        </w:rPr>
        <w:t>live cells → CD45⁺ → Lin⁻ → CD90.2⁺ → CD127⁺ → ST2⁺ → (GATA3⁺)</w:t>
      </w:r>
      <w:r w:rsidRPr="00C3520C">
        <w:rPr>
          <w:rFonts w:ascii="Times New Roman" w:hAnsi="Times New Roman" w:cs="Times New Roman"/>
          <w:color w:val="1B1B1B"/>
          <w:sz w:val="28"/>
          <w:szCs w:val="28"/>
          <w:shd w:val="clear" w:color="auto" w:fill="FFFFFF"/>
          <w:lang w:val="en-US"/>
        </w:rPr>
        <w:t>, with appropriate FMO, unstained, and compensation controls.</w:t>
      </w:r>
    </w:p>
    <w:p w14:paraId="03CFF1CA" w14:textId="77777777" w:rsidR="003F698A" w:rsidRPr="00C3520C" w:rsidRDefault="003F698A" w:rsidP="00C3520C">
      <w:pPr>
        <w:spacing w:after="0" w:line="240" w:lineRule="auto"/>
        <w:ind w:firstLine="708"/>
        <w:jc w:val="both"/>
        <w:rPr>
          <w:rFonts w:ascii="Times New Roman" w:hAnsi="Times New Roman" w:cs="Times New Roman"/>
          <w:color w:val="1B1B1B"/>
          <w:sz w:val="28"/>
          <w:szCs w:val="28"/>
          <w:shd w:val="clear" w:color="auto" w:fill="FFFFFF"/>
          <w:lang w:val="en-US"/>
        </w:rPr>
      </w:pPr>
      <w:r w:rsidRPr="00C3520C">
        <w:rPr>
          <w:rFonts w:ascii="Times New Roman" w:hAnsi="Times New Roman" w:cs="Times New Roman"/>
          <w:color w:val="1B1B1B"/>
          <w:sz w:val="28"/>
          <w:szCs w:val="28"/>
          <w:shd w:val="clear" w:color="auto" w:fill="FFFFFF"/>
          <w:lang w:val="en-US"/>
        </w:rPr>
        <w:t xml:space="preserve">Lung cytokines (IL-5 and IL-13) were quantified by ELISA using lung homogenate supernatants. Data were analysed in GraphPad Prism using one-way ANOVA with Tukey’s post hoc test for parametric data or Kruskal–Wallis with Dunn’s test for non-parametric data, with significance set at </w:t>
      </w:r>
      <w:r w:rsidRPr="00C3520C">
        <w:rPr>
          <w:rFonts w:ascii="Times New Roman" w:hAnsi="Times New Roman" w:cs="Times New Roman"/>
          <w:i/>
          <w:iCs/>
          <w:color w:val="1B1B1B"/>
          <w:sz w:val="28"/>
          <w:szCs w:val="28"/>
          <w:shd w:val="clear" w:color="auto" w:fill="FFFFFF"/>
          <w:lang w:val="en-US"/>
        </w:rPr>
        <w:t>p</w:t>
      </w:r>
      <w:r w:rsidRPr="00C3520C">
        <w:rPr>
          <w:rFonts w:ascii="Times New Roman" w:hAnsi="Times New Roman" w:cs="Times New Roman"/>
          <w:color w:val="1B1B1B"/>
          <w:sz w:val="28"/>
          <w:szCs w:val="28"/>
          <w:shd w:val="clear" w:color="auto" w:fill="FFFFFF"/>
          <w:lang w:val="en-US"/>
        </w:rPr>
        <w:t xml:space="preserve"> &lt; 0.05. Group sizes (n = 7–8) provided over 80% power to detect a two-fold change in ILC2 frequency (</w:t>
      </w:r>
      <w:r w:rsidRPr="00C3520C">
        <w:rPr>
          <w:rFonts w:ascii="Times New Roman" w:hAnsi="Times New Roman" w:cs="Times New Roman"/>
          <w:color w:val="1B1B1B"/>
          <w:sz w:val="28"/>
          <w:szCs w:val="28"/>
          <w:shd w:val="clear" w:color="auto" w:fill="FFFFFF"/>
          <w:lang w:val="ru-RU"/>
        </w:rPr>
        <w:t>α</w:t>
      </w:r>
      <w:r w:rsidRPr="00C3520C">
        <w:rPr>
          <w:rFonts w:ascii="Times New Roman" w:hAnsi="Times New Roman" w:cs="Times New Roman"/>
          <w:color w:val="1B1B1B"/>
          <w:sz w:val="28"/>
          <w:szCs w:val="28"/>
          <w:shd w:val="clear" w:color="auto" w:fill="FFFFFF"/>
          <w:lang w:val="en-US"/>
        </w:rPr>
        <w:t xml:space="preserve"> = 0.05, SD = 15%).</w:t>
      </w:r>
    </w:p>
    <w:p w14:paraId="4731663F" w14:textId="7E25A552" w:rsidR="000116FF" w:rsidRPr="00C3520C" w:rsidRDefault="003F698A" w:rsidP="00C3520C">
      <w:pPr>
        <w:spacing w:after="0" w:line="240" w:lineRule="auto"/>
        <w:ind w:firstLine="708"/>
        <w:jc w:val="both"/>
        <w:rPr>
          <w:rFonts w:ascii="Times New Roman" w:hAnsi="Times New Roman" w:cs="Times New Roman"/>
          <w:color w:val="1B1B1B"/>
          <w:sz w:val="28"/>
          <w:szCs w:val="28"/>
          <w:shd w:val="clear" w:color="auto" w:fill="FFFFFF"/>
          <w:lang w:val="en-US"/>
        </w:rPr>
      </w:pPr>
      <w:r w:rsidRPr="00C3520C">
        <w:rPr>
          <w:rFonts w:ascii="Times New Roman" w:hAnsi="Times New Roman" w:cs="Times New Roman"/>
          <w:color w:val="1B1B1B"/>
          <w:sz w:val="28"/>
          <w:szCs w:val="28"/>
          <w:shd w:val="clear" w:color="auto" w:fill="FFFFFF"/>
          <w:lang w:val="en-US"/>
        </w:rPr>
        <w:t>Expected outcomes included minimal ILC2 expansion in the control group, a moderate increase at 10 ng IL-33, and a dose-dependent ILC2 expansion in the 50 ng and 100 ng IL-33 groups, with the highest response at 100 ng.</w:t>
      </w:r>
    </w:p>
    <w:p w14:paraId="3361C317" w14:textId="77777777" w:rsidR="00A0261C" w:rsidRPr="00AC01CC" w:rsidRDefault="00A0261C" w:rsidP="00C3520C">
      <w:pPr>
        <w:spacing w:after="0" w:line="240" w:lineRule="auto"/>
        <w:ind w:firstLine="708"/>
        <w:jc w:val="both"/>
        <w:rPr>
          <w:rFonts w:ascii="Times New Roman" w:hAnsi="Times New Roman" w:cs="Times New Roman"/>
          <w:i/>
          <w:iCs/>
          <w:color w:val="1B1B1B"/>
          <w:sz w:val="28"/>
          <w:szCs w:val="28"/>
          <w:u w:val="single"/>
          <w:shd w:val="clear" w:color="auto" w:fill="FFFFFF"/>
        </w:rPr>
      </w:pPr>
      <w:r w:rsidRPr="00AC01CC">
        <w:rPr>
          <w:rFonts w:ascii="Times New Roman" w:hAnsi="Times New Roman" w:cs="Times New Roman"/>
          <w:i/>
          <w:iCs/>
          <w:color w:val="1B1B1B"/>
          <w:sz w:val="28"/>
          <w:szCs w:val="28"/>
          <w:u w:val="single"/>
          <w:shd w:val="clear" w:color="auto" w:fill="FFFFFF"/>
        </w:rPr>
        <w:t>The tissue Homogenate</w:t>
      </w:r>
    </w:p>
    <w:p w14:paraId="33E4D262" w14:textId="3D5BF141" w:rsidR="00C43464" w:rsidRPr="00C3520C" w:rsidRDefault="00A0261C" w:rsidP="00C3520C">
      <w:pPr>
        <w:spacing w:after="0" w:line="240" w:lineRule="auto"/>
        <w:ind w:firstLine="709"/>
        <w:jc w:val="both"/>
        <w:rPr>
          <w:rFonts w:ascii="Times New Roman" w:hAnsi="Times New Roman" w:cs="Times New Roman"/>
          <w:color w:val="1B1B1B"/>
          <w:sz w:val="28"/>
          <w:szCs w:val="28"/>
          <w:shd w:val="clear" w:color="auto" w:fill="FFFFFF"/>
          <w:lang w:val="en-US"/>
        </w:rPr>
      </w:pPr>
      <w:r w:rsidRPr="00C3520C">
        <w:rPr>
          <w:rFonts w:ascii="Times New Roman" w:hAnsi="Times New Roman" w:cs="Times New Roman"/>
          <w:color w:val="1B1B1B"/>
          <w:sz w:val="28"/>
          <w:szCs w:val="28"/>
          <w:shd w:val="clear" w:color="auto" w:fill="FFFFFF"/>
        </w:rPr>
        <w:t xml:space="preserve">Weigh tissue and </w:t>
      </w:r>
      <w:r w:rsidR="004166AC" w:rsidRPr="00C3520C">
        <w:rPr>
          <w:rFonts w:ascii="Times New Roman" w:hAnsi="Times New Roman" w:cs="Times New Roman"/>
          <w:color w:val="1B1B1B"/>
          <w:sz w:val="28"/>
          <w:szCs w:val="28"/>
          <w:shd w:val="clear" w:color="auto" w:fill="FFFFFF"/>
        </w:rPr>
        <w:t>homogenise</w:t>
      </w:r>
      <w:r w:rsidRPr="00C3520C">
        <w:rPr>
          <w:rFonts w:ascii="Times New Roman" w:hAnsi="Times New Roman" w:cs="Times New Roman"/>
          <w:color w:val="1B1B1B"/>
          <w:sz w:val="28"/>
          <w:szCs w:val="28"/>
          <w:shd w:val="clear" w:color="auto" w:fill="FFFFFF"/>
        </w:rPr>
        <w:t xml:space="preserve"> in cold DMEM (10% w/v, e.g., 100 mg tissue in 1 mL DMEM). Centrifuge at</w:t>
      </w:r>
      <w:r w:rsidR="00121633" w:rsidRPr="00C3520C">
        <w:rPr>
          <w:rFonts w:ascii="Times New Roman" w:hAnsi="Times New Roman" w:cs="Times New Roman"/>
          <w:color w:val="1B1B1B"/>
          <w:sz w:val="28"/>
          <w:szCs w:val="28"/>
          <w:shd w:val="clear" w:color="auto" w:fill="FFFFFF"/>
        </w:rPr>
        <w:t xml:space="preserve"> 10,000 × g for 10 min at 4°C </w:t>
      </w:r>
      <w:r w:rsidRPr="00C3520C">
        <w:rPr>
          <w:rFonts w:ascii="Times New Roman" w:hAnsi="Times New Roman" w:cs="Times New Roman"/>
          <w:color w:val="1B1B1B"/>
          <w:sz w:val="28"/>
          <w:szCs w:val="28"/>
          <w:shd w:val="clear" w:color="auto" w:fill="FFFFFF"/>
        </w:rPr>
        <w:t>to pellet debris</w:t>
      </w:r>
      <w:r w:rsidR="00795F31" w:rsidRPr="00C3520C">
        <w:rPr>
          <w:rFonts w:ascii="Times New Roman" w:hAnsi="Times New Roman" w:cs="Times New Roman"/>
          <w:color w:val="1B1B1B"/>
          <w:sz w:val="28"/>
          <w:szCs w:val="28"/>
          <w:shd w:val="clear" w:color="auto" w:fill="FFFFFF"/>
        </w:rPr>
        <w:t xml:space="preserve">. Supernatant through a 0.22 µm </w:t>
      </w:r>
      <w:r w:rsidR="00F2464A" w:rsidRPr="00C3520C">
        <w:rPr>
          <w:rFonts w:ascii="Times New Roman" w:hAnsi="Times New Roman" w:cs="Times New Roman"/>
          <w:color w:val="1B1B1B"/>
          <w:sz w:val="28"/>
          <w:szCs w:val="28"/>
          <w:shd w:val="clear" w:color="auto" w:fill="FFFFFF"/>
        </w:rPr>
        <w:t>filter. The</w:t>
      </w:r>
      <w:r w:rsidRPr="00C3520C">
        <w:rPr>
          <w:rFonts w:ascii="Times New Roman" w:hAnsi="Times New Roman" w:cs="Times New Roman"/>
          <w:color w:val="1B1B1B"/>
          <w:sz w:val="28"/>
          <w:szCs w:val="28"/>
          <w:shd w:val="clear" w:color="auto" w:fill="FFFFFF"/>
        </w:rPr>
        <w:t xml:space="preserve"> </w:t>
      </w:r>
      <w:r w:rsidR="00121633" w:rsidRPr="00C3520C">
        <w:rPr>
          <w:rFonts w:ascii="Times New Roman" w:hAnsi="Times New Roman" w:cs="Times New Roman"/>
          <w:color w:val="1B1B1B"/>
          <w:sz w:val="28"/>
          <w:szCs w:val="28"/>
          <w:shd w:val="clear" w:color="auto" w:fill="FFFFFF"/>
        </w:rPr>
        <w:t xml:space="preserve">filter </w:t>
      </w:r>
      <w:r w:rsidR="00F2464A" w:rsidRPr="00C3520C">
        <w:rPr>
          <w:rFonts w:ascii="Times New Roman" w:hAnsi="Times New Roman" w:cs="Times New Roman"/>
          <w:color w:val="1B1B1B"/>
          <w:sz w:val="28"/>
          <w:szCs w:val="28"/>
          <w:shd w:val="clear" w:color="auto" w:fill="FFFFFF"/>
        </w:rPr>
        <w:t>removes</w:t>
      </w:r>
      <w:r w:rsidR="00121633" w:rsidRPr="00C3520C">
        <w:rPr>
          <w:rFonts w:ascii="Times New Roman" w:hAnsi="Times New Roman" w:cs="Times New Roman"/>
          <w:color w:val="1B1B1B"/>
          <w:sz w:val="28"/>
          <w:szCs w:val="28"/>
          <w:shd w:val="clear" w:color="auto" w:fill="FFFFFF"/>
        </w:rPr>
        <w:t xml:space="preserve"> bacteria and </w:t>
      </w:r>
      <w:r w:rsidRPr="00C3520C">
        <w:rPr>
          <w:rFonts w:ascii="Times New Roman" w:hAnsi="Times New Roman" w:cs="Times New Roman"/>
          <w:color w:val="1B1B1B"/>
          <w:sz w:val="28"/>
          <w:szCs w:val="28"/>
          <w:shd w:val="clear" w:color="auto" w:fill="FFFFFF"/>
        </w:rPr>
        <w:t>particles</w:t>
      </w:r>
      <w:r w:rsidR="00121633" w:rsidRPr="00C3520C">
        <w:rPr>
          <w:rFonts w:ascii="Times New Roman" w:hAnsi="Times New Roman" w:cs="Times New Roman"/>
          <w:color w:val="1B1B1B"/>
          <w:sz w:val="28"/>
          <w:szCs w:val="28"/>
          <w:shd w:val="clear" w:color="auto" w:fill="FFFFFF"/>
        </w:rPr>
        <w:t>. Aliquot</w:t>
      </w:r>
      <w:r w:rsidR="00F2464A" w:rsidRPr="00C3520C">
        <w:rPr>
          <w:rFonts w:ascii="Times New Roman" w:hAnsi="Times New Roman" w:cs="Times New Roman"/>
          <w:color w:val="1B1B1B"/>
          <w:sz w:val="28"/>
          <w:szCs w:val="28"/>
          <w:shd w:val="clear" w:color="auto" w:fill="FFFFFF"/>
        </w:rPr>
        <w:t>ed</w:t>
      </w:r>
      <w:r w:rsidR="00121633" w:rsidRPr="00C3520C">
        <w:rPr>
          <w:rFonts w:ascii="Times New Roman" w:hAnsi="Times New Roman" w:cs="Times New Roman"/>
          <w:color w:val="1B1B1B"/>
          <w:sz w:val="28"/>
          <w:szCs w:val="28"/>
          <w:shd w:val="clear" w:color="auto" w:fill="FFFFFF"/>
        </w:rPr>
        <w:t xml:space="preserve"> and store</w:t>
      </w:r>
      <w:r w:rsidR="00F2464A" w:rsidRPr="00C3520C">
        <w:rPr>
          <w:rFonts w:ascii="Times New Roman" w:hAnsi="Times New Roman" w:cs="Times New Roman"/>
          <w:color w:val="1B1B1B"/>
          <w:sz w:val="28"/>
          <w:szCs w:val="28"/>
          <w:shd w:val="clear" w:color="auto" w:fill="FFFFFF"/>
        </w:rPr>
        <w:t>d</w:t>
      </w:r>
      <w:r w:rsidR="00121633" w:rsidRPr="00C3520C">
        <w:rPr>
          <w:rFonts w:ascii="Times New Roman" w:hAnsi="Times New Roman" w:cs="Times New Roman"/>
          <w:color w:val="1B1B1B"/>
          <w:sz w:val="28"/>
          <w:szCs w:val="28"/>
          <w:shd w:val="clear" w:color="auto" w:fill="FFFFFF"/>
        </w:rPr>
        <w:t xml:space="preserve"> at -80°C, avoiding repeated freeze-thaw cycles</w:t>
      </w:r>
      <w:r w:rsidRPr="00C3520C">
        <w:rPr>
          <w:rFonts w:ascii="Times New Roman" w:hAnsi="Times New Roman" w:cs="Times New Roman"/>
          <w:color w:val="1B1B1B"/>
          <w:sz w:val="28"/>
          <w:szCs w:val="28"/>
          <w:shd w:val="clear" w:color="auto" w:fill="FFFFFF"/>
        </w:rPr>
        <w:t xml:space="preserve"> [108-109].</w:t>
      </w:r>
    </w:p>
    <w:p w14:paraId="5F5C0F11" w14:textId="79E9999A" w:rsidR="001F6D3C" w:rsidRPr="00C3520C" w:rsidRDefault="00A0261C" w:rsidP="00C3520C">
      <w:pPr>
        <w:spacing w:after="0" w:line="240" w:lineRule="auto"/>
        <w:ind w:firstLine="709"/>
        <w:jc w:val="both"/>
        <w:rPr>
          <w:rFonts w:ascii="Times New Roman" w:hAnsi="Times New Roman" w:cs="Times New Roman"/>
          <w:i/>
          <w:iCs/>
          <w:color w:val="1B1B1B"/>
          <w:sz w:val="28"/>
          <w:szCs w:val="28"/>
          <w:u w:val="single"/>
          <w:shd w:val="clear" w:color="auto" w:fill="FFFFFF"/>
        </w:rPr>
      </w:pPr>
      <w:r w:rsidRPr="00C3520C">
        <w:rPr>
          <w:rFonts w:ascii="Times New Roman" w:hAnsi="Times New Roman" w:cs="Times New Roman"/>
          <w:i/>
          <w:iCs/>
          <w:color w:val="1B1B1B"/>
          <w:sz w:val="28"/>
          <w:szCs w:val="28"/>
          <w:u w:val="single"/>
          <w:shd w:val="clear" w:color="auto" w:fill="FFFFFF"/>
        </w:rPr>
        <w:t xml:space="preserve"> The preclinical test of </w:t>
      </w:r>
      <w:r w:rsidR="003F698A" w:rsidRPr="00C3520C">
        <w:rPr>
          <w:rFonts w:ascii="Times New Roman" w:hAnsi="Times New Roman" w:cs="Times New Roman"/>
          <w:i/>
          <w:iCs/>
          <w:color w:val="1B1B1B"/>
          <w:sz w:val="28"/>
          <w:szCs w:val="28"/>
          <w:u w:val="single"/>
          <w:shd w:val="clear" w:color="auto" w:fill="FFFFFF"/>
        </w:rPr>
        <w:t xml:space="preserve">the </w:t>
      </w:r>
      <w:r w:rsidRPr="00C3520C">
        <w:rPr>
          <w:rFonts w:ascii="Times New Roman" w:hAnsi="Times New Roman" w:cs="Times New Roman"/>
          <w:i/>
          <w:iCs/>
          <w:color w:val="1B1B1B"/>
          <w:sz w:val="28"/>
          <w:szCs w:val="28"/>
          <w:u w:val="single"/>
          <w:shd w:val="clear" w:color="auto" w:fill="FFFFFF"/>
        </w:rPr>
        <w:t>antiviral properties</w:t>
      </w:r>
      <w:r w:rsidR="00896C35" w:rsidRPr="00C3520C">
        <w:rPr>
          <w:rFonts w:ascii="Times New Roman" w:hAnsi="Times New Roman" w:cs="Times New Roman"/>
          <w:i/>
          <w:iCs/>
          <w:color w:val="1B1B1B"/>
          <w:sz w:val="28"/>
          <w:szCs w:val="28"/>
          <w:u w:val="single"/>
          <w:shd w:val="clear" w:color="auto" w:fill="FFFFFF"/>
        </w:rPr>
        <w:t xml:space="preserve"> </w:t>
      </w:r>
      <w:r w:rsidR="00245494" w:rsidRPr="00C3520C">
        <w:rPr>
          <w:rFonts w:ascii="Times New Roman" w:hAnsi="Times New Roman" w:cs="Times New Roman"/>
          <w:i/>
          <w:iCs/>
          <w:color w:val="1B1B1B"/>
          <w:sz w:val="28"/>
          <w:szCs w:val="28"/>
          <w:u w:val="single"/>
          <w:shd w:val="clear" w:color="auto" w:fill="FFFFFF"/>
        </w:rPr>
        <w:t>of IL33</w:t>
      </w:r>
      <w:r w:rsidRPr="00C3520C">
        <w:rPr>
          <w:rFonts w:ascii="Times New Roman" w:hAnsi="Times New Roman" w:cs="Times New Roman"/>
          <w:i/>
          <w:iCs/>
          <w:color w:val="1B1B1B"/>
          <w:sz w:val="28"/>
          <w:szCs w:val="28"/>
          <w:u w:val="single"/>
          <w:shd w:val="clear" w:color="auto" w:fill="FFFFFF"/>
        </w:rPr>
        <w:t xml:space="preserve"> in vivo on regular lab WT-Mice</w:t>
      </w:r>
    </w:p>
    <w:p w14:paraId="58E011CA" w14:textId="478D3A53" w:rsidR="00A03B46" w:rsidRPr="00C3520C" w:rsidRDefault="00A0261C" w:rsidP="00C3520C">
      <w:pPr>
        <w:spacing w:after="0" w:line="240" w:lineRule="auto"/>
        <w:ind w:firstLine="709"/>
        <w:jc w:val="both"/>
        <w:rPr>
          <w:rFonts w:ascii="Times New Roman" w:eastAsia="Calibri" w:hAnsi="Times New Roman" w:cs="Times New Roman"/>
          <w:color w:val="00000A"/>
          <w:sz w:val="28"/>
          <w:szCs w:val="28"/>
        </w:rPr>
      </w:pPr>
      <w:r w:rsidRPr="00C3520C">
        <w:rPr>
          <w:rFonts w:ascii="Times New Roman" w:hAnsi="Times New Roman" w:cs="Times New Roman"/>
          <w:color w:val="1B1B1B"/>
          <w:sz w:val="28"/>
          <w:szCs w:val="28"/>
          <w:shd w:val="clear" w:color="auto" w:fill="FFFFFF"/>
        </w:rPr>
        <w:t xml:space="preserve">Are there other models? Maybe mice adapted to the virus through serial passage? Or maybe using </w:t>
      </w:r>
      <w:r w:rsidR="00A03B46" w:rsidRPr="00C3520C">
        <w:rPr>
          <w:rFonts w:ascii="Times New Roman" w:hAnsi="Times New Roman" w:cs="Times New Roman"/>
          <w:color w:val="1B1B1B"/>
          <w:sz w:val="28"/>
          <w:szCs w:val="28"/>
          <w:shd w:val="clear" w:color="auto" w:fill="FFFFFF"/>
        </w:rPr>
        <w:t xml:space="preserve">an </w:t>
      </w:r>
      <w:r w:rsidRPr="00C3520C">
        <w:rPr>
          <w:rFonts w:ascii="Times New Roman" w:hAnsi="Times New Roman" w:cs="Times New Roman"/>
          <w:color w:val="1B1B1B"/>
          <w:sz w:val="28"/>
          <w:szCs w:val="28"/>
          <w:shd w:val="clear" w:color="auto" w:fill="FFFFFF"/>
        </w:rPr>
        <w:t>adenovirus to express hACE2 in regular mice? The BALB/c and C57BL/6 strains are being used</w:t>
      </w:r>
      <w:r w:rsidR="00121633" w:rsidRPr="00C3520C">
        <w:rPr>
          <w:rFonts w:ascii="Times New Roman" w:hAnsi="Times New Roman" w:cs="Times New Roman"/>
          <w:color w:val="1B1B1B"/>
          <w:sz w:val="28"/>
          <w:szCs w:val="28"/>
          <w:shd w:val="clear" w:color="auto" w:fill="FFFFFF"/>
        </w:rPr>
        <w:t>; however, they may not become</w:t>
      </w:r>
      <w:r w:rsidRPr="00C3520C">
        <w:rPr>
          <w:rFonts w:ascii="Times New Roman" w:hAnsi="Times New Roman" w:cs="Times New Roman"/>
          <w:color w:val="1B1B1B"/>
          <w:sz w:val="28"/>
          <w:szCs w:val="28"/>
          <w:shd w:val="clear" w:color="auto" w:fill="FFFFFF"/>
        </w:rPr>
        <w:t xml:space="preserve"> infected unless the virus is adapted. </w:t>
      </w:r>
      <w:r w:rsidR="00121633" w:rsidRPr="00C3520C">
        <w:rPr>
          <w:rFonts w:ascii="Times New Roman" w:hAnsi="Times New Roman" w:cs="Times New Roman"/>
          <w:color w:val="1B1B1B"/>
          <w:sz w:val="28"/>
          <w:szCs w:val="28"/>
          <w:shd w:val="clear" w:color="auto" w:fill="FFFFFF"/>
        </w:rPr>
        <w:t>Therefore, the best option is likely</w:t>
      </w:r>
      <w:r w:rsidRPr="00C3520C">
        <w:rPr>
          <w:rFonts w:ascii="Times New Roman" w:hAnsi="Times New Roman" w:cs="Times New Roman"/>
          <w:color w:val="1B1B1B"/>
          <w:sz w:val="28"/>
          <w:szCs w:val="28"/>
          <w:shd w:val="clear" w:color="auto" w:fill="FFFFFF"/>
        </w:rPr>
        <w:t xml:space="preserve"> to use hACE2 transgenic mice. </w:t>
      </w:r>
      <w:r w:rsidR="008C7691" w:rsidRPr="00C3520C">
        <w:rPr>
          <w:rFonts w:ascii="Times New Roman" w:hAnsi="Times New Roman" w:cs="Times New Roman"/>
          <w:color w:val="1B1B1B"/>
          <w:sz w:val="28"/>
          <w:szCs w:val="28"/>
          <w:shd w:val="clear" w:color="auto" w:fill="FFFFFF"/>
        </w:rPr>
        <w:t xml:space="preserve">The </w:t>
      </w:r>
      <w:r w:rsidRPr="00C3520C">
        <w:rPr>
          <w:rFonts w:ascii="Times New Roman" w:hAnsi="Times New Roman" w:cs="Times New Roman"/>
          <w:color w:val="1B1B1B"/>
          <w:sz w:val="28"/>
          <w:szCs w:val="28"/>
          <w:shd w:val="clear" w:color="auto" w:fill="FFFFFF"/>
        </w:rPr>
        <w:t>strains</w:t>
      </w:r>
      <w:r w:rsidR="008C7691" w:rsidRPr="00C3520C">
        <w:rPr>
          <w:rFonts w:ascii="Times New Roman" w:hAnsi="Times New Roman" w:cs="Times New Roman"/>
          <w:color w:val="1B1B1B"/>
          <w:sz w:val="28"/>
          <w:szCs w:val="28"/>
          <w:shd w:val="clear" w:color="auto" w:fill="FFFFFF"/>
        </w:rPr>
        <w:t xml:space="preserve"> are close to </w:t>
      </w:r>
      <w:r w:rsidR="00121633" w:rsidRPr="00C3520C">
        <w:rPr>
          <w:rFonts w:ascii="Times New Roman" w:hAnsi="Times New Roman" w:cs="Times New Roman"/>
          <w:color w:val="1B1B1B"/>
          <w:sz w:val="28"/>
          <w:szCs w:val="28"/>
          <w:shd w:val="clear" w:color="auto" w:fill="FFFFFF"/>
        </w:rPr>
        <w:t>K18-hACE2</w:t>
      </w:r>
      <w:r w:rsidRPr="00C3520C">
        <w:rPr>
          <w:rFonts w:ascii="Times New Roman" w:hAnsi="Times New Roman" w:cs="Times New Roman"/>
          <w:color w:val="1B1B1B"/>
          <w:sz w:val="28"/>
          <w:szCs w:val="28"/>
          <w:shd w:val="clear" w:color="auto" w:fill="FFFFFF"/>
        </w:rPr>
        <w:t>. They express ACE2 under a promoter that might target epithelial cells, which could make them more susceptible [108-109]</w:t>
      </w:r>
      <w:r w:rsidR="00A03B46" w:rsidRPr="00C3520C">
        <w:rPr>
          <w:rFonts w:ascii="Times New Roman" w:hAnsi="Times New Roman" w:cs="Times New Roman"/>
          <w:color w:val="1B1B1B"/>
          <w:sz w:val="28"/>
          <w:szCs w:val="28"/>
          <w:shd w:val="clear" w:color="auto" w:fill="FFFFFF"/>
        </w:rPr>
        <w:t>. However</w:t>
      </w:r>
      <w:r w:rsidR="00356B14" w:rsidRPr="00C3520C">
        <w:rPr>
          <w:rFonts w:ascii="Times New Roman" w:hAnsi="Times New Roman" w:cs="Times New Roman"/>
          <w:color w:val="1B1B1B"/>
          <w:sz w:val="28"/>
          <w:szCs w:val="28"/>
          <w:shd w:val="clear" w:color="auto" w:fill="FFFFFF"/>
        </w:rPr>
        <w:t>,</w:t>
      </w:r>
      <w:r w:rsidR="001A4B58" w:rsidRPr="00C3520C">
        <w:rPr>
          <w:rFonts w:ascii="Times New Roman" w:hAnsi="Times New Roman" w:cs="Times New Roman"/>
          <w:color w:val="1B1B1B"/>
          <w:sz w:val="28"/>
          <w:szCs w:val="28"/>
          <w:shd w:val="clear" w:color="auto" w:fill="FFFFFF"/>
        </w:rPr>
        <w:t xml:space="preserve"> we can mimic the viral infection </w:t>
      </w:r>
      <w:r w:rsidR="006635B1" w:rsidRPr="00C3520C">
        <w:rPr>
          <w:rFonts w:ascii="Times New Roman" w:hAnsi="Times New Roman" w:cs="Times New Roman"/>
          <w:color w:val="1B1B1B"/>
          <w:sz w:val="28"/>
          <w:szCs w:val="28"/>
          <w:shd w:val="clear" w:color="auto" w:fill="FFFFFF"/>
        </w:rPr>
        <w:t xml:space="preserve">in </w:t>
      </w:r>
      <w:r w:rsidR="00FD2E80">
        <w:rPr>
          <w:rFonts w:ascii="Times New Roman" w:hAnsi="Times New Roman" w:cs="Times New Roman"/>
          <w:color w:val="1B1B1B"/>
          <w:sz w:val="28"/>
          <w:szCs w:val="28"/>
          <w:shd w:val="clear" w:color="auto" w:fill="FFFFFF"/>
        </w:rPr>
        <w:t>vivo by stimulating IL-33 and observing its effects</w:t>
      </w:r>
      <w:r w:rsidR="001F3B75" w:rsidRPr="00C3520C">
        <w:rPr>
          <w:rFonts w:ascii="Times New Roman" w:hAnsi="Times New Roman" w:cs="Times New Roman"/>
          <w:color w:val="1B1B1B"/>
          <w:sz w:val="28"/>
          <w:szCs w:val="28"/>
          <w:shd w:val="clear" w:color="auto" w:fill="FFFFFF"/>
        </w:rPr>
        <w:t xml:space="preserve"> </w:t>
      </w:r>
      <w:r w:rsidR="001A4B58" w:rsidRPr="00C3520C">
        <w:rPr>
          <w:rFonts w:ascii="Times New Roman" w:hAnsi="Times New Roman" w:cs="Times New Roman"/>
          <w:color w:val="1B1B1B"/>
          <w:sz w:val="28"/>
          <w:szCs w:val="28"/>
          <w:shd w:val="clear" w:color="auto" w:fill="FFFFFF"/>
        </w:rPr>
        <w:lastRenderedPageBreak/>
        <w:t xml:space="preserve">on murine lungs. </w:t>
      </w:r>
      <w:r w:rsidR="002766D9" w:rsidRPr="00C3520C">
        <w:rPr>
          <w:rFonts w:ascii="Times New Roman" w:hAnsi="Times New Roman" w:cs="Times New Roman"/>
          <w:color w:val="1B1B1B"/>
          <w:sz w:val="28"/>
          <w:szCs w:val="28"/>
          <w:shd w:val="clear" w:color="auto" w:fill="FFFFFF"/>
        </w:rPr>
        <w:t xml:space="preserve"> </w:t>
      </w:r>
      <w:r w:rsidR="002766D9" w:rsidRPr="00C3520C">
        <w:rPr>
          <w:rFonts w:ascii="Times New Roman" w:eastAsia="Calibri" w:hAnsi="Times New Roman" w:cs="Times New Roman"/>
          <w:color w:val="00000A"/>
          <w:sz w:val="28"/>
          <w:szCs w:val="28"/>
        </w:rPr>
        <w:t xml:space="preserve">Performing statistical data analysis with ANOVA (Analysis of Variance) involves comparing group means to determine if there are statistically significant differences. Below is a step-by-step guide to conducting </w:t>
      </w:r>
      <w:r w:rsidR="00356B14" w:rsidRPr="00C3520C">
        <w:rPr>
          <w:rFonts w:ascii="Times New Roman" w:eastAsia="Calibri" w:hAnsi="Times New Roman" w:cs="Times New Roman"/>
          <w:color w:val="00000A"/>
          <w:sz w:val="28"/>
          <w:szCs w:val="28"/>
        </w:rPr>
        <w:t>an ANOVA, including software recommendations</w:t>
      </w:r>
      <w:r w:rsidR="00A03B46" w:rsidRPr="00C3520C">
        <w:rPr>
          <w:rFonts w:ascii="Times New Roman" w:eastAsia="Calibri" w:hAnsi="Times New Roman" w:cs="Times New Roman"/>
          <w:color w:val="00000A"/>
          <w:sz w:val="28"/>
          <w:szCs w:val="28"/>
        </w:rPr>
        <w:t>.</w:t>
      </w:r>
    </w:p>
    <w:p w14:paraId="5E5D0FBD" w14:textId="113F8F28" w:rsidR="003F698A" w:rsidRPr="00C3520C" w:rsidRDefault="003F698A" w:rsidP="00454375">
      <w:pPr>
        <w:spacing w:after="0" w:line="240" w:lineRule="auto"/>
        <w:ind w:firstLine="709"/>
        <w:jc w:val="both"/>
        <w:rPr>
          <w:rFonts w:ascii="Times New Roman" w:hAnsi="Times New Roman" w:cs="Times New Roman"/>
          <w:color w:val="1B1B1B"/>
          <w:sz w:val="28"/>
          <w:szCs w:val="28"/>
          <w:shd w:val="clear" w:color="auto" w:fill="FFFFFF"/>
        </w:rPr>
      </w:pPr>
      <w:bookmarkStart w:id="31" w:name="_Hlk211101549"/>
      <w:r w:rsidRPr="00C3520C">
        <w:rPr>
          <w:rFonts w:ascii="Times New Roman" w:hAnsi="Times New Roman" w:cs="Times New Roman"/>
          <w:color w:val="1B1B1B"/>
          <w:sz w:val="28"/>
          <w:szCs w:val="28"/>
          <w:shd w:val="clear" w:color="auto" w:fill="FFFFFF"/>
        </w:rPr>
        <w:t xml:space="preserve">According to </w:t>
      </w:r>
      <w:r w:rsidR="00A03B46" w:rsidRPr="00C3520C">
        <w:rPr>
          <w:rFonts w:ascii="Times New Roman" w:hAnsi="Times New Roman" w:cs="Times New Roman"/>
          <w:color w:val="1B1B1B"/>
          <w:sz w:val="28"/>
          <w:szCs w:val="28"/>
          <w:shd w:val="clear" w:color="auto" w:fill="FFFFFF"/>
        </w:rPr>
        <w:t>Figure 17</w:t>
      </w:r>
      <w:bookmarkEnd w:id="31"/>
      <w:r w:rsidRPr="00C3520C">
        <w:rPr>
          <w:rFonts w:ascii="Times New Roman" w:hAnsi="Times New Roman" w:cs="Times New Roman"/>
          <w:color w:val="1B1B1B"/>
          <w:sz w:val="28"/>
          <w:szCs w:val="28"/>
          <w:shd w:val="clear" w:color="auto" w:fill="FFFFFF"/>
        </w:rPr>
        <w:t>,</w:t>
      </w:r>
      <w:r w:rsidR="00A03B46" w:rsidRPr="00C3520C">
        <w:rPr>
          <w:rFonts w:ascii="Times New Roman" w:hAnsi="Times New Roman" w:cs="Times New Roman"/>
          <w:color w:val="1B1B1B"/>
          <w:sz w:val="28"/>
          <w:szCs w:val="28"/>
          <w:shd w:val="clear" w:color="auto" w:fill="FFFFFF"/>
        </w:rPr>
        <w:t xml:space="preserve"> a laboratory procedure in which a researcher, wearing blue nitrile gloves, handles a mouse. The mouse is held securely on its back, and a syringe is positioned for what appears to be an intraperitoneal injection, a standard method for administering experimental compounds, drugs, or treatments in animal studies. The setting includes a standard animal cage with bedding and food pellets, indicating controlled housing conditions.</w:t>
      </w:r>
    </w:p>
    <w:p w14:paraId="1597D6F2" w14:textId="228D864C" w:rsidR="003F698A" w:rsidRPr="00503519" w:rsidRDefault="003F698A" w:rsidP="00454375">
      <w:pPr>
        <w:spacing w:after="0" w:line="360" w:lineRule="auto"/>
        <w:jc w:val="both"/>
        <w:rPr>
          <w:rFonts w:ascii="Times New Roman" w:hAnsi="Times New Roman" w:cs="Times New Roman"/>
          <w:color w:val="1B1B1B"/>
          <w:sz w:val="24"/>
          <w:szCs w:val="24"/>
          <w:shd w:val="clear" w:color="auto" w:fill="FFFFFF"/>
          <w:lang w:val="en-US"/>
        </w:rPr>
      </w:pPr>
    </w:p>
    <w:p w14:paraId="548F6E70" w14:textId="61D42B6B" w:rsidR="001A4B58" w:rsidRPr="006531C9" w:rsidRDefault="003F698A" w:rsidP="00A03B46">
      <w:pPr>
        <w:spacing w:line="360" w:lineRule="auto"/>
        <w:ind w:firstLine="708"/>
        <w:jc w:val="both"/>
        <w:rPr>
          <w:rFonts w:ascii="Times New Roman" w:hAnsi="Times New Roman" w:cs="Times New Roman"/>
          <w:color w:val="1B1B1B"/>
          <w:sz w:val="24"/>
          <w:szCs w:val="24"/>
          <w:shd w:val="clear" w:color="auto" w:fill="FFFFFF"/>
        </w:rPr>
      </w:pPr>
      <w:r w:rsidRPr="006531C9">
        <w:rPr>
          <w:rFonts w:ascii="Times New Roman" w:hAnsi="Times New Roman" w:cs="Times New Roman"/>
          <w:noProof/>
          <w:color w:val="1B1B1B"/>
          <w:sz w:val="24"/>
          <w:szCs w:val="24"/>
          <w:shd w:val="clear" w:color="auto" w:fill="FFFFFF"/>
        </w:rPr>
        <w:drawing>
          <wp:anchor distT="0" distB="0" distL="114300" distR="114300" simplePos="0" relativeHeight="251637248" behindDoc="0" locked="0" layoutInCell="1" allowOverlap="1" wp14:anchorId="545DF808" wp14:editId="67E09B8A">
            <wp:simplePos x="0" y="0"/>
            <wp:positionH relativeFrom="margin">
              <wp:posOffset>916305</wp:posOffset>
            </wp:positionH>
            <wp:positionV relativeFrom="paragraph">
              <wp:posOffset>5715</wp:posOffset>
            </wp:positionV>
            <wp:extent cx="1917065" cy="2710180"/>
            <wp:effectExtent l="0" t="0" r="6985" b="0"/>
            <wp:wrapSquare wrapText="bothSides"/>
            <wp:docPr id="2080847009" name="Рисунок 2080847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2457" r="7143" b="25463"/>
                    <a:stretch/>
                  </pic:blipFill>
                  <pic:spPr bwMode="auto">
                    <a:xfrm>
                      <a:off x="0" y="0"/>
                      <a:ext cx="1917065" cy="2710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4B58" w:rsidRPr="006531C9">
        <w:rPr>
          <w:rFonts w:ascii="Times New Roman" w:hAnsi="Times New Roman" w:cs="Times New Roman"/>
          <w:noProof/>
          <w:color w:val="1B1B1B"/>
          <w:sz w:val="24"/>
          <w:szCs w:val="24"/>
          <w:shd w:val="clear" w:color="auto" w:fill="FFFFFF"/>
        </w:rPr>
        <w:drawing>
          <wp:inline distT="0" distB="0" distL="0" distR="0" wp14:anchorId="68269E56" wp14:editId="5EEADAE7">
            <wp:extent cx="1997710" cy="2790825"/>
            <wp:effectExtent l="0" t="0" r="2540" b="9525"/>
            <wp:docPr id="934757676" name="Рисунок 58" descr="Methods for Detecting Cough and Airway Inflammation in M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ethods for Detecting Cough and Airway Inflammation in Mice"/>
                    <pic:cNvPicPr>
                      <a:picLocks noChangeAspect="1" noChangeArrowheads="1"/>
                    </pic:cNvPicPr>
                  </pic:nvPicPr>
                  <pic:blipFill rotWithShape="1">
                    <a:blip r:embed="rId39">
                      <a:extLst>
                        <a:ext uri="{28A0092B-C50C-407E-A947-70E740481C1C}">
                          <a14:useLocalDpi xmlns:a14="http://schemas.microsoft.com/office/drawing/2010/main" val="0"/>
                        </a:ext>
                      </a:extLst>
                    </a:blip>
                    <a:srcRect t="20022" r="71173"/>
                    <a:stretch>
                      <a:fillRect/>
                    </a:stretch>
                  </pic:blipFill>
                  <pic:spPr bwMode="auto">
                    <a:xfrm>
                      <a:off x="0" y="0"/>
                      <a:ext cx="2045588" cy="2857711"/>
                    </a:xfrm>
                    <a:prstGeom prst="rect">
                      <a:avLst/>
                    </a:prstGeom>
                    <a:noFill/>
                    <a:ln>
                      <a:noFill/>
                    </a:ln>
                    <a:extLst>
                      <a:ext uri="{53640926-AAD7-44D8-BBD7-CCE9431645EC}">
                        <a14:shadowObscured xmlns:a14="http://schemas.microsoft.com/office/drawing/2010/main"/>
                      </a:ext>
                    </a:extLst>
                  </pic:spPr>
                </pic:pic>
              </a:graphicData>
            </a:graphic>
          </wp:inline>
        </w:drawing>
      </w:r>
    </w:p>
    <w:p w14:paraId="5BDE5B2E" w14:textId="0F909973" w:rsidR="00AC01CC" w:rsidRDefault="00A0261C" w:rsidP="00454375">
      <w:pPr>
        <w:spacing w:after="0" w:line="240" w:lineRule="auto"/>
        <w:jc w:val="center"/>
        <w:rPr>
          <w:rFonts w:ascii="Times New Roman" w:hAnsi="Times New Roman" w:cs="Times New Roman"/>
          <w:color w:val="1B1B1B"/>
          <w:sz w:val="28"/>
          <w:szCs w:val="28"/>
          <w:shd w:val="clear" w:color="auto" w:fill="FFFFFF"/>
        </w:rPr>
      </w:pPr>
      <w:r w:rsidRPr="006C0EC7">
        <w:rPr>
          <w:rFonts w:ascii="Times New Roman" w:hAnsi="Times New Roman" w:cs="Times New Roman"/>
          <w:color w:val="1B1B1B"/>
          <w:sz w:val="28"/>
          <w:szCs w:val="28"/>
          <w:shd w:val="clear" w:color="auto" w:fill="FFFFFF"/>
        </w:rPr>
        <w:t xml:space="preserve">Figure </w:t>
      </w:r>
      <w:r w:rsidR="00140396" w:rsidRPr="006C0EC7">
        <w:rPr>
          <w:rFonts w:ascii="Times New Roman" w:hAnsi="Times New Roman" w:cs="Times New Roman"/>
          <w:color w:val="1B1B1B"/>
          <w:sz w:val="28"/>
          <w:szCs w:val="28"/>
          <w:shd w:val="clear" w:color="auto" w:fill="FFFFFF"/>
        </w:rPr>
        <w:t>1</w:t>
      </w:r>
      <w:r w:rsidR="0057429D" w:rsidRPr="006C0EC7">
        <w:rPr>
          <w:rFonts w:ascii="Times New Roman" w:hAnsi="Times New Roman" w:cs="Times New Roman"/>
          <w:color w:val="1B1B1B"/>
          <w:sz w:val="28"/>
          <w:szCs w:val="28"/>
          <w:shd w:val="clear" w:color="auto" w:fill="FFFFFF"/>
        </w:rPr>
        <w:t>7</w:t>
      </w:r>
      <w:r w:rsidRPr="006C0EC7">
        <w:rPr>
          <w:rFonts w:ascii="Times New Roman" w:hAnsi="Times New Roman" w:cs="Times New Roman"/>
          <w:color w:val="1B1B1B"/>
          <w:sz w:val="28"/>
          <w:szCs w:val="28"/>
          <w:shd w:val="clear" w:color="auto" w:fill="FFFFFF"/>
        </w:rPr>
        <w:t xml:space="preserve"> –</w:t>
      </w:r>
      <w:r w:rsidR="001A4B58" w:rsidRPr="006C0EC7">
        <w:rPr>
          <w:rFonts w:ascii="Times New Roman" w:hAnsi="Times New Roman" w:cs="Times New Roman"/>
          <w:color w:val="1B1B1B"/>
          <w:sz w:val="28"/>
          <w:szCs w:val="28"/>
          <w:shd w:val="clear" w:color="auto" w:fill="FFFFFF"/>
        </w:rPr>
        <w:t xml:space="preserve"> Injection</w:t>
      </w:r>
      <w:r w:rsidR="00AC01CC">
        <w:rPr>
          <w:rFonts w:ascii="Times New Roman" w:hAnsi="Times New Roman" w:cs="Times New Roman"/>
          <w:color w:val="1B1B1B"/>
          <w:sz w:val="28"/>
          <w:szCs w:val="28"/>
          <w:shd w:val="clear" w:color="auto" w:fill="FFFFFF"/>
        </w:rPr>
        <w:t xml:space="preserve"> (Left)</w:t>
      </w:r>
      <w:r w:rsidR="001A4B58" w:rsidRPr="006C0EC7">
        <w:rPr>
          <w:rFonts w:ascii="Times New Roman" w:hAnsi="Times New Roman" w:cs="Times New Roman"/>
          <w:color w:val="1B1B1B"/>
          <w:sz w:val="28"/>
          <w:szCs w:val="28"/>
          <w:shd w:val="clear" w:color="auto" w:fill="FFFFFF"/>
        </w:rPr>
        <w:t xml:space="preserve"> or </w:t>
      </w:r>
      <w:r w:rsidR="00A03B46" w:rsidRPr="006C0EC7">
        <w:rPr>
          <w:rFonts w:ascii="Times New Roman" w:hAnsi="Times New Roman" w:cs="Times New Roman"/>
          <w:color w:val="1B1B1B"/>
          <w:sz w:val="28"/>
          <w:szCs w:val="28"/>
          <w:shd w:val="clear" w:color="auto" w:fill="FFFFFF"/>
        </w:rPr>
        <w:t>intranidal</w:t>
      </w:r>
      <w:r w:rsidR="001A4B58" w:rsidRPr="006C0EC7">
        <w:rPr>
          <w:rFonts w:ascii="Times New Roman" w:hAnsi="Times New Roman" w:cs="Times New Roman"/>
          <w:color w:val="1B1B1B"/>
          <w:sz w:val="28"/>
          <w:szCs w:val="28"/>
          <w:shd w:val="clear" w:color="auto" w:fill="FFFFFF"/>
        </w:rPr>
        <w:t xml:space="preserve"> administration</w:t>
      </w:r>
      <w:r w:rsidR="00AC01CC">
        <w:rPr>
          <w:rFonts w:ascii="Times New Roman" w:hAnsi="Times New Roman" w:cs="Times New Roman"/>
          <w:color w:val="1B1B1B"/>
          <w:sz w:val="28"/>
          <w:szCs w:val="28"/>
          <w:shd w:val="clear" w:color="auto" w:fill="FFFFFF"/>
        </w:rPr>
        <w:t xml:space="preserve"> (Right)</w:t>
      </w:r>
      <w:r w:rsidR="001A4B58" w:rsidRPr="006C0EC7">
        <w:rPr>
          <w:rFonts w:ascii="Times New Roman" w:hAnsi="Times New Roman" w:cs="Times New Roman"/>
          <w:color w:val="1B1B1B"/>
          <w:sz w:val="28"/>
          <w:szCs w:val="28"/>
          <w:shd w:val="clear" w:color="auto" w:fill="FFFFFF"/>
        </w:rPr>
        <w:t xml:space="preserve"> of recombinant mouse cytokine IL-33</w:t>
      </w:r>
    </w:p>
    <w:p w14:paraId="12572897" w14:textId="77777777" w:rsidR="00AC01CC" w:rsidRDefault="00AC01CC" w:rsidP="00454375">
      <w:pPr>
        <w:spacing w:after="0" w:line="240" w:lineRule="auto"/>
        <w:jc w:val="center"/>
        <w:rPr>
          <w:rFonts w:ascii="Times New Roman" w:hAnsi="Times New Roman" w:cs="Times New Roman"/>
          <w:color w:val="1B1B1B"/>
          <w:sz w:val="28"/>
          <w:szCs w:val="28"/>
          <w:shd w:val="clear" w:color="auto" w:fill="FFFFFF"/>
        </w:rPr>
      </w:pPr>
    </w:p>
    <w:p w14:paraId="5D11CA36" w14:textId="2D4F1A27" w:rsidR="00A03B46" w:rsidRPr="00C3520C" w:rsidRDefault="00AC01CC" w:rsidP="00454375">
      <w:pPr>
        <w:spacing w:after="0" w:line="240" w:lineRule="auto"/>
        <w:ind w:firstLine="709"/>
        <w:jc w:val="both"/>
        <w:rPr>
          <w:rFonts w:ascii="Times New Roman" w:hAnsi="Times New Roman" w:cs="Times New Roman"/>
          <w:color w:val="1B1B1B"/>
          <w:sz w:val="28"/>
          <w:szCs w:val="28"/>
          <w:shd w:val="clear" w:color="auto" w:fill="FFFFFF"/>
        </w:rPr>
      </w:pPr>
      <w:r>
        <w:rPr>
          <w:rFonts w:ascii="Times New Roman" w:hAnsi="Times New Roman" w:cs="Times New Roman"/>
          <w:color w:val="1B1B1B"/>
          <w:sz w:val="28"/>
          <w:szCs w:val="28"/>
          <w:shd w:val="clear" w:color="auto" w:fill="FFFFFF"/>
        </w:rPr>
        <w:t xml:space="preserve">It </w:t>
      </w:r>
      <w:r w:rsidR="001A4B58" w:rsidRPr="006C0EC7">
        <w:rPr>
          <w:rFonts w:ascii="Times New Roman" w:hAnsi="Times New Roman" w:cs="Times New Roman"/>
          <w:color w:val="1B1B1B"/>
          <w:sz w:val="28"/>
          <w:szCs w:val="28"/>
          <w:shd w:val="clear" w:color="auto" w:fill="FFFFFF"/>
        </w:rPr>
        <w:t>induces an innate type 2 immune response, including ILC2, in a dose-dependent manner. As a control, PBS and 10, 50</w:t>
      </w:r>
      <w:r w:rsidR="00FD2E80">
        <w:rPr>
          <w:rFonts w:ascii="Times New Roman" w:hAnsi="Times New Roman" w:cs="Times New Roman"/>
          <w:color w:val="1B1B1B"/>
          <w:sz w:val="28"/>
          <w:szCs w:val="28"/>
          <w:shd w:val="clear" w:color="auto" w:fill="FFFFFF"/>
        </w:rPr>
        <w:t>, or 100 ng IL-33 were administered for 4 consecutive days, and ILC2 levels in the lungs were analysed by</w:t>
      </w:r>
      <w:r w:rsidR="001A4B58" w:rsidRPr="006C0EC7">
        <w:rPr>
          <w:rFonts w:ascii="Times New Roman" w:hAnsi="Times New Roman" w:cs="Times New Roman"/>
          <w:color w:val="1B1B1B"/>
          <w:sz w:val="28"/>
          <w:szCs w:val="28"/>
          <w:shd w:val="clear" w:color="auto" w:fill="FFFFFF"/>
        </w:rPr>
        <w:t xml:space="preserve"> flow cytometry 24 hours after the last treatment. Two to five mice were used </w:t>
      </w:r>
      <w:r w:rsidR="00FD2E80">
        <w:rPr>
          <w:rFonts w:ascii="Times New Roman" w:hAnsi="Times New Roman" w:cs="Times New Roman"/>
          <w:color w:val="1B1B1B"/>
          <w:sz w:val="28"/>
          <w:szCs w:val="28"/>
          <w:shd w:val="clear" w:color="auto" w:fill="FFFFFF"/>
        </w:rPr>
        <w:t>per group, and a representative result was shown</w:t>
      </w:r>
      <w:r w:rsidR="001A4B58" w:rsidRPr="006C0EC7">
        <w:rPr>
          <w:rFonts w:ascii="Times New Roman" w:hAnsi="Times New Roman" w:cs="Times New Roman"/>
          <w:color w:val="1B1B1B"/>
          <w:sz w:val="28"/>
          <w:szCs w:val="28"/>
          <w:shd w:val="clear" w:color="auto" w:fill="FFFFFF"/>
        </w:rPr>
        <w:t xml:space="preserve"> for each group</w:t>
      </w:r>
      <w:r>
        <w:rPr>
          <w:rFonts w:ascii="Times New Roman" w:hAnsi="Times New Roman" w:cs="Times New Roman"/>
          <w:color w:val="1B1B1B"/>
          <w:sz w:val="28"/>
          <w:szCs w:val="28"/>
          <w:shd w:val="clear" w:color="auto" w:fill="FFFFFF"/>
        </w:rPr>
        <w:t xml:space="preserve">. </w:t>
      </w:r>
      <w:r w:rsidR="00A03B46" w:rsidRPr="00C3520C">
        <w:rPr>
          <w:rFonts w:ascii="Times New Roman" w:hAnsi="Times New Roman" w:cs="Times New Roman"/>
          <w:color w:val="1B1B1B"/>
          <w:sz w:val="28"/>
          <w:szCs w:val="28"/>
          <w:shd w:val="clear" w:color="auto" w:fill="FFFFFF"/>
        </w:rPr>
        <w:t xml:space="preserve">This type of procedure is frequently used in preclinical biomedical research to evaluate pharmacological effects, model viral infections, or assess therapeutic interventions. The careful handling and sterile equipment suggest adherence to animal welfare and biosafety protocols. This experiment demonstrates that </w:t>
      </w:r>
      <w:r w:rsidR="00FD2E80">
        <w:rPr>
          <w:rFonts w:ascii="Times New Roman" w:hAnsi="Times New Roman" w:cs="Times New Roman"/>
          <w:color w:val="1B1B1B"/>
          <w:sz w:val="28"/>
          <w:szCs w:val="28"/>
          <w:shd w:val="clear" w:color="auto" w:fill="FFFFFF"/>
        </w:rPr>
        <w:t>intranodal administration of the recombinant mouse cytokine IL-33 effectively induces a type 2 innate immune response characterised by ILC2 cell activation in a dose-dependent manner</w:t>
      </w:r>
      <w:r w:rsidR="00A03B46" w:rsidRPr="00C3520C">
        <w:rPr>
          <w:rFonts w:ascii="Times New Roman" w:hAnsi="Times New Roman" w:cs="Times New Roman"/>
          <w:color w:val="1B1B1B"/>
          <w:sz w:val="28"/>
          <w:szCs w:val="28"/>
          <w:shd w:val="clear" w:color="auto" w:fill="FFFFFF"/>
        </w:rPr>
        <w:t xml:space="preserve">. To control for nonspecific effects, phosphate-buffered saline (PBS) was administered alongside different doses of IL-33 (10, 50, and 100 ng) for four consecutive days. Lung tissue was collected 24 hours after the final treatment, and ILC2 populations were quantified by flow cytometry. Each treatment group consisted of two to five mice, with representative results presented for </w:t>
      </w:r>
      <w:r w:rsidR="00A03B46" w:rsidRPr="00C3520C">
        <w:rPr>
          <w:rFonts w:ascii="Times New Roman" w:hAnsi="Times New Roman" w:cs="Times New Roman"/>
          <w:color w:val="1B1B1B"/>
          <w:sz w:val="28"/>
          <w:szCs w:val="28"/>
          <w:shd w:val="clear" w:color="auto" w:fill="FFFFFF"/>
        </w:rPr>
        <w:lastRenderedPageBreak/>
        <w:t>comparison. The findings highlight the potency of IL-33 in modulating innate immune responses and underscore the relevance of dosage in shaping the magnitude of ILC2 activation.</w:t>
      </w:r>
    </w:p>
    <w:p w14:paraId="6C4B031D" w14:textId="55383FC1" w:rsidR="00944C35" w:rsidRPr="00C3520C" w:rsidRDefault="00944C35" w:rsidP="00454375">
      <w:pPr>
        <w:spacing w:after="0" w:line="240" w:lineRule="auto"/>
        <w:ind w:firstLine="709"/>
        <w:jc w:val="both"/>
        <w:rPr>
          <w:rFonts w:ascii="Times New Roman" w:hAnsi="Times New Roman" w:cs="Times New Roman"/>
          <w:color w:val="1B1B1B"/>
          <w:sz w:val="28"/>
          <w:szCs w:val="28"/>
          <w:shd w:val="clear" w:color="auto" w:fill="FFFFFF"/>
          <w:lang w:val="en-US"/>
        </w:rPr>
      </w:pPr>
      <w:r w:rsidRPr="00C3520C">
        <w:rPr>
          <w:rFonts w:ascii="Times New Roman" w:hAnsi="Times New Roman" w:cs="Times New Roman"/>
          <w:color w:val="1B1B1B"/>
          <w:sz w:val="28"/>
          <w:szCs w:val="28"/>
          <w:shd w:val="clear" w:color="auto" w:fill="FFFFFF"/>
        </w:rPr>
        <w:t>According to Figure 1</w:t>
      </w:r>
      <w:r w:rsidR="003F390A" w:rsidRPr="00C3520C">
        <w:rPr>
          <w:rFonts w:ascii="Times New Roman" w:hAnsi="Times New Roman" w:cs="Times New Roman"/>
          <w:color w:val="1B1B1B"/>
          <w:sz w:val="28"/>
          <w:szCs w:val="28"/>
          <w:shd w:val="clear" w:color="auto" w:fill="FFFFFF"/>
          <w:lang w:val="en-US"/>
        </w:rPr>
        <w:t>8</w:t>
      </w:r>
      <w:r w:rsidR="00434A6E" w:rsidRPr="00C3520C">
        <w:rPr>
          <w:rFonts w:ascii="Times New Roman" w:hAnsi="Times New Roman" w:cs="Times New Roman"/>
          <w:color w:val="1B1B1B"/>
          <w:sz w:val="28"/>
          <w:szCs w:val="28"/>
          <w:shd w:val="clear" w:color="auto" w:fill="FFFFFF"/>
          <w:lang w:val="en-US"/>
        </w:rPr>
        <w:t xml:space="preserve">, a post-mortem dissection of a laboratory mouse was </w:t>
      </w:r>
      <w:r w:rsidR="00A84DAD" w:rsidRPr="00C3520C">
        <w:rPr>
          <w:rFonts w:ascii="Times New Roman" w:hAnsi="Times New Roman" w:cs="Times New Roman"/>
          <w:color w:val="1B1B1B"/>
          <w:sz w:val="28"/>
          <w:szCs w:val="28"/>
          <w:shd w:val="clear" w:color="auto" w:fill="FFFFFF"/>
        </w:rPr>
        <w:t>performed under controlled experimental conditions. The animal’s thoracic cavity has been opened, and surgical instruments are being used to expose internal tissues and organs, most likely for harvesting samples, such as the lungs, spleen, or other organs, for downstream analyses. This type of procedure is a standard step in biomedical research to examine tissue-level responses, viral loads, immune cell populations, or pathological changes following experimental treatments or infections. The use of sterile instruments and gloved hands reflects adherence to laboratory biosafety and ethical guidelines in handling animal specimens.</w:t>
      </w:r>
    </w:p>
    <w:p w14:paraId="2771C51E" w14:textId="77777777" w:rsidR="00944C35" w:rsidRPr="00C3520C" w:rsidRDefault="00944C35" w:rsidP="00454375">
      <w:pPr>
        <w:spacing w:after="0" w:line="240" w:lineRule="auto"/>
        <w:ind w:firstLine="708"/>
        <w:jc w:val="both"/>
        <w:rPr>
          <w:rFonts w:ascii="Times New Roman" w:hAnsi="Times New Roman" w:cs="Times New Roman"/>
          <w:color w:val="1B1B1B"/>
          <w:sz w:val="28"/>
          <w:szCs w:val="28"/>
          <w:shd w:val="clear" w:color="auto" w:fill="FFFFFF"/>
        </w:rPr>
      </w:pPr>
    </w:p>
    <w:p w14:paraId="583A8E5D" w14:textId="135551BA" w:rsidR="00384173" w:rsidRPr="00C3520C" w:rsidRDefault="00A051DD" w:rsidP="00C3520C">
      <w:pPr>
        <w:spacing w:line="240" w:lineRule="auto"/>
        <w:jc w:val="center"/>
        <w:rPr>
          <w:rFonts w:ascii="Times New Roman" w:hAnsi="Times New Roman" w:cs="Times New Roman"/>
          <w:color w:val="1B1B1B"/>
          <w:sz w:val="28"/>
          <w:szCs w:val="28"/>
          <w:shd w:val="clear" w:color="auto" w:fill="FFFFFF"/>
        </w:rPr>
      </w:pPr>
      <w:r w:rsidRPr="00C3520C">
        <w:rPr>
          <w:rFonts w:ascii="Times New Roman" w:hAnsi="Times New Roman" w:cs="Times New Roman"/>
          <w:noProof/>
          <w:sz w:val="28"/>
          <w:szCs w:val="28"/>
        </w:rPr>
        <w:drawing>
          <wp:inline distT="0" distB="0" distL="0" distR="0" wp14:anchorId="242A29B9" wp14:editId="728429EF">
            <wp:extent cx="2867025" cy="3619500"/>
            <wp:effectExtent l="0" t="0" r="9525" b="0"/>
            <wp:docPr id="96284940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1949" b="28457"/>
                    <a:stretch/>
                  </pic:blipFill>
                  <pic:spPr bwMode="auto">
                    <a:xfrm>
                      <a:off x="0" y="0"/>
                      <a:ext cx="2915372" cy="3680536"/>
                    </a:xfrm>
                    <a:prstGeom prst="rect">
                      <a:avLst/>
                    </a:prstGeom>
                    <a:noFill/>
                    <a:ln>
                      <a:noFill/>
                    </a:ln>
                    <a:extLst>
                      <a:ext uri="{53640926-AAD7-44D8-BBD7-CCE9431645EC}">
                        <a14:shadowObscured xmlns:a14="http://schemas.microsoft.com/office/drawing/2010/main"/>
                      </a:ext>
                    </a:extLst>
                  </pic:spPr>
                </pic:pic>
              </a:graphicData>
            </a:graphic>
          </wp:inline>
        </w:drawing>
      </w:r>
    </w:p>
    <w:p w14:paraId="06B2EF63" w14:textId="1996EED4" w:rsidR="00C3520C" w:rsidRPr="006C0EC7" w:rsidRDefault="0006031E" w:rsidP="00AC01CC">
      <w:pPr>
        <w:spacing w:after="0" w:line="240" w:lineRule="auto"/>
        <w:jc w:val="center"/>
        <w:rPr>
          <w:rFonts w:ascii="Times New Roman" w:hAnsi="Times New Roman" w:cs="Times New Roman"/>
          <w:sz w:val="28"/>
          <w:szCs w:val="28"/>
          <w:lang w:val="en-US"/>
        </w:rPr>
      </w:pPr>
      <w:r w:rsidRPr="00C3520C">
        <w:rPr>
          <w:rFonts w:ascii="Times New Roman" w:hAnsi="Times New Roman" w:cs="Times New Roman"/>
          <w:color w:val="1B1B1B"/>
          <w:sz w:val="28"/>
          <w:szCs w:val="28"/>
          <w:shd w:val="clear" w:color="auto" w:fill="FFFFFF"/>
        </w:rPr>
        <w:t>Figure 1</w:t>
      </w:r>
      <w:r w:rsidR="00DE5D32" w:rsidRPr="00C3520C">
        <w:rPr>
          <w:rFonts w:ascii="Times New Roman" w:hAnsi="Times New Roman" w:cs="Times New Roman"/>
          <w:color w:val="1B1B1B"/>
          <w:sz w:val="28"/>
          <w:szCs w:val="28"/>
          <w:shd w:val="clear" w:color="auto" w:fill="FFFFFF"/>
        </w:rPr>
        <w:t>8</w:t>
      </w:r>
      <w:r w:rsidRPr="00C3520C">
        <w:rPr>
          <w:rFonts w:ascii="Times New Roman" w:hAnsi="Times New Roman" w:cs="Times New Roman"/>
          <w:color w:val="1B1B1B"/>
          <w:sz w:val="28"/>
          <w:szCs w:val="28"/>
          <w:shd w:val="clear" w:color="auto" w:fill="FFFFFF"/>
        </w:rPr>
        <w:t xml:space="preserve"> – </w:t>
      </w:r>
      <w:r w:rsidR="00A051DD" w:rsidRPr="00C3520C">
        <w:rPr>
          <w:rFonts w:ascii="Times New Roman" w:hAnsi="Times New Roman" w:cs="Times New Roman"/>
          <w:sz w:val="28"/>
          <w:szCs w:val="28"/>
        </w:rPr>
        <w:t>Subject</w:t>
      </w:r>
      <w:r w:rsidR="006C0EC7">
        <w:rPr>
          <w:rFonts w:ascii="Times New Roman" w:hAnsi="Times New Roman" w:cs="Times New Roman"/>
          <w:sz w:val="28"/>
          <w:szCs w:val="28"/>
        </w:rPr>
        <w:t xml:space="preserve">ing </w:t>
      </w:r>
      <w:r w:rsidR="00A051DD" w:rsidRPr="00C3520C">
        <w:rPr>
          <w:rFonts w:ascii="Times New Roman" w:hAnsi="Times New Roman" w:cs="Times New Roman"/>
          <w:sz w:val="28"/>
          <w:szCs w:val="28"/>
        </w:rPr>
        <w:t xml:space="preserve">the mouse to euthanasia, </w:t>
      </w:r>
      <w:r w:rsidR="006C0EC7">
        <w:rPr>
          <w:rFonts w:ascii="Times New Roman" w:hAnsi="Times New Roman" w:cs="Times New Roman"/>
          <w:sz w:val="28"/>
          <w:szCs w:val="28"/>
        </w:rPr>
        <w:t>opening</w:t>
      </w:r>
      <w:r w:rsidR="00A051DD" w:rsidRPr="00C3520C">
        <w:rPr>
          <w:rFonts w:ascii="Times New Roman" w:hAnsi="Times New Roman" w:cs="Times New Roman"/>
          <w:sz w:val="28"/>
          <w:szCs w:val="28"/>
        </w:rPr>
        <w:t xml:space="preserve"> the abdominal cavity</w:t>
      </w:r>
      <w:r w:rsidR="006C0EC7">
        <w:rPr>
          <w:rFonts w:ascii="Times New Roman" w:hAnsi="Times New Roman" w:cs="Times New Roman"/>
          <w:sz w:val="28"/>
          <w:szCs w:val="28"/>
        </w:rPr>
        <w:t>,</w:t>
      </w:r>
      <w:r w:rsidR="00A051DD" w:rsidRPr="00C3520C">
        <w:rPr>
          <w:rFonts w:ascii="Times New Roman" w:hAnsi="Times New Roman" w:cs="Times New Roman"/>
          <w:sz w:val="28"/>
          <w:szCs w:val="28"/>
        </w:rPr>
        <w:t xml:space="preserve"> and carefully </w:t>
      </w:r>
      <w:r w:rsidR="006C0EC7">
        <w:rPr>
          <w:rFonts w:ascii="Times New Roman" w:hAnsi="Times New Roman" w:cs="Times New Roman"/>
          <w:sz w:val="28"/>
          <w:szCs w:val="28"/>
        </w:rPr>
        <w:t>separating</w:t>
      </w:r>
      <w:r w:rsidR="00A051DD" w:rsidRPr="00C3520C">
        <w:rPr>
          <w:rFonts w:ascii="Times New Roman" w:hAnsi="Times New Roman" w:cs="Times New Roman"/>
          <w:sz w:val="28"/>
          <w:szCs w:val="28"/>
        </w:rPr>
        <w:t xml:space="preserve"> the chest membrane from the rib cage </w:t>
      </w:r>
    </w:p>
    <w:p w14:paraId="363D53EE" w14:textId="77777777" w:rsidR="00C3520C" w:rsidRPr="006C0EC7" w:rsidRDefault="00C3520C" w:rsidP="00AC01CC">
      <w:pPr>
        <w:spacing w:after="0" w:line="240" w:lineRule="auto"/>
        <w:jc w:val="center"/>
        <w:rPr>
          <w:rFonts w:ascii="Times New Roman" w:hAnsi="Times New Roman" w:cs="Times New Roman"/>
          <w:sz w:val="28"/>
          <w:szCs w:val="28"/>
          <w:lang w:val="en-US"/>
        </w:rPr>
      </w:pPr>
    </w:p>
    <w:p w14:paraId="3454ADC6" w14:textId="000005BB" w:rsidR="006F20E2" w:rsidRPr="00C3520C" w:rsidRDefault="00A051DD" w:rsidP="00AC01CC">
      <w:pPr>
        <w:spacing w:after="0" w:line="240" w:lineRule="auto"/>
        <w:ind w:firstLine="709"/>
        <w:jc w:val="both"/>
        <w:rPr>
          <w:rFonts w:ascii="Times New Roman" w:hAnsi="Times New Roman" w:cs="Times New Roman"/>
          <w:sz w:val="28"/>
          <w:szCs w:val="28"/>
          <w:lang w:val="en-US"/>
        </w:rPr>
      </w:pPr>
      <w:r w:rsidRPr="00C3520C">
        <w:rPr>
          <w:rFonts w:ascii="Times New Roman" w:hAnsi="Times New Roman" w:cs="Times New Roman"/>
          <w:sz w:val="28"/>
          <w:szCs w:val="28"/>
        </w:rPr>
        <w:t>Cut the rib cage from the left and right sides</w:t>
      </w:r>
      <w:r w:rsidR="00EE317F" w:rsidRPr="00C3520C">
        <w:rPr>
          <w:rFonts w:ascii="Times New Roman" w:hAnsi="Times New Roman" w:cs="Times New Roman"/>
          <w:sz w:val="28"/>
          <w:szCs w:val="28"/>
        </w:rPr>
        <w:t>,</w:t>
      </w:r>
      <w:r w:rsidRPr="00C3520C">
        <w:rPr>
          <w:rFonts w:ascii="Times New Roman" w:hAnsi="Times New Roman" w:cs="Times New Roman"/>
          <w:sz w:val="28"/>
          <w:szCs w:val="28"/>
        </w:rPr>
        <w:t xml:space="preserve"> and either cut the rib cage from the top or cut the rib cage in half. Cut through the blood vessels under the lungs. Perform pulmonary perfusion by inserting 1 </w:t>
      </w:r>
      <w:r w:rsidR="00EE317F" w:rsidRPr="00C3520C">
        <w:rPr>
          <w:rFonts w:ascii="Times New Roman" w:hAnsi="Times New Roman" w:cs="Times New Roman"/>
          <w:sz w:val="28"/>
          <w:szCs w:val="28"/>
        </w:rPr>
        <w:t xml:space="preserve">mL of cold PBS ice into the right ventricle using a 10 mL syringe and a 23-g </w:t>
      </w:r>
      <w:r w:rsidR="000228C0">
        <w:rPr>
          <w:rFonts w:ascii="Times New Roman" w:hAnsi="Times New Roman" w:cs="Times New Roman"/>
          <w:sz w:val="28"/>
          <w:szCs w:val="28"/>
        </w:rPr>
        <w:t>needle. After</w:t>
      </w:r>
      <w:r w:rsidRPr="00C3520C">
        <w:rPr>
          <w:rFonts w:ascii="Times New Roman" w:hAnsi="Times New Roman" w:cs="Times New Roman"/>
          <w:sz w:val="28"/>
          <w:szCs w:val="28"/>
        </w:rPr>
        <w:t xml:space="preserve"> perfusion, the lungs should turn white. Remove the heart and thymus, cut out the lungs and place them in 2 ml of washing solution. Remove the trachea, median lymph nodes and all </w:t>
      </w:r>
      <w:r w:rsidR="00EE317F" w:rsidRPr="00C3520C">
        <w:rPr>
          <w:rFonts w:ascii="Times New Roman" w:hAnsi="Times New Roman" w:cs="Times New Roman"/>
          <w:sz w:val="28"/>
          <w:szCs w:val="28"/>
        </w:rPr>
        <w:t>additional tissues</w:t>
      </w:r>
      <w:r w:rsidRPr="00C3520C">
        <w:rPr>
          <w:rFonts w:ascii="Times New Roman" w:hAnsi="Times New Roman" w:cs="Times New Roman"/>
          <w:sz w:val="28"/>
          <w:szCs w:val="28"/>
        </w:rPr>
        <w:t xml:space="preserve"> taken so that only the lungs (five lobes) are left.</w:t>
      </w:r>
    </w:p>
    <w:p w14:paraId="1ADA858A" w14:textId="3015B806" w:rsidR="0006031E" w:rsidRPr="00C3520C" w:rsidRDefault="0006031E" w:rsidP="00C3520C">
      <w:pPr>
        <w:spacing w:after="0" w:line="240" w:lineRule="auto"/>
        <w:ind w:firstLine="709"/>
        <w:jc w:val="both"/>
        <w:rPr>
          <w:rFonts w:ascii="Times New Roman" w:hAnsi="Times New Roman" w:cs="Times New Roman"/>
          <w:i/>
          <w:iCs/>
          <w:sz w:val="28"/>
          <w:szCs w:val="28"/>
          <w:u w:val="single"/>
        </w:rPr>
      </w:pPr>
      <w:r w:rsidRPr="00C3520C">
        <w:rPr>
          <w:rFonts w:ascii="Times New Roman" w:hAnsi="Times New Roman" w:cs="Times New Roman"/>
          <w:i/>
          <w:iCs/>
          <w:sz w:val="28"/>
          <w:szCs w:val="28"/>
          <w:u w:val="single"/>
        </w:rPr>
        <w:t xml:space="preserve">Murine lung </w:t>
      </w:r>
      <w:r w:rsidR="00356B14" w:rsidRPr="00C3520C">
        <w:rPr>
          <w:rFonts w:ascii="Times New Roman" w:hAnsi="Times New Roman" w:cs="Times New Roman"/>
          <w:i/>
          <w:iCs/>
          <w:sz w:val="28"/>
          <w:szCs w:val="28"/>
          <w:u w:val="single"/>
        </w:rPr>
        <w:t xml:space="preserve">proceeding </w:t>
      </w:r>
    </w:p>
    <w:p w14:paraId="0175C217" w14:textId="77777777" w:rsidR="006C0EC7" w:rsidRPr="00503519" w:rsidRDefault="002D65B1" w:rsidP="00C3520C">
      <w:pPr>
        <w:spacing w:after="0" w:line="240" w:lineRule="auto"/>
        <w:rPr>
          <w:rFonts w:ascii="Times New Roman" w:hAnsi="Times New Roman" w:cs="Times New Roman"/>
          <w:sz w:val="28"/>
          <w:szCs w:val="28"/>
          <w:lang w:val="en-US"/>
        </w:rPr>
      </w:pPr>
      <w:r w:rsidRPr="00C3520C">
        <w:rPr>
          <w:rFonts w:ascii="Times New Roman" w:hAnsi="Times New Roman" w:cs="Times New Roman"/>
          <w:sz w:val="28"/>
          <w:szCs w:val="28"/>
        </w:rPr>
        <w:t>Dissect lungs intact (trachea → lobes).</w:t>
      </w:r>
      <w:r w:rsidR="00C3520C">
        <w:rPr>
          <w:rFonts w:ascii="Times New Roman" w:hAnsi="Times New Roman" w:cs="Times New Roman"/>
          <w:sz w:val="28"/>
          <w:szCs w:val="28"/>
        </w:rPr>
        <w:t xml:space="preserve"> </w:t>
      </w:r>
    </w:p>
    <w:p w14:paraId="2C2BE7DE" w14:textId="67C916B7" w:rsidR="00454375" w:rsidRPr="00C3520C" w:rsidRDefault="002D65B1" w:rsidP="00C3520C">
      <w:pPr>
        <w:spacing w:after="0" w:line="240" w:lineRule="auto"/>
        <w:rPr>
          <w:rFonts w:ascii="Times New Roman" w:hAnsi="Times New Roman" w:cs="Times New Roman"/>
          <w:sz w:val="28"/>
          <w:szCs w:val="28"/>
        </w:rPr>
      </w:pPr>
      <w:r w:rsidRPr="00C3520C">
        <w:rPr>
          <w:rFonts w:ascii="Times New Roman" w:hAnsi="Times New Roman" w:cs="Times New Roman"/>
          <w:sz w:val="28"/>
          <w:szCs w:val="28"/>
        </w:rPr>
        <w:t>Place in 1 mL ice-cold PBS/FBS buffer</w:t>
      </w:r>
      <w:r w:rsidR="003F5C22" w:rsidRPr="00C3520C">
        <w:rPr>
          <w:rFonts w:ascii="Times New Roman" w:hAnsi="Times New Roman" w:cs="Times New Roman"/>
          <w:sz w:val="28"/>
          <w:szCs w:val="28"/>
          <w:lang w:val="en-US"/>
        </w:rPr>
        <w:t>, as</w:t>
      </w:r>
      <w:r w:rsidR="00855D4E" w:rsidRPr="00C3520C">
        <w:rPr>
          <w:rFonts w:ascii="Times New Roman" w:hAnsi="Times New Roman" w:cs="Times New Roman"/>
          <w:sz w:val="28"/>
          <w:szCs w:val="28"/>
          <w:lang w:val="en-US"/>
        </w:rPr>
        <w:t xml:space="preserve"> in Figure 19</w:t>
      </w:r>
      <w:r w:rsidRPr="00C3520C">
        <w:rPr>
          <w:rFonts w:ascii="Times New Roman" w:hAnsi="Times New Roman" w:cs="Times New Roman"/>
          <w:sz w:val="28"/>
          <w:szCs w:val="28"/>
        </w:rPr>
        <w:t>.</w:t>
      </w:r>
    </w:p>
    <w:p w14:paraId="215F3C9B" w14:textId="563A4732" w:rsidR="002D65B1" w:rsidRPr="00C3520C" w:rsidRDefault="002D65B1" w:rsidP="00C3520C">
      <w:pPr>
        <w:spacing w:after="0" w:line="240" w:lineRule="auto"/>
        <w:ind w:right="1134" w:firstLine="708"/>
        <w:rPr>
          <w:rFonts w:ascii="Times New Roman" w:hAnsi="Times New Roman" w:cs="Times New Roman"/>
          <w:i/>
          <w:iCs/>
          <w:sz w:val="28"/>
          <w:szCs w:val="28"/>
          <w:u w:val="single"/>
        </w:rPr>
      </w:pPr>
      <w:r w:rsidRPr="00C3520C">
        <w:rPr>
          <w:rFonts w:ascii="Times New Roman" w:hAnsi="Times New Roman" w:cs="Times New Roman"/>
          <w:i/>
          <w:iCs/>
          <w:sz w:val="28"/>
          <w:szCs w:val="28"/>
          <w:u w:val="single"/>
        </w:rPr>
        <w:lastRenderedPageBreak/>
        <w:t>Mincing:</w:t>
      </w:r>
    </w:p>
    <w:p w14:paraId="14163E95" w14:textId="4D99EC94" w:rsidR="002D65B1" w:rsidRPr="00C3520C" w:rsidRDefault="00944C35" w:rsidP="00C3520C">
      <w:pPr>
        <w:spacing w:after="0" w:line="240" w:lineRule="auto"/>
        <w:ind w:right="1134" w:firstLine="708"/>
        <w:jc w:val="both"/>
        <w:rPr>
          <w:rFonts w:ascii="Times New Roman" w:hAnsi="Times New Roman" w:cs="Times New Roman"/>
          <w:sz w:val="28"/>
          <w:szCs w:val="28"/>
        </w:rPr>
      </w:pPr>
      <w:r w:rsidRPr="00C3520C">
        <w:rPr>
          <w:rFonts w:ascii="Times New Roman" w:hAnsi="Times New Roman" w:cs="Times New Roman"/>
          <w:sz w:val="28"/>
          <w:szCs w:val="28"/>
        </w:rPr>
        <w:t>According to Figure 19, chop</w:t>
      </w:r>
      <w:r w:rsidR="002D65B1" w:rsidRPr="00C3520C">
        <w:rPr>
          <w:rFonts w:ascii="Times New Roman" w:hAnsi="Times New Roman" w:cs="Times New Roman"/>
          <w:sz w:val="28"/>
          <w:szCs w:val="28"/>
        </w:rPr>
        <w:t xml:space="preserve"> lobes into &lt;2 mm³ pieces with scissors</w:t>
      </w:r>
      <w:r w:rsidRPr="00C3520C">
        <w:rPr>
          <w:rFonts w:ascii="Times New Roman" w:hAnsi="Times New Roman" w:cs="Times New Roman"/>
          <w:sz w:val="28"/>
          <w:szCs w:val="28"/>
        </w:rPr>
        <w:t xml:space="preserve"> and transfer</w:t>
      </w:r>
      <w:r w:rsidR="002D65B1" w:rsidRPr="00C3520C">
        <w:rPr>
          <w:rFonts w:ascii="Times New Roman" w:hAnsi="Times New Roman" w:cs="Times New Roman"/>
          <w:sz w:val="28"/>
          <w:szCs w:val="28"/>
        </w:rPr>
        <w:t xml:space="preserve"> </w:t>
      </w:r>
      <w:r w:rsidR="00A03B46" w:rsidRPr="00C3520C">
        <w:rPr>
          <w:rFonts w:ascii="Times New Roman" w:hAnsi="Times New Roman" w:cs="Times New Roman"/>
          <w:sz w:val="28"/>
          <w:szCs w:val="28"/>
        </w:rPr>
        <w:t xml:space="preserve">the tissue to the GentleMACS C-tube containing 5 mL of </w:t>
      </w:r>
      <w:r w:rsidR="002D65B1" w:rsidRPr="00C3520C">
        <w:rPr>
          <w:rFonts w:ascii="Times New Roman" w:hAnsi="Times New Roman" w:cs="Times New Roman"/>
          <w:sz w:val="28"/>
          <w:szCs w:val="28"/>
        </w:rPr>
        <w:t>digestion buffer.</w:t>
      </w:r>
    </w:p>
    <w:p w14:paraId="03E0FE01" w14:textId="2F655960" w:rsidR="0006031E" w:rsidRPr="00C3520C" w:rsidRDefault="001D4147" w:rsidP="00454DD5">
      <w:pPr>
        <w:spacing w:after="0" w:line="240" w:lineRule="auto"/>
        <w:ind w:firstLine="709"/>
        <w:jc w:val="both"/>
        <w:rPr>
          <w:rFonts w:ascii="Times New Roman" w:hAnsi="Times New Roman" w:cs="Times New Roman"/>
          <w:color w:val="1B1B1B"/>
          <w:sz w:val="28"/>
          <w:szCs w:val="28"/>
          <w:shd w:val="clear" w:color="auto" w:fill="FFFFFF"/>
        </w:rPr>
      </w:pPr>
      <w:r w:rsidRPr="00C3520C">
        <w:rPr>
          <w:rFonts w:ascii="Times New Roman" w:hAnsi="Times New Roman" w:cs="Times New Roman"/>
          <w:color w:val="1B1B1B"/>
          <w:sz w:val="28"/>
          <w:szCs w:val="28"/>
          <w:shd w:val="clear" w:color="auto" w:fill="FFFFFF"/>
        </w:rPr>
        <w:t xml:space="preserve">Enter various digestible tissues into a 5 ml syringe (18 g 1½ needles) and distribute the suspension by re-suction to obtain a single-celled suspension. Filter </w:t>
      </w:r>
      <w:r w:rsidR="00FD2E80">
        <w:rPr>
          <w:rFonts w:ascii="Times New Roman" w:hAnsi="Times New Roman" w:cs="Times New Roman"/>
          <w:color w:val="1B1B1B"/>
          <w:sz w:val="28"/>
          <w:szCs w:val="28"/>
          <w:shd w:val="clear" w:color="auto" w:fill="FFFFFF"/>
        </w:rPr>
        <w:t xml:space="preserve">the cell suspension through a 70 µm </w:t>
      </w:r>
      <w:r w:rsidRPr="00C3520C">
        <w:rPr>
          <w:rFonts w:ascii="Times New Roman" w:hAnsi="Times New Roman" w:cs="Times New Roman"/>
          <w:color w:val="1B1B1B"/>
          <w:sz w:val="28"/>
          <w:szCs w:val="28"/>
          <w:shd w:val="clear" w:color="auto" w:fill="FFFFFF"/>
        </w:rPr>
        <w:t xml:space="preserve">cell sieve. Rinse </w:t>
      </w:r>
      <w:r w:rsidR="00FD2E80">
        <w:rPr>
          <w:rFonts w:ascii="Times New Roman" w:hAnsi="Times New Roman" w:cs="Times New Roman"/>
          <w:color w:val="1B1B1B"/>
          <w:sz w:val="28"/>
          <w:szCs w:val="28"/>
          <w:shd w:val="clear" w:color="auto" w:fill="FFFFFF"/>
        </w:rPr>
        <w:t>the Petri dish with 1 ml of washing solution, then</w:t>
      </w:r>
      <w:r w:rsidRPr="00C3520C">
        <w:rPr>
          <w:rFonts w:ascii="Times New Roman" w:hAnsi="Times New Roman" w:cs="Times New Roman"/>
          <w:color w:val="1B1B1B"/>
          <w:sz w:val="28"/>
          <w:szCs w:val="28"/>
          <w:shd w:val="clear" w:color="auto" w:fill="FFFFFF"/>
        </w:rPr>
        <w:t xml:space="preserve"> pass it through a cell sieve.  If there are still small pieces of fabric left, push them through the cell sieve with the syringe plunger. Rinse the cell filter with </w:t>
      </w:r>
      <w:r w:rsidR="00892322" w:rsidRPr="00C3520C">
        <w:rPr>
          <w:rFonts w:ascii="Times New Roman" w:hAnsi="Times New Roman" w:cs="Times New Roman"/>
          <w:color w:val="1B1B1B"/>
          <w:sz w:val="28"/>
          <w:szCs w:val="28"/>
          <w:shd w:val="clear" w:color="auto" w:fill="FFFFFF"/>
        </w:rPr>
        <w:t>an additional 5 ml of rinsing buffer</w:t>
      </w:r>
      <w:r w:rsidRPr="00C3520C">
        <w:rPr>
          <w:rFonts w:ascii="Times New Roman" w:hAnsi="Times New Roman" w:cs="Times New Roman"/>
          <w:color w:val="1B1B1B"/>
          <w:sz w:val="28"/>
          <w:szCs w:val="28"/>
          <w:shd w:val="clear" w:color="auto" w:fill="FFFFFF"/>
        </w:rPr>
        <w:t>. Centrifuge the cell suspension at 450 g for 5 minutes</w:t>
      </w:r>
      <w:r w:rsidR="00FD2E80">
        <w:rPr>
          <w:rFonts w:ascii="Times New Roman" w:hAnsi="Times New Roman" w:cs="Times New Roman"/>
          <w:color w:val="1B1B1B"/>
          <w:sz w:val="28"/>
          <w:szCs w:val="28"/>
          <w:shd w:val="clear" w:color="auto" w:fill="FFFFFF"/>
        </w:rPr>
        <w:t>, then remove the supernatant</w:t>
      </w:r>
      <w:r w:rsidRPr="00C3520C">
        <w:rPr>
          <w:rFonts w:ascii="Times New Roman" w:hAnsi="Times New Roman" w:cs="Times New Roman"/>
          <w:color w:val="1B1B1B"/>
          <w:sz w:val="28"/>
          <w:szCs w:val="28"/>
          <w:shd w:val="clear" w:color="auto" w:fill="FFFFFF"/>
        </w:rPr>
        <w:t>.  Resuspend the cells in 10 ml of FACS buffer. Centrifuge the cell suspension at 450 g for 5 minutes</w:t>
      </w:r>
      <w:r w:rsidR="00FD2E80">
        <w:rPr>
          <w:rFonts w:ascii="Times New Roman" w:hAnsi="Times New Roman" w:cs="Times New Roman"/>
          <w:color w:val="1B1B1B"/>
          <w:sz w:val="28"/>
          <w:szCs w:val="28"/>
          <w:shd w:val="clear" w:color="auto" w:fill="FFFFFF"/>
        </w:rPr>
        <w:t>, then remove the supernatant</w:t>
      </w:r>
      <w:r w:rsidRPr="00C3520C">
        <w:rPr>
          <w:rFonts w:ascii="Times New Roman" w:hAnsi="Times New Roman" w:cs="Times New Roman"/>
          <w:color w:val="1B1B1B"/>
          <w:sz w:val="28"/>
          <w:szCs w:val="28"/>
          <w:shd w:val="clear" w:color="auto" w:fill="FFFFFF"/>
        </w:rPr>
        <w:t xml:space="preserve">. Perform red blood cell lysis (RBC) by adding </w:t>
      </w:r>
      <w:r w:rsidR="00FD2E80">
        <w:rPr>
          <w:rFonts w:ascii="Times New Roman" w:hAnsi="Times New Roman" w:cs="Times New Roman"/>
          <w:color w:val="1B1B1B"/>
          <w:sz w:val="28"/>
          <w:szCs w:val="28"/>
          <w:shd w:val="clear" w:color="auto" w:fill="FFFFFF"/>
        </w:rPr>
        <w:t>the lysis buffer</w:t>
      </w:r>
      <w:r w:rsidRPr="00C3520C">
        <w:rPr>
          <w:rFonts w:ascii="Times New Roman" w:hAnsi="Times New Roman" w:cs="Times New Roman"/>
          <w:color w:val="1B1B1B"/>
          <w:sz w:val="28"/>
          <w:szCs w:val="28"/>
          <w:shd w:val="clear" w:color="auto" w:fill="FFFFFF"/>
        </w:rPr>
        <w:t xml:space="preserve"> </w:t>
      </w:r>
      <w:r w:rsidR="00197DBD">
        <w:rPr>
          <w:rFonts w:ascii="Times New Roman" w:hAnsi="Times New Roman" w:cs="Times New Roman"/>
          <w:color w:val="1B1B1B"/>
          <w:sz w:val="28"/>
          <w:szCs w:val="28"/>
          <w:shd w:val="clear" w:color="auto" w:fill="FFFFFF"/>
        </w:rPr>
        <w:t>as recommended by the manufacturer</w:t>
      </w:r>
      <w:r w:rsidRPr="00C3520C">
        <w:rPr>
          <w:rFonts w:ascii="Times New Roman" w:hAnsi="Times New Roman" w:cs="Times New Roman"/>
          <w:color w:val="1B1B1B"/>
          <w:sz w:val="28"/>
          <w:szCs w:val="28"/>
          <w:shd w:val="clear" w:color="auto" w:fill="FFFFFF"/>
        </w:rPr>
        <w:t>. Rinse the cell suspension once with FACS buffer to remove all traces of the lysis buffer. Continue the blocking and staining of the cell suspension for flow cytometry analysis.</w:t>
      </w:r>
    </w:p>
    <w:p w14:paraId="27445090" w14:textId="77777777" w:rsidR="00FC013E" w:rsidRPr="006531C9" w:rsidRDefault="00FC013E" w:rsidP="00454DD5">
      <w:pPr>
        <w:spacing w:after="0" w:line="360" w:lineRule="auto"/>
        <w:ind w:firstLine="709"/>
        <w:jc w:val="both"/>
        <w:rPr>
          <w:rFonts w:ascii="Times New Roman" w:hAnsi="Times New Roman" w:cs="Times New Roman"/>
          <w:color w:val="1B1B1B"/>
          <w:sz w:val="24"/>
          <w:szCs w:val="24"/>
          <w:shd w:val="clear" w:color="auto" w:fill="FFFFFF"/>
        </w:rPr>
      </w:pPr>
    </w:p>
    <w:p w14:paraId="4C41CD22" w14:textId="77777777" w:rsidR="0006031E" w:rsidRPr="006531C9" w:rsidRDefault="0006031E" w:rsidP="00C05D42">
      <w:pPr>
        <w:spacing w:after="0" w:line="360" w:lineRule="auto"/>
        <w:ind w:right="1134"/>
        <w:jc w:val="center"/>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13676E91" wp14:editId="0D9C7F3B">
            <wp:extent cx="2072042" cy="2534079"/>
            <wp:effectExtent l="0" t="0" r="4445" b="0"/>
            <wp:docPr id="1200755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3201" t="25136" r="6245" b="36501"/>
                    <a:stretch/>
                  </pic:blipFill>
                  <pic:spPr bwMode="auto">
                    <a:xfrm>
                      <a:off x="0" y="0"/>
                      <a:ext cx="2080429" cy="2544337"/>
                    </a:xfrm>
                    <a:prstGeom prst="rect">
                      <a:avLst/>
                    </a:prstGeom>
                    <a:noFill/>
                    <a:ln>
                      <a:noFill/>
                    </a:ln>
                    <a:extLst>
                      <a:ext uri="{53640926-AAD7-44D8-BBD7-CCE9431645EC}">
                        <a14:shadowObscured xmlns:a14="http://schemas.microsoft.com/office/drawing/2010/main"/>
                      </a:ext>
                    </a:extLst>
                  </pic:spPr>
                </pic:pic>
              </a:graphicData>
            </a:graphic>
          </wp:inline>
        </w:drawing>
      </w:r>
      <w:r w:rsidRPr="006531C9">
        <w:rPr>
          <w:rFonts w:ascii="Times New Roman" w:hAnsi="Times New Roman" w:cs="Times New Roman"/>
          <w:noProof/>
          <w:sz w:val="24"/>
          <w:szCs w:val="24"/>
        </w:rPr>
        <w:drawing>
          <wp:inline distT="0" distB="0" distL="0" distR="0" wp14:anchorId="3D1A806D" wp14:editId="6957C185">
            <wp:extent cx="3200400" cy="2529205"/>
            <wp:effectExtent l="0" t="0" r="0" b="4445"/>
            <wp:docPr id="7604917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26144" r="4152" b="44330"/>
                    <a:stretch/>
                  </pic:blipFill>
                  <pic:spPr bwMode="auto">
                    <a:xfrm>
                      <a:off x="0" y="0"/>
                      <a:ext cx="3225450" cy="2549001"/>
                    </a:xfrm>
                    <a:prstGeom prst="rect">
                      <a:avLst/>
                    </a:prstGeom>
                    <a:noFill/>
                    <a:ln>
                      <a:noFill/>
                    </a:ln>
                    <a:extLst>
                      <a:ext uri="{53640926-AAD7-44D8-BBD7-CCE9431645EC}">
                        <a14:shadowObscured xmlns:a14="http://schemas.microsoft.com/office/drawing/2010/main"/>
                      </a:ext>
                    </a:extLst>
                  </pic:spPr>
                </pic:pic>
              </a:graphicData>
            </a:graphic>
          </wp:inline>
        </w:drawing>
      </w:r>
    </w:p>
    <w:p w14:paraId="769AE59A" w14:textId="563D59A9" w:rsidR="006C0EC7" w:rsidRDefault="0006031E" w:rsidP="00454DD5">
      <w:pPr>
        <w:spacing w:after="0" w:line="240" w:lineRule="auto"/>
        <w:ind w:right="1134"/>
        <w:jc w:val="center"/>
        <w:rPr>
          <w:rFonts w:ascii="Times New Roman" w:hAnsi="Times New Roman" w:cs="Times New Roman"/>
          <w:sz w:val="28"/>
          <w:szCs w:val="28"/>
        </w:rPr>
      </w:pPr>
      <w:r w:rsidRPr="006C0EC7">
        <w:rPr>
          <w:rFonts w:ascii="Times New Roman" w:hAnsi="Times New Roman" w:cs="Times New Roman"/>
          <w:color w:val="1B1B1B"/>
          <w:sz w:val="28"/>
          <w:szCs w:val="28"/>
          <w:shd w:val="clear" w:color="auto" w:fill="FFFFFF"/>
        </w:rPr>
        <w:t xml:space="preserve">Figure </w:t>
      </w:r>
      <w:r w:rsidR="004E23C5" w:rsidRPr="006C0EC7">
        <w:rPr>
          <w:rFonts w:ascii="Times New Roman" w:hAnsi="Times New Roman" w:cs="Times New Roman"/>
          <w:color w:val="1B1B1B"/>
          <w:sz w:val="28"/>
          <w:szCs w:val="28"/>
          <w:shd w:val="clear" w:color="auto" w:fill="FFFFFF"/>
        </w:rPr>
        <w:t>1</w:t>
      </w:r>
      <w:r w:rsidR="00DE5D32" w:rsidRPr="006C0EC7">
        <w:rPr>
          <w:rFonts w:ascii="Times New Roman" w:hAnsi="Times New Roman" w:cs="Times New Roman"/>
          <w:color w:val="1B1B1B"/>
          <w:sz w:val="28"/>
          <w:szCs w:val="28"/>
          <w:shd w:val="clear" w:color="auto" w:fill="FFFFFF"/>
        </w:rPr>
        <w:t>9</w:t>
      </w:r>
      <w:r w:rsidRPr="006C0EC7">
        <w:rPr>
          <w:rFonts w:ascii="Times New Roman" w:hAnsi="Times New Roman" w:cs="Times New Roman"/>
          <w:color w:val="1B1B1B"/>
          <w:sz w:val="28"/>
          <w:szCs w:val="28"/>
          <w:shd w:val="clear" w:color="auto" w:fill="FFFFFF"/>
        </w:rPr>
        <w:t xml:space="preserve"> –</w:t>
      </w:r>
      <w:r w:rsidR="006C0EC7">
        <w:rPr>
          <w:rFonts w:ascii="Times New Roman" w:hAnsi="Times New Roman" w:cs="Times New Roman"/>
          <w:color w:val="1B1B1B"/>
          <w:sz w:val="28"/>
          <w:szCs w:val="28"/>
          <w:shd w:val="clear" w:color="auto" w:fill="FFFFFF"/>
        </w:rPr>
        <w:t xml:space="preserve">Processing of </w:t>
      </w:r>
      <w:r w:rsidRPr="006C0EC7">
        <w:rPr>
          <w:rFonts w:ascii="Times New Roman" w:hAnsi="Times New Roman" w:cs="Times New Roman"/>
          <w:sz w:val="28"/>
          <w:szCs w:val="28"/>
        </w:rPr>
        <w:t xml:space="preserve">the lungs </w:t>
      </w:r>
      <w:r w:rsidR="006C0EC7">
        <w:rPr>
          <w:rFonts w:ascii="Times New Roman" w:hAnsi="Times New Roman" w:cs="Times New Roman"/>
          <w:sz w:val="28"/>
          <w:szCs w:val="28"/>
        </w:rPr>
        <w:t>into</w:t>
      </w:r>
      <w:r w:rsidRPr="006C0EC7">
        <w:rPr>
          <w:rFonts w:ascii="Times New Roman" w:hAnsi="Times New Roman" w:cs="Times New Roman"/>
          <w:sz w:val="28"/>
          <w:szCs w:val="28"/>
        </w:rPr>
        <w:t xml:space="preserve"> a small Petri dish (60 x 15 mm) and </w:t>
      </w:r>
      <w:r w:rsidR="006C0EC7">
        <w:rPr>
          <w:rFonts w:ascii="Times New Roman" w:hAnsi="Times New Roman" w:cs="Times New Roman"/>
          <w:sz w:val="28"/>
          <w:szCs w:val="28"/>
        </w:rPr>
        <w:t>cutting</w:t>
      </w:r>
      <w:r w:rsidRPr="006C0EC7">
        <w:rPr>
          <w:rFonts w:ascii="Times New Roman" w:hAnsi="Times New Roman" w:cs="Times New Roman"/>
          <w:sz w:val="28"/>
          <w:szCs w:val="28"/>
        </w:rPr>
        <w:t xml:space="preserve"> into small pieces with sharp scissors or razor blades  </w:t>
      </w:r>
    </w:p>
    <w:p w14:paraId="73E1B09D" w14:textId="77777777" w:rsidR="006C0EC7" w:rsidRDefault="006C0EC7" w:rsidP="00454DD5">
      <w:pPr>
        <w:spacing w:after="0" w:line="240" w:lineRule="auto"/>
        <w:ind w:right="1134"/>
        <w:jc w:val="center"/>
        <w:rPr>
          <w:rFonts w:ascii="Times New Roman" w:hAnsi="Times New Roman" w:cs="Times New Roman"/>
          <w:sz w:val="28"/>
          <w:szCs w:val="28"/>
        </w:rPr>
      </w:pPr>
    </w:p>
    <w:p w14:paraId="4CE0C823" w14:textId="231CE517" w:rsidR="003F0491" w:rsidRPr="006C0EC7" w:rsidRDefault="0006031E" w:rsidP="00454DD5">
      <w:pPr>
        <w:spacing w:after="0" w:line="240" w:lineRule="auto"/>
        <w:ind w:right="1134" w:firstLine="708"/>
        <w:jc w:val="both"/>
        <w:rPr>
          <w:rFonts w:ascii="Times New Roman" w:hAnsi="Times New Roman" w:cs="Times New Roman"/>
          <w:sz w:val="28"/>
          <w:szCs w:val="28"/>
        </w:rPr>
      </w:pPr>
      <w:r w:rsidRPr="006C0EC7">
        <w:rPr>
          <w:rFonts w:ascii="Times New Roman" w:hAnsi="Times New Roman" w:cs="Times New Roman"/>
          <w:sz w:val="28"/>
          <w:szCs w:val="28"/>
        </w:rPr>
        <w:t>Add 5 ml of the appropriate gap buffer</w:t>
      </w:r>
      <w:r w:rsidR="00816171">
        <w:rPr>
          <w:rFonts w:ascii="Times New Roman" w:hAnsi="Times New Roman" w:cs="Times New Roman"/>
          <w:sz w:val="28"/>
          <w:szCs w:val="28"/>
        </w:rPr>
        <w:t xml:space="preserve">, and incubate for 1 hour at 37°C if using gap </w:t>
      </w:r>
      <w:proofErr w:type="gramStart"/>
      <w:r w:rsidR="002615CD">
        <w:rPr>
          <w:rFonts w:ascii="Times New Roman" w:hAnsi="Times New Roman" w:cs="Times New Roman"/>
          <w:sz w:val="28"/>
          <w:szCs w:val="28"/>
        </w:rPr>
        <w:t>buffer</w:t>
      </w:r>
      <w:proofErr w:type="gramEnd"/>
      <w:r w:rsidR="00816171">
        <w:rPr>
          <w:rFonts w:ascii="Times New Roman" w:hAnsi="Times New Roman" w:cs="Times New Roman"/>
          <w:sz w:val="28"/>
          <w:szCs w:val="28"/>
        </w:rPr>
        <w:t xml:space="preserve"> A, B, or C</w:t>
      </w:r>
      <w:r w:rsidR="006C0EC7">
        <w:rPr>
          <w:rFonts w:ascii="Times New Roman" w:hAnsi="Times New Roman" w:cs="Times New Roman"/>
          <w:sz w:val="28"/>
          <w:szCs w:val="28"/>
        </w:rPr>
        <w:t>. Perform</w:t>
      </w:r>
      <w:r w:rsidRPr="006C0EC7">
        <w:rPr>
          <w:rFonts w:ascii="Times New Roman" w:hAnsi="Times New Roman" w:cs="Times New Roman"/>
          <w:sz w:val="28"/>
          <w:szCs w:val="28"/>
        </w:rPr>
        <w:t xml:space="preserve"> </w:t>
      </w:r>
      <w:r w:rsidR="00816171">
        <w:rPr>
          <w:rFonts w:ascii="Times New Roman" w:hAnsi="Times New Roman" w:cs="Times New Roman"/>
          <w:sz w:val="28"/>
          <w:szCs w:val="28"/>
        </w:rPr>
        <w:t>cleavage using the Miltenyi Cleavage Kit</w:t>
      </w:r>
      <w:r w:rsidRPr="006C0EC7">
        <w:rPr>
          <w:rFonts w:ascii="Times New Roman" w:hAnsi="Times New Roman" w:cs="Times New Roman"/>
          <w:sz w:val="28"/>
          <w:szCs w:val="28"/>
        </w:rPr>
        <w:t xml:space="preserve"> and the GentleMACS Dissociator according to the manufacturer's recommendations.</w:t>
      </w:r>
    </w:p>
    <w:p w14:paraId="73906948" w14:textId="77777777" w:rsidR="00847D2F" w:rsidRPr="006C0EC7" w:rsidRDefault="00847D2F" w:rsidP="00FD2E80">
      <w:pPr>
        <w:spacing w:after="0" w:line="240" w:lineRule="auto"/>
        <w:ind w:firstLine="708"/>
        <w:jc w:val="both"/>
        <w:rPr>
          <w:rFonts w:ascii="Times New Roman" w:hAnsi="Times New Roman" w:cs="Times New Roman"/>
          <w:i/>
          <w:iCs/>
          <w:color w:val="1B1B1B"/>
          <w:sz w:val="28"/>
          <w:szCs w:val="28"/>
          <w:u w:val="single"/>
          <w:shd w:val="clear" w:color="auto" w:fill="FFFFFF"/>
        </w:rPr>
      </w:pPr>
      <w:r w:rsidRPr="006C0EC7">
        <w:rPr>
          <w:rFonts w:ascii="Times New Roman" w:hAnsi="Times New Roman" w:cs="Times New Roman"/>
          <w:i/>
          <w:iCs/>
          <w:color w:val="1B1B1B"/>
          <w:sz w:val="28"/>
          <w:szCs w:val="28"/>
          <w:u w:val="single"/>
          <w:shd w:val="clear" w:color="auto" w:fill="FFFFFF"/>
        </w:rPr>
        <w:t>Staining procedure</w:t>
      </w:r>
    </w:p>
    <w:p w14:paraId="0623E985" w14:textId="4E265982" w:rsidR="00847D2F" w:rsidRPr="006C0EC7" w:rsidRDefault="00847D2F" w:rsidP="00FD2E80">
      <w:pPr>
        <w:spacing w:after="0" w:line="240" w:lineRule="auto"/>
        <w:ind w:firstLine="708"/>
        <w:jc w:val="both"/>
        <w:rPr>
          <w:rFonts w:ascii="Times New Roman" w:hAnsi="Times New Roman" w:cs="Times New Roman"/>
          <w:color w:val="1B1B1B"/>
          <w:sz w:val="28"/>
          <w:szCs w:val="28"/>
          <w:shd w:val="clear" w:color="auto" w:fill="FFFFFF"/>
        </w:rPr>
      </w:pPr>
      <w:r w:rsidRPr="006C0EC7">
        <w:rPr>
          <w:rFonts w:ascii="Times New Roman" w:hAnsi="Times New Roman" w:cs="Times New Roman"/>
          <w:color w:val="1B1B1B"/>
          <w:sz w:val="28"/>
          <w:szCs w:val="28"/>
          <w:shd w:val="clear" w:color="auto" w:fill="FFFFFF"/>
        </w:rPr>
        <w:t xml:space="preserve">Before staining </w:t>
      </w:r>
      <w:r w:rsidR="00816171">
        <w:rPr>
          <w:rFonts w:ascii="Times New Roman" w:hAnsi="Times New Roman" w:cs="Times New Roman"/>
          <w:color w:val="1B1B1B"/>
          <w:sz w:val="28"/>
          <w:szCs w:val="28"/>
          <w:shd w:val="clear" w:color="auto" w:fill="FFFFFF"/>
        </w:rPr>
        <w:t xml:space="preserve">cells for flow cytometry, Fc receptors (CD16 and CD32) are blocked to prevent nonspecific </w:t>
      </w:r>
      <w:r w:rsidR="00FD2E80">
        <w:rPr>
          <w:rFonts w:ascii="Times New Roman" w:hAnsi="Times New Roman" w:cs="Times New Roman"/>
          <w:color w:val="1B1B1B"/>
          <w:sz w:val="28"/>
          <w:szCs w:val="28"/>
          <w:shd w:val="clear" w:color="auto" w:fill="FFFFFF"/>
        </w:rPr>
        <w:t>binding of antibodies</w:t>
      </w:r>
      <w:r w:rsidR="00A82B6F" w:rsidRPr="006C0EC7">
        <w:rPr>
          <w:rFonts w:ascii="Times New Roman" w:hAnsi="Times New Roman" w:cs="Times New Roman"/>
          <w:color w:val="1B1B1B"/>
          <w:sz w:val="28"/>
          <w:szCs w:val="28"/>
          <w:shd w:val="clear" w:color="auto" w:fill="FFFFFF"/>
        </w:rPr>
        <w:t xml:space="preserve">. This is achieved by incubating the cells on ice for 15 minutes using the supernatant from the 2.4G2 hybridoma diluted in </w:t>
      </w:r>
      <w:r w:rsidRPr="006C0EC7">
        <w:rPr>
          <w:rFonts w:ascii="Times New Roman" w:hAnsi="Times New Roman" w:cs="Times New Roman"/>
          <w:color w:val="1B1B1B"/>
          <w:sz w:val="28"/>
          <w:szCs w:val="28"/>
          <w:shd w:val="clear" w:color="auto" w:fill="FFFFFF"/>
        </w:rPr>
        <w:t>FACS buffer. Centrifuge the cell suspension at 450 g for 5 minutes</w:t>
      </w:r>
      <w:r w:rsidR="00816171">
        <w:rPr>
          <w:rFonts w:ascii="Times New Roman" w:hAnsi="Times New Roman" w:cs="Times New Roman"/>
          <w:color w:val="1B1B1B"/>
          <w:sz w:val="28"/>
          <w:szCs w:val="28"/>
          <w:shd w:val="clear" w:color="auto" w:fill="FFFFFF"/>
        </w:rPr>
        <w:t>, then remove the supernatant</w:t>
      </w:r>
      <w:r w:rsidRPr="006C0EC7">
        <w:rPr>
          <w:rFonts w:ascii="Times New Roman" w:hAnsi="Times New Roman" w:cs="Times New Roman"/>
          <w:color w:val="1B1B1B"/>
          <w:sz w:val="28"/>
          <w:szCs w:val="28"/>
          <w:shd w:val="clear" w:color="auto" w:fill="FFFFFF"/>
        </w:rPr>
        <w:t xml:space="preserve">. Add the appropriate antibody mixture diluted in the FACS buffer to the cells, resuspend and incubate on ice for 30 minutes. Add cooled PBS to the cells, </w:t>
      </w:r>
      <w:r w:rsidRPr="006C0EC7">
        <w:rPr>
          <w:rFonts w:ascii="Times New Roman" w:hAnsi="Times New Roman" w:cs="Times New Roman"/>
          <w:color w:val="1B1B1B"/>
          <w:sz w:val="28"/>
          <w:szCs w:val="28"/>
          <w:shd w:val="clear" w:color="auto" w:fill="FFFFFF"/>
        </w:rPr>
        <w:lastRenderedPageBreak/>
        <w:t>centrifuge at 450g for 5 minutes</w:t>
      </w:r>
      <w:r w:rsidR="00FD2E80">
        <w:rPr>
          <w:rFonts w:ascii="Times New Roman" w:hAnsi="Times New Roman" w:cs="Times New Roman"/>
          <w:color w:val="1B1B1B"/>
          <w:sz w:val="28"/>
          <w:szCs w:val="28"/>
          <w:shd w:val="clear" w:color="auto" w:fill="FFFFFF"/>
        </w:rPr>
        <w:t>, and remove the supernatant</w:t>
      </w:r>
      <w:r w:rsidRPr="006C0EC7">
        <w:rPr>
          <w:rFonts w:ascii="Times New Roman" w:hAnsi="Times New Roman" w:cs="Times New Roman"/>
          <w:color w:val="1B1B1B"/>
          <w:sz w:val="28"/>
          <w:szCs w:val="28"/>
          <w:shd w:val="clear" w:color="auto" w:fill="FFFFFF"/>
        </w:rPr>
        <w:t xml:space="preserve">. Note that the cells are washed only with PBS, since FBS can suppress </w:t>
      </w:r>
      <w:r w:rsidR="00FD2E80">
        <w:rPr>
          <w:rFonts w:ascii="Times New Roman" w:hAnsi="Times New Roman" w:cs="Times New Roman"/>
          <w:color w:val="1B1B1B"/>
          <w:sz w:val="28"/>
          <w:szCs w:val="28"/>
          <w:shd w:val="clear" w:color="auto" w:fill="FFFFFF"/>
        </w:rPr>
        <w:t>vitality staining</w:t>
      </w:r>
      <w:r w:rsidRPr="006C0EC7">
        <w:rPr>
          <w:rFonts w:ascii="Times New Roman" w:hAnsi="Times New Roman" w:cs="Times New Roman"/>
          <w:color w:val="1B1B1B"/>
          <w:sz w:val="28"/>
          <w:szCs w:val="28"/>
          <w:shd w:val="clear" w:color="auto" w:fill="FFFFFF"/>
        </w:rPr>
        <w:t>. If viability staining has not been performed, the cells can be washed with a FACS buffer containing fetal bovine serum (FBS). Repeat this: add the PBS cooled on ice to the cells, centrifuge at 450g for 5 minutes</w:t>
      </w:r>
      <w:r w:rsidR="00FD2E80">
        <w:rPr>
          <w:rFonts w:ascii="Times New Roman" w:hAnsi="Times New Roman" w:cs="Times New Roman"/>
          <w:color w:val="1B1B1B"/>
          <w:sz w:val="28"/>
          <w:szCs w:val="28"/>
          <w:shd w:val="clear" w:color="auto" w:fill="FFFFFF"/>
        </w:rPr>
        <w:t>, and remove the supernatant</w:t>
      </w:r>
      <w:r w:rsidRPr="006C0EC7">
        <w:rPr>
          <w:rFonts w:ascii="Times New Roman" w:hAnsi="Times New Roman" w:cs="Times New Roman"/>
          <w:color w:val="1B1B1B"/>
          <w:sz w:val="28"/>
          <w:szCs w:val="28"/>
          <w:shd w:val="clear" w:color="auto" w:fill="FFFFFF"/>
        </w:rPr>
        <w:t>. Incubate the cells on ice for 30 minutes to ensure their viability. Add a FACS buffer to the cells, then centrifuge the cell suspension at 450 g for 5 minutes. Drain the supernatant liquid. Repeat the centrifugation of the cell suspension for 5 minutes at 450 g</w:t>
      </w:r>
      <w:r w:rsidR="00FD2E80">
        <w:rPr>
          <w:rFonts w:ascii="Times New Roman" w:hAnsi="Times New Roman" w:cs="Times New Roman"/>
          <w:color w:val="1B1B1B"/>
          <w:sz w:val="28"/>
          <w:szCs w:val="28"/>
          <w:shd w:val="clear" w:color="auto" w:fill="FFFFFF"/>
        </w:rPr>
        <w:t>, then remove the supernatant</w:t>
      </w:r>
      <w:r w:rsidRPr="006C0EC7">
        <w:rPr>
          <w:rFonts w:ascii="Times New Roman" w:hAnsi="Times New Roman" w:cs="Times New Roman"/>
          <w:color w:val="1B1B1B"/>
          <w:sz w:val="28"/>
          <w:szCs w:val="28"/>
          <w:shd w:val="clear" w:color="auto" w:fill="FFFFFF"/>
        </w:rPr>
        <w:t xml:space="preserve">.  The cells can be </w:t>
      </w:r>
      <w:r w:rsidR="00AA27D9" w:rsidRPr="006C0EC7">
        <w:rPr>
          <w:rFonts w:ascii="Times New Roman" w:hAnsi="Times New Roman" w:cs="Times New Roman"/>
          <w:color w:val="1B1B1B"/>
          <w:sz w:val="28"/>
          <w:szCs w:val="28"/>
          <w:shd w:val="clear" w:color="auto" w:fill="FFFFFF"/>
        </w:rPr>
        <w:t>analysed</w:t>
      </w:r>
      <w:r w:rsidRPr="006C0EC7">
        <w:rPr>
          <w:rFonts w:ascii="Times New Roman" w:hAnsi="Times New Roman" w:cs="Times New Roman"/>
          <w:color w:val="1B1B1B"/>
          <w:sz w:val="28"/>
          <w:szCs w:val="28"/>
          <w:shd w:val="clear" w:color="auto" w:fill="FFFFFF"/>
        </w:rPr>
        <w:t xml:space="preserve"> immediately by flow cytometry or fixed with 4% PFA for 15 minutes at room temperature. If nuclear staining is required, the cells are fixed, permeabilised and stained with the Foxp3 staining kit, as recommended by the manufacturer.</w:t>
      </w:r>
    </w:p>
    <w:p w14:paraId="0DBAC27A" w14:textId="11EF5050" w:rsidR="00847D2F" w:rsidRPr="006C0EC7" w:rsidRDefault="00847D2F" w:rsidP="00252F7D">
      <w:pPr>
        <w:spacing w:after="0" w:line="240" w:lineRule="auto"/>
        <w:ind w:firstLine="708"/>
        <w:jc w:val="both"/>
        <w:rPr>
          <w:rFonts w:ascii="Times New Roman" w:hAnsi="Times New Roman" w:cs="Times New Roman"/>
          <w:color w:val="1B1B1B"/>
          <w:sz w:val="28"/>
          <w:szCs w:val="28"/>
          <w:shd w:val="clear" w:color="auto" w:fill="FFFFFF"/>
        </w:rPr>
      </w:pPr>
      <w:r w:rsidRPr="006C0EC7">
        <w:rPr>
          <w:rFonts w:ascii="Times New Roman" w:hAnsi="Times New Roman" w:cs="Times New Roman"/>
          <w:color w:val="1B1B1B"/>
          <w:sz w:val="28"/>
          <w:szCs w:val="28"/>
          <w:shd w:val="clear" w:color="auto" w:fill="FFFFFF"/>
        </w:rPr>
        <w:t xml:space="preserve">Forward scatter (FSC) is the amount of light scattered in the forward direction. FSC is roughly proportional to the cell/particle size. </w:t>
      </w:r>
      <w:r w:rsidR="00741CA3">
        <w:rPr>
          <w:rFonts w:ascii="Times New Roman" w:hAnsi="Times New Roman" w:cs="Times New Roman"/>
          <w:color w:val="1B1B1B"/>
          <w:sz w:val="28"/>
          <w:szCs w:val="28"/>
          <w:shd w:val="clear" w:color="auto" w:fill="FFFFFF"/>
        </w:rPr>
        <w:t xml:space="preserve"> </w:t>
      </w:r>
      <w:r w:rsidRPr="006C0EC7">
        <w:rPr>
          <w:rFonts w:ascii="Times New Roman" w:hAnsi="Times New Roman" w:cs="Times New Roman"/>
          <w:color w:val="1B1B1B"/>
          <w:sz w:val="28"/>
          <w:szCs w:val="28"/>
          <w:shd w:val="clear" w:color="auto" w:fill="FFFFFF"/>
        </w:rPr>
        <w:t xml:space="preserve">Side scatter (SSC) is the light scattered at large angles. SSC is proportional to the internal complexity of a cell. </w:t>
      </w:r>
    </w:p>
    <w:p w14:paraId="6D12FEDE" w14:textId="77777777" w:rsidR="00356B14" w:rsidRPr="006C0EC7" w:rsidRDefault="00847D2F" w:rsidP="006C0EC7">
      <w:pPr>
        <w:spacing w:after="0" w:line="240" w:lineRule="auto"/>
        <w:ind w:firstLine="708"/>
        <w:jc w:val="both"/>
        <w:rPr>
          <w:rFonts w:ascii="Times New Roman" w:hAnsi="Times New Roman" w:cs="Times New Roman"/>
          <w:color w:val="1B1B1B"/>
          <w:sz w:val="28"/>
          <w:szCs w:val="28"/>
          <w:shd w:val="clear" w:color="auto" w:fill="FFFFFF"/>
        </w:rPr>
      </w:pPr>
      <w:r w:rsidRPr="006C0EC7">
        <w:rPr>
          <w:rFonts w:ascii="Times New Roman" w:hAnsi="Times New Roman" w:cs="Times New Roman"/>
          <w:color w:val="1B1B1B"/>
          <w:sz w:val="28"/>
          <w:szCs w:val="28"/>
          <w:shd w:val="clear" w:color="auto" w:fill="FFFFFF"/>
        </w:rPr>
        <w:t xml:space="preserve">H-Hight -is the intensity of the signal, W-Width- is the time taken for a cell to pass through the laser beam and also the duration of the signal. </w:t>
      </w:r>
    </w:p>
    <w:p w14:paraId="0B2D4879" w14:textId="7A9DDDA4" w:rsidR="003F0491" w:rsidRPr="006C0EC7" w:rsidRDefault="00847D2F" w:rsidP="006C0EC7">
      <w:pPr>
        <w:spacing w:after="0" w:line="240" w:lineRule="auto"/>
        <w:jc w:val="both"/>
        <w:rPr>
          <w:rFonts w:ascii="Times New Roman" w:hAnsi="Times New Roman" w:cs="Times New Roman"/>
          <w:color w:val="1B1B1B"/>
          <w:sz w:val="28"/>
          <w:szCs w:val="28"/>
          <w:shd w:val="clear" w:color="auto" w:fill="FFFFFF"/>
        </w:rPr>
      </w:pPr>
      <w:r w:rsidRPr="006C0EC7">
        <w:rPr>
          <w:rFonts w:ascii="Times New Roman" w:hAnsi="Times New Roman" w:cs="Times New Roman"/>
          <w:color w:val="1B1B1B"/>
          <w:sz w:val="28"/>
          <w:szCs w:val="28"/>
          <w:shd w:val="clear" w:color="auto" w:fill="FFFFFF"/>
        </w:rPr>
        <w:t xml:space="preserve">A-Area – is a process and definition of a voltage pulse, which is a signal from a cell/particle, that is detected and serves as a marker for a cell or particle.     </w:t>
      </w:r>
    </w:p>
    <w:p w14:paraId="69BB65C5" w14:textId="39A1BA6C" w:rsidR="003F0491" w:rsidRPr="006C0EC7" w:rsidRDefault="00944C35" w:rsidP="00FD2E80">
      <w:pPr>
        <w:spacing w:after="0" w:line="240" w:lineRule="auto"/>
        <w:ind w:firstLine="708"/>
        <w:jc w:val="both"/>
        <w:rPr>
          <w:rFonts w:ascii="Times New Roman" w:hAnsi="Times New Roman" w:cs="Times New Roman"/>
          <w:color w:val="1B1B1B"/>
          <w:sz w:val="28"/>
          <w:szCs w:val="28"/>
          <w:shd w:val="clear" w:color="auto" w:fill="FFFFFF"/>
        </w:rPr>
      </w:pPr>
      <w:r w:rsidRPr="006C0EC7">
        <w:rPr>
          <w:rFonts w:ascii="Times New Roman" w:hAnsi="Times New Roman" w:cs="Times New Roman"/>
          <w:color w:val="1B1B1B"/>
          <w:sz w:val="28"/>
          <w:szCs w:val="28"/>
          <w:shd w:val="clear" w:color="auto" w:fill="FFFFFF"/>
        </w:rPr>
        <w:t xml:space="preserve">According to </w:t>
      </w:r>
      <w:r w:rsidR="00DA6C23">
        <w:rPr>
          <w:rFonts w:ascii="Times New Roman" w:hAnsi="Times New Roman" w:cs="Times New Roman"/>
          <w:color w:val="1B1B1B"/>
          <w:sz w:val="28"/>
          <w:szCs w:val="28"/>
          <w:shd w:val="clear" w:color="auto" w:fill="FFFFFF"/>
        </w:rPr>
        <w:t>Figures</w:t>
      </w:r>
      <w:r w:rsidRPr="006C0EC7">
        <w:rPr>
          <w:rFonts w:ascii="Times New Roman" w:hAnsi="Times New Roman" w:cs="Times New Roman"/>
          <w:color w:val="1B1B1B"/>
          <w:sz w:val="28"/>
          <w:szCs w:val="28"/>
          <w:shd w:val="clear" w:color="auto" w:fill="FFFFFF"/>
        </w:rPr>
        <w:t xml:space="preserve"> 20</w:t>
      </w:r>
      <w:r w:rsidR="009D2A3E" w:rsidRPr="006C0EC7">
        <w:rPr>
          <w:rFonts w:ascii="Times New Roman" w:hAnsi="Times New Roman" w:cs="Times New Roman"/>
          <w:color w:val="1B1B1B"/>
          <w:sz w:val="28"/>
          <w:szCs w:val="28"/>
          <w:shd w:val="clear" w:color="auto" w:fill="FFFFFF"/>
        </w:rPr>
        <w:t>,21</w:t>
      </w:r>
      <w:r w:rsidR="003E3F3B" w:rsidRPr="006C0EC7">
        <w:rPr>
          <w:rFonts w:ascii="Times New Roman" w:hAnsi="Times New Roman" w:cs="Times New Roman"/>
          <w:color w:val="1B1B1B"/>
          <w:sz w:val="28"/>
          <w:szCs w:val="28"/>
          <w:shd w:val="clear" w:color="auto" w:fill="FFFFFF"/>
        </w:rPr>
        <w:t>,</w:t>
      </w:r>
      <w:r w:rsidRPr="006C0EC7">
        <w:rPr>
          <w:rFonts w:ascii="Times New Roman" w:hAnsi="Times New Roman" w:cs="Times New Roman"/>
          <w:color w:val="1B1B1B"/>
          <w:sz w:val="28"/>
          <w:szCs w:val="28"/>
          <w:shd w:val="clear" w:color="auto" w:fill="FFFFFF"/>
        </w:rPr>
        <w:t xml:space="preserve"> </w:t>
      </w:r>
      <w:r w:rsidR="003F0491" w:rsidRPr="006C0EC7">
        <w:rPr>
          <w:rFonts w:ascii="Times New Roman" w:hAnsi="Times New Roman" w:cs="Times New Roman"/>
          <w:color w:val="1B1B1B"/>
          <w:sz w:val="28"/>
          <w:szCs w:val="28"/>
          <w:shd w:val="clear" w:color="auto" w:fill="FFFFFF"/>
        </w:rPr>
        <w:t xml:space="preserve">the principle of distinguishing single cells (singlets) from doublets in flow cytometry. On the left, schematics show how a single cell passing through the laser beam generates a characteristic pulse signal defined by height (H), area (A), and width (W). A doublet, which occurs when two cells pass through the laser together, produces an altered signal with increased width and distorted area-to-height ratios. The comparison with a true 4C singlet highlights how doublets can mimic higher DNA content if not properly excluded. On the right, a flow cytometry dot plot demonstrates this concept: single cells form a distinct cluster along a defined area-to-width relationship, while doublets appear as a separate population with higher pulse area and width, circled in red. Proper gating to exclude doublets is critical for accurate </w:t>
      </w:r>
      <w:r w:rsidR="00816171">
        <w:rPr>
          <w:rFonts w:ascii="Times New Roman" w:hAnsi="Times New Roman" w:cs="Times New Roman"/>
          <w:color w:val="1B1B1B"/>
          <w:sz w:val="28"/>
          <w:szCs w:val="28"/>
          <w:shd w:val="clear" w:color="auto" w:fill="FFFFFF"/>
        </w:rPr>
        <w:t>cell-cycle and DNA-content</w:t>
      </w:r>
      <w:r w:rsidR="003F0491" w:rsidRPr="006C0EC7">
        <w:rPr>
          <w:rFonts w:ascii="Times New Roman" w:hAnsi="Times New Roman" w:cs="Times New Roman"/>
          <w:color w:val="1B1B1B"/>
          <w:sz w:val="28"/>
          <w:szCs w:val="28"/>
          <w:shd w:val="clear" w:color="auto" w:fill="FFFFFF"/>
        </w:rPr>
        <w:t xml:space="preserve"> analysis.</w:t>
      </w:r>
    </w:p>
    <w:p w14:paraId="0016EBE0" w14:textId="77777777" w:rsidR="003F0491" w:rsidRPr="006531C9" w:rsidRDefault="003F0491" w:rsidP="00FD2E80">
      <w:pPr>
        <w:spacing w:after="0" w:line="360" w:lineRule="auto"/>
        <w:rPr>
          <w:rFonts w:ascii="Times New Roman" w:hAnsi="Times New Roman" w:cs="Times New Roman"/>
          <w:color w:val="1B1B1B"/>
          <w:sz w:val="24"/>
          <w:szCs w:val="24"/>
          <w:shd w:val="clear" w:color="auto" w:fill="FFFFFF"/>
        </w:rPr>
      </w:pPr>
    </w:p>
    <w:p w14:paraId="746B71B6" w14:textId="553C29A8" w:rsidR="00847D2F" w:rsidRPr="006531C9" w:rsidRDefault="00847D2F" w:rsidP="00FD2E80">
      <w:pPr>
        <w:spacing w:after="0" w:line="360" w:lineRule="auto"/>
        <w:jc w:val="center"/>
        <w:rPr>
          <w:rFonts w:ascii="Times New Roman" w:hAnsi="Times New Roman" w:cs="Times New Roman"/>
          <w:color w:val="1B1B1B"/>
          <w:sz w:val="24"/>
          <w:szCs w:val="24"/>
          <w:shd w:val="clear" w:color="auto" w:fill="FFFFFF"/>
        </w:rPr>
      </w:pPr>
      <w:r w:rsidRPr="006531C9">
        <w:rPr>
          <w:rFonts w:ascii="Times New Roman" w:hAnsi="Times New Roman" w:cs="Times New Roman"/>
          <w:noProof/>
          <w:color w:val="1B1B1B"/>
          <w:sz w:val="24"/>
          <w:szCs w:val="24"/>
          <w:shd w:val="clear" w:color="auto" w:fill="FFFFFF"/>
        </w:rPr>
        <w:drawing>
          <wp:inline distT="0" distB="0" distL="0" distR="0" wp14:anchorId="106478D9" wp14:editId="4077E741">
            <wp:extent cx="3370997" cy="1538812"/>
            <wp:effectExtent l="0" t="0" r="1270" b="4445"/>
            <wp:docPr id="13370730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3488" t="24667" r="9732" b="16000"/>
                    <a:stretch/>
                  </pic:blipFill>
                  <pic:spPr bwMode="auto">
                    <a:xfrm>
                      <a:off x="0" y="0"/>
                      <a:ext cx="3495929" cy="1595842"/>
                    </a:xfrm>
                    <a:prstGeom prst="rect">
                      <a:avLst/>
                    </a:prstGeom>
                    <a:noFill/>
                    <a:ln>
                      <a:noFill/>
                    </a:ln>
                    <a:extLst>
                      <a:ext uri="{53640926-AAD7-44D8-BBD7-CCE9431645EC}">
                        <a14:shadowObscured xmlns:a14="http://schemas.microsoft.com/office/drawing/2010/main"/>
                      </a:ext>
                    </a:extLst>
                  </pic:spPr>
                </pic:pic>
              </a:graphicData>
            </a:graphic>
          </wp:inline>
        </w:drawing>
      </w:r>
    </w:p>
    <w:p w14:paraId="084E7764" w14:textId="0E1E8C35" w:rsidR="00847D2F" w:rsidRPr="006C0EC7" w:rsidRDefault="00847D2F" w:rsidP="00FD2E80">
      <w:pPr>
        <w:spacing w:after="0" w:line="240" w:lineRule="auto"/>
        <w:jc w:val="center"/>
        <w:rPr>
          <w:rFonts w:ascii="Times New Roman" w:hAnsi="Times New Roman" w:cs="Times New Roman"/>
          <w:color w:val="1B1B1B"/>
          <w:sz w:val="28"/>
          <w:szCs w:val="28"/>
          <w:shd w:val="clear" w:color="auto" w:fill="FFFFFF"/>
          <w:lang w:val="en-US"/>
        </w:rPr>
      </w:pPr>
      <w:r w:rsidRPr="006C0EC7">
        <w:rPr>
          <w:rFonts w:ascii="Times New Roman" w:hAnsi="Times New Roman" w:cs="Times New Roman"/>
          <w:color w:val="1B1B1B"/>
          <w:sz w:val="28"/>
          <w:szCs w:val="28"/>
          <w:shd w:val="clear" w:color="auto" w:fill="FFFFFF"/>
        </w:rPr>
        <w:t xml:space="preserve">Figure </w:t>
      </w:r>
      <w:r w:rsidR="00DE5D32" w:rsidRPr="006C0EC7">
        <w:rPr>
          <w:rFonts w:ascii="Times New Roman" w:hAnsi="Times New Roman" w:cs="Times New Roman"/>
          <w:color w:val="1B1B1B"/>
          <w:sz w:val="28"/>
          <w:szCs w:val="28"/>
          <w:shd w:val="clear" w:color="auto" w:fill="FFFFFF"/>
        </w:rPr>
        <w:t>20</w:t>
      </w:r>
      <w:r w:rsidR="00AE3DA2" w:rsidRPr="006C0EC7">
        <w:rPr>
          <w:rFonts w:ascii="Times New Roman" w:hAnsi="Times New Roman" w:cs="Times New Roman"/>
          <w:color w:val="1B1B1B"/>
          <w:sz w:val="28"/>
          <w:szCs w:val="28"/>
          <w:shd w:val="clear" w:color="auto" w:fill="FFFFFF"/>
        </w:rPr>
        <w:t xml:space="preserve"> – </w:t>
      </w:r>
      <w:r w:rsidRPr="006C0EC7">
        <w:rPr>
          <w:rFonts w:ascii="Times New Roman" w:hAnsi="Times New Roman" w:cs="Times New Roman"/>
          <w:color w:val="1B1B1B"/>
          <w:sz w:val="28"/>
          <w:szCs w:val="28"/>
          <w:shd w:val="clear" w:color="auto" w:fill="FFFFFF"/>
        </w:rPr>
        <w:t xml:space="preserve">Doublet discrimination in NK (natural killer) cells: The disproportions between H, W and A can be used to identify doublets in a laser beam signal.  The singlet shows a </w:t>
      </w:r>
      <w:r w:rsidR="00AA27D9" w:rsidRPr="006C0EC7">
        <w:rPr>
          <w:rFonts w:ascii="Times New Roman" w:hAnsi="Times New Roman" w:cs="Times New Roman"/>
          <w:color w:val="1B1B1B"/>
          <w:sz w:val="28"/>
          <w:szCs w:val="28"/>
          <w:shd w:val="clear" w:color="auto" w:fill="FFFFFF"/>
        </w:rPr>
        <w:t>transparent</w:t>
      </w:r>
      <w:r w:rsidRPr="006C0EC7">
        <w:rPr>
          <w:rFonts w:ascii="Times New Roman" w:hAnsi="Times New Roman" w:cs="Times New Roman"/>
          <w:color w:val="1B1B1B"/>
          <w:sz w:val="28"/>
          <w:szCs w:val="28"/>
          <w:shd w:val="clear" w:color="auto" w:fill="FFFFFF"/>
        </w:rPr>
        <w:t xml:space="preserve"> red gradient as a marker in </w:t>
      </w:r>
      <w:r w:rsidR="00741CA3">
        <w:rPr>
          <w:rFonts w:ascii="Times New Roman" w:hAnsi="Times New Roman" w:cs="Times New Roman"/>
          <w:color w:val="1B1B1B"/>
          <w:sz w:val="28"/>
          <w:szCs w:val="28"/>
          <w:shd w:val="clear" w:color="auto" w:fill="FFFFFF"/>
        </w:rPr>
        <w:t xml:space="preserve">the </w:t>
      </w:r>
      <w:r w:rsidRPr="006C0EC7">
        <w:rPr>
          <w:rFonts w:ascii="Times New Roman" w:hAnsi="Times New Roman" w:cs="Times New Roman"/>
          <w:color w:val="1B1B1B"/>
          <w:sz w:val="28"/>
          <w:szCs w:val="28"/>
          <w:shd w:val="clear" w:color="auto" w:fill="FFFFFF"/>
        </w:rPr>
        <w:t>voltage pulse</w:t>
      </w:r>
    </w:p>
    <w:p w14:paraId="7A844789" w14:textId="77777777" w:rsidR="004029BF" w:rsidRPr="004029BF" w:rsidRDefault="004029BF" w:rsidP="00314579">
      <w:pPr>
        <w:spacing w:after="0" w:line="240" w:lineRule="auto"/>
        <w:jc w:val="center"/>
        <w:rPr>
          <w:rFonts w:ascii="Times New Roman" w:hAnsi="Times New Roman" w:cs="Times New Roman"/>
          <w:color w:val="1B1B1B"/>
          <w:sz w:val="24"/>
          <w:szCs w:val="24"/>
          <w:shd w:val="clear" w:color="auto" w:fill="FFFFFF"/>
          <w:lang w:val="en-US"/>
        </w:rPr>
      </w:pPr>
    </w:p>
    <w:p w14:paraId="7E1BD43F" w14:textId="4B4F6BA1" w:rsidR="003F0491" w:rsidRPr="009E426C" w:rsidRDefault="00DD2E3B" w:rsidP="00FC28C2">
      <w:pPr>
        <w:spacing w:after="0" w:line="240" w:lineRule="auto"/>
        <w:ind w:firstLine="709"/>
        <w:jc w:val="both"/>
        <w:rPr>
          <w:rFonts w:ascii="Times New Roman" w:hAnsi="Times New Roman" w:cs="Times New Roman"/>
          <w:color w:val="1B1B1B"/>
          <w:sz w:val="28"/>
          <w:szCs w:val="28"/>
          <w:shd w:val="clear" w:color="auto" w:fill="FFFFFF"/>
        </w:rPr>
      </w:pPr>
      <w:r w:rsidRPr="006C0EC7">
        <w:rPr>
          <w:rFonts w:ascii="Times New Roman" w:hAnsi="Times New Roman" w:cs="Times New Roman"/>
          <w:color w:val="1B1B1B"/>
          <w:sz w:val="28"/>
          <w:szCs w:val="28"/>
          <w:shd w:val="clear" w:color="auto" w:fill="FFFFFF"/>
        </w:rPr>
        <w:lastRenderedPageBreak/>
        <w:t>Doublet discrimination ensures NK subsets and functions are reported accurately. Always confirm with microscopy or lower sample pressure if doublet rates exceed 5%.</w:t>
      </w:r>
      <w:r w:rsidR="0044437C" w:rsidRPr="006C0EC7">
        <w:rPr>
          <w:rFonts w:ascii="Times New Roman" w:hAnsi="Times New Roman" w:cs="Times New Roman"/>
          <w:color w:val="1B1B1B"/>
          <w:sz w:val="28"/>
          <w:szCs w:val="28"/>
          <w:shd w:val="clear" w:color="auto" w:fill="FFFFFF"/>
        </w:rPr>
        <w:t xml:space="preserve"> </w:t>
      </w:r>
      <w:r w:rsidR="00A77EC0" w:rsidRPr="006C0EC7">
        <w:rPr>
          <w:rFonts w:ascii="Times New Roman" w:hAnsi="Times New Roman" w:cs="Times New Roman"/>
          <w:color w:val="1B1B1B"/>
          <w:sz w:val="28"/>
          <w:szCs w:val="28"/>
          <w:shd w:val="clear" w:color="auto" w:fill="FFFFFF"/>
        </w:rPr>
        <w:t xml:space="preserve">Doublets (cell aggregates) </w:t>
      </w:r>
      <w:r w:rsidR="00816171">
        <w:rPr>
          <w:rFonts w:ascii="Times New Roman" w:hAnsi="Times New Roman" w:cs="Times New Roman"/>
          <w:color w:val="1B1B1B"/>
          <w:sz w:val="28"/>
          <w:szCs w:val="28"/>
          <w:shd w:val="clear" w:color="auto" w:fill="FFFFFF"/>
        </w:rPr>
        <w:t>produce distorted light-</w:t>
      </w:r>
      <w:r w:rsidR="00816171" w:rsidRPr="009E426C">
        <w:rPr>
          <w:rFonts w:ascii="Times New Roman" w:hAnsi="Times New Roman" w:cs="Times New Roman"/>
          <w:color w:val="1B1B1B"/>
          <w:sz w:val="28"/>
          <w:szCs w:val="28"/>
          <w:shd w:val="clear" w:color="auto" w:fill="FFFFFF"/>
        </w:rPr>
        <w:t>scatter</w:t>
      </w:r>
      <w:r w:rsidR="00A77EC0" w:rsidRPr="009E426C">
        <w:rPr>
          <w:rFonts w:ascii="Times New Roman" w:hAnsi="Times New Roman" w:cs="Times New Roman"/>
          <w:color w:val="1B1B1B"/>
          <w:sz w:val="28"/>
          <w:szCs w:val="28"/>
          <w:shd w:val="clear" w:color="auto" w:fill="FFFFFF"/>
        </w:rPr>
        <w:t xml:space="preserve"> signals. FSC-A (forward scatter area) measures pulse width × height, while FSC-H (forward scatter height) measures peak intensity. </w:t>
      </w:r>
    </w:p>
    <w:p w14:paraId="47BF12F2" w14:textId="5123D5F1" w:rsidR="00A77EC0" w:rsidRDefault="00A77EC0" w:rsidP="00FC28C2">
      <w:pPr>
        <w:spacing w:after="0" w:line="240" w:lineRule="auto"/>
        <w:ind w:firstLine="709"/>
        <w:jc w:val="both"/>
        <w:rPr>
          <w:rFonts w:ascii="Times New Roman" w:hAnsi="Times New Roman" w:cs="Times New Roman"/>
          <w:color w:val="1B1B1B"/>
          <w:sz w:val="28"/>
          <w:szCs w:val="28"/>
          <w:shd w:val="clear" w:color="auto" w:fill="FFFFFF"/>
        </w:rPr>
      </w:pPr>
      <w:r w:rsidRPr="006C0EC7">
        <w:rPr>
          <w:rFonts w:ascii="Times New Roman" w:hAnsi="Times New Roman" w:cs="Times New Roman"/>
          <w:color w:val="1B1B1B"/>
          <w:sz w:val="28"/>
          <w:szCs w:val="28"/>
          <w:shd w:val="clear" w:color="auto" w:fill="FFFFFF"/>
        </w:rPr>
        <w:t>Singlets show proportional FSC-A/FSC-H, while doublets exhibit ↑ FSC-A relative to FSC-H</w:t>
      </w:r>
      <w:r w:rsidR="001F371A" w:rsidRPr="006C0EC7">
        <w:rPr>
          <w:rFonts w:ascii="Times New Roman" w:hAnsi="Times New Roman" w:cs="Times New Roman"/>
          <w:color w:val="1B1B1B"/>
          <w:sz w:val="28"/>
          <w:szCs w:val="28"/>
          <w:shd w:val="clear" w:color="auto" w:fill="FFFFFF"/>
        </w:rPr>
        <w:t>, according to Figure 21</w:t>
      </w:r>
      <w:r w:rsidRPr="006C0EC7">
        <w:rPr>
          <w:rFonts w:ascii="Times New Roman" w:hAnsi="Times New Roman" w:cs="Times New Roman"/>
          <w:color w:val="1B1B1B"/>
          <w:sz w:val="28"/>
          <w:szCs w:val="28"/>
          <w:shd w:val="clear" w:color="auto" w:fill="FFFFFF"/>
        </w:rPr>
        <w:t>.</w:t>
      </w:r>
    </w:p>
    <w:p w14:paraId="35FEFEF7" w14:textId="77777777" w:rsidR="00AC6485" w:rsidRPr="006C0EC7" w:rsidRDefault="00AC6485" w:rsidP="00FC28C2">
      <w:pPr>
        <w:spacing w:after="0" w:line="240" w:lineRule="auto"/>
        <w:ind w:firstLine="709"/>
        <w:jc w:val="both"/>
        <w:rPr>
          <w:rFonts w:ascii="Times New Roman" w:hAnsi="Times New Roman" w:cs="Times New Roman"/>
          <w:color w:val="1B1B1B"/>
          <w:sz w:val="28"/>
          <w:szCs w:val="28"/>
          <w:shd w:val="clear" w:color="auto" w:fill="FFFFFF"/>
        </w:rPr>
      </w:pPr>
    </w:p>
    <w:p w14:paraId="7B5A9461" w14:textId="77777777" w:rsidR="00847D2F" w:rsidRPr="006531C9" w:rsidRDefault="00847D2F" w:rsidP="00D1078E">
      <w:pPr>
        <w:spacing w:after="0" w:line="360" w:lineRule="auto"/>
        <w:jc w:val="center"/>
        <w:rPr>
          <w:rFonts w:ascii="Times New Roman" w:hAnsi="Times New Roman" w:cs="Times New Roman"/>
          <w:color w:val="1B1B1B"/>
          <w:sz w:val="24"/>
          <w:szCs w:val="24"/>
          <w:shd w:val="clear" w:color="auto" w:fill="FFFFFF"/>
        </w:rPr>
      </w:pPr>
      <w:r w:rsidRPr="006531C9">
        <w:rPr>
          <w:rFonts w:ascii="Times New Roman" w:hAnsi="Times New Roman" w:cs="Times New Roman"/>
          <w:noProof/>
          <w:color w:val="1B1B1B"/>
          <w:sz w:val="24"/>
          <w:szCs w:val="24"/>
          <w:shd w:val="clear" w:color="auto" w:fill="FFFFFF"/>
        </w:rPr>
        <w:drawing>
          <wp:inline distT="0" distB="0" distL="0" distR="0" wp14:anchorId="45C027D1" wp14:editId="7DF26437">
            <wp:extent cx="3894992" cy="4036624"/>
            <wp:effectExtent l="0" t="0" r="0" b="2540"/>
            <wp:docPr id="12000136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59140" t="13489" r="12328" b="22437"/>
                    <a:stretch/>
                  </pic:blipFill>
                  <pic:spPr bwMode="auto">
                    <a:xfrm>
                      <a:off x="0" y="0"/>
                      <a:ext cx="4026186" cy="4172589"/>
                    </a:xfrm>
                    <a:prstGeom prst="rect">
                      <a:avLst/>
                    </a:prstGeom>
                    <a:noFill/>
                    <a:ln>
                      <a:noFill/>
                    </a:ln>
                    <a:extLst>
                      <a:ext uri="{53640926-AAD7-44D8-BBD7-CCE9431645EC}">
                        <a14:shadowObscured xmlns:a14="http://schemas.microsoft.com/office/drawing/2010/main"/>
                      </a:ext>
                    </a:extLst>
                  </pic:spPr>
                </pic:pic>
              </a:graphicData>
            </a:graphic>
          </wp:inline>
        </w:drawing>
      </w:r>
    </w:p>
    <w:p w14:paraId="0192AECA" w14:textId="157511FC" w:rsidR="00847D2F" w:rsidRPr="006C0EC7" w:rsidRDefault="00847D2F" w:rsidP="006C0EC7">
      <w:pPr>
        <w:spacing w:after="0" w:line="240" w:lineRule="auto"/>
        <w:jc w:val="center"/>
        <w:rPr>
          <w:rFonts w:ascii="Times New Roman" w:hAnsi="Times New Roman" w:cs="Times New Roman"/>
          <w:color w:val="1B1B1B"/>
          <w:sz w:val="28"/>
          <w:szCs w:val="28"/>
          <w:shd w:val="clear" w:color="auto" w:fill="FFFFFF"/>
          <w:lang w:val="en-US"/>
        </w:rPr>
      </w:pPr>
      <w:r w:rsidRPr="006C0EC7">
        <w:rPr>
          <w:rFonts w:ascii="Times New Roman" w:hAnsi="Times New Roman" w:cs="Times New Roman"/>
          <w:color w:val="1B1B1B"/>
          <w:sz w:val="28"/>
          <w:szCs w:val="28"/>
          <w:shd w:val="clear" w:color="auto" w:fill="FFFFFF"/>
        </w:rPr>
        <w:t>Figure 2</w:t>
      </w:r>
      <w:r w:rsidR="00DE5D32" w:rsidRPr="006C0EC7">
        <w:rPr>
          <w:rFonts w:ascii="Times New Roman" w:hAnsi="Times New Roman" w:cs="Times New Roman"/>
          <w:color w:val="1B1B1B"/>
          <w:sz w:val="28"/>
          <w:szCs w:val="28"/>
          <w:shd w:val="clear" w:color="auto" w:fill="FFFFFF"/>
        </w:rPr>
        <w:t>1</w:t>
      </w:r>
      <w:r w:rsidR="00AE3DA2" w:rsidRPr="006C0EC7">
        <w:rPr>
          <w:rFonts w:ascii="Times New Roman" w:hAnsi="Times New Roman" w:cs="Times New Roman"/>
          <w:color w:val="1B1B1B"/>
          <w:sz w:val="28"/>
          <w:szCs w:val="28"/>
          <w:shd w:val="clear" w:color="auto" w:fill="FFFFFF"/>
        </w:rPr>
        <w:t xml:space="preserve">– </w:t>
      </w:r>
      <w:r w:rsidRPr="006C0EC7">
        <w:rPr>
          <w:rFonts w:ascii="Times New Roman" w:hAnsi="Times New Roman" w:cs="Times New Roman"/>
          <w:color w:val="1B1B1B"/>
          <w:sz w:val="28"/>
          <w:szCs w:val="28"/>
          <w:shd w:val="clear" w:color="auto" w:fill="FFFFFF"/>
        </w:rPr>
        <w:t>The FSC-A vs FSC-H strategy to exclude doublets. Digital instruments provide an option to equalise A and H for a given parameter. In BD-instruments, this option is called ‘area scaling’</w:t>
      </w:r>
    </w:p>
    <w:p w14:paraId="242EAD79" w14:textId="77777777" w:rsidR="004029BF" w:rsidRPr="006C0EC7" w:rsidRDefault="004029BF" w:rsidP="006C0EC7">
      <w:pPr>
        <w:spacing w:after="0" w:line="240" w:lineRule="auto"/>
        <w:jc w:val="center"/>
        <w:rPr>
          <w:rFonts w:ascii="Times New Roman" w:hAnsi="Times New Roman" w:cs="Times New Roman"/>
          <w:color w:val="1B1B1B"/>
          <w:sz w:val="28"/>
          <w:szCs w:val="28"/>
          <w:shd w:val="clear" w:color="auto" w:fill="FFFFFF"/>
          <w:lang w:val="en-US"/>
        </w:rPr>
      </w:pPr>
    </w:p>
    <w:p w14:paraId="42658F06" w14:textId="12880A52" w:rsidR="004029BF" w:rsidRPr="00AC6485" w:rsidRDefault="00847D2F" w:rsidP="00AC6485">
      <w:pPr>
        <w:spacing w:after="0" w:line="240" w:lineRule="auto"/>
        <w:ind w:firstLine="708"/>
        <w:jc w:val="both"/>
        <w:rPr>
          <w:rFonts w:ascii="Times New Roman" w:hAnsi="Times New Roman" w:cs="Times New Roman"/>
          <w:color w:val="1B1B1B"/>
          <w:sz w:val="28"/>
          <w:szCs w:val="28"/>
          <w:shd w:val="clear" w:color="auto" w:fill="FFFFFF"/>
        </w:rPr>
      </w:pPr>
      <w:r w:rsidRPr="006C0EC7">
        <w:rPr>
          <w:rFonts w:ascii="Times New Roman" w:hAnsi="Times New Roman" w:cs="Times New Roman"/>
          <w:color w:val="1B1B1B"/>
          <w:sz w:val="28"/>
          <w:szCs w:val="28"/>
          <w:shd w:val="clear" w:color="auto" w:fill="FFFFFF"/>
        </w:rPr>
        <w:t xml:space="preserve">When the </w:t>
      </w:r>
      <w:r w:rsidR="00DE5223">
        <w:rPr>
          <w:rFonts w:ascii="Times New Roman" w:hAnsi="Times New Roman" w:cs="Times New Roman"/>
          <w:color w:val="1B1B1B"/>
          <w:sz w:val="28"/>
          <w:szCs w:val="28"/>
          <w:shd w:val="clear" w:color="auto" w:fill="FFFFFF"/>
        </w:rPr>
        <w:t>region-scaling property is set, cells of a given</w:t>
      </w:r>
      <w:r w:rsidRPr="006C0EC7">
        <w:rPr>
          <w:rFonts w:ascii="Times New Roman" w:hAnsi="Times New Roman" w:cs="Times New Roman"/>
          <w:color w:val="1B1B1B"/>
          <w:sz w:val="28"/>
          <w:szCs w:val="28"/>
          <w:shd w:val="clear" w:color="auto" w:fill="FFFFFF"/>
        </w:rPr>
        <w:t xml:space="preserve"> size display very similar A and H values. As a result, all singlets are grouped along the diagonal and separated from doublets and clusters (indicated by the black arrow in Figure 21). It is essential to note that this strategy requires scaling the region using experimental cells (not beads) to minimise errors.</w:t>
      </w:r>
      <w:r w:rsidR="006C0EC7">
        <w:rPr>
          <w:rFonts w:ascii="Times New Roman" w:hAnsi="Times New Roman" w:cs="Times New Roman"/>
          <w:color w:val="1B1B1B"/>
          <w:sz w:val="28"/>
          <w:szCs w:val="28"/>
          <w:shd w:val="clear" w:color="auto" w:fill="FFFFFF"/>
        </w:rPr>
        <w:t xml:space="preserve"> </w:t>
      </w:r>
      <w:r w:rsidR="00C1610E" w:rsidRPr="006C0EC7">
        <w:rPr>
          <w:rFonts w:ascii="Times New Roman" w:hAnsi="Times New Roman" w:cs="Times New Roman"/>
          <w:color w:val="1B1B1B"/>
          <w:sz w:val="28"/>
          <w:szCs w:val="28"/>
          <w:shd w:val="clear" w:color="auto" w:fill="FFFFFF"/>
        </w:rPr>
        <w:t xml:space="preserve">Plotting width vs area – this strategy, too, does not require area scaling with experimental cells, unlike H vs </w:t>
      </w:r>
      <w:r w:rsidR="00DE5223">
        <w:rPr>
          <w:rFonts w:ascii="Times New Roman" w:hAnsi="Times New Roman" w:cs="Times New Roman"/>
          <w:color w:val="1B1B1B"/>
          <w:sz w:val="28"/>
          <w:szCs w:val="28"/>
          <w:shd w:val="clear" w:color="auto" w:fill="FFFFFF"/>
        </w:rPr>
        <w:t>A,</w:t>
      </w:r>
      <w:r w:rsidR="00C1610E" w:rsidRPr="006C0EC7">
        <w:rPr>
          <w:rFonts w:ascii="Times New Roman" w:hAnsi="Times New Roman" w:cs="Times New Roman"/>
          <w:color w:val="1B1B1B"/>
          <w:sz w:val="28"/>
          <w:szCs w:val="28"/>
          <w:shd w:val="clear" w:color="auto" w:fill="FFFFFF"/>
        </w:rPr>
        <w:t xml:space="preserve"> according to Figures 21-22</w:t>
      </w:r>
      <w:r w:rsidR="00D15594" w:rsidRPr="006C0EC7">
        <w:rPr>
          <w:rFonts w:ascii="Times New Roman" w:hAnsi="Times New Roman" w:cs="Times New Roman"/>
          <w:color w:val="1B1B1B"/>
          <w:sz w:val="28"/>
          <w:szCs w:val="28"/>
          <w:shd w:val="clear" w:color="auto" w:fill="FFFFFF"/>
        </w:rPr>
        <w:t>.</w:t>
      </w:r>
    </w:p>
    <w:p w14:paraId="2FCE1A1D" w14:textId="70FCB942" w:rsidR="00847D2F" w:rsidRPr="006531C9" w:rsidRDefault="00847D2F" w:rsidP="00FC28C2">
      <w:pPr>
        <w:spacing w:after="0" w:line="360" w:lineRule="auto"/>
        <w:jc w:val="center"/>
        <w:rPr>
          <w:rFonts w:ascii="Times New Roman" w:hAnsi="Times New Roman" w:cs="Times New Roman"/>
          <w:color w:val="1B1B1B"/>
          <w:sz w:val="24"/>
          <w:szCs w:val="24"/>
          <w:shd w:val="clear" w:color="auto" w:fill="FFFFFF"/>
        </w:rPr>
      </w:pPr>
      <w:r w:rsidRPr="006531C9">
        <w:rPr>
          <w:rFonts w:ascii="Times New Roman" w:hAnsi="Times New Roman" w:cs="Times New Roman"/>
          <w:noProof/>
          <w:color w:val="1B1B1B"/>
          <w:sz w:val="24"/>
          <w:szCs w:val="24"/>
          <w:shd w:val="clear" w:color="auto" w:fill="FFFFFF"/>
        </w:rPr>
        <w:lastRenderedPageBreak/>
        <w:drawing>
          <wp:inline distT="0" distB="0" distL="0" distR="0" wp14:anchorId="43A5DED7" wp14:editId="036128C0">
            <wp:extent cx="3138442" cy="3221665"/>
            <wp:effectExtent l="0" t="0" r="5080" b="0"/>
            <wp:docPr id="9821764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9790" t="12590" r="39720" b="28731"/>
                    <a:stretch/>
                  </pic:blipFill>
                  <pic:spPr bwMode="auto">
                    <a:xfrm>
                      <a:off x="0" y="0"/>
                      <a:ext cx="3232560" cy="3318278"/>
                    </a:xfrm>
                    <a:prstGeom prst="rect">
                      <a:avLst/>
                    </a:prstGeom>
                    <a:noFill/>
                    <a:ln>
                      <a:noFill/>
                    </a:ln>
                    <a:extLst>
                      <a:ext uri="{53640926-AAD7-44D8-BBD7-CCE9431645EC}">
                        <a14:shadowObscured xmlns:a14="http://schemas.microsoft.com/office/drawing/2010/main"/>
                      </a:ext>
                    </a:extLst>
                  </pic:spPr>
                </pic:pic>
              </a:graphicData>
            </a:graphic>
          </wp:inline>
        </w:drawing>
      </w:r>
      <w:r w:rsidRPr="006531C9">
        <w:rPr>
          <w:rFonts w:ascii="Times New Roman" w:hAnsi="Times New Roman" w:cs="Times New Roman"/>
          <w:noProof/>
          <w:color w:val="1B1B1B"/>
          <w:sz w:val="24"/>
          <w:szCs w:val="24"/>
          <w:shd w:val="clear" w:color="auto" w:fill="FFFFFF"/>
        </w:rPr>
        <w:drawing>
          <wp:inline distT="0" distB="0" distL="0" distR="0" wp14:anchorId="5D54A650" wp14:editId="39994E88">
            <wp:extent cx="2731970" cy="2868546"/>
            <wp:effectExtent l="0" t="0" r="0" b="8255"/>
            <wp:docPr id="11176806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65781" t="12590" r="10147" b="32329"/>
                    <a:stretch/>
                  </pic:blipFill>
                  <pic:spPr bwMode="auto">
                    <a:xfrm>
                      <a:off x="0" y="0"/>
                      <a:ext cx="2758088" cy="2895969"/>
                    </a:xfrm>
                    <a:prstGeom prst="rect">
                      <a:avLst/>
                    </a:prstGeom>
                    <a:noFill/>
                    <a:ln>
                      <a:noFill/>
                    </a:ln>
                    <a:extLst>
                      <a:ext uri="{53640926-AAD7-44D8-BBD7-CCE9431645EC}">
                        <a14:shadowObscured xmlns:a14="http://schemas.microsoft.com/office/drawing/2010/main"/>
                      </a:ext>
                    </a:extLst>
                  </pic:spPr>
                </pic:pic>
              </a:graphicData>
            </a:graphic>
          </wp:inline>
        </w:drawing>
      </w:r>
    </w:p>
    <w:p w14:paraId="334F5598" w14:textId="5E162F9F" w:rsidR="00D34F43" w:rsidRPr="001B1423" w:rsidRDefault="00847D2F" w:rsidP="00FC28C2">
      <w:pPr>
        <w:spacing w:after="0" w:line="240" w:lineRule="auto"/>
        <w:jc w:val="center"/>
        <w:rPr>
          <w:rFonts w:ascii="Times New Roman" w:hAnsi="Times New Roman" w:cs="Times New Roman"/>
          <w:color w:val="1B1B1B"/>
          <w:sz w:val="28"/>
          <w:szCs w:val="28"/>
          <w:shd w:val="clear" w:color="auto" w:fill="FFFFFF"/>
          <w:lang w:val="en-US"/>
        </w:rPr>
      </w:pPr>
      <w:r w:rsidRPr="001B1423">
        <w:rPr>
          <w:rFonts w:ascii="Times New Roman" w:hAnsi="Times New Roman" w:cs="Times New Roman"/>
          <w:color w:val="1B1B1B"/>
          <w:sz w:val="28"/>
          <w:szCs w:val="28"/>
          <w:shd w:val="clear" w:color="auto" w:fill="FFFFFF"/>
        </w:rPr>
        <w:t>Figure 2</w:t>
      </w:r>
      <w:r w:rsidR="00DE5D32" w:rsidRPr="001B1423">
        <w:rPr>
          <w:rFonts w:ascii="Times New Roman" w:hAnsi="Times New Roman" w:cs="Times New Roman"/>
          <w:color w:val="1B1B1B"/>
          <w:sz w:val="28"/>
          <w:szCs w:val="28"/>
          <w:shd w:val="clear" w:color="auto" w:fill="FFFFFF"/>
        </w:rPr>
        <w:t>2</w:t>
      </w:r>
      <w:r w:rsidR="00694DB5" w:rsidRPr="001B1423">
        <w:rPr>
          <w:rFonts w:ascii="Times New Roman" w:hAnsi="Times New Roman" w:cs="Times New Roman"/>
          <w:color w:val="1B1B1B"/>
          <w:sz w:val="28"/>
          <w:szCs w:val="28"/>
          <w:shd w:val="clear" w:color="auto" w:fill="FFFFFF"/>
        </w:rPr>
        <w:t xml:space="preserve"> </w:t>
      </w:r>
      <w:r w:rsidR="00AE3DA2" w:rsidRPr="001B1423">
        <w:rPr>
          <w:rFonts w:ascii="Times New Roman" w:hAnsi="Times New Roman" w:cs="Times New Roman"/>
          <w:color w:val="1B1B1B"/>
          <w:sz w:val="28"/>
          <w:szCs w:val="28"/>
          <w:shd w:val="clear" w:color="auto" w:fill="FFFFFF"/>
        </w:rPr>
        <w:t>– Using</w:t>
      </w:r>
      <w:r w:rsidRPr="001B1423">
        <w:rPr>
          <w:rFonts w:ascii="Times New Roman" w:hAnsi="Times New Roman" w:cs="Times New Roman"/>
          <w:color w:val="1B1B1B"/>
          <w:sz w:val="28"/>
          <w:szCs w:val="28"/>
          <w:shd w:val="clear" w:color="auto" w:fill="FFFFFF"/>
        </w:rPr>
        <w:t xml:space="preserve"> </w:t>
      </w:r>
      <w:r w:rsidRPr="00252F7D">
        <w:rPr>
          <w:rFonts w:ascii="Times New Roman" w:hAnsi="Times New Roman" w:cs="Times New Roman"/>
          <w:color w:val="1B1B1B"/>
          <w:sz w:val="28"/>
          <w:szCs w:val="28"/>
          <w:shd w:val="clear" w:color="auto" w:fill="FFFFFF"/>
        </w:rPr>
        <w:t>SSC and FSC-H and the W-Hierarchically adjusted method</w:t>
      </w:r>
      <w:r w:rsidRPr="001B1423">
        <w:rPr>
          <w:rFonts w:ascii="Times New Roman" w:hAnsi="Times New Roman" w:cs="Times New Roman"/>
          <w:b/>
          <w:bCs/>
          <w:color w:val="1B1B1B"/>
          <w:sz w:val="28"/>
          <w:szCs w:val="28"/>
          <w:shd w:val="clear" w:color="auto" w:fill="FFFFFF"/>
        </w:rPr>
        <w:t>,</w:t>
      </w:r>
      <w:r w:rsidRPr="001B1423">
        <w:rPr>
          <w:rFonts w:ascii="Times New Roman" w:hAnsi="Times New Roman" w:cs="Times New Roman"/>
          <w:color w:val="1B1B1B"/>
          <w:sz w:val="28"/>
          <w:szCs w:val="28"/>
          <w:shd w:val="clear" w:color="auto" w:fill="FFFFFF"/>
        </w:rPr>
        <w:t xml:space="preserve"> this strategy is more accurate and recommended since it is not affected by area scaling (H is independent of W</w:t>
      </w:r>
      <w:r w:rsidR="00C1610E" w:rsidRPr="001B1423">
        <w:rPr>
          <w:rFonts w:ascii="Times New Roman" w:hAnsi="Times New Roman" w:cs="Times New Roman"/>
          <w:color w:val="1B1B1B"/>
          <w:sz w:val="28"/>
          <w:szCs w:val="28"/>
          <w:shd w:val="clear" w:color="auto" w:fill="FFFFFF"/>
        </w:rPr>
        <w:t>-width</w:t>
      </w:r>
      <w:r w:rsidRPr="001B1423">
        <w:rPr>
          <w:rFonts w:ascii="Times New Roman" w:hAnsi="Times New Roman" w:cs="Times New Roman"/>
          <w:color w:val="1B1B1B"/>
          <w:sz w:val="28"/>
          <w:szCs w:val="28"/>
          <w:shd w:val="clear" w:color="auto" w:fill="FFFFFF"/>
        </w:rPr>
        <w:t>)</w:t>
      </w:r>
    </w:p>
    <w:p w14:paraId="29643287" w14:textId="77777777" w:rsidR="004029BF" w:rsidRPr="001B1423" w:rsidRDefault="004029BF" w:rsidP="00FC28C2">
      <w:pPr>
        <w:spacing w:after="0" w:line="240" w:lineRule="auto"/>
        <w:jc w:val="center"/>
        <w:rPr>
          <w:rFonts w:ascii="Times New Roman" w:hAnsi="Times New Roman" w:cs="Times New Roman"/>
          <w:color w:val="1B1B1B"/>
          <w:sz w:val="28"/>
          <w:szCs w:val="28"/>
          <w:shd w:val="clear" w:color="auto" w:fill="FFFFFF"/>
          <w:lang w:val="en-US"/>
        </w:rPr>
      </w:pPr>
    </w:p>
    <w:p w14:paraId="37D1FAE8" w14:textId="52039862" w:rsidR="00381CC5" w:rsidRDefault="00F9317A" w:rsidP="00FC28C2">
      <w:pPr>
        <w:spacing w:after="0" w:line="240" w:lineRule="auto"/>
        <w:ind w:firstLine="708"/>
        <w:jc w:val="both"/>
        <w:rPr>
          <w:rFonts w:ascii="Times New Roman" w:hAnsi="Times New Roman" w:cs="Times New Roman"/>
          <w:color w:val="1B1B1B"/>
          <w:sz w:val="28"/>
          <w:szCs w:val="28"/>
          <w:shd w:val="clear" w:color="auto" w:fill="FFFFFF"/>
        </w:rPr>
      </w:pPr>
      <w:r w:rsidRPr="001B1423">
        <w:rPr>
          <w:rFonts w:ascii="Times New Roman" w:hAnsi="Times New Roman" w:cs="Times New Roman"/>
          <w:color w:val="1B1B1B"/>
          <w:sz w:val="28"/>
          <w:szCs w:val="28"/>
          <w:shd w:val="clear" w:color="auto" w:fill="FFFFFF"/>
        </w:rPr>
        <w:t xml:space="preserve">In summary, the methodology treats IL-33 as a central mechanistic driver. The conclusions are that the described protocols (from </w:t>
      </w:r>
      <w:r w:rsidR="003F0491" w:rsidRPr="001B1423">
        <w:rPr>
          <w:rFonts w:ascii="Times New Roman" w:hAnsi="Times New Roman" w:cs="Times New Roman"/>
          <w:color w:val="1B1B1B"/>
          <w:sz w:val="28"/>
          <w:szCs w:val="28"/>
          <w:shd w:val="clear" w:color="auto" w:fill="FFFFFF"/>
        </w:rPr>
        <w:t>their administration to the subsequent cell isolation and staining for their</w:t>
      </w:r>
      <w:r w:rsidRPr="001B1423">
        <w:rPr>
          <w:rFonts w:ascii="Times New Roman" w:hAnsi="Times New Roman" w:cs="Times New Roman"/>
          <w:color w:val="1B1B1B"/>
          <w:sz w:val="28"/>
          <w:szCs w:val="28"/>
          <w:shd w:val="clear" w:color="auto" w:fill="FFFFFF"/>
        </w:rPr>
        <w:t xml:space="preserve"> receptor) are robust and effective for specifically expanding, identifying, and studying the population of lung cells that are biologically programmed to respond to it.</w:t>
      </w:r>
      <w:r w:rsidR="00CD0649" w:rsidRPr="001B1423">
        <w:rPr>
          <w:rFonts w:ascii="Times New Roman" w:hAnsi="Times New Roman" w:cs="Times New Roman"/>
          <w:color w:val="404040"/>
          <w:sz w:val="28"/>
          <w:szCs w:val="28"/>
          <w:shd w:val="clear" w:color="auto" w:fill="FFFFFF"/>
        </w:rPr>
        <w:t xml:space="preserve"> </w:t>
      </w:r>
      <w:r w:rsidR="00CD0649" w:rsidRPr="001B1423">
        <w:rPr>
          <w:rFonts w:ascii="Times New Roman" w:hAnsi="Times New Roman" w:cs="Times New Roman"/>
          <w:color w:val="1B1B1B"/>
          <w:sz w:val="28"/>
          <w:szCs w:val="28"/>
          <w:shd w:val="clear" w:color="auto" w:fill="FFFFFF"/>
        </w:rPr>
        <w:t> The methodology for identifying ILC2s via flow cytometry is intrinsically linked to IL-33. A key defining marker for the studied ILC2 population</w:t>
      </w:r>
      <w:r w:rsidR="003F0491" w:rsidRPr="001B1423">
        <w:rPr>
          <w:rFonts w:ascii="Times New Roman" w:hAnsi="Times New Roman" w:cs="Times New Roman"/>
          <w:color w:val="1B1B1B"/>
          <w:sz w:val="28"/>
          <w:szCs w:val="28"/>
          <w:shd w:val="clear" w:color="auto" w:fill="FFFFFF"/>
        </w:rPr>
        <w:t>, specifically natural ILC2s (nILC2),</w:t>
      </w:r>
      <w:r w:rsidR="00CD0649" w:rsidRPr="001B1423">
        <w:rPr>
          <w:rFonts w:ascii="Times New Roman" w:hAnsi="Times New Roman" w:cs="Times New Roman"/>
          <w:color w:val="1B1B1B"/>
          <w:sz w:val="28"/>
          <w:szCs w:val="28"/>
          <w:shd w:val="clear" w:color="auto" w:fill="FFFFFF"/>
        </w:rPr>
        <w:t xml:space="preserve"> is ST2, the receptor for IL-33 (IL-33R). Therefore, the entire cell isolation and staining process is </w:t>
      </w:r>
      <w:r w:rsidR="003F0491" w:rsidRPr="001B1423">
        <w:rPr>
          <w:rFonts w:ascii="Times New Roman" w:hAnsi="Times New Roman" w:cs="Times New Roman"/>
          <w:color w:val="1B1B1B"/>
          <w:sz w:val="28"/>
          <w:szCs w:val="28"/>
          <w:shd w:val="clear" w:color="auto" w:fill="FFFFFF"/>
        </w:rPr>
        <w:t>optimised</w:t>
      </w:r>
      <w:r w:rsidR="00CD0649" w:rsidRPr="001B1423">
        <w:rPr>
          <w:rFonts w:ascii="Times New Roman" w:hAnsi="Times New Roman" w:cs="Times New Roman"/>
          <w:color w:val="1B1B1B"/>
          <w:sz w:val="28"/>
          <w:szCs w:val="28"/>
          <w:shd w:val="clear" w:color="auto" w:fill="FFFFFF"/>
        </w:rPr>
        <w:t xml:space="preserve"> to detect cells that respond directly to IL-33.</w:t>
      </w:r>
    </w:p>
    <w:p w14:paraId="01C01B64" w14:textId="399AE377" w:rsidR="004A456A" w:rsidRPr="004A456A" w:rsidRDefault="004A456A" w:rsidP="004A456A">
      <w:pPr>
        <w:spacing w:after="0" w:line="240" w:lineRule="auto"/>
        <w:ind w:left="360" w:firstLine="349"/>
        <w:jc w:val="both"/>
        <w:rPr>
          <w:rFonts w:ascii="Times New Roman" w:hAnsi="Times New Roman" w:cs="Times New Roman"/>
          <w:color w:val="1B1B1B"/>
          <w:sz w:val="28"/>
          <w:szCs w:val="28"/>
          <w:shd w:val="clear" w:color="auto" w:fill="FFFFFF"/>
          <w:lang w:val="en-US"/>
        </w:rPr>
      </w:pPr>
      <w:r w:rsidRPr="004A456A">
        <w:rPr>
          <w:rFonts w:ascii="Times New Roman" w:hAnsi="Times New Roman" w:cs="Times New Roman"/>
          <w:i/>
          <w:iCs/>
          <w:color w:val="1B1B1B"/>
          <w:sz w:val="28"/>
          <w:szCs w:val="28"/>
          <w:u w:val="single"/>
          <w:shd w:val="clear" w:color="auto" w:fill="FFFFFF"/>
          <w:lang w:val="en-US"/>
        </w:rPr>
        <w:t>Software</w:t>
      </w:r>
      <w:r w:rsidRPr="004A456A">
        <w:rPr>
          <w:rFonts w:ascii="Times New Roman" w:hAnsi="Times New Roman" w:cs="Times New Roman"/>
          <w:i/>
          <w:iCs/>
          <w:color w:val="1B1B1B"/>
          <w:sz w:val="28"/>
          <w:szCs w:val="28"/>
          <w:u w:val="single"/>
          <w:shd w:val="clear" w:color="auto" w:fill="FFFFFF"/>
          <w:lang w:val="en-US"/>
        </w:rPr>
        <w:br/>
      </w:r>
      <w:r w:rsidRPr="004A456A">
        <w:rPr>
          <w:rFonts w:ascii="Times New Roman" w:hAnsi="Times New Roman" w:cs="Times New Roman"/>
          <w:color w:val="1B1B1B"/>
          <w:sz w:val="28"/>
          <w:szCs w:val="28"/>
          <w:shd w:val="clear" w:color="auto" w:fill="FFFFFF"/>
          <w:lang w:val="en-US"/>
        </w:rPr>
        <w:t>The following software programs were used for the design and selection of specific primers, visualisation of results, and bioinformatics analyses:</w:t>
      </w:r>
    </w:p>
    <w:p w14:paraId="41E77CB5" w14:textId="77777777" w:rsidR="004A456A" w:rsidRPr="004A456A" w:rsidRDefault="004A456A" w:rsidP="004A456A">
      <w:pPr>
        <w:numPr>
          <w:ilvl w:val="0"/>
          <w:numId w:val="77"/>
        </w:numPr>
        <w:spacing w:after="0" w:line="240" w:lineRule="auto"/>
        <w:jc w:val="both"/>
        <w:rPr>
          <w:rFonts w:ascii="Times New Roman" w:hAnsi="Times New Roman" w:cs="Times New Roman"/>
          <w:color w:val="1B1B1B"/>
          <w:sz w:val="28"/>
          <w:szCs w:val="28"/>
          <w:shd w:val="clear" w:color="auto" w:fill="FFFFFF"/>
          <w:lang w:val="en-US"/>
        </w:rPr>
      </w:pPr>
      <w:r w:rsidRPr="004A456A">
        <w:rPr>
          <w:rFonts w:ascii="Times New Roman" w:hAnsi="Times New Roman" w:cs="Times New Roman"/>
          <w:color w:val="1B1B1B"/>
          <w:sz w:val="28"/>
          <w:szCs w:val="28"/>
          <w:shd w:val="clear" w:color="auto" w:fill="FFFFFF"/>
          <w:lang w:val="en-US"/>
        </w:rPr>
        <w:t>Primer-BLAST (</w:t>
      </w:r>
      <w:hyperlink r:id="rId47" w:tgtFrame="_new" w:history="1">
        <w:r w:rsidRPr="004A456A">
          <w:rPr>
            <w:rStyle w:val="a5"/>
            <w:rFonts w:ascii="Times New Roman" w:hAnsi="Times New Roman" w:cs="Times New Roman"/>
            <w:sz w:val="28"/>
            <w:szCs w:val="28"/>
            <w:shd w:val="clear" w:color="auto" w:fill="FFFFFF"/>
            <w:lang w:val="en-US"/>
          </w:rPr>
          <w:t>http://www.ncbi.nlm.nih.gov/tools/primer-blast</w:t>
        </w:r>
      </w:hyperlink>
      <w:r w:rsidRPr="004A456A">
        <w:rPr>
          <w:rFonts w:ascii="Times New Roman" w:hAnsi="Times New Roman" w:cs="Times New Roman"/>
          <w:color w:val="1B1B1B"/>
          <w:sz w:val="28"/>
          <w:szCs w:val="28"/>
          <w:shd w:val="clear" w:color="auto" w:fill="FFFFFF"/>
          <w:lang w:val="en-US"/>
        </w:rPr>
        <w:t>);</w:t>
      </w:r>
    </w:p>
    <w:p w14:paraId="68A7FA21" w14:textId="77777777" w:rsidR="004A456A" w:rsidRPr="004A456A" w:rsidRDefault="004A456A" w:rsidP="004A456A">
      <w:pPr>
        <w:numPr>
          <w:ilvl w:val="0"/>
          <w:numId w:val="77"/>
        </w:numPr>
        <w:spacing w:after="0" w:line="240" w:lineRule="auto"/>
        <w:jc w:val="both"/>
        <w:rPr>
          <w:rFonts w:ascii="Times New Roman" w:hAnsi="Times New Roman" w:cs="Times New Roman"/>
          <w:color w:val="1B1B1B"/>
          <w:sz w:val="28"/>
          <w:szCs w:val="28"/>
          <w:shd w:val="clear" w:color="auto" w:fill="FFFFFF"/>
          <w:lang w:val="en-US"/>
        </w:rPr>
      </w:pPr>
      <w:r w:rsidRPr="004A456A">
        <w:rPr>
          <w:rFonts w:ascii="Times New Roman" w:hAnsi="Times New Roman" w:cs="Times New Roman"/>
          <w:color w:val="1B1B1B"/>
          <w:sz w:val="28"/>
          <w:szCs w:val="28"/>
          <w:shd w:val="clear" w:color="auto" w:fill="FFFFFF"/>
          <w:lang w:val="en-US"/>
        </w:rPr>
        <w:t>Nucleotide BLAST (</w:t>
      </w:r>
      <w:hyperlink r:id="rId48" w:tgtFrame="_new" w:history="1">
        <w:r w:rsidRPr="004A456A">
          <w:rPr>
            <w:rStyle w:val="a5"/>
            <w:rFonts w:ascii="Times New Roman" w:hAnsi="Times New Roman" w:cs="Times New Roman"/>
            <w:sz w:val="28"/>
            <w:szCs w:val="28"/>
            <w:shd w:val="clear" w:color="auto" w:fill="FFFFFF"/>
            <w:lang w:val="en-US"/>
          </w:rPr>
          <w:t>https://blast.ncbi.nlm.nih.gov</w:t>
        </w:r>
      </w:hyperlink>
      <w:r w:rsidRPr="004A456A">
        <w:rPr>
          <w:rFonts w:ascii="Times New Roman" w:hAnsi="Times New Roman" w:cs="Times New Roman"/>
          <w:color w:val="1B1B1B"/>
          <w:sz w:val="28"/>
          <w:szCs w:val="28"/>
          <w:shd w:val="clear" w:color="auto" w:fill="FFFFFF"/>
          <w:lang w:val="en-US"/>
        </w:rPr>
        <w:t>);</w:t>
      </w:r>
    </w:p>
    <w:p w14:paraId="0F33B4AF" w14:textId="77777777" w:rsidR="004A456A" w:rsidRPr="004A456A" w:rsidRDefault="004A456A" w:rsidP="004A456A">
      <w:pPr>
        <w:numPr>
          <w:ilvl w:val="0"/>
          <w:numId w:val="77"/>
        </w:numPr>
        <w:spacing w:after="0" w:line="240" w:lineRule="auto"/>
        <w:jc w:val="both"/>
        <w:rPr>
          <w:rFonts w:ascii="Times New Roman" w:hAnsi="Times New Roman" w:cs="Times New Roman"/>
          <w:color w:val="1B1B1B"/>
          <w:sz w:val="28"/>
          <w:szCs w:val="28"/>
          <w:shd w:val="clear" w:color="auto" w:fill="FFFFFF"/>
          <w:lang w:val="en-US"/>
        </w:rPr>
      </w:pPr>
      <w:r w:rsidRPr="004A456A">
        <w:rPr>
          <w:rFonts w:ascii="Times New Roman" w:hAnsi="Times New Roman" w:cs="Times New Roman"/>
          <w:color w:val="1B1B1B"/>
          <w:sz w:val="28"/>
          <w:szCs w:val="28"/>
          <w:shd w:val="clear" w:color="auto" w:fill="FFFFFF"/>
          <w:lang w:val="en-US"/>
        </w:rPr>
        <w:t>Pangolin COVID-19 (</w:t>
      </w:r>
      <w:hyperlink r:id="rId49" w:tgtFrame="_new" w:history="1">
        <w:r w:rsidRPr="004A456A">
          <w:rPr>
            <w:rStyle w:val="a5"/>
            <w:rFonts w:ascii="Times New Roman" w:hAnsi="Times New Roman" w:cs="Times New Roman"/>
            <w:sz w:val="28"/>
            <w:szCs w:val="28"/>
            <w:shd w:val="clear" w:color="auto" w:fill="FFFFFF"/>
            <w:lang w:val="en-US"/>
          </w:rPr>
          <w:t>https://pangolin.cog-uk.io</w:t>
        </w:r>
      </w:hyperlink>
      <w:r w:rsidRPr="004A456A">
        <w:rPr>
          <w:rFonts w:ascii="Times New Roman" w:hAnsi="Times New Roman" w:cs="Times New Roman"/>
          <w:color w:val="1B1B1B"/>
          <w:sz w:val="28"/>
          <w:szCs w:val="28"/>
          <w:shd w:val="clear" w:color="auto" w:fill="FFFFFF"/>
          <w:lang w:val="en-US"/>
        </w:rPr>
        <w:t>);</w:t>
      </w:r>
    </w:p>
    <w:p w14:paraId="4DA7583E" w14:textId="77777777" w:rsidR="004A456A" w:rsidRPr="004A456A" w:rsidRDefault="004A456A" w:rsidP="004A456A">
      <w:pPr>
        <w:numPr>
          <w:ilvl w:val="0"/>
          <w:numId w:val="77"/>
        </w:numPr>
        <w:spacing w:after="0" w:line="240" w:lineRule="auto"/>
        <w:jc w:val="both"/>
        <w:rPr>
          <w:rFonts w:ascii="Times New Roman" w:hAnsi="Times New Roman" w:cs="Times New Roman"/>
          <w:color w:val="1B1B1B"/>
          <w:sz w:val="28"/>
          <w:szCs w:val="28"/>
          <w:shd w:val="clear" w:color="auto" w:fill="FFFFFF"/>
          <w:lang w:val="de-DE"/>
        </w:rPr>
      </w:pPr>
      <w:proofErr w:type="spellStart"/>
      <w:r w:rsidRPr="004A456A">
        <w:rPr>
          <w:rFonts w:ascii="Times New Roman" w:hAnsi="Times New Roman" w:cs="Times New Roman"/>
          <w:color w:val="1B1B1B"/>
          <w:sz w:val="28"/>
          <w:szCs w:val="28"/>
          <w:shd w:val="clear" w:color="auto" w:fill="FFFFFF"/>
          <w:lang w:val="de-DE"/>
        </w:rPr>
        <w:t>Sequencher</w:t>
      </w:r>
      <w:proofErr w:type="spellEnd"/>
      <w:r w:rsidRPr="004A456A">
        <w:rPr>
          <w:rFonts w:ascii="Times New Roman" w:hAnsi="Times New Roman" w:cs="Times New Roman"/>
          <w:color w:val="1B1B1B"/>
          <w:sz w:val="28"/>
          <w:szCs w:val="28"/>
          <w:shd w:val="clear" w:color="auto" w:fill="FFFFFF"/>
          <w:lang w:val="de-DE"/>
        </w:rPr>
        <w:t xml:space="preserve"> v.5.4 (Gene Codes Corporation, Ann Arbor, MI, USA);</w:t>
      </w:r>
    </w:p>
    <w:p w14:paraId="27F124FB" w14:textId="77777777" w:rsidR="004A456A" w:rsidRPr="004A456A" w:rsidRDefault="004A456A" w:rsidP="004A456A">
      <w:pPr>
        <w:numPr>
          <w:ilvl w:val="0"/>
          <w:numId w:val="77"/>
        </w:numPr>
        <w:spacing w:after="0" w:line="240" w:lineRule="auto"/>
        <w:jc w:val="both"/>
        <w:rPr>
          <w:rFonts w:ascii="Times New Roman" w:hAnsi="Times New Roman" w:cs="Times New Roman"/>
          <w:color w:val="1B1B1B"/>
          <w:sz w:val="28"/>
          <w:szCs w:val="28"/>
          <w:shd w:val="clear" w:color="auto" w:fill="FFFFFF"/>
          <w:lang w:val="en-US"/>
        </w:rPr>
      </w:pPr>
      <w:r w:rsidRPr="004A456A">
        <w:rPr>
          <w:rFonts w:ascii="Times New Roman" w:hAnsi="Times New Roman" w:cs="Times New Roman"/>
          <w:color w:val="1B1B1B"/>
          <w:sz w:val="28"/>
          <w:szCs w:val="28"/>
          <w:shd w:val="clear" w:color="auto" w:fill="FFFFFF"/>
          <w:lang w:val="en-US"/>
        </w:rPr>
        <w:t>COVID-19 Genome Annotator (</w:t>
      </w:r>
      <w:hyperlink r:id="rId50" w:tgtFrame="_new" w:history="1">
        <w:r w:rsidRPr="004A456A">
          <w:rPr>
            <w:rStyle w:val="a5"/>
            <w:rFonts w:ascii="Times New Roman" w:hAnsi="Times New Roman" w:cs="Times New Roman"/>
            <w:sz w:val="28"/>
            <w:szCs w:val="28"/>
            <w:shd w:val="clear" w:color="auto" w:fill="FFFFFF"/>
            <w:lang w:val="en-US"/>
          </w:rPr>
          <w:t>http://giorgilab.unibo.it/coronannotator</w:t>
        </w:r>
      </w:hyperlink>
      <w:r w:rsidRPr="004A456A">
        <w:rPr>
          <w:rFonts w:ascii="Times New Roman" w:hAnsi="Times New Roman" w:cs="Times New Roman"/>
          <w:color w:val="1B1B1B"/>
          <w:sz w:val="28"/>
          <w:szCs w:val="28"/>
          <w:shd w:val="clear" w:color="auto" w:fill="FFFFFF"/>
          <w:lang w:val="en-US"/>
        </w:rPr>
        <w:t>);</w:t>
      </w:r>
    </w:p>
    <w:p w14:paraId="69247E95" w14:textId="77777777" w:rsidR="004A456A" w:rsidRPr="004A456A" w:rsidRDefault="004A456A" w:rsidP="004A456A">
      <w:pPr>
        <w:numPr>
          <w:ilvl w:val="0"/>
          <w:numId w:val="77"/>
        </w:numPr>
        <w:spacing w:after="0" w:line="240" w:lineRule="auto"/>
        <w:jc w:val="both"/>
        <w:rPr>
          <w:rFonts w:ascii="Times New Roman" w:hAnsi="Times New Roman" w:cs="Times New Roman"/>
          <w:color w:val="1B1B1B"/>
          <w:sz w:val="28"/>
          <w:szCs w:val="28"/>
          <w:shd w:val="clear" w:color="auto" w:fill="FFFFFF"/>
          <w:lang w:val="ru-RU"/>
        </w:rPr>
      </w:pPr>
      <w:r w:rsidRPr="004A456A">
        <w:rPr>
          <w:rFonts w:ascii="Times New Roman" w:hAnsi="Times New Roman" w:cs="Times New Roman"/>
          <w:color w:val="1B1B1B"/>
          <w:sz w:val="28"/>
          <w:szCs w:val="28"/>
          <w:shd w:val="clear" w:color="auto" w:fill="FFFFFF"/>
          <w:lang w:val="ru-RU"/>
        </w:rPr>
        <w:t>MEGA 11;</w:t>
      </w:r>
    </w:p>
    <w:p w14:paraId="38190C52" w14:textId="77777777" w:rsidR="004A456A" w:rsidRPr="004A456A" w:rsidRDefault="004A456A" w:rsidP="004A456A">
      <w:pPr>
        <w:numPr>
          <w:ilvl w:val="0"/>
          <w:numId w:val="77"/>
        </w:numPr>
        <w:spacing w:after="0" w:line="240" w:lineRule="auto"/>
        <w:jc w:val="both"/>
        <w:rPr>
          <w:rFonts w:ascii="Times New Roman" w:hAnsi="Times New Roman" w:cs="Times New Roman"/>
          <w:color w:val="1B1B1B"/>
          <w:sz w:val="28"/>
          <w:szCs w:val="28"/>
          <w:shd w:val="clear" w:color="auto" w:fill="FFFFFF"/>
          <w:lang w:val="en-US"/>
        </w:rPr>
      </w:pPr>
      <w:proofErr w:type="spellStart"/>
      <w:r w:rsidRPr="004A456A">
        <w:rPr>
          <w:rFonts w:ascii="Times New Roman" w:hAnsi="Times New Roman" w:cs="Times New Roman"/>
          <w:color w:val="1B1B1B"/>
          <w:sz w:val="28"/>
          <w:szCs w:val="28"/>
          <w:shd w:val="clear" w:color="auto" w:fill="FFFFFF"/>
          <w:lang w:val="en-US"/>
        </w:rPr>
        <w:t>NanoDrop</w:t>
      </w:r>
      <w:proofErr w:type="spellEnd"/>
      <w:r w:rsidRPr="004A456A">
        <w:rPr>
          <w:rFonts w:ascii="Times New Roman" w:hAnsi="Times New Roman" w:cs="Times New Roman"/>
          <w:color w:val="1B1B1B"/>
          <w:sz w:val="28"/>
          <w:szCs w:val="28"/>
          <w:shd w:val="clear" w:color="auto" w:fill="FFFFFF"/>
          <w:lang w:val="en-US"/>
        </w:rPr>
        <w:t xml:space="preserve"> 2000, Thermo Fisher Scientific, USA;</w:t>
      </w:r>
    </w:p>
    <w:p w14:paraId="33FA78BC" w14:textId="77777777" w:rsidR="004A456A" w:rsidRPr="004A456A" w:rsidRDefault="004A456A" w:rsidP="004A456A">
      <w:pPr>
        <w:numPr>
          <w:ilvl w:val="0"/>
          <w:numId w:val="77"/>
        </w:numPr>
        <w:spacing w:after="0" w:line="240" w:lineRule="auto"/>
        <w:jc w:val="both"/>
        <w:rPr>
          <w:rFonts w:ascii="Times New Roman" w:hAnsi="Times New Roman" w:cs="Times New Roman"/>
          <w:color w:val="1B1B1B"/>
          <w:sz w:val="28"/>
          <w:szCs w:val="28"/>
          <w:shd w:val="clear" w:color="auto" w:fill="FFFFFF"/>
          <w:lang w:val="ru-RU"/>
        </w:rPr>
      </w:pPr>
      <w:proofErr w:type="spellStart"/>
      <w:r w:rsidRPr="004A456A">
        <w:rPr>
          <w:rFonts w:ascii="Times New Roman" w:hAnsi="Times New Roman" w:cs="Times New Roman"/>
          <w:color w:val="1B1B1B"/>
          <w:sz w:val="28"/>
          <w:szCs w:val="28"/>
          <w:shd w:val="clear" w:color="auto" w:fill="FFFFFF"/>
          <w:lang w:val="ru-RU"/>
        </w:rPr>
        <w:t>GelCapture</w:t>
      </w:r>
      <w:proofErr w:type="spellEnd"/>
      <w:r w:rsidRPr="004A456A">
        <w:rPr>
          <w:rFonts w:ascii="Times New Roman" w:hAnsi="Times New Roman" w:cs="Times New Roman"/>
          <w:color w:val="1B1B1B"/>
          <w:sz w:val="28"/>
          <w:szCs w:val="28"/>
          <w:shd w:val="clear" w:color="auto" w:fill="FFFFFF"/>
          <w:lang w:val="ru-RU"/>
        </w:rPr>
        <w:t xml:space="preserve">, DNR </w:t>
      </w:r>
      <w:proofErr w:type="spellStart"/>
      <w:r w:rsidRPr="004A456A">
        <w:rPr>
          <w:rFonts w:ascii="Times New Roman" w:hAnsi="Times New Roman" w:cs="Times New Roman"/>
          <w:color w:val="1B1B1B"/>
          <w:sz w:val="28"/>
          <w:szCs w:val="28"/>
          <w:shd w:val="clear" w:color="auto" w:fill="FFFFFF"/>
          <w:lang w:val="ru-RU"/>
        </w:rPr>
        <w:t>Bio-Imaging</w:t>
      </w:r>
      <w:proofErr w:type="spellEnd"/>
      <w:r w:rsidRPr="004A456A">
        <w:rPr>
          <w:rFonts w:ascii="Times New Roman" w:hAnsi="Times New Roman" w:cs="Times New Roman"/>
          <w:color w:val="1B1B1B"/>
          <w:sz w:val="28"/>
          <w:szCs w:val="28"/>
          <w:shd w:val="clear" w:color="auto" w:fill="FFFFFF"/>
          <w:lang w:val="ru-RU"/>
        </w:rPr>
        <w:t xml:space="preserve"> Systems Ltd, Israel;</w:t>
      </w:r>
    </w:p>
    <w:p w14:paraId="2AF6A10F" w14:textId="77777777" w:rsidR="004A456A" w:rsidRPr="004A456A" w:rsidRDefault="004A456A" w:rsidP="004A456A">
      <w:pPr>
        <w:numPr>
          <w:ilvl w:val="0"/>
          <w:numId w:val="77"/>
        </w:numPr>
        <w:spacing w:after="0" w:line="240" w:lineRule="auto"/>
        <w:jc w:val="both"/>
        <w:rPr>
          <w:rFonts w:ascii="Times New Roman" w:hAnsi="Times New Roman" w:cs="Times New Roman"/>
          <w:color w:val="1B1B1B"/>
          <w:sz w:val="28"/>
          <w:szCs w:val="28"/>
          <w:shd w:val="clear" w:color="auto" w:fill="FFFFFF"/>
          <w:lang w:val="ru-RU"/>
        </w:rPr>
      </w:pPr>
      <w:proofErr w:type="spellStart"/>
      <w:r w:rsidRPr="004A456A">
        <w:rPr>
          <w:rFonts w:ascii="Times New Roman" w:hAnsi="Times New Roman" w:cs="Times New Roman"/>
          <w:color w:val="1B1B1B"/>
          <w:sz w:val="28"/>
          <w:szCs w:val="28"/>
          <w:shd w:val="clear" w:color="auto" w:fill="FFFFFF"/>
          <w:lang w:val="ru-RU"/>
        </w:rPr>
        <w:t>Rotor-Gene</w:t>
      </w:r>
      <w:proofErr w:type="spellEnd"/>
      <w:r w:rsidRPr="004A456A">
        <w:rPr>
          <w:rFonts w:ascii="Times New Roman" w:hAnsi="Times New Roman" w:cs="Times New Roman"/>
          <w:color w:val="1B1B1B"/>
          <w:sz w:val="28"/>
          <w:szCs w:val="28"/>
          <w:shd w:val="clear" w:color="auto" w:fill="FFFFFF"/>
          <w:lang w:val="ru-RU"/>
        </w:rPr>
        <w:t xml:space="preserve"> Q, </w:t>
      </w:r>
      <w:proofErr w:type="spellStart"/>
      <w:r w:rsidRPr="004A456A">
        <w:rPr>
          <w:rFonts w:ascii="Times New Roman" w:hAnsi="Times New Roman" w:cs="Times New Roman"/>
          <w:color w:val="1B1B1B"/>
          <w:sz w:val="28"/>
          <w:szCs w:val="28"/>
          <w:shd w:val="clear" w:color="auto" w:fill="FFFFFF"/>
          <w:lang w:val="ru-RU"/>
        </w:rPr>
        <w:t>version</w:t>
      </w:r>
      <w:proofErr w:type="spellEnd"/>
      <w:r w:rsidRPr="004A456A">
        <w:rPr>
          <w:rFonts w:ascii="Times New Roman" w:hAnsi="Times New Roman" w:cs="Times New Roman"/>
          <w:color w:val="1B1B1B"/>
          <w:sz w:val="28"/>
          <w:szCs w:val="28"/>
          <w:shd w:val="clear" w:color="auto" w:fill="FFFFFF"/>
          <w:lang w:val="ru-RU"/>
        </w:rPr>
        <w:t xml:space="preserve"> 1.8.187.5, </w:t>
      </w:r>
      <w:proofErr w:type="spellStart"/>
      <w:r w:rsidRPr="004A456A">
        <w:rPr>
          <w:rFonts w:ascii="Times New Roman" w:hAnsi="Times New Roman" w:cs="Times New Roman"/>
          <w:color w:val="1B1B1B"/>
          <w:sz w:val="28"/>
          <w:szCs w:val="28"/>
          <w:shd w:val="clear" w:color="auto" w:fill="FFFFFF"/>
          <w:lang w:val="ru-RU"/>
        </w:rPr>
        <w:t>Qiagen</w:t>
      </w:r>
      <w:proofErr w:type="spellEnd"/>
      <w:r w:rsidRPr="004A456A">
        <w:rPr>
          <w:rFonts w:ascii="Times New Roman" w:hAnsi="Times New Roman" w:cs="Times New Roman"/>
          <w:color w:val="1B1B1B"/>
          <w:sz w:val="28"/>
          <w:szCs w:val="28"/>
          <w:shd w:val="clear" w:color="auto" w:fill="FFFFFF"/>
          <w:lang w:val="ru-RU"/>
        </w:rPr>
        <w:t xml:space="preserve">, </w:t>
      </w:r>
      <w:proofErr w:type="spellStart"/>
      <w:r w:rsidRPr="004A456A">
        <w:rPr>
          <w:rFonts w:ascii="Times New Roman" w:hAnsi="Times New Roman" w:cs="Times New Roman"/>
          <w:color w:val="1B1B1B"/>
          <w:sz w:val="28"/>
          <w:szCs w:val="28"/>
          <w:shd w:val="clear" w:color="auto" w:fill="FFFFFF"/>
          <w:lang w:val="ru-RU"/>
        </w:rPr>
        <w:t>Germany</w:t>
      </w:r>
      <w:proofErr w:type="spellEnd"/>
      <w:r w:rsidRPr="004A456A">
        <w:rPr>
          <w:rFonts w:ascii="Times New Roman" w:hAnsi="Times New Roman" w:cs="Times New Roman"/>
          <w:color w:val="1B1B1B"/>
          <w:sz w:val="28"/>
          <w:szCs w:val="28"/>
          <w:shd w:val="clear" w:color="auto" w:fill="FFFFFF"/>
          <w:lang w:val="ru-RU"/>
        </w:rPr>
        <w:t>.</w:t>
      </w:r>
    </w:p>
    <w:p w14:paraId="26D072A0" w14:textId="77777777" w:rsidR="004A456A" w:rsidRDefault="004A456A" w:rsidP="004A456A">
      <w:pPr>
        <w:spacing w:after="0" w:line="240" w:lineRule="auto"/>
        <w:jc w:val="both"/>
        <w:rPr>
          <w:rFonts w:ascii="Times New Roman" w:hAnsi="Times New Roman" w:cs="Times New Roman"/>
          <w:color w:val="1B1B1B"/>
          <w:sz w:val="28"/>
          <w:szCs w:val="28"/>
          <w:shd w:val="clear" w:color="auto" w:fill="FFFFFF"/>
          <w:lang w:val="en-US"/>
        </w:rPr>
      </w:pPr>
    </w:p>
    <w:p w14:paraId="57FD7DD4" w14:textId="77777777" w:rsidR="004A456A" w:rsidRPr="004A456A" w:rsidRDefault="004A456A" w:rsidP="004A456A">
      <w:pPr>
        <w:spacing w:after="0" w:line="240" w:lineRule="auto"/>
        <w:jc w:val="both"/>
        <w:rPr>
          <w:rFonts w:ascii="Times New Roman" w:hAnsi="Times New Roman" w:cs="Times New Roman"/>
          <w:color w:val="1B1B1B"/>
          <w:sz w:val="28"/>
          <w:szCs w:val="28"/>
          <w:shd w:val="clear" w:color="auto" w:fill="FFFFFF"/>
          <w:lang w:val="en-US"/>
        </w:rPr>
      </w:pPr>
    </w:p>
    <w:p w14:paraId="4A8254E3" w14:textId="77777777" w:rsidR="004A456A" w:rsidRPr="001B1423" w:rsidRDefault="004A456A" w:rsidP="00FC28C2">
      <w:pPr>
        <w:spacing w:after="0" w:line="240" w:lineRule="auto"/>
        <w:ind w:firstLine="708"/>
        <w:jc w:val="both"/>
        <w:rPr>
          <w:rFonts w:ascii="Times New Roman" w:hAnsi="Times New Roman" w:cs="Times New Roman"/>
          <w:color w:val="1B1B1B"/>
          <w:sz w:val="28"/>
          <w:szCs w:val="28"/>
          <w:shd w:val="clear" w:color="auto" w:fill="FFFFFF"/>
        </w:rPr>
      </w:pPr>
    </w:p>
    <w:p w14:paraId="1BC16923" w14:textId="60936CCF" w:rsidR="00C71F38" w:rsidRDefault="00853685" w:rsidP="009E7533">
      <w:pPr>
        <w:pStyle w:val="af1"/>
        <w:numPr>
          <w:ilvl w:val="0"/>
          <w:numId w:val="76"/>
        </w:numPr>
        <w:spacing w:after="0" w:line="240" w:lineRule="auto"/>
        <w:ind w:firstLine="334"/>
        <w:jc w:val="both"/>
        <w:rPr>
          <w:rFonts w:ascii="Times New Roman" w:hAnsi="Times New Roman" w:cs="Times New Roman"/>
          <w:b/>
          <w:bCs/>
          <w:sz w:val="28"/>
          <w:szCs w:val="28"/>
        </w:rPr>
      </w:pPr>
      <w:r w:rsidRPr="001B1423">
        <w:rPr>
          <w:rFonts w:ascii="Times New Roman" w:hAnsi="Times New Roman" w:cs="Times New Roman"/>
          <w:b/>
          <w:bCs/>
          <w:sz w:val="28"/>
          <w:szCs w:val="28"/>
        </w:rPr>
        <w:lastRenderedPageBreak/>
        <w:t xml:space="preserve">RESULTS </w:t>
      </w:r>
      <w:r w:rsidR="00567ACA" w:rsidRPr="001B1423">
        <w:rPr>
          <w:rFonts w:ascii="Times New Roman" w:hAnsi="Times New Roman" w:cs="Times New Roman"/>
          <w:b/>
          <w:bCs/>
          <w:sz w:val="28"/>
          <w:szCs w:val="28"/>
        </w:rPr>
        <w:t>AND DISCUSSION</w:t>
      </w:r>
    </w:p>
    <w:p w14:paraId="55B21764" w14:textId="77777777" w:rsidR="00125237" w:rsidRPr="001B1423" w:rsidRDefault="00125237" w:rsidP="00125237">
      <w:pPr>
        <w:pStyle w:val="af1"/>
        <w:spacing w:after="0" w:line="240" w:lineRule="auto"/>
        <w:jc w:val="both"/>
        <w:rPr>
          <w:rFonts w:ascii="Times New Roman" w:hAnsi="Times New Roman" w:cs="Times New Roman"/>
          <w:b/>
          <w:bCs/>
          <w:sz w:val="28"/>
          <w:szCs w:val="28"/>
        </w:rPr>
      </w:pPr>
    </w:p>
    <w:p w14:paraId="5F10CD97" w14:textId="4A5EE634" w:rsidR="00A320A6" w:rsidRPr="000E6DC0" w:rsidRDefault="000E6DC0" w:rsidP="000E6DC0">
      <w:pPr>
        <w:spacing w:after="0" w:line="240" w:lineRule="auto"/>
        <w:ind w:left="709"/>
        <w:jc w:val="both"/>
        <w:rPr>
          <w:rFonts w:ascii="Times New Roman" w:hAnsi="Times New Roman" w:cs="Times New Roman"/>
          <w:b/>
          <w:bCs/>
          <w:sz w:val="28"/>
          <w:szCs w:val="28"/>
        </w:rPr>
      </w:pPr>
      <w:r>
        <w:rPr>
          <w:rFonts w:ascii="Times New Roman" w:hAnsi="Times New Roman" w:cs="Times New Roman"/>
          <w:b/>
          <w:bCs/>
          <w:sz w:val="28"/>
          <w:szCs w:val="28"/>
        </w:rPr>
        <w:t xml:space="preserve">3.1 </w:t>
      </w:r>
      <w:r w:rsidR="008571A4" w:rsidRPr="000E6DC0">
        <w:rPr>
          <w:rFonts w:ascii="Times New Roman" w:hAnsi="Times New Roman" w:cs="Times New Roman"/>
          <w:b/>
          <w:bCs/>
          <w:sz w:val="28"/>
          <w:szCs w:val="28"/>
        </w:rPr>
        <w:t xml:space="preserve">Vero E6 </w:t>
      </w:r>
      <w:r w:rsidR="00D902A6" w:rsidRPr="000E6DC0">
        <w:rPr>
          <w:rFonts w:ascii="Times New Roman" w:hAnsi="Times New Roman" w:cs="Times New Roman"/>
          <w:b/>
          <w:bCs/>
          <w:sz w:val="28"/>
          <w:szCs w:val="28"/>
        </w:rPr>
        <w:t xml:space="preserve">cell infection and 72-hour incubation, </w:t>
      </w:r>
      <w:r w:rsidR="00B47A31" w:rsidRPr="000E6DC0">
        <w:rPr>
          <w:rFonts w:ascii="Times New Roman" w:hAnsi="Times New Roman" w:cs="Times New Roman"/>
          <w:b/>
          <w:bCs/>
          <w:sz w:val="28"/>
          <w:szCs w:val="28"/>
        </w:rPr>
        <w:t>titer</w:t>
      </w:r>
      <w:r w:rsidR="00680F49" w:rsidRPr="000E6DC0">
        <w:rPr>
          <w:rFonts w:ascii="Times New Roman" w:hAnsi="Times New Roman" w:cs="Times New Roman"/>
          <w:b/>
          <w:bCs/>
          <w:sz w:val="28"/>
          <w:szCs w:val="28"/>
        </w:rPr>
        <w:t xml:space="preserve"> production from Bronchoalveolar lavage fluid (BALF) and murine upper airways</w:t>
      </w:r>
      <w:r w:rsidR="008571A4" w:rsidRPr="000E6DC0">
        <w:rPr>
          <w:rFonts w:ascii="Times New Roman" w:hAnsi="Times New Roman" w:cs="Times New Roman"/>
          <w:b/>
          <w:bCs/>
          <w:sz w:val="28"/>
          <w:szCs w:val="28"/>
        </w:rPr>
        <w:t xml:space="preserve">  </w:t>
      </w:r>
    </w:p>
    <w:p w14:paraId="67BB5576" w14:textId="4F7513FF" w:rsidR="00D1078E" w:rsidRPr="001B1423" w:rsidRDefault="008571A4" w:rsidP="001B1423">
      <w:pPr>
        <w:spacing w:after="0" w:line="240" w:lineRule="auto"/>
        <w:ind w:firstLine="709"/>
        <w:jc w:val="both"/>
        <w:rPr>
          <w:rFonts w:ascii="Times New Roman" w:hAnsi="Times New Roman" w:cs="Times New Roman"/>
          <w:sz w:val="28"/>
          <w:szCs w:val="28"/>
        </w:rPr>
      </w:pPr>
      <w:r w:rsidRPr="001B1423">
        <w:rPr>
          <w:rFonts w:ascii="Times New Roman" w:hAnsi="Times New Roman" w:cs="Times New Roman"/>
          <w:sz w:val="28"/>
          <w:szCs w:val="28"/>
        </w:rPr>
        <w:t xml:space="preserve">Vero cells are an ideal model for </w:t>
      </w:r>
      <w:r w:rsidR="0043116B" w:rsidRPr="001B1423">
        <w:rPr>
          <w:rFonts w:ascii="Times New Roman" w:hAnsi="Times New Roman" w:cs="Times New Roman"/>
          <w:sz w:val="28"/>
          <w:szCs w:val="28"/>
        </w:rPr>
        <w:t xml:space="preserve">SARS-CoV-2 infection because they can </w:t>
      </w:r>
      <w:r w:rsidR="00A57D64">
        <w:rPr>
          <w:rFonts w:ascii="Times New Roman" w:hAnsi="Times New Roman" w:cs="Times New Roman"/>
          <w:sz w:val="28"/>
          <w:szCs w:val="28"/>
        </w:rPr>
        <w:t>support and sustain viral infection and do not require procedures such as trypsinisation, as demonstrated by both MTT and CCK8 assays</w:t>
      </w:r>
      <w:r w:rsidR="00715515" w:rsidRPr="001B1423">
        <w:rPr>
          <w:rFonts w:ascii="Times New Roman" w:hAnsi="Times New Roman" w:cs="Times New Roman"/>
          <w:sz w:val="28"/>
          <w:szCs w:val="28"/>
        </w:rPr>
        <w:t>.</w:t>
      </w:r>
      <w:r w:rsidR="00715515" w:rsidRPr="001B1423">
        <w:rPr>
          <w:rFonts w:ascii="Times New Roman" w:hAnsi="Times New Roman" w:cs="Times New Roman"/>
          <w:b/>
          <w:bCs/>
          <w:sz w:val="28"/>
          <w:szCs w:val="28"/>
        </w:rPr>
        <w:t xml:space="preserve"> </w:t>
      </w:r>
      <w:r w:rsidR="00715515" w:rsidRPr="001B1423">
        <w:rPr>
          <w:rFonts w:ascii="Times New Roman" w:hAnsi="Times New Roman" w:cs="Times New Roman"/>
          <w:sz w:val="28"/>
          <w:szCs w:val="28"/>
        </w:rPr>
        <w:t xml:space="preserve">ACE2 Receptor Expression: Vero E6 cells express the angiotensin-converting enzyme 2 (ACE2) receptor, which SARS-CoV-2 uses for cellular entry. This makes them highly susceptible to </w:t>
      </w:r>
      <w:r w:rsidR="00A57D64">
        <w:rPr>
          <w:rFonts w:ascii="Times New Roman" w:hAnsi="Times New Roman" w:cs="Times New Roman"/>
          <w:sz w:val="28"/>
          <w:szCs w:val="28"/>
        </w:rPr>
        <w:t>viral infection and replication</w:t>
      </w:r>
      <w:r w:rsidR="00715515" w:rsidRPr="001B1423">
        <w:rPr>
          <w:rFonts w:ascii="Times New Roman" w:hAnsi="Times New Roman" w:cs="Times New Roman"/>
          <w:sz w:val="28"/>
          <w:szCs w:val="28"/>
        </w:rPr>
        <w:t>. So</w:t>
      </w:r>
      <w:r w:rsidR="00AE7C59" w:rsidRPr="001B1423">
        <w:rPr>
          <w:rFonts w:ascii="Times New Roman" w:hAnsi="Times New Roman" w:cs="Times New Roman"/>
          <w:sz w:val="28"/>
          <w:szCs w:val="28"/>
        </w:rPr>
        <w:t>, t</w:t>
      </w:r>
      <w:r w:rsidRPr="001B1423">
        <w:rPr>
          <w:rFonts w:ascii="Times New Roman" w:hAnsi="Times New Roman" w:cs="Times New Roman"/>
          <w:sz w:val="28"/>
          <w:szCs w:val="28"/>
        </w:rPr>
        <w:t xml:space="preserve">he extensive cytopathic effect can be detected on the first day of incubation. After 72 hours, over 80% of cells are severely damaged, </w:t>
      </w:r>
      <w:r w:rsidR="00A57D64">
        <w:rPr>
          <w:rFonts w:ascii="Times New Roman" w:hAnsi="Times New Roman" w:cs="Times New Roman"/>
          <w:sz w:val="28"/>
          <w:szCs w:val="28"/>
        </w:rPr>
        <w:t>whereas the prefiltered Vero cells remain</w:t>
      </w:r>
      <w:r w:rsidRPr="001B1423">
        <w:rPr>
          <w:rFonts w:ascii="Times New Roman" w:hAnsi="Times New Roman" w:cs="Times New Roman"/>
          <w:sz w:val="28"/>
          <w:szCs w:val="28"/>
        </w:rPr>
        <w:t xml:space="preserve"> intact even after 5 days</w:t>
      </w:r>
      <w:r w:rsidR="0046570C" w:rsidRPr="001B1423">
        <w:rPr>
          <w:rFonts w:ascii="Times New Roman" w:hAnsi="Times New Roman" w:cs="Times New Roman"/>
          <w:sz w:val="28"/>
          <w:szCs w:val="28"/>
        </w:rPr>
        <w:t xml:space="preserve">. </w:t>
      </w:r>
      <w:r w:rsidRPr="001B1423">
        <w:rPr>
          <w:rFonts w:ascii="Times New Roman" w:hAnsi="Times New Roman" w:cs="Times New Roman"/>
          <w:sz w:val="28"/>
          <w:szCs w:val="28"/>
        </w:rPr>
        <w:t xml:space="preserve"> </w:t>
      </w:r>
      <w:r w:rsidR="00EC1126" w:rsidRPr="001B1423">
        <w:rPr>
          <w:rFonts w:ascii="Times New Roman" w:hAnsi="Times New Roman" w:cs="Times New Roman"/>
          <w:sz w:val="28"/>
          <w:szCs w:val="28"/>
        </w:rPr>
        <w:t>Thanks to Vero cells, 12 selected intact BALF samples demonstrated a target viral load MOI of 2, as antiviral studies were conducted using</w:t>
      </w:r>
      <w:r w:rsidR="00AE7C59" w:rsidRPr="001B1423">
        <w:rPr>
          <w:rFonts w:ascii="Times New Roman" w:hAnsi="Times New Roman" w:cs="Times New Roman"/>
          <w:sz w:val="28"/>
          <w:szCs w:val="28"/>
        </w:rPr>
        <w:t xml:space="preserve"> </w:t>
      </w:r>
      <w:r w:rsidR="00B47A31" w:rsidRPr="001B1423">
        <w:rPr>
          <w:rFonts w:ascii="Times New Roman" w:hAnsi="Times New Roman" w:cs="Times New Roman"/>
          <w:sz w:val="28"/>
          <w:szCs w:val="28"/>
        </w:rPr>
        <w:t>tablet</w:t>
      </w:r>
      <w:r w:rsidR="00AE7C59" w:rsidRPr="001B1423">
        <w:rPr>
          <w:rFonts w:ascii="Times New Roman" w:hAnsi="Times New Roman" w:cs="Times New Roman"/>
          <w:sz w:val="28"/>
          <w:szCs w:val="28"/>
        </w:rPr>
        <w:t xml:space="preserve"> drugs. Such </w:t>
      </w:r>
      <w:r w:rsidR="00A70107" w:rsidRPr="001B1423">
        <w:rPr>
          <w:rFonts w:ascii="Times New Roman" w:hAnsi="Times New Roman" w:cs="Times New Roman"/>
          <w:sz w:val="28"/>
          <w:szCs w:val="28"/>
        </w:rPr>
        <w:t xml:space="preserve">a </w:t>
      </w:r>
      <w:r w:rsidR="00AE7C59" w:rsidRPr="001B1423">
        <w:rPr>
          <w:rFonts w:ascii="Times New Roman" w:hAnsi="Times New Roman" w:cs="Times New Roman"/>
          <w:sz w:val="28"/>
          <w:szCs w:val="28"/>
        </w:rPr>
        <w:t xml:space="preserve">viral load enabled the author to detect antiviral activity.  The viral </w:t>
      </w:r>
      <w:r w:rsidR="00A70107" w:rsidRPr="001B1423">
        <w:rPr>
          <w:rFonts w:ascii="Times New Roman" w:hAnsi="Times New Roman" w:cs="Times New Roman"/>
          <w:sz w:val="28"/>
          <w:szCs w:val="28"/>
        </w:rPr>
        <w:t>titer</w:t>
      </w:r>
      <w:r w:rsidR="00DE38CA" w:rsidRPr="001B1423">
        <w:rPr>
          <w:rFonts w:ascii="Times New Roman" w:hAnsi="Times New Roman" w:cs="Times New Roman"/>
          <w:sz w:val="28"/>
          <w:szCs w:val="28"/>
        </w:rPr>
        <w:t xml:space="preserve"> from Vero E6 cells with an MOI of 2 could be used in antiviral assays. In contrast, </w:t>
      </w:r>
      <w:r w:rsidR="00A57D64">
        <w:rPr>
          <w:rFonts w:ascii="Times New Roman" w:hAnsi="Times New Roman" w:cs="Times New Roman"/>
          <w:sz w:val="28"/>
          <w:szCs w:val="28"/>
        </w:rPr>
        <w:t>BALF supernatants from 12 samples were prioritised for molecular biology applications, such as sequencing and qPCR/real-time PCR</w:t>
      </w:r>
      <w:r w:rsidR="00AE7C59" w:rsidRPr="001B1423">
        <w:rPr>
          <w:rFonts w:ascii="Times New Roman" w:hAnsi="Times New Roman" w:cs="Times New Roman"/>
          <w:sz w:val="28"/>
          <w:szCs w:val="28"/>
        </w:rPr>
        <w:t xml:space="preserve">. </w:t>
      </w:r>
      <w:r w:rsidR="00935DCA" w:rsidRPr="001B1423">
        <w:rPr>
          <w:rFonts w:ascii="Times New Roman" w:hAnsi="Times New Roman" w:cs="Times New Roman"/>
          <w:sz w:val="28"/>
          <w:szCs w:val="28"/>
        </w:rPr>
        <w:t xml:space="preserve">MOI of 1 corresponds to </w:t>
      </w:r>
      <w:r w:rsidR="00A57D64">
        <w:rPr>
          <w:rFonts w:ascii="Times New Roman" w:hAnsi="Times New Roman" w:cs="Times New Roman"/>
          <w:sz w:val="28"/>
          <w:szCs w:val="28"/>
        </w:rPr>
        <w:t>1 virion per target cell, as determined by the express antigen COVID-19 test (GenSure)</w:t>
      </w:r>
      <w:r w:rsidR="00935DCA" w:rsidRPr="001B1423">
        <w:rPr>
          <w:rFonts w:ascii="Times New Roman" w:hAnsi="Times New Roman" w:cs="Times New Roman"/>
          <w:sz w:val="28"/>
          <w:szCs w:val="28"/>
        </w:rPr>
        <w:t xml:space="preserve">. In China, Shenzhen University had </w:t>
      </w:r>
      <w:r w:rsidR="00A57D64">
        <w:rPr>
          <w:rFonts w:ascii="Times New Roman" w:hAnsi="Times New Roman" w:cs="Times New Roman"/>
          <w:sz w:val="28"/>
          <w:szCs w:val="28"/>
        </w:rPr>
        <w:t>Tenvir (TAF) 25mg tablets in stock</w:t>
      </w:r>
      <w:r w:rsidR="00935DCA" w:rsidRPr="001B1423">
        <w:rPr>
          <w:rFonts w:ascii="Times New Roman" w:hAnsi="Times New Roman" w:cs="Times New Roman"/>
          <w:sz w:val="28"/>
          <w:szCs w:val="28"/>
        </w:rPr>
        <w:t xml:space="preserve">. Since the cytotoxic-safe concentration needed to observe antiviral activity was already </w:t>
      </w:r>
      <w:r w:rsidR="00715515" w:rsidRPr="001B1423">
        <w:rPr>
          <w:rFonts w:ascii="Times New Roman" w:hAnsi="Times New Roman" w:cs="Times New Roman"/>
          <w:sz w:val="28"/>
          <w:szCs w:val="28"/>
        </w:rPr>
        <w:t>known.</w:t>
      </w:r>
      <w:r w:rsidR="00715515" w:rsidRPr="001B1423">
        <w:rPr>
          <w:rFonts w:ascii="Times New Roman" w:hAnsi="Times New Roman" w:cs="Times New Roman"/>
          <w:b/>
          <w:bCs/>
          <w:sz w:val="28"/>
          <w:szCs w:val="28"/>
        </w:rPr>
        <w:t xml:space="preserve"> </w:t>
      </w:r>
      <w:r w:rsidR="00715515" w:rsidRPr="001B1423">
        <w:rPr>
          <w:rFonts w:ascii="Times New Roman" w:hAnsi="Times New Roman" w:cs="Times New Roman"/>
          <w:sz w:val="28"/>
          <w:szCs w:val="28"/>
        </w:rPr>
        <w:t xml:space="preserve">Impaired Interferon Response: These cells have a defective interferon </w:t>
      </w:r>
      <w:r w:rsidR="00EA53E3" w:rsidRPr="001B1423">
        <w:rPr>
          <w:rFonts w:ascii="Times New Roman" w:hAnsi="Times New Roman" w:cs="Times New Roman"/>
          <w:sz w:val="28"/>
          <w:szCs w:val="28"/>
        </w:rPr>
        <w:t>signalling</w:t>
      </w:r>
      <w:r w:rsidR="00715515" w:rsidRPr="001B1423">
        <w:rPr>
          <w:rFonts w:ascii="Times New Roman" w:hAnsi="Times New Roman" w:cs="Times New Roman"/>
          <w:sz w:val="28"/>
          <w:szCs w:val="28"/>
        </w:rPr>
        <w:t xml:space="preserve"> pathway, reducing innate antiviral defences and allowing unchecked viral replication, leading to higher titers</w:t>
      </w:r>
      <w:r w:rsidR="00FC78DD">
        <w:rPr>
          <w:rFonts w:ascii="Times New Roman" w:hAnsi="Times New Roman" w:cs="Times New Roman"/>
          <w:sz w:val="28"/>
          <w:szCs w:val="28"/>
        </w:rPr>
        <w:t xml:space="preserve">. </w:t>
      </w:r>
    </w:p>
    <w:p w14:paraId="6FC6C600" w14:textId="6811EEA4" w:rsidR="00715515" w:rsidRDefault="00EA53E3" w:rsidP="001B1423">
      <w:pPr>
        <w:spacing w:after="0" w:line="240" w:lineRule="auto"/>
        <w:ind w:firstLine="709"/>
        <w:jc w:val="both"/>
        <w:rPr>
          <w:rFonts w:ascii="Times New Roman" w:hAnsi="Times New Roman" w:cs="Times New Roman"/>
          <w:sz w:val="28"/>
          <w:szCs w:val="28"/>
        </w:rPr>
      </w:pPr>
      <w:r w:rsidRPr="001B1423">
        <w:rPr>
          <w:rFonts w:ascii="Times New Roman" w:hAnsi="Times New Roman" w:cs="Times New Roman"/>
          <w:sz w:val="28"/>
          <w:szCs w:val="28"/>
        </w:rPr>
        <w:t xml:space="preserve"> The non-human origin may introduce viral genetic changes not observed in human cells; however, antigenic properties remain relevant for vaccine purposes. Alternatives, such as human cell lines (Calu-3, Caco-2), may better model human infection but are less practical for high-titer </w:t>
      </w:r>
      <w:r w:rsidR="00EC7518" w:rsidRPr="001B1423">
        <w:rPr>
          <w:rFonts w:ascii="Times New Roman" w:hAnsi="Times New Roman" w:cs="Times New Roman"/>
          <w:sz w:val="28"/>
          <w:szCs w:val="28"/>
        </w:rPr>
        <w:t xml:space="preserve">production. Cytotoxicity Assessment: Before evaluating antiviral activity, it is crucial to ensure that the tested drug does not harm healthy cells. The CCK-8 assay helps determine the cytotoxic concentration (CC50) of a drug. The Cell Counting Kit-8 (CCK-8) assay is a widely used colourimetric assay for measuring cell viability and cytotoxicity. It is based on the reduction of WST-8, a water-soluble tetrazolium salt, to a formazan dye by cellular dehydrogenases in metabolically active cells. Drug Efficacy Measurement: When testing antiviral drugs, the CCK-8 assay indirectly reflects viral replication. A high viability in infected and treated cells suggests </w:t>
      </w:r>
      <w:r w:rsidR="00F84195">
        <w:rPr>
          <w:rFonts w:ascii="Times New Roman" w:hAnsi="Times New Roman" w:cs="Times New Roman"/>
          <w:sz w:val="28"/>
          <w:szCs w:val="28"/>
        </w:rPr>
        <w:t>that the drug effectively inhibits viral replication, whereas a low viability indicates poor antiviral activity or cytotoxicity</w:t>
      </w:r>
      <w:r w:rsidR="00EC7518" w:rsidRPr="001B1423">
        <w:rPr>
          <w:rFonts w:ascii="Times New Roman" w:hAnsi="Times New Roman" w:cs="Times New Roman"/>
          <w:sz w:val="28"/>
          <w:szCs w:val="28"/>
        </w:rPr>
        <w:t>. Calculation of Selectivity Index (SI): The SI value (CC50/EC50) is essential for evaluating a drug’s therapeutic potential. A higher SI indicates a better antiviral effect with minimal toxicity.</w:t>
      </w:r>
      <w:r w:rsidR="00F84195">
        <w:rPr>
          <w:rFonts w:ascii="Times New Roman" w:hAnsi="Times New Roman" w:cs="Times New Roman"/>
          <w:sz w:val="28"/>
          <w:szCs w:val="28"/>
        </w:rPr>
        <w:t xml:space="preserve"> </w:t>
      </w:r>
      <w:r w:rsidR="00715515" w:rsidRPr="001B1423">
        <w:rPr>
          <w:rFonts w:ascii="Times New Roman" w:hAnsi="Times New Roman" w:cs="Times New Roman"/>
          <w:sz w:val="28"/>
          <w:szCs w:val="28"/>
        </w:rPr>
        <w:t xml:space="preserve">Scalability and Practical Use: Ease of Culture: As a continuous cell line, Vero E6 cells are easy to maintain and scale, making them ideal for industrial vaccine production (e.g., inactivated virus vaccines). Regulatory Acceptance: Their established use in vaccine manufacturing (e.g., for polio, rabies) provides a regulatory advantage for </w:t>
      </w:r>
      <w:r w:rsidR="00123817" w:rsidRPr="001B1423">
        <w:rPr>
          <w:rFonts w:ascii="Times New Roman" w:hAnsi="Times New Roman" w:cs="Times New Roman"/>
          <w:sz w:val="28"/>
          <w:szCs w:val="28"/>
        </w:rPr>
        <w:t>the production of SARS-CoV-2 vaccines</w:t>
      </w:r>
      <w:r w:rsidR="00DE6FF3" w:rsidRPr="001B1423">
        <w:rPr>
          <w:rFonts w:ascii="Times New Roman" w:hAnsi="Times New Roman" w:cs="Times New Roman"/>
          <w:sz w:val="28"/>
          <w:szCs w:val="28"/>
        </w:rPr>
        <w:t>, as illustrated in</w:t>
      </w:r>
      <w:r w:rsidR="00D1078E" w:rsidRPr="001B1423">
        <w:rPr>
          <w:rFonts w:ascii="Times New Roman" w:hAnsi="Times New Roman" w:cs="Times New Roman"/>
          <w:sz w:val="28"/>
          <w:szCs w:val="28"/>
        </w:rPr>
        <w:t xml:space="preserve"> Figure 23</w:t>
      </w:r>
      <w:r w:rsidR="00715515" w:rsidRPr="001B1423">
        <w:rPr>
          <w:rFonts w:ascii="Times New Roman" w:hAnsi="Times New Roman" w:cs="Times New Roman"/>
          <w:sz w:val="28"/>
          <w:szCs w:val="28"/>
        </w:rPr>
        <w:t>.</w:t>
      </w:r>
    </w:p>
    <w:p w14:paraId="5062B012" w14:textId="77777777" w:rsidR="00314579" w:rsidRPr="001B1423" w:rsidRDefault="00314579" w:rsidP="00E6150D">
      <w:pPr>
        <w:spacing w:after="0" w:line="240" w:lineRule="auto"/>
        <w:jc w:val="both"/>
        <w:rPr>
          <w:rFonts w:ascii="Times New Roman" w:hAnsi="Times New Roman" w:cs="Times New Roman"/>
          <w:sz w:val="28"/>
          <w:szCs w:val="28"/>
        </w:rPr>
      </w:pPr>
    </w:p>
    <w:p w14:paraId="3EF3DA51" w14:textId="76C12211" w:rsidR="00935DCA" w:rsidRPr="001B1423" w:rsidRDefault="00C57CBD" w:rsidP="001B1423">
      <w:pPr>
        <w:spacing w:line="240" w:lineRule="auto"/>
        <w:jc w:val="both"/>
        <w:rPr>
          <w:rFonts w:ascii="Times New Roman" w:hAnsi="Times New Roman" w:cs="Times New Roman"/>
          <w:sz w:val="28"/>
          <w:szCs w:val="28"/>
        </w:rPr>
      </w:pPr>
      <w:r w:rsidRPr="001B1423">
        <w:rPr>
          <w:rFonts w:ascii="Times New Roman" w:hAnsi="Times New Roman" w:cs="Times New Roman"/>
          <w:noProof/>
          <w:sz w:val="28"/>
          <w:szCs w:val="28"/>
        </w:rPr>
        <w:lastRenderedPageBreak/>
        <mc:AlternateContent>
          <mc:Choice Requires="wps">
            <w:drawing>
              <wp:anchor distT="0" distB="0" distL="114300" distR="114300" simplePos="0" relativeHeight="251680256" behindDoc="0" locked="0" layoutInCell="1" allowOverlap="1" wp14:anchorId="663E251D" wp14:editId="607158A3">
                <wp:simplePos x="0" y="0"/>
                <wp:positionH relativeFrom="page">
                  <wp:posOffset>2288540</wp:posOffset>
                </wp:positionH>
                <wp:positionV relativeFrom="paragraph">
                  <wp:posOffset>90805</wp:posOffset>
                </wp:positionV>
                <wp:extent cx="1849120" cy="525145"/>
                <wp:effectExtent l="0" t="0" r="18415" b="27305"/>
                <wp:wrapNone/>
                <wp:docPr id="1057468929" name="Надпись 49"/>
                <wp:cNvGraphicFramePr/>
                <a:graphic xmlns:a="http://schemas.openxmlformats.org/drawingml/2006/main">
                  <a:graphicData uri="http://schemas.microsoft.com/office/word/2010/wordprocessingShape">
                    <wps:wsp>
                      <wps:cNvSpPr txBox="1"/>
                      <wps:spPr>
                        <a:xfrm>
                          <a:off x="0" y="0"/>
                          <a:ext cx="1849120" cy="525145"/>
                        </a:xfrm>
                        <a:prstGeom prst="rect">
                          <a:avLst/>
                        </a:prstGeom>
                        <a:solidFill>
                          <a:schemeClr val="lt1"/>
                        </a:solidFill>
                        <a:ln w="6350">
                          <a:solidFill>
                            <a:prstClr val="black"/>
                          </a:solidFill>
                        </a:ln>
                      </wps:spPr>
                      <wps:txbx>
                        <w:txbxContent>
                          <w:p w14:paraId="62EBE1C9" w14:textId="77777777" w:rsidR="00935DCA" w:rsidRPr="006531C9" w:rsidRDefault="00935DCA" w:rsidP="00935DCA">
                            <w:pPr>
                              <w:jc w:val="center"/>
                              <w:rPr>
                                <w:b/>
                                <w:bCs/>
                              </w:rPr>
                            </w:pPr>
                            <w:r w:rsidRPr="006531C9">
                              <w:rPr>
                                <w:b/>
                                <w:bCs/>
                              </w:rPr>
                              <w:t>With Tenvir (TAF) -50ug/ml</w:t>
                            </w:r>
                          </w:p>
                          <w:p w14:paraId="0E41B663" w14:textId="77777777" w:rsidR="00935DCA" w:rsidRPr="006531C9" w:rsidRDefault="00935DCA" w:rsidP="00935DCA">
                            <w:pPr>
                              <w:jc w:val="center"/>
                              <w:rPr>
                                <w:b/>
                                <w:bCs/>
                              </w:rPr>
                            </w:pPr>
                            <w:r w:rsidRPr="006531C9">
                              <w:rPr>
                                <w:b/>
                                <w:bCs/>
                              </w:rPr>
                              <w:t>Treatment</w:t>
                            </w:r>
                          </w:p>
                          <w:p w14:paraId="09FEA9B1" w14:textId="77777777" w:rsidR="00935DCA" w:rsidRPr="006531C9" w:rsidRDefault="00935DCA" w:rsidP="00935DCA">
                            <w:pPr>
                              <w:jc w:val="center"/>
                              <w:rPr>
                                <w:b/>
                                <w:bCs/>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663E251D" id="_x0000_t202" coordsize="21600,21600" o:spt="202" path="m,l,21600r21600,l21600,xe">
                <v:stroke joinstyle="miter"/>
                <v:path gradientshapeok="t" o:connecttype="rect"/>
              </v:shapetype>
              <v:shape id="Надпись 49" o:spid="_x0000_s1026" type="#_x0000_t202" style="position:absolute;left:0;text-align:left;margin-left:180.2pt;margin-top:7.15pt;width:145.6pt;height:41.35pt;z-index:25168025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" fillcolor="white [3201]" strokeweight=".5pt">
                <v:textbox>
                  <w:txbxContent>
                    <w:p w14:paraId="62EBE1C9" w14:textId="77777777" w:rsidR="00935DCA" w:rsidRPr="006531C9" w:rsidRDefault="00935DCA" w:rsidP="00935DCA">
                      <w:pPr>
                        <w:jc w:val="center"/>
                        <w:rPr>
                          <w:b/>
                          <w:bCs/>
                        </w:rPr>
                      </w:pPr>
                      <w:r w:rsidRPr="006531C9">
                        <w:rPr>
                          <w:b/>
                          <w:bCs/>
                        </w:rPr>
                        <w:t>With Tenvir (TAF) -50ug/ml</w:t>
                      </w:r>
                    </w:p>
                    <w:p w14:paraId="0E41B663" w14:textId="77777777" w:rsidR="00935DCA" w:rsidRPr="006531C9" w:rsidRDefault="00935DCA" w:rsidP="00935DCA">
                      <w:pPr>
                        <w:jc w:val="center"/>
                        <w:rPr>
                          <w:b/>
                          <w:bCs/>
                        </w:rPr>
                      </w:pPr>
                      <w:r w:rsidRPr="006531C9">
                        <w:rPr>
                          <w:b/>
                          <w:bCs/>
                        </w:rPr>
                        <w:t>Treatment</w:t>
                      </w:r>
                    </w:p>
                    <w:p w14:paraId="09FEA9B1" w14:textId="77777777" w:rsidR="00935DCA" w:rsidRPr="006531C9" w:rsidRDefault="00935DCA" w:rsidP="00935DCA">
                      <w:pPr>
                        <w:jc w:val="center"/>
                        <w:rPr>
                          <w:b/>
                          <w:bCs/>
                        </w:rPr>
                      </w:pPr>
                    </w:p>
                  </w:txbxContent>
                </v:textbox>
                <w10:wrap anchorx="page"/>
              </v:shape>
            </w:pict>
          </mc:Fallback>
        </mc:AlternateContent>
      </w:r>
      <w:r w:rsidR="00F26E8B" w:rsidRPr="001B1423">
        <w:rPr>
          <w:rFonts w:ascii="Times New Roman" w:hAnsi="Times New Roman" w:cs="Times New Roman"/>
          <w:noProof/>
          <w:sz w:val="28"/>
          <w:szCs w:val="28"/>
        </w:rPr>
        <mc:AlternateContent>
          <mc:Choice Requires="wps">
            <w:drawing>
              <wp:anchor distT="0" distB="0" distL="114300" distR="114300" simplePos="0" relativeHeight="251679232" behindDoc="0" locked="0" layoutInCell="1" allowOverlap="1" wp14:anchorId="5ED60C5E" wp14:editId="66F3AD66">
                <wp:simplePos x="0" y="0"/>
                <wp:positionH relativeFrom="column">
                  <wp:posOffset>3110429</wp:posOffset>
                </wp:positionH>
                <wp:positionV relativeFrom="paragraph">
                  <wp:posOffset>78570</wp:posOffset>
                </wp:positionV>
                <wp:extent cx="1630680" cy="525145"/>
                <wp:effectExtent l="0" t="0" r="26670" b="27305"/>
                <wp:wrapNone/>
                <wp:docPr id="723164149" name="Надпись 49"/>
                <wp:cNvGraphicFramePr/>
                <a:graphic xmlns:a="http://schemas.openxmlformats.org/drawingml/2006/main">
                  <a:graphicData uri="http://schemas.microsoft.com/office/word/2010/wordprocessingShape">
                    <wps:wsp>
                      <wps:cNvSpPr txBox="1"/>
                      <wps:spPr>
                        <a:xfrm>
                          <a:off x="0" y="0"/>
                          <a:ext cx="1630680" cy="525145"/>
                        </a:xfrm>
                        <a:prstGeom prst="rect">
                          <a:avLst/>
                        </a:prstGeom>
                        <a:solidFill>
                          <a:schemeClr val="lt1"/>
                        </a:solidFill>
                        <a:ln w="6350">
                          <a:solidFill>
                            <a:prstClr val="black"/>
                          </a:solidFill>
                        </a:ln>
                      </wps:spPr>
                      <wps:txbx>
                        <w:txbxContent>
                          <w:p w14:paraId="5FF772F3" w14:textId="1B607DE1" w:rsidR="00935DCA" w:rsidRPr="006531C9" w:rsidRDefault="00935DCA" w:rsidP="00935DCA">
                            <w:pPr>
                              <w:jc w:val="center"/>
                              <w:rPr>
                                <w:b/>
                                <w:bCs/>
                              </w:rPr>
                            </w:pPr>
                            <w:r w:rsidRPr="006531C9">
                              <w:rPr>
                                <w:b/>
                                <w:bCs/>
                              </w:rPr>
                              <w:t>Without Tenvir (TAF)</w:t>
                            </w:r>
                          </w:p>
                          <w:p w14:paraId="3301B0E4" w14:textId="77777777" w:rsidR="00935DCA" w:rsidRPr="006531C9" w:rsidRDefault="00935DCA" w:rsidP="00935DCA">
                            <w:pPr>
                              <w:jc w:val="center"/>
                              <w:rPr>
                                <w:b/>
                                <w:bCs/>
                              </w:rPr>
                            </w:pPr>
                            <w:r w:rsidRPr="006531C9">
                              <w:rPr>
                                <w:b/>
                                <w:bCs/>
                              </w:rPr>
                              <w:t>Treatment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ED60C5E" id="_x0000_s1027" type="#_x0000_t202" style="position:absolute;left:0;text-align:left;margin-left:244.9pt;margin-top:6.2pt;width:128.4pt;height:41.35pt;z-index:25167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" fillcolor="white [3201]" strokeweight=".5pt">
                <v:textbox>
                  <w:txbxContent>
                    <w:p w14:paraId="5FF772F3" w14:textId="1B607DE1" w:rsidR="00935DCA" w:rsidRPr="006531C9" w:rsidRDefault="00935DCA" w:rsidP="00935DCA">
                      <w:pPr>
                        <w:jc w:val="center"/>
                        <w:rPr>
                          <w:b/>
                          <w:bCs/>
                        </w:rPr>
                      </w:pPr>
                      <w:r w:rsidRPr="006531C9">
                        <w:rPr>
                          <w:b/>
                          <w:bCs/>
                        </w:rPr>
                        <w:t>Without Tenvir (TAF)</w:t>
                      </w:r>
                    </w:p>
                    <w:p w14:paraId="3301B0E4" w14:textId="77777777" w:rsidR="00935DCA" w:rsidRPr="006531C9" w:rsidRDefault="00935DCA" w:rsidP="00935DCA">
                      <w:pPr>
                        <w:jc w:val="center"/>
                        <w:rPr>
                          <w:b/>
                          <w:bCs/>
                        </w:rPr>
                      </w:pPr>
                      <w:r w:rsidRPr="006531C9">
                        <w:rPr>
                          <w:b/>
                          <w:bCs/>
                        </w:rPr>
                        <w:t>Treatment</w:t>
                      </w:r>
                    </w:p>
                  </w:txbxContent>
                </v:textbox>
              </v:shape>
            </w:pict>
          </mc:Fallback>
        </mc:AlternateContent>
      </w:r>
    </w:p>
    <w:p w14:paraId="2C0B2EE4" w14:textId="1A55B3E0" w:rsidR="00935DCA" w:rsidRPr="001B1423" w:rsidRDefault="00935DCA" w:rsidP="001B1423">
      <w:pPr>
        <w:spacing w:line="240" w:lineRule="auto"/>
        <w:ind w:firstLineChars="709" w:firstLine="1985"/>
        <w:jc w:val="both"/>
        <w:rPr>
          <w:rFonts w:ascii="Times New Roman" w:hAnsi="Times New Roman" w:cs="Times New Roman"/>
          <w:sz w:val="28"/>
          <w:szCs w:val="28"/>
        </w:rPr>
      </w:pPr>
    </w:p>
    <w:p w14:paraId="05BE8346" w14:textId="44848216" w:rsidR="00C57CBD" w:rsidRPr="001B1423" w:rsidRDefault="00935DCA" w:rsidP="001B1423">
      <w:pPr>
        <w:spacing w:after="0" w:line="240" w:lineRule="auto"/>
        <w:jc w:val="center"/>
        <w:rPr>
          <w:rFonts w:ascii="Times New Roman" w:hAnsi="Times New Roman" w:cs="Times New Roman"/>
          <w:sz w:val="28"/>
          <w:szCs w:val="28"/>
        </w:rPr>
      </w:pPr>
      <w:r w:rsidRPr="001B1423">
        <w:rPr>
          <w:rFonts w:ascii="Times New Roman" w:hAnsi="Times New Roman" w:cs="Times New Roman"/>
          <w:noProof/>
          <w:sz w:val="28"/>
          <w:szCs w:val="28"/>
        </w:rPr>
        <w:drawing>
          <wp:inline distT="0" distB="0" distL="0" distR="0" wp14:anchorId="41C86133" wp14:editId="0D643014">
            <wp:extent cx="3458140" cy="4800600"/>
            <wp:effectExtent l="76200" t="76200" r="142875" b="133350"/>
            <wp:docPr id="14494369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436904" name="Рисунок 1"/>
                    <pic:cNvPicPr>
                      <a:picLocks noChangeAspect="1"/>
                    </pic:cNvPicPr>
                  </pic:nvPicPr>
                  <pic:blipFill>
                    <a:blip r:embed="rId51"/>
                    <a:srcRect l="26537" t="11380" r="27414" b="4054"/>
                    <a:stretch>
                      <a:fillRect/>
                    </a:stretch>
                  </pic:blipFill>
                  <pic:spPr>
                    <a:xfrm>
                      <a:off x="0" y="0"/>
                      <a:ext cx="3487427" cy="4841256"/>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3262D18B" w14:textId="2F45A445" w:rsidR="006962F0" w:rsidRDefault="00935DCA" w:rsidP="00097340">
      <w:pPr>
        <w:spacing w:after="0" w:line="240" w:lineRule="auto"/>
        <w:jc w:val="center"/>
        <w:rPr>
          <w:rFonts w:ascii="Times New Roman" w:hAnsi="Times New Roman" w:cs="Times New Roman"/>
          <w:sz w:val="28"/>
          <w:szCs w:val="28"/>
        </w:rPr>
      </w:pPr>
      <w:r w:rsidRPr="001B1423">
        <w:rPr>
          <w:rFonts w:ascii="Times New Roman" w:hAnsi="Times New Roman" w:cs="Times New Roman"/>
          <w:sz w:val="28"/>
          <w:szCs w:val="28"/>
        </w:rPr>
        <w:t>Figure 2</w:t>
      </w:r>
      <w:r w:rsidR="00DE5D32" w:rsidRPr="001B1423">
        <w:rPr>
          <w:rFonts w:ascii="Times New Roman" w:hAnsi="Times New Roman" w:cs="Times New Roman"/>
          <w:sz w:val="28"/>
          <w:szCs w:val="28"/>
        </w:rPr>
        <w:t>3</w:t>
      </w:r>
      <w:r w:rsidR="00AE3DA2" w:rsidRPr="001B1423">
        <w:rPr>
          <w:rFonts w:ascii="Times New Roman" w:hAnsi="Times New Roman" w:cs="Times New Roman"/>
          <w:sz w:val="28"/>
          <w:szCs w:val="28"/>
        </w:rPr>
        <w:t xml:space="preserve"> </w:t>
      </w:r>
      <w:r w:rsidR="00AE3DA2" w:rsidRPr="001B1423">
        <w:rPr>
          <w:rFonts w:ascii="Times New Roman" w:hAnsi="Times New Roman" w:cs="Times New Roman"/>
          <w:color w:val="1B1B1B"/>
          <w:sz w:val="28"/>
          <w:szCs w:val="28"/>
          <w:shd w:val="clear" w:color="auto" w:fill="FFFFFF"/>
        </w:rPr>
        <w:t xml:space="preserve">– </w:t>
      </w:r>
      <w:r w:rsidRPr="001B1423">
        <w:rPr>
          <w:rFonts w:ascii="Times New Roman" w:hAnsi="Times New Roman" w:cs="Times New Roman"/>
          <w:sz w:val="28"/>
          <w:szCs w:val="28"/>
        </w:rPr>
        <w:t xml:space="preserve">The SARS-CoV-2 Wuhan strain, kindly provided by the Wuhan Institute of Virology, causes cytopathic effects on monolayers of Vero E6 cells </w:t>
      </w:r>
    </w:p>
    <w:p w14:paraId="697A3EFF" w14:textId="77777777" w:rsidR="006962F0" w:rsidRDefault="006962F0" w:rsidP="00097340">
      <w:pPr>
        <w:spacing w:after="0" w:line="240" w:lineRule="auto"/>
        <w:jc w:val="center"/>
        <w:rPr>
          <w:rFonts w:ascii="Times New Roman" w:hAnsi="Times New Roman" w:cs="Times New Roman"/>
          <w:sz w:val="28"/>
          <w:szCs w:val="28"/>
        </w:rPr>
      </w:pPr>
    </w:p>
    <w:p w14:paraId="098D43B7" w14:textId="66BBEFCC" w:rsidR="005A1B74" w:rsidRDefault="006962F0" w:rsidP="00097340">
      <w:pPr>
        <w:spacing w:after="0" w:line="240" w:lineRule="auto"/>
        <w:ind w:firstLine="709"/>
        <w:jc w:val="both"/>
        <w:rPr>
          <w:rFonts w:ascii="Times New Roman" w:hAnsi="Times New Roman" w:cs="Times New Roman"/>
          <w:sz w:val="28"/>
          <w:szCs w:val="28"/>
        </w:rPr>
      </w:pPr>
      <w:r w:rsidRPr="001B1423">
        <w:rPr>
          <w:rFonts w:ascii="Times New Roman" w:hAnsi="Times New Roman" w:cs="Times New Roman"/>
          <w:sz w:val="28"/>
          <w:szCs w:val="28"/>
        </w:rPr>
        <w:t>Vero-E6 cells were inoculated with SARS-CoV-2 at a 10 TCID50 viral titer, or MOI of 1 (20,000 virions per 1 × 10^5 cells). GenSure sensitivity for SARS-CoV2: MOI of 0.0001-20. n=3</w:t>
      </w:r>
      <w:r w:rsidR="00715515" w:rsidRPr="001B1423">
        <w:rPr>
          <w:rFonts w:ascii="Times New Roman" w:hAnsi="Times New Roman" w:cs="Times New Roman"/>
          <w:sz w:val="28"/>
          <w:szCs w:val="28"/>
        </w:rPr>
        <w:t xml:space="preserve">The efficient replication of SARS-CoV-2 in Vero E6 cells enables the production of high viral concentrations, or </w:t>
      </w:r>
      <w:r w:rsidR="00E92262" w:rsidRPr="001B1423">
        <w:rPr>
          <w:rFonts w:ascii="Times New Roman" w:hAnsi="Times New Roman" w:cs="Times New Roman"/>
          <w:sz w:val="28"/>
          <w:szCs w:val="28"/>
        </w:rPr>
        <w:t>titres</w:t>
      </w:r>
      <w:r w:rsidR="00715515" w:rsidRPr="001B1423">
        <w:rPr>
          <w:rFonts w:ascii="Times New Roman" w:hAnsi="Times New Roman" w:cs="Times New Roman"/>
          <w:sz w:val="28"/>
          <w:szCs w:val="28"/>
        </w:rPr>
        <w:t xml:space="preserve">, which are essential for applications such as vaccine development, antiviral testing, and neutralisation assays. Vero E6 cells are a cornerstone for SARS-CoV-2 </w:t>
      </w:r>
      <w:r w:rsidR="00E92262" w:rsidRPr="001B1423">
        <w:rPr>
          <w:rFonts w:ascii="Times New Roman" w:hAnsi="Times New Roman" w:cs="Times New Roman"/>
          <w:sz w:val="28"/>
          <w:szCs w:val="28"/>
        </w:rPr>
        <w:t>titer</w:t>
      </w:r>
      <w:r w:rsidR="00715515" w:rsidRPr="001B1423">
        <w:rPr>
          <w:rFonts w:ascii="Times New Roman" w:hAnsi="Times New Roman" w:cs="Times New Roman"/>
          <w:sz w:val="28"/>
          <w:szCs w:val="28"/>
        </w:rPr>
        <w:t xml:space="preserve"> production due to their biological compatibility, scalability, and established role in virology and vaccine </w:t>
      </w:r>
      <w:r w:rsidR="00FD08C1" w:rsidRPr="001B1423">
        <w:rPr>
          <w:rFonts w:ascii="Times New Roman" w:hAnsi="Times New Roman" w:cs="Times New Roman"/>
          <w:sz w:val="28"/>
          <w:szCs w:val="28"/>
        </w:rPr>
        <w:t>development. Reproducibility</w:t>
      </w:r>
      <w:r w:rsidR="00EA53E3" w:rsidRPr="001B1423">
        <w:rPr>
          <w:rFonts w:ascii="Times New Roman" w:hAnsi="Times New Roman" w:cs="Times New Roman"/>
          <w:sz w:val="28"/>
          <w:szCs w:val="28"/>
        </w:rPr>
        <w:t xml:space="preserve">: Consistent viral growth in Vero E6 ensures reliable results in research, diagnostics, and drug screening. Adaptation Studies: While serial passage in Vero E6 may select for viral mutations (e.g., deletions of furin cleavage sites), these adaptations can </w:t>
      </w:r>
      <w:r w:rsidR="0022741E" w:rsidRPr="001B1423">
        <w:rPr>
          <w:rFonts w:ascii="Times New Roman" w:hAnsi="Times New Roman" w:cs="Times New Roman"/>
          <w:sz w:val="28"/>
          <w:szCs w:val="28"/>
        </w:rPr>
        <w:t>facilitate the study of</w:t>
      </w:r>
      <w:r w:rsidR="00EA53E3" w:rsidRPr="001B1423">
        <w:rPr>
          <w:rFonts w:ascii="Times New Roman" w:hAnsi="Times New Roman" w:cs="Times New Roman"/>
          <w:sz w:val="28"/>
          <w:szCs w:val="28"/>
        </w:rPr>
        <w:t xml:space="preserve"> viral evolution and attenuation.</w:t>
      </w:r>
      <w:r w:rsidR="00B72F71" w:rsidRPr="001B1423">
        <w:rPr>
          <w:rFonts w:ascii="Times New Roman" w:hAnsi="Times New Roman" w:cs="Times New Roman"/>
          <w:sz w:val="28"/>
          <w:szCs w:val="28"/>
        </w:rPr>
        <w:t xml:space="preserve"> The</w:t>
      </w:r>
      <w:r w:rsidR="00FE7D66" w:rsidRPr="001B1423">
        <w:rPr>
          <w:rFonts w:ascii="Times New Roman" w:hAnsi="Times New Roman" w:cs="Times New Roman"/>
          <w:sz w:val="28"/>
          <w:szCs w:val="28"/>
        </w:rPr>
        <w:t xml:space="preserve"> Cytopathic effect (</w:t>
      </w:r>
      <w:r w:rsidR="00B72F71" w:rsidRPr="001B1423">
        <w:rPr>
          <w:rFonts w:ascii="Times New Roman" w:hAnsi="Times New Roman" w:cs="Times New Roman"/>
          <w:sz w:val="28"/>
          <w:szCs w:val="28"/>
        </w:rPr>
        <w:t>CPE</w:t>
      </w:r>
      <w:r w:rsidR="00FE7D66" w:rsidRPr="001B1423">
        <w:rPr>
          <w:rFonts w:ascii="Times New Roman" w:hAnsi="Times New Roman" w:cs="Times New Roman"/>
          <w:sz w:val="28"/>
          <w:szCs w:val="28"/>
        </w:rPr>
        <w:t>)</w:t>
      </w:r>
      <w:r w:rsidR="00BA1D6D" w:rsidRPr="001B1423">
        <w:rPr>
          <w:rFonts w:ascii="Times New Roman" w:hAnsi="Times New Roman" w:cs="Times New Roman"/>
          <w:sz w:val="28"/>
          <w:szCs w:val="28"/>
        </w:rPr>
        <w:t xml:space="preserve"> </w:t>
      </w:r>
      <w:r w:rsidR="00F84195">
        <w:rPr>
          <w:rFonts w:ascii="Times New Roman" w:hAnsi="Times New Roman" w:cs="Times New Roman"/>
          <w:sz w:val="28"/>
          <w:szCs w:val="28"/>
        </w:rPr>
        <w:t>at different time points is shown</w:t>
      </w:r>
      <w:r w:rsidR="00B72F71" w:rsidRPr="001B1423">
        <w:rPr>
          <w:rFonts w:ascii="Times New Roman" w:hAnsi="Times New Roman" w:cs="Times New Roman"/>
          <w:sz w:val="28"/>
          <w:szCs w:val="28"/>
        </w:rPr>
        <w:t xml:space="preserve"> in Figure </w:t>
      </w:r>
      <w:r w:rsidR="00BA1D6D" w:rsidRPr="001B1423">
        <w:rPr>
          <w:rFonts w:ascii="Times New Roman" w:hAnsi="Times New Roman" w:cs="Times New Roman"/>
          <w:sz w:val="28"/>
          <w:szCs w:val="28"/>
        </w:rPr>
        <w:t>24</w:t>
      </w:r>
      <w:r w:rsidR="00395814" w:rsidRPr="001B1423">
        <w:rPr>
          <w:rFonts w:ascii="Times New Roman" w:hAnsi="Times New Roman" w:cs="Times New Roman"/>
          <w:sz w:val="28"/>
          <w:szCs w:val="28"/>
        </w:rPr>
        <w:t>.</w:t>
      </w:r>
    </w:p>
    <w:p w14:paraId="7290E6E0" w14:textId="77777777" w:rsidR="001B1423" w:rsidRPr="008D2366" w:rsidRDefault="001B1423" w:rsidP="00816171">
      <w:pPr>
        <w:spacing w:line="360" w:lineRule="auto"/>
        <w:jc w:val="both"/>
        <w:rPr>
          <w:rFonts w:ascii="Times New Roman" w:hAnsi="Times New Roman" w:cs="Times New Roman"/>
          <w:sz w:val="24"/>
          <w:szCs w:val="24"/>
          <w:lang w:val="en-US"/>
        </w:rPr>
      </w:pPr>
    </w:p>
    <w:p w14:paraId="1987D465" w14:textId="77777777" w:rsidR="00715515" w:rsidRPr="006531C9" w:rsidRDefault="00715515" w:rsidP="00F26E8B">
      <w:pPr>
        <w:spacing w:line="360" w:lineRule="auto"/>
        <w:jc w:val="both"/>
        <w:rPr>
          <w:rFonts w:ascii="Times New Roman" w:hAnsi="Times New Roman" w:cs="Times New Roman"/>
          <w:b/>
          <w:bCs/>
          <w:sz w:val="24"/>
          <w:szCs w:val="24"/>
        </w:rPr>
      </w:pPr>
      <w:r w:rsidRPr="006531C9">
        <w:rPr>
          <w:rFonts w:ascii="Times New Roman" w:hAnsi="Times New Roman" w:cs="Times New Roman"/>
          <w:b/>
          <w:bCs/>
          <w:noProof/>
          <w:sz w:val="24"/>
          <w:szCs w:val="24"/>
        </w:rPr>
        <w:lastRenderedPageBreak/>
        <mc:AlternateContent>
          <mc:Choice Requires="wps">
            <w:drawing>
              <wp:anchor distT="0" distB="0" distL="114300" distR="114300" simplePos="0" relativeHeight="251681280" behindDoc="0" locked="0" layoutInCell="1" allowOverlap="1" wp14:anchorId="65AAB142" wp14:editId="5AA142DC">
                <wp:simplePos x="0" y="0"/>
                <wp:positionH relativeFrom="column">
                  <wp:posOffset>1246505</wp:posOffset>
                </wp:positionH>
                <wp:positionV relativeFrom="paragraph">
                  <wp:posOffset>69215</wp:posOffset>
                </wp:positionV>
                <wp:extent cx="3666490" cy="515620"/>
                <wp:effectExtent l="57150" t="38100" r="48260" b="75565"/>
                <wp:wrapNone/>
                <wp:docPr id="775415287" name="Надпись 1"/>
                <wp:cNvGraphicFramePr/>
                <a:graphic xmlns:a="http://schemas.openxmlformats.org/drawingml/2006/main">
                  <a:graphicData uri="http://schemas.microsoft.com/office/word/2010/wordprocessingShape">
                    <wps:wsp>
                      <wps:cNvSpPr txBox="1"/>
                      <wps:spPr>
                        <a:xfrm>
                          <a:off x="0" y="0"/>
                          <a:ext cx="3666632" cy="515591"/>
                        </a:xfrm>
                        <a:prstGeom prst="rect">
                          <a:avLst/>
                        </a:prstGeom>
                      </wps:spPr>
                      <wps:style>
                        <a:lnRef idx="0">
                          <a:schemeClr val="accent2"/>
                        </a:lnRef>
                        <a:fillRef idx="3">
                          <a:schemeClr val="accent2"/>
                        </a:fillRef>
                        <a:effectRef idx="3">
                          <a:schemeClr val="accent2"/>
                        </a:effectRef>
                        <a:fontRef idx="minor">
                          <a:schemeClr val="lt1"/>
                        </a:fontRef>
                      </wps:style>
                      <wps:txbx>
                        <w:txbxContent>
                          <w:p w14:paraId="4119357E" w14:textId="77777777" w:rsidR="00715515" w:rsidRPr="006531C9" w:rsidRDefault="00715515" w:rsidP="00715515">
                            <w:pPr>
                              <w:jc w:val="center"/>
                              <w:rPr>
                                <w:rFonts w:ascii="Times New Roman" w:hAnsi="Times New Roman" w:cs="Times New Roman"/>
                                <w:b/>
                                <w:bCs/>
                                <w:sz w:val="28"/>
                                <w:szCs w:val="28"/>
                              </w:rPr>
                            </w:pPr>
                            <w:r w:rsidRPr="006531C9">
                              <w:rPr>
                                <w:rFonts w:ascii="Times New Roman" w:hAnsi="Times New Roman" w:cs="Times New Roman"/>
                                <w:b/>
                                <w:bCs/>
                                <w:sz w:val="28"/>
                                <w:szCs w:val="28"/>
                              </w:rPr>
                              <w:t>SARS-CoV 2 infected Vero cells incubation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5AAB142" id="Надпись 1" o:spid="_x0000_s1028" type="#_x0000_t202" style="position:absolute;left:0;text-align:left;margin-left:98.15pt;margin-top:5.45pt;width:288.7pt;height:40.6pt;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" fillcolor="#ee853d [3029]" stroked="f">
                <v:fill color2="#ec7a2d [3173]" rotate="t" colors="0 #f18c55;.5 #f67b28;1 #e56b17" focus="100%" type="gradient">
                  <o:fill v:ext="view" type="gradientUnscaled"/>
                </v:fill>
                <v:shadow on="t" color="black" opacity="41287f" offset="0,1.5pt"/>
                <v:textbox>
                  <w:txbxContent>
                    <w:p w14:paraId="4119357E" w14:textId="77777777" w:rsidR="00715515" w:rsidRPr="006531C9" w:rsidRDefault="00715515" w:rsidP="00715515">
                      <w:pPr>
                        <w:jc w:val="center"/>
                        <w:rPr>
                          <w:rFonts w:ascii="Times New Roman" w:hAnsi="Times New Roman" w:cs="Times New Roman"/>
                          <w:b/>
                          <w:bCs/>
                          <w:sz w:val="28"/>
                          <w:szCs w:val="28"/>
                        </w:rPr>
                      </w:pPr>
                      <w:r w:rsidRPr="006531C9">
                        <w:rPr>
                          <w:rFonts w:ascii="Times New Roman" w:hAnsi="Times New Roman" w:cs="Times New Roman"/>
                          <w:b/>
                          <w:bCs/>
                          <w:sz w:val="28"/>
                          <w:szCs w:val="28"/>
                        </w:rPr>
                        <w:t>SARS-CoV 2 infected Vero cells incubation</w:t>
                      </w:r>
                    </w:p>
                  </w:txbxContent>
                </v:textbox>
              </v:shape>
            </w:pict>
          </mc:Fallback>
        </mc:AlternateContent>
      </w:r>
    </w:p>
    <w:p w14:paraId="0AEBF5D2" w14:textId="77777777" w:rsidR="00715515" w:rsidRPr="006531C9" w:rsidRDefault="00715515" w:rsidP="000B4B42">
      <w:pPr>
        <w:spacing w:line="360" w:lineRule="auto"/>
        <w:ind w:firstLineChars="709" w:firstLine="1708"/>
        <w:jc w:val="both"/>
        <w:rPr>
          <w:rFonts w:ascii="Times New Roman" w:hAnsi="Times New Roman" w:cs="Times New Roman"/>
          <w:b/>
          <w:bCs/>
          <w:sz w:val="24"/>
          <w:szCs w:val="24"/>
        </w:rPr>
      </w:pPr>
    </w:p>
    <w:p w14:paraId="19422593" w14:textId="14AB0662" w:rsidR="00715515" w:rsidRPr="006531C9" w:rsidRDefault="009241A1" w:rsidP="00C41F1D">
      <w:pPr>
        <w:spacing w:after="0" w:line="360" w:lineRule="auto"/>
        <w:jc w:val="center"/>
        <w:rPr>
          <w:rFonts w:ascii="Times New Roman" w:hAnsi="Times New Roman" w:cs="Times New Roman"/>
          <w:b/>
          <w:bCs/>
          <w:sz w:val="24"/>
          <w:szCs w:val="24"/>
        </w:rPr>
      </w:pPr>
      <w:r w:rsidRPr="006531C9">
        <w:rPr>
          <w:rFonts w:ascii="Times New Roman" w:hAnsi="Times New Roman" w:cs="Times New Roman"/>
          <w:noProof/>
          <w:sz w:val="24"/>
          <w:szCs w:val="24"/>
        </w:rPr>
        <mc:AlternateContent>
          <mc:Choice Requires="wps">
            <w:drawing>
              <wp:anchor distT="0" distB="0" distL="114300" distR="114300" simplePos="0" relativeHeight="251656192" behindDoc="0" locked="0" layoutInCell="1" allowOverlap="1" wp14:anchorId="4FBC1F19" wp14:editId="0A9964F0">
                <wp:simplePos x="0" y="0"/>
                <wp:positionH relativeFrom="column">
                  <wp:posOffset>458470</wp:posOffset>
                </wp:positionH>
                <wp:positionV relativeFrom="paragraph">
                  <wp:posOffset>561340</wp:posOffset>
                </wp:positionV>
                <wp:extent cx="798195" cy="340995"/>
                <wp:effectExtent l="0" t="0" r="21590" b="20955"/>
                <wp:wrapNone/>
                <wp:docPr id="2041041010" name="Надпись 2"/>
                <wp:cNvGraphicFramePr/>
                <a:graphic xmlns:a="http://schemas.openxmlformats.org/drawingml/2006/main">
                  <a:graphicData uri="http://schemas.microsoft.com/office/word/2010/wordprocessingShape">
                    <wps:wsp>
                      <wps:cNvSpPr txBox="1"/>
                      <wps:spPr>
                        <a:xfrm>
                          <a:off x="0" y="0"/>
                          <a:ext cx="798195" cy="340995"/>
                        </a:xfrm>
                        <a:prstGeom prst="rect">
                          <a:avLst/>
                        </a:prstGeom>
                      </wps:spPr>
                      <wps:style>
                        <a:lnRef idx="2">
                          <a:schemeClr val="accent5">
                            <a:shade val="15000"/>
                          </a:schemeClr>
                        </a:lnRef>
                        <a:fillRef idx="1">
                          <a:schemeClr val="accent5"/>
                        </a:fillRef>
                        <a:effectRef idx="0">
                          <a:schemeClr val="accent5"/>
                        </a:effectRef>
                        <a:fontRef idx="minor">
                          <a:schemeClr val="lt1"/>
                        </a:fontRef>
                      </wps:style>
                      <wps:txbx>
                        <w:txbxContent>
                          <w:p w14:paraId="2EEE8E5B" w14:textId="77777777" w:rsidR="00715515" w:rsidRPr="006531C9" w:rsidRDefault="00715515" w:rsidP="00715515">
                            <w:pPr>
                              <w:jc w:val="center"/>
                              <w:rPr>
                                <w:rFonts w:ascii="Times New Roman" w:hAnsi="Times New Roman" w:cs="Times New Roman"/>
                                <w:b/>
                                <w:bCs/>
                                <w:sz w:val="28"/>
                                <w:szCs w:val="28"/>
                              </w:rPr>
                            </w:pPr>
                            <w:r w:rsidRPr="006531C9">
                              <w:rPr>
                                <w:rFonts w:ascii="Times New Roman" w:hAnsi="Times New Roman" w:cs="Times New Roman"/>
                                <w:b/>
                                <w:bCs/>
                                <w:sz w:val="28"/>
                                <w:szCs w:val="28"/>
                              </w:rPr>
                              <w:t>24h</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FBC1F19" id="Надпись 2" o:spid="_x0000_s1029" type="#_x0000_t202" style="position:absolute;left:0;text-align:left;margin-left:36.1pt;margin-top:44.2pt;width:62.85pt;height:26.8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" fillcolor="#5b9bd5 [3208]" strokecolor="#091723 [488]" strokeweight="1pt">
                <v:textbox>
                  <w:txbxContent>
                    <w:p w14:paraId="2EEE8E5B" w14:textId="77777777" w:rsidR="00715515" w:rsidRPr="006531C9" w:rsidRDefault="00715515" w:rsidP="00715515">
                      <w:pPr>
                        <w:jc w:val="center"/>
                        <w:rPr>
                          <w:rFonts w:ascii="Times New Roman" w:hAnsi="Times New Roman" w:cs="Times New Roman"/>
                          <w:b/>
                          <w:bCs/>
                          <w:sz w:val="28"/>
                          <w:szCs w:val="28"/>
                        </w:rPr>
                      </w:pPr>
                      <w:r w:rsidRPr="006531C9">
                        <w:rPr>
                          <w:rFonts w:ascii="Times New Roman" w:hAnsi="Times New Roman" w:cs="Times New Roman"/>
                          <w:b/>
                          <w:bCs/>
                          <w:sz w:val="28"/>
                          <w:szCs w:val="28"/>
                        </w:rPr>
                        <w:t>24h</w:t>
                      </w:r>
                    </w:p>
                  </w:txbxContent>
                </v:textbox>
              </v:shape>
            </w:pict>
          </mc:Fallback>
        </mc:AlternateContent>
      </w:r>
      <w:r w:rsidRPr="006531C9">
        <w:rPr>
          <w:rFonts w:ascii="Times New Roman" w:hAnsi="Times New Roman" w:cs="Times New Roman"/>
          <w:noProof/>
          <w:sz w:val="24"/>
          <w:szCs w:val="24"/>
        </w:rPr>
        <mc:AlternateContent>
          <mc:Choice Requires="wps">
            <w:drawing>
              <wp:anchor distT="0" distB="0" distL="114300" distR="114300" simplePos="0" relativeHeight="251658240" behindDoc="0" locked="0" layoutInCell="1" allowOverlap="1" wp14:anchorId="31B4988F" wp14:editId="5AFCCB38">
                <wp:simplePos x="0" y="0"/>
                <wp:positionH relativeFrom="column">
                  <wp:posOffset>469900</wp:posOffset>
                </wp:positionH>
                <wp:positionV relativeFrom="paragraph">
                  <wp:posOffset>2380615</wp:posOffset>
                </wp:positionV>
                <wp:extent cx="798195" cy="340995"/>
                <wp:effectExtent l="0" t="0" r="21590" b="20955"/>
                <wp:wrapNone/>
                <wp:docPr id="902708424" name="Надпись 2"/>
                <wp:cNvGraphicFramePr/>
                <a:graphic xmlns:a="http://schemas.openxmlformats.org/drawingml/2006/main">
                  <a:graphicData uri="http://schemas.microsoft.com/office/word/2010/wordprocessingShape">
                    <wps:wsp>
                      <wps:cNvSpPr txBox="1"/>
                      <wps:spPr>
                        <a:xfrm>
                          <a:off x="0" y="0"/>
                          <a:ext cx="798195" cy="340995"/>
                        </a:xfrm>
                        <a:prstGeom prst="rect">
                          <a:avLst/>
                        </a:prstGeom>
                      </wps:spPr>
                      <wps:style>
                        <a:lnRef idx="2">
                          <a:schemeClr val="accent6">
                            <a:shade val="15000"/>
                          </a:schemeClr>
                        </a:lnRef>
                        <a:fillRef idx="1">
                          <a:schemeClr val="accent6"/>
                        </a:fillRef>
                        <a:effectRef idx="0">
                          <a:schemeClr val="accent6"/>
                        </a:effectRef>
                        <a:fontRef idx="minor">
                          <a:schemeClr val="lt1"/>
                        </a:fontRef>
                      </wps:style>
                      <wps:txbx>
                        <w:txbxContent>
                          <w:p w14:paraId="6D2B3DCB" w14:textId="77777777" w:rsidR="00715515" w:rsidRPr="006531C9" w:rsidRDefault="00715515" w:rsidP="00715515">
                            <w:pPr>
                              <w:jc w:val="center"/>
                              <w:rPr>
                                <w:rFonts w:ascii="Times New Roman" w:hAnsi="Times New Roman" w:cs="Times New Roman"/>
                                <w:b/>
                                <w:bCs/>
                                <w:sz w:val="28"/>
                                <w:szCs w:val="28"/>
                              </w:rPr>
                            </w:pPr>
                            <w:r w:rsidRPr="006531C9">
                              <w:rPr>
                                <w:rFonts w:ascii="Times New Roman" w:hAnsi="Times New Roman" w:cs="Times New Roman"/>
                                <w:b/>
                                <w:bCs/>
                                <w:sz w:val="28"/>
                                <w:szCs w:val="28"/>
                              </w:rPr>
                              <w:t>48h</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1B4988F" id="_x0000_s1030" type="#_x0000_t202" style="position:absolute;left:0;text-align:left;margin-left:37pt;margin-top:187.45pt;width:62.85pt;height:26.8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" fillcolor="#70ad47 [3209]" strokecolor="#10190a [489]" strokeweight="1pt">
                <v:textbox>
                  <w:txbxContent>
                    <w:p w14:paraId="6D2B3DCB" w14:textId="77777777" w:rsidR="00715515" w:rsidRPr="006531C9" w:rsidRDefault="00715515" w:rsidP="00715515">
                      <w:pPr>
                        <w:jc w:val="center"/>
                        <w:rPr>
                          <w:rFonts w:ascii="Times New Roman" w:hAnsi="Times New Roman" w:cs="Times New Roman"/>
                          <w:b/>
                          <w:bCs/>
                          <w:sz w:val="28"/>
                          <w:szCs w:val="28"/>
                        </w:rPr>
                      </w:pPr>
                      <w:r w:rsidRPr="006531C9">
                        <w:rPr>
                          <w:rFonts w:ascii="Times New Roman" w:hAnsi="Times New Roman" w:cs="Times New Roman"/>
                          <w:b/>
                          <w:bCs/>
                          <w:sz w:val="28"/>
                          <w:szCs w:val="28"/>
                        </w:rPr>
                        <w:t>48h</w:t>
                      </w:r>
                    </w:p>
                  </w:txbxContent>
                </v:textbox>
              </v:shape>
            </w:pict>
          </mc:Fallback>
        </mc:AlternateContent>
      </w:r>
      <w:r w:rsidRPr="006531C9">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3D8CF34A" wp14:editId="6F3901DC">
                <wp:simplePos x="0" y="0"/>
                <wp:positionH relativeFrom="column">
                  <wp:posOffset>490855</wp:posOffset>
                </wp:positionH>
                <wp:positionV relativeFrom="paragraph">
                  <wp:posOffset>4105910</wp:posOffset>
                </wp:positionV>
                <wp:extent cx="798195" cy="340995"/>
                <wp:effectExtent l="0" t="0" r="2540" b="1905"/>
                <wp:wrapNone/>
                <wp:docPr id="1271676993" name="Надпись 2"/>
                <wp:cNvGraphicFramePr/>
                <a:graphic xmlns:a="http://schemas.openxmlformats.org/drawingml/2006/main">
                  <a:graphicData uri="http://schemas.microsoft.com/office/word/2010/wordprocessingShape">
                    <wps:wsp>
                      <wps:cNvSpPr txBox="1"/>
                      <wps:spPr>
                        <a:xfrm>
                          <a:off x="0" y="0"/>
                          <a:ext cx="798195" cy="340995"/>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7F25EE13" w14:textId="77777777" w:rsidR="00715515" w:rsidRPr="006531C9" w:rsidRDefault="00715515" w:rsidP="00715515">
                            <w:pPr>
                              <w:jc w:val="center"/>
                              <w:rPr>
                                <w:rFonts w:ascii="Times New Roman" w:hAnsi="Times New Roman" w:cs="Times New Roman"/>
                                <w:b/>
                                <w:bCs/>
                                <w:sz w:val="28"/>
                                <w:szCs w:val="28"/>
                              </w:rPr>
                            </w:pPr>
                            <w:r w:rsidRPr="006531C9">
                              <w:rPr>
                                <w:rFonts w:ascii="Times New Roman" w:hAnsi="Times New Roman" w:cs="Times New Roman"/>
                                <w:b/>
                                <w:bCs/>
                                <w:sz w:val="28"/>
                                <w:szCs w:val="28"/>
                              </w:rPr>
                              <w:t>72h</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D8CF34A" id="_x0000_s1031" type="#_x0000_t202" style="position:absolute;left:0;text-align:left;margin-left:38.65pt;margin-top:323.3pt;width:62.85pt;height:26.8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" fillcolor="#ed7d31 [3205]" stroked="f">
                <v:textbox>
                  <w:txbxContent>
                    <w:p w14:paraId="7F25EE13" w14:textId="77777777" w:rsidR="00715515" w:rsidRPr="006531C9" w:rsidRDefault="00715515" w:rsidP="00715515">
                      <w:pPr>
                        <w:jc w:val="center"/>
                        <w:rPr>
                          <w:rFonts w:ascii="Times New Roman" w:hAnsi="Times New Roman" w:cs="Times New Roman"/>
                          <w:b/>
                          <w:bCs/>
                          <w:sz w:val="28"/>
                          <w:szCs w:val="28"/>
                        </w:rPr>
                      </w:pPr>
                      <w:r w:rsidRPr="006531C9">
                        <w:rPr>
                          <w:rFonts w:ascii="Times New Roman" w:hAnsi="Times New Roman" w:cs="Times New Roman"/>
                          <w:b/>
                          <w:bCs/>
                          <w:sz w:val="28"/>
                          <w:szCs w:val="28"/>
                        </w:rPr>
                        <w:t>72h</w:t>
                      </w:r>
                    </w:p>
                  </w:txbxContent>
                </v:textbox>
              </v:shape>
            </w:pict>
          </mc:Fallback>
        </mc:AlternateContent>
      </w:r>
      <w:r w:rsidR="00715515" w:rsidRPr="006531C9">
        <w:rPr>
          <w:rFonts w:ascii="Times New Roman" w:hAnsi="Times New Roman" w:cs="Times New Roman"/>
          <w:noProof/>
          <w:sz w:val="24"/>
          <w:szCs w:val="24"/>
        </w:rPr>
        <w:drawing>
          <wp:inline distT="0" distB="0" distL="0" distR="0" wp14:anchorId="06673283" wp14:editId="1EAC5974">
            <wp:extent cx="3359817" cy="5781675"/>
            <wp:effectExtent l="95250" t="95250" r="88265" b="85725"/>
            <wp:docPr id="16394065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406564" name="Рисунок 1"/>
                    <pic:cNvPicPr>
                      <a:picLocks noChangeAspect="1"/>
                    </pic:cNvPicPr>
                  </pic:nvPicPr>
                  <pic:blipFill>
                    <a:blip r:embed="rId52">
                      <a:extLst>
                        <a:ext uri="{BEBA8EAE-BF5A-486C-A8C5-ECC9F3942E4B}">
                          <a14:imgProps xmlns:a14="http://schemas.microsoft.com/office/drawing/2010/main">
                            <a14:imgLayer r:embed="rId53">
                              <a14:imgEffect>
                                <a14:brightnessContrast bright="-20000" contrast="40000"/>
                              </a14:imgEffect>
                              <a14:imgEffect>
                                <a14:sharpenSoften amount="25000"/>
                              </a14:imgEffect>
                            </a14:imgLayer>
                          </a14:imgProps>
                        </a:ext>
                      </a:extLst>
                    </a:blip>
                    <a:srcRect l="49718" t="13018" r="35207" b="23923"/>
                    <a:stretch>
                      <a:fillRect/>
                    </a:stretch>
                  </pic:blipFill>
                  <pic:spPr>
                    <a:xfrm>
                      <a:off x="0" y="0"/>
                      <a:ext cx="3434838" cy="5910773"/>
                    </a:xfrm>
                    <a:prstGeom prst="rect">
                      <a:avLst/>
                    </a:prstGeom>
                    <a:ln w="88900" cap="sq" cmpd="thickThin">
                      <a:solidFill>
                        <a:srgbClr val="000000"/>
                      </a:solidFill>
                      <a:prstDash val="solid"/>
                      <a:miter lim="800000"/>
                      <a:headEnd/>
                      <a:tailEnd/>
                    </a:ln>
                    <a:effectLst>
                      <a:innerShdw blurRad="76200">
                        <a:srgbClr val="000000"/>
                      </a:innerShdw>
                    </a:effectLst>
                  </pic:spPr>
                </pic:pic>
              </a:graphicData>
            </a:graphic>
          </wp:inline>
        </w:drawing>
      </w:r>
    </w:p>
    <w:p w14:paraId="05AC8B3B" w14:textId="35B236DA" w:rsidR="00263928" w:rsidRDefault="00715515" w:rsidP="00C41F1D">
      <w:pPr>
        <w:spacing w:after="0" w:line="240" w:lineRule="auto"/>
        <w:jc w:val="center"/>
        <w:rPr>
          <w:rFonts w:ascii="Times New Roman" w:hAnsi="Times New Roman" w:cs="Times New Roman"/>
          <w:sz w:val="28"/>
          <w:szCs w:val="28"/>
        </w:rPr>
      </w:pPr>
      <w:r w:rsidRPr="001B1423">
        <w:rPr>
          <w:rFonts w:ascii="Times New Roman" w:hAnsi="Times New Roman" w:cs="Times New Roman"/>
          <w:sz w:val="28"/>
          <w:szCs w:val="28"/>
        </w:rPr>
        <w:t>Figure 2</w:t>
      </w:r>
      <w:r w:rsidR="00DE5D32" w:rsidRPr="001B1423">
        <w:rPr>
          <w:rFonts w:ascii="Times New Roman" w:hAnsi="Times New Roman" w:cs="Times New Roman"/>
          <w:sz w:val="28"/>
          <w:szCs w:val="28"/>
        </w:rPr>
        <w:t>4</w:t>
      </w:r>
      <w:r w:rsidRPr="001B1423">
        <w:rPr>
          <w:rFonts w:ascii="Times New Roman" w:hAnsi="Times New Roman" w:cs="Times New Roman"/>
          <w:sz w:val="28"/>
          <w:szCs w:val="28"/>
        </w:rPr>
        <w:t xml:space="preserve"> </w:t>
      </w:r>
      <w:r w:rsidR="008E379C" w:rsidRPr="001B1423">
        <w:rPr>
          <w:rFonts w:ascii="Times New Roman" w:hAnsi="Times New Roman" w:cs="Times New Roman"/>
          <w:color w:val="1B1B1B"/>
          <w:sz w:val="28"/>
          <w:szCs w:val="28"/>
          <w:shd w:val="clear" w:color="auto" w:fill="FFFFFF"/>
        </w:rPr>
        <w:t xml:space="preserve">– </w:t>
      </w:r>
      <w:r w:rsidR="008E379C" w:rsidRPr="001B1423">
        <w:rPr>
          <w:rFonts w:ascii="Times New Roman" w:hAnsi="Times New Roman" w:cs="Times New Roman"/>
          <w:sz w:val="28"/>
          <w:szCs w:val="28"/>
        </w:rPr>
        <w:t>SARS</w:t>
      </w:r>
      <w:r w:rsidRPr="001B1423">
        <w:rPr>
          <w:rFonts w:ascii="Times New Roman" w:hAnsi="Times New Roman" w:cs="Times New Roman"/>
          <w:sz w:val="28"/>
          <w:szCs w:val="28"/>
        </w:rPr>
        <w:t xml:space="preserve">-CoV-2 causes cytopathic effects on monolayers of Vero E6 cells. Vero-E6 cells were inoculated with SARS-CoV-2 at a 10 TCID50 viral </w:t>
      </w:r>
      <w:r w:rsidR="00F26E8B" w:rsidRPr="001B1423">
        <w:rPr>
          <w:rFonts w:ascii="Times New Roman" w:hAnsi="Times New Roman" w:cs="Times New Roman"/>
          <w:sz w:val="28"/>
          <w:szCs w:val="28"/>
        </w:rPr>
        <w:t>titer</w:t>
      </w:r>
      <w:r w:rsidRPr="001B1423">
        <w:rPr>
          <w:rFonts w:ascii="Times New Roman" w:hAnsi="Times New Roman" w:cs="Times New Roman"/>
          <w:sz w:val="28"/>
          <w:szCs w:val="28"/>
        </w:rPr>
        <w:t>, or MOI of 2 (200,000 virions per 1 × 10</w:t>
      </w:r>
      <w:r w:rsidRPr="000E6DC0">
        <w:rPr>
          <w:rFonts w:ascii="Times New Roman" w:hAnsi="Times New Roman" w:cs="Times New Roman"/>
          <w:sz w:val="28"/>
          <w:szCs w:val="28"/>
          <w:vertAlign w:val="superscript"/>
        </w:rPr>
        <w:t>5</w:t>
      </w:r>
      <w:r w:rsidRPr="001B1423">
        <w:rPr>
          <w:rFonts w:ascii="Times New Roman" w:hAnsi="Times New Roman" w:cs="Times New Roman"/>
          <w:sz w:val="28"/>
          <w:szCs w:val="28"/>
        </w:rPr>
        <w:t xml:space="preserve"> cells)</w:t>
      </w:r>
    </w:p>
    <w:p w14:paraId="684A4DE7" w14:textId="77777777" w:rsidR="00263928" w:rsidRDefault="00263928" w:rsidP="00C41F1D">
      <w:pPr>
        <w:spacing w:after="0" w:line="240" w:lineRule="auto"/>
        <w:jc w:val="center"/>
        <w:rPr>
          <w:rFonts w:ascii="Times New Roman" w:hAnsi="Times New Roman" w:cs="Times New Roman"/>
          <w:sz w:val="28"/>
          <w:szCs w:val="28"/>
        </w:rPr>
      </w:pPr>
    </w:p>
    <w:p w14:paraId="4126F64A" w14:textId="0E90E946" w:rsidR="001B1423" w:rsidRPr="001B1423" w:rsidRDefault="00263928" w:rsidP="00C41F1D">
      <w:pPr>
        <w:spacing w:after="0" w:line="240" w:lineRule="auto"/>
        <w:jc w:val="both"/>
        <w:rPr>
          <w:rFonts w:ascii="Times New Roman" w:hAnsi="Times New Roman" w:cs="Times New Roman"/>
          <w:sz w:val="28"/>
          <w:szCs w:val="28"/>
        </w:rPr>
      </w:pPr>
      <w:r w:rsidRPr="001B1423">
        <w:rPr>
          <w:rFonts w:ascii="Times New Roman" w:hAnsi="Times New Roman" w:cs="Times New Roman"/>
          <w:sz w:val="28"/>
          <w:szCs w:val="28"/>
        </w:rPr>
        <w:t xml:space="preserve"> </w:t>
      </w:r>
      <w:r>
        <w:rPr>
          <w:rFonts w:ascii="Times New Roman" w:hAnsi="Times New Roman" w:cs="Times New Roman"/>
          <w:sz w:val="28"/>
          <w:szCs w:val="28"/>
        </w:rPr>
        <w:tab/>
        <w:t>Two</w:t>
      </w:r>
      <w:r w:rsidRPr="001B1423">
        <w:rPr>
          <w:rFonts w:ascii="Times New Roman" w:hAnsi="Times New Roman" w:cs="Times New Roman"/>
          <w:sz w:val="28"/>
          <w:szCs w:val="28"/>
        </w:rPr>
        <w:t xml:space="preserve"> </w:t>
      </w:r>
      <w:r>
        <w:rPr>
          <w:rFonts w:ascii="Times New Roman" w:hAnsi="Times New Roman" w:cs="Times New Roman"/>
          <w:sz w:val="28"/>
          <w:szCs w:val="28"/>
        </w:rPr>
        <w:t>virions</w:t>
      </w:r>
      <w:r w:rsidRPr="001B1423">
        <w:rPr>
          <w:rFonts w:ascii="Times New Roman" w:hAnsi="Times New Roman" w:cs="Times New Roman"/>
          <w:sz w:val="28"/>
          <w:szCs w:val="28"/>
        </w:rPr>
        <w:t xml:space="preserve"> </w:t>
      </w:r>
      <w:r>
        <w:rPr>
          <w:rFonts w:ascii="Times New Roman" w:hAnsi="Times New Roman" w:cs="Times New Roman"/>
          <w:sz w:val="28"/>
          <w:szCs w:val="28"/>
        </w:rPr>
        <w:t>are</w:t>
      </w:r>
      <w:r w:rsidRPr="001B1423">
        <w:rPr>
          <w:rFonts w:ascii="Times New Roman" w:hAnsi="Times New Roman" w:cs="Times New Roman"/>
          <w:sz w:val="28"/>
          <w:szCs w:val="28"/>
        </w:rPr>
        <w:t xml:space="preserve"> present for every target cell</w:t>
      </w:r>
      <w:r>
        <w:rPr>
          <w:rFonts w:ascii="Times New Roman" w:hAnsi="Times New Roman" w:cs="Times New Roman"/>
          <w:sz w:val="28"/>
          <w:szCs w:val="28"/>
        </w:rPr>
        <w:t>,</w:t>
      </w:r>
      <w:r w:rsidRPr="001B1423">
        <w:rPr>
          <w:rFonts w:ascii="Times New Roman" w:hAnsi="Times New Roman" w:cs="Times New Roman"/>
          <w:sz w:val="28"/>
          <w:szCs w:val="28"/>
        </w:rPr>
        <w:t xml:space="preserve"> as determined by the Express Antigen COVID-19 test, GenSure sensitivity for SARS-CoV2: MOI of 0.0001-20</w:t>
      </w:r>
      <w:r>
        <w:rPr>
          <w:rFonts w:ascii="Times New Roman" w:hAnsi="Times New Roman" w:cs="Times New Roman"/>
          <w:sz w:val="28"/>
          <w:szCs w:val="28"/>
        </w:rPr>
        <w:t xml:space="preserve">. </w:t>
      </w:r>
      <w:r w:rsidR="00935DCA" w:rsidRPr="001B1423">
        <w:rPr>
          <w:rFonts w:ascii="Times New Roman" w:hAnsi="Times New Roman" w:cs="Times New Roman"/>
          <w:sz w:val="28"/>
          <w:szCs w:val="28"/>
        </w:rPr>
        <w:t xml:space="preserve">To conclude, BSL-3/4 </w:t>
      </w:r>
      <w:r w:rsidR="00835515" w:rsidRPr="001B1423">
        <w:rPr>
          <w:rFonts w:ascii="Times New Roman" w:hAnsi="Times New Roman" w:cs="Times New Roman"/>
          <w:sz w:val="28"/>
          <w:szCs w:val="28"/>
        </w:rPr>
        <w:t>authorised</w:t>
      </w:r>
      <w:r w:rsidR="00935DCA" w:rsidRPr="001B1423">
        <w:rPr>
          <w:rFonts w:ascii="Times New Roman" w:hAnsi="Times New Roman" w:cs="Times New Roman"/>
          <w:sz w:val="28"/>
          <w:szCs w:val="28"/>
        </w:rPr>
        <w:t xml:space="preserve"> lab personnel were instructed to run the antiviral assay at least three times using a 50 µg/ml TAF prodrug salt against SARS-CoV-2 (2 µl of viral stock) with a control. Results can also be seen in Table 6, using the Antigen count of the GenSure kit from a specimen swab, as well as on the CCK8 platform after 24 hours of exposure.</w:t>
      </w:r>
    </w:p>
    <w:p w14:paraId="1D224354" w14:textId="40F8C0EB" w:rsidR="00005A5C" w:rsidRPr="00005A5C" w:rsidRDefault="00005A5C" w:rsidP="00732D7D">
      <w:pPr>
        <w:pStyle w:val="af1"/>
        <w:numPr>
          <w:ilvl w:val="1"/>
          <w:numId w:val="76"/>
        </w:numPr>
        <w:spacing w:after="0" w:line="240" w:lineRule="auto"/>
        <w:ind w:left="709" w:firstLine="0"/>
        <w:jc w:val="both"/>
        <w:rPr>
          <w:rFonts w:ascii="Times New Roman" w:hAnsi="Times New Roman" w:cs="Times New Roman"/>
          <w:b/>
          <w:bCs/>
          <w:iCs/>
          <w:sz w:val="28"/>
          <w:szCs w:val="28"/>
        </w:rPr>
      </w:pPr>
      <w:bookmarkStart w:id="32" w:name="_Hlk165642829"/>
      <w:r w:rsidRPr="00005A5C">
        <w:rPr>
          <w:rFonts w:ascii="Times New Roman" w:hAnsi="Times New Roman" w:cs="Times New Roman"/>
          <w:b/>
          <w:bCs/>
          <w:iCs/>
          <w:sz w:val="28"/>
          <w:szCs w:val="28"/>
        </w:rPr>
        <w:lastRenderedPageBreak/>
        <w:t>Detection and Characterization of the SARS-CoV-2/KAZ/B1.1/2021 (Alpha) Variant</w:t>
      </w:r>
    </w:p>
    <w:p w14:paraId="2BEA2AB6" w14:textId="5373D0E8" w:rsidR="00097D3C" w:rsidRPr="00005A5C" w:rsidRDefault="00853685" w:rsidP="00732D7D">
      <w:pPr>
        <w:spacing w:after="0" w:line="240" w:lineRule="auto"/>
        <w:ind w:firstLine="709"/>
        <w:jc w:val="both"/>
        <w:rPr>
          <w:rFonts w:ascii="Times New Roman" w:hAnsi="Times New Roman" w:cs="Times New Roman"/>
          <w:iCs/>
          <w:sz w:val="28"/>
          <w:szCs w:val="28"/>
        </w:rPr>
      </w:pPr>
      <w:r w:rsidRPr="00005A5C">
        <w:rPr>
          <w:rFonts w:ascii="Times New Roman" w:hAnsi="Times New Roman" w:cs="Times New Roman"/>
          <w:iCs/>
          <w:sz w:val="28"/>
          <w:szCs w:val="28"/>
        </w:rPr>
        <w:t xml:space="preserve">The SARS-CoV-2/human/KAZ/B1.1/2021 strain was obtained from the Scientific and Practical </w:t>
      </w:r>
      <w:r w:rsidR="00213AD1" w:rsidRPr="00005A5C">
        <w:rPr>
          <w:rFonts w:ascii="Times New Roman" w:hAnsi="Times New Roman" w:cs="Times New Roman"/>
          <w:iCs/>
          <w:sz w:val="28"/>
          <w:szCs w:val="28"/>
        </w:rPr>
        <w:t>Centre for Sanitary and Epidemiological Expertise and Monitoring, a branch of the Republican state enterprise with the right of economic use, the National Centre</w:t>
      </w:r>
      <w:r w:rsidRPr="00005A5C">
        <w:rPr>
          <w:rFonts w:ascii="Times New Roman" w:hAnsi="Times New Roman" w:cs="Times New Roman"/>
          <w:iCs/>
          <w:sz w:val="28"/>
          <w:szCs w:val="28"/>
        </w:rPr>
        <w:t xml:space="preserve"> for Public Health, Ministry of Health, Republic of Kazakhstan</w:t>
      </w:r>
      <w:r w:rsidR="00766881" w:rsidRPr="00005A5C">
        <w:rPr>
          <w:rFonts w:ascii="Times New Roman" w:hAnsi="Times New Roman" w:cs="Times New Roman"/>
          <w:iCs/>
          <w:sz w:val="28"/>
          <w:szCs w:val="28"/>
          <w:lang w:val="en-US"/>
        </w:rPr>
        <w:t xml:space="preserve"> and isolates were taken according to protocols that were conducted in the institute of biosafety [18]</w:t>
      </w:r>
      <w:r w:rsidRPr="00005A5C">
        <w:rPr>
          <w:rFonts w:ascii="Times New Roman" w:hAnsi="Times New Roman" w:cs="Times New Roman"/>
          <w:iCs/>
          <w:sz w:val="28"/>
          <w:szCs w:val="28"/>
        </w:rPr>
        <w:t>.</w:t>
      </w:r>
      <w:r w:rsidR="00766881" w:rsidRPr="00005A5C">
        <w:rPr>
          <w:rFonts w:ascii="Times New Roman" w:hAnsi="Times New Roman" w:cs="Times New Roman"/>
          <w:iCs/>
          <w:sz w:val="28"/>
          <w:szCs w:val="28"/>
        </w:rPr>
        <w:t xml:space="preserve"> </w:t>
      </w:r>
      <w:r w:rsidR="00A57D64" w:rsidRPr="00005A5C">
        <w:rPr>
          <w:rFonts w:ascii="Times New Roman" w:hAnsi="Times New Roman" w:cs="Times New Roman"/>
          <w:iCs/>
          <w:sz w:val="28"/>
          <w:szCs w:val="28"/>
        </w:rPr>
        <w:t>Ct values between 25 and 45 were set according to an optimised RT-qPCR protocol, and Ct values over 30 remain</w:t>
      </w:r>
      <w:r w:rsidR="00F56093" w:rsidRPr="00005A5C">
        <w:rPr>
          <w:rFonts w:ascii="Times New Roman" w:hAnsi="Times New Roman" w:cs="Times New Roman"/>
          <w:iCs/>
          <w:sz w:val="28"/>
          <w:szCs w:val="28"/>
        </w:rPr>
        <w:t xml:space="preserve"> informative</w:t>
      </w:r>
      <w:r w:rsidR="00411CA7" w:rsidRPr="00005A5C">
        <w:rPr>
          <w:rFonts w:ascii="Times New Roman" w:hAnsi="Times New Roman" w:cs="Times New Roman"/>
          <w:iCs/>
          <w:sz w:val="28"/>
          <w:szCs w:val="28"/>
        </w:rPr>
        <w:t>, indicating</w:t>
      </w:r>
      <w:r w:rsidRPr="00005A5C">
        <w:rPr>
          <w:rFonts w:ascii="Times New Roman" w:hAnsi="Times New Roman" w:cs="Times New Roman"/>
          <w:iCs/>
          <w:sz w:val="28"/>
          <w:szCs w:val="28"/>
        </w:rPr>
        <w:t xml:space="preserve"> a viral load </w:t>
      </w:r>
      <w:r w:rsidR="00F56093" w:rsidRPr="00005A5C">
        <w:rPr>
          <w:rFonts w:ascii="Times New Roman" w:hAnsi="Times New Roman" w:cs="Times New Roman"/>
          <w:iCs/>
          <w:sz w:val="28"/>
          <w:szCs w:val="28"/>
        </w:rPr>
        <w:t xml:space="preserve">sufficient for centrifugation and plate concentration </w:t>
      </w:r>
      <w:r w:rsidR="00CE5AC2" w:rsidRPr="00005A5C">
        <w:rPr>
          <w:rFonts w:ascii="Times New Roman" w:hAnsi="Times New Roman" w:cs="Times New Roman"/>
          <w:iCs/>
          <w:sz w:val="28"/>
          <w:szCs w:val="28"/>
        </w:rPr>
        <w:t xml:space="preserve">(see </w:t>
      </w:r>
      <w:r w:rsidR="00B5469E" w:rsidRPr="00005A5C">
        <w:rPr>
          <w:rFonts w:ascii="Times New Roman" w:hAnsi="Times New Roman" w:cs="Times New Roman"/>
          <w:iCs/>
          <w:sz w:val="28"/>
          <w:szCs w:val="28"/>
        </w:rPr>
        <w:t>“</w:t>
      </w:r>
      <w:r w:rsidR="00CE5AC2" w:rsidRPr="00005A5C">
        <w:rPr>
          <w:rFonts w:ascii="Times New Roman" w:hAnsi="Times New Roman" w:cs="Times New Roman"/>
          <w:iCs/>
          <w:sz w:val="28"/>
          <w:szCs w:val="28"/>
        </w:rPr>
        <w:t xml:space="preserve">Table </w:t>
      </w:r>
      <w:r w:rsidR="007D27FD" w:rsidRPr="00005A5C">
        <w:rPr>
          <w:rFonts w:ascii="Times New Roman" w:hAnsi="Times New Roman" w:cs="Times New Roman"/>
          <w:iCs/>
          <w:sz w:val="28"/>
          <w:szCs w:val="28"/>
          <w:lang w:val="en-US"/>
        </w:rPr>
        <w:t>6</w:t>
      </w:r>
      <w:r w:rsidR="00B5469E" w:rsidRPr="00005A5C">
        <w:rPr>
          <w:rFonts w:ascii="Times New Roman" w:hAnsi="Times New Roman" w:cs="Times New Roman"/>
          <w:iCs/>
          <w:sz w:val="28"/>
          <w:szCs w:val="28"/>
          <w:lang w:val="en-US"/>
        </w:rPr>
        <w:t>”</w:t>
      </w:r>
      <w:r w:rsidR="00CE5AC2" w:rsidRPr="00005A5C">
        <w:rPr>
          <w:rFonts w:ascii="Times New Roman" w:hAnsi="Times New Roman" w:cs="Times New Roman"/>
          <w:iCs/>
          <w:sz w:val="28"/>
          <w:szCs w:val="28"/>
        </w:rPr>
        <w:t>)</w:t>
      </w:r>
      <w:r w:rsidRPr="00005A5C">
        <w:rPr>
          <w:rFonts w:ascii="Times New Roman" w:hAnsi="Times New Roman" w:cs="Times New Roman"/>
          <w:iCs/>
          <w:sz w:val="28"/>
          <w:szCs w:val="28"/>
        </w:rPr>
        <w:t xml:space="preserve">. </w:t>
      </w:r>
      <w:r w:rsidR="00411CA7" w:rsidRPr="00005A5C">
        <w:rPr>
          <w:rFonts w:ascii="Times New Roman" w:hAnsi="Times New Roman" w:cs="Times New Roman"/>
          <w:iCs/>
          <w:sz w:val="28"/>
          <w:szCs w:val="28"/>
        </w:rPr>
        <w:t>Additionally, it illustrates the stages of the subsequent RT-</w:t>
      </w:r>
      <w:r w:rsidR="00F56093" w:rsidRPr="00005A5C">
        <w:rPr>
          <w:rFonts w:ascii="Times New Roman" w:hAnsi="Times New Roman" w:cs="Times New Roman"/>
          <w:iCs/>
          <w:sz w:val="28"/>
          <w:szCs w:val="28"/>
        </w:rPr>
        <w:t>q</w:t>
      </w:r>
      <w:r w:rsidR="00411CA7" w:rsidRPr="00005A5C">
        <w:rPr>
          <w:rFonts w:ascii="Times New Roman" w:hAnsi="Times New Roman" w:cs="Times New Roman"/>
          <w:iCs/>
          <w:sz w:val="28"/>
          <w:szCs w:val="28"/>
        </w:rPr>
        <w:t>PCR analysis</w:t>
      </w:r>
      <w:r w:rsidR="00A57D64" w:rsidRPr="00005A5C">
        <w:rPr>
          <w:rFonts w:ascii="Times New Roman" w:hAnsi="Times New Roman" w:cs="Times New Roman"/>
          <w:iCs/>
          <w:sz w:val="28"/>
          <w:szCs w:val="28"/>
        </w:rPr>
        <w:t xml:space="preserve"> and serves as an example of sample recognition via</w:t>
      </w:r>
      <w:r w:rsidR="00411CA7" w:rsidRPr="00005A5C">
        <w:rPr>
          <w:rFonts w:ascii="Times New Roman" w:hAnsi="Times New Roman" w:cs="Times New Roman"/>
          <w:iCs/>
          <w:sz w:val="28"/>
          <w:szCs w:val="28"/>
        </w:rPr>
        <w:t xml:space="preserve"> Ct peaks. A typical RT-PCR analysis </w:t>
      </w:r>
      <w:r w:rsidRPr="00005A5C">
        <w:rPr>
          <w:rFonts w:ascii="Times New Roman" w:hAnsi="Times New Roman" w:cs="Times New Roman"/>
          <w:iCs/>
          <w:sz w:val="28"/>
          <w:szCs w:val="28"/>
        </w:rPr>
        <w:t>comprises a maximum of 4</w:t>
      </w:r>
      <w:r w:rsidR="00F56093" w:rsidRPr="00005A5C">
        <w:rPr>
          <w:rFonts w:ascii="Times New Roman" w:hAnsi="Times New Roman" w:cs="Times New Roman"/>
          <w:iCs/>
          <w:sz w:val="28"/>
          <w:szCs w:val="28"/>
        </w:rPr>
        <w:t>5</w:t>
      </w:r>
      <w:r w:rsidRPr="00005A5C">
        <w:rPr>
          <w:rFonts w:ascii="Times New Roman" w:hAnsi="Times New Roman" w:cs="Times New Roman"/>
          <w:iCs/>
          <w:sz w:val="28"/>
          <w:szCs w:val="28"/>
        </w:rPr>
        <w:t xml:space="preserve"> thermal cycles. The lower the Ct</w:t>
      </w:r>
      <w:r w:rsidR="00EC1126" w:rsidRPr="00005A5C">
        <w:rPr>
          <w:rFonts w:ascii="Times New Roman" w:hAnsi="Times New Roman" w:cs="Times New Roman"/>
          <w:iCs/>
          <w:sz w:val="28"/>
          <w:szCs w:val="28"/>
        </w:rPr>
        <w:t xml:space="preserve"> value, the higher the amount of viral genetic material in the sample, serving as an approximate indicator of viral load</w:t>
      </w:r>
      <w:r w:rsidRPr="00005A5C">
        <w:rPr>
          <w:rFonts w:ascii="Times New Roman" w:hAnsi="Times New Roman" w:cs="Times New Roman"/>
          <w:iCs/>
          <w:sz w:val="28"/>
          <w:szCs w:val="28"/>
        </w:rPr>
        <w:t xml:space="preserve">. The Ct values obtained </w:t>
      </w:r>
      <w:r w:rsidR="00411CA7" w:rsidRPr="00005A5C">
        <w:rPr>
          <w:rFonts w:ascii="Times New Roman" w:hAnsi="Times New Roman" w:cs="Times New Roman"/>
          <w:iCs/>
          <w:sz w:val="28"/>
          <w:szCs w:val="28"/>
        </w:rPr>
        <w:t>in this manner are semi-quantitative, allowing for the distinction between high and low viral loads</w:t>
      </w:r>
      <w:r w:rsidRPr="00005A5C">
        <w:rPr>
          <w:rFonts w:ascii="Times New Roman" w:hAnsi="Times New Roman" w:cs="Times New Roman"/>
          <w:iCs/>
          <w:sz w:val="28"/>
          <w:szCs w:val="28"/>
        </w:rPr>
        <w:t xml:space="preserve">. An increase in the Ct value by 3 points approximately corresponds to a 10-fold decrease in viral genetic material. There is no difference between the Ct and Cq values. </w:t>
      </w:r>
    </w:p>
    <w:p w14:paraId="16029FBE" w14:textId="6A3A8B77" w:rsidR="00766881" w:rsidRDefault="00853685" w:rsidP="00732D7D">
      <w:pPr>
        <w:spacing w:after="0" w:line="240" w:lineRule="auto"/>
        <w:ind w:firstLine="709"/>
        <w:jc w:val="both"/>
        <w:rPr>
          <w:rFonts w:ascii="Times New Roman" w:hAnsi="Times New Roman" w:cs="Times New Roman"/>
          <w:iCs/>
          <w:sz w:val="28"/>
          <w:szCs w:val="28"/>
        </w:rPr>
      </w:pPr>
      <w:r w:rsidRPr="001B1423">
        <w:rPr>
          <w:rFonts w:ascii="Times New Roman" w:hAnsi="Times New Roman" w:cs="Times New Roman"/>
          <w:iCs/>
          <w:sz w:val="28"/>
          <w:szCs w:val="28"/>
        </w:rPr>
        <w:t xml:space="preserve">These values are </w:t>
      </w:r>
      <w:r w:rsidR="00410B80" w:rsidRPr="001B1423">
        <w:rPr>
          <w:rFonts w:ascii="Times New Roman" w:hAnsi="Times New Roman" w:cs="Times New Roman"/>
          <w:iCs/>
          <w:sz w:val="28"/>
          <w:szCs w:val="28"/>
        </w:rPr>
        <w:t>identical</w:t>
      </w:r>
      <w:r w:rsidRPr="001B1423">
        <w:rPr>
          <w:rFonts w:ascii="Times New Roman" w:hAnsi="Times New Roman" w:cs="Times New Roman"/>
          <w:iCs/>
          <w:sz w:val="28"/>
          <w:szCs w:val="28"/>
        </w:rPr>
        <w:t xml:space="preserve">, but they are </w:t>
      </w:r>
      <w:r w:rsidR="00F56093" w:rsidRPr="001B1423">
        <w:rPr>
          <w:rFonts w:ascii="Times New Roman" w:hAnsi="Times New Roman" w:cs="Times New Roman"/>
          <w:iCs/>
          <w:sz w:val="28"/>
          <w:szCs w:val="28"/>
        </w:rPr>
        <w:t>given</w:t>
      </w:r>
      <w:r w:rsidRPr="001B1423">
        <w:rPr>
          <w:rFonts w:ascii="Times New Roman" w:hAnsi="Times New Roman" w:cs="Times New Roman"/>
          <w:iCs/>
          <w:sz w:val="28"/>
          <w:szCs w:val="28"/>
        </w:rPr>
        <w:t xml:space="preserve"> different names. Ct means threshold cycle, and Cq means quantification cycle. The MIQE (</w:t>
      </w:r>
      <w:r w:rsidR="00411CA7" w:rsidRPr="001B1423">
        <w:rPr>
          <w:rFonts w:ascii="Times New Roman" w:hAnsi="Times New Roman" w:cs="Times New Roman"/>
          <w:iCs/>
          <w:sz w:val="28"/>
          <w:szCs w:val="28"/>
        </w:rPr>
        <w:t>Minimum Information for Publication of Quantitative Real-Time PCR Experiments</w:t>
      </w:r>
      <w:r w:rsidRPr="001B1423">
        <w:rPr>
          <w:rFonts w:ascii="Times New Roman" w:hAnsi="Times New Roman" w:cs="Times New Roman"/>
          <w:iCs/>
          <w:sz w:val="28"/>
          <w:szCs w:val="28"/>
        </w:rPr>
        <w:t xml:space="preserve">) guidelines recommend using the more generic quantification cycle (Cq) term to </w:t>
      </w:r>
      <w:r w:rsidR="00F56093" w:rsidRPr="001B1423">
        <w:rPr>
          <w:rFonts w:ascii="Times New Roman" w:hAnsi="Times New Roman" w:cs="Times New Roman"/>
          <w:iCs/>
          <w:sz w:val="28"/>
          <w:szCs w:val="28"/>
        </w:rPr>
        <w:t>standardise</w:t>
      </w:r>
      <w:r w:rsidRPr="001B1423">
        <w:rPr>
          <w:rFonts w:ascii="Times New Roman" w:hAnsi="Times New Roman" w:cs="Times New Roman"/>
          <w:iCs/>
          <w:sz w:val="28"/>
          <w:szCs w:val="28"/>
        </w:rPr>
        <w:t xml:space="preserve"> qPCR nomenclature. Table 3 </w:t>
      </w:r>
      <w:r w:rsidR="00411CA7" w:rsidRPr="001B1423">
        <w:rPr>
          <w:rFonts w:ascii="Times New Roman" w:hAnsi="Times New Roman" w:cs="Times New Roman"/>
          <w:iCs/>
          <w:sz w:val="28"/>
          <w:szCs w:val="28"/>
        </w:rPr>
        <w:t>presents the results of eight</w:t>
      </w:r>
      <w:r w:rsidRPr="001B1423">
        <w:rPr>
          <w:rFonts w:ascii="Times New Roman" w:hAnsi="Times New Roman" w:cs="Times New Roman"/>
          <w:iCs/>
          <w:sz w:val="28"/>
          <w:szCs w:val="28"/>
        </w:rPr>
        <w:t xml:space="preserve"> PCR test/confirmation samples; The standard deviation is p=0.5.  </w:t>
      </w:r>
      <w:bookmarkEnd w:id="32"/>
      <w:r w:rsidR="00BE225C" w:rsidRPr="001B1423">
        <w:rPr>
          <w:rFonts w:ascii="Times New Roman" w:hAnsi="Times New Roman" w:cs="Times New Roman"/>
          <w:iCs/>
          <w:sz w:val="28"/>
          <w:szCs w:val="28"/>
        </w:rPr>
        <w:t xml:space="preserve">In conclusion, the </w:t>
      </w:r>
      <w:r w:rsidR="0079177F" w:rsidRPr="001B1423">
        <w:rPr>
          <w:rFonts w:ascii="Times New Roman" w:hAnsi="Times New Roman" w:cs="Times New Roman"/>
          <w:iCs/>
          <w:sz w:val="28"/>
          <w:szCs w:val="28"/>
        </w:rPr>
        <w:t xml:space="preserve">supernatant's isolated viral genetic material (vRNA/cDNA) </w:t>
      </w:r>
      <w:r w:rsidR="00EC1126" w:rsidRPr="001B1423">
        <w:rPr>
          <w:rFonts w:ascii="Times New Roman" w:hAnsi="Times New Roman" w:cs="Times New Roman"/>
          <w:iCs/>
          <w:sz w:val="28"/>
          <w:szCs w:val="28"/>
        </w:rPr>
        <w:t xml:space="preserve">was preserved as a primary viral </w:t>
      </w:r>
      <w:r w:rsidR="00F56093" w:rsidRPr="001B1423">
        <w:rPr>
          <w:rFonts w:ascii="Times New Roman" w:hAnsi="Times New Roman" w:cs="Times New Roman"/>
          <w:iCs/>
          <w:sz w:val="28"/>
          <w:szCs w:val="28"/>
        </w:rPr>
        <w:t>titer</w:t>
      </w:r>
      <w:r w:rsidR="00EC1126" w:rsidRPr="001B1423">
        <w:rPr>
          <w:rFonts w:ascii="Times New Roman" w:hAnsi="Times New Roman" w:cs="Times New Roman"/>
          <w:iCs/>
          <w:sz w:val="28"/>
          <w:szCs w:val="28"/>
        </w:rPr>
        <w:t xml:space="preserve"> with strain-specific fixation. In cases of secondary low viral load, </w:t>
      </w:r>
      <w:r w:rsidR="00A57D64">
        <w:rPr>
          <w:rFonts w:ascii="Times New Roman" w:hAnsi="Times New Roman" w:cs="Times New Roman"/>
          <w:iCs/>
          <w:sz w:val="28"/>
          <w:szCs w:val="28"/>
        </w:rPr>
        <w:t>the virus may have been reused</w:t>
      </w:r>
      <w:r w:rsidR="00DE38CA" w:rsidRPr="001B1423">
        <w:rPr>
          <w:rFonts w:ascii="Times New Roman" w:hAnsi="Times New Roman" w:cs="Times New Roman"/>
          <w:iCs/>
          <w:sz w:val="28"/>
          <w:szCs w:val="28"/>
        </w:rPr>
        <w:t xml:space="preserve"> and Vero cells reinfected</w:t>
      </w:r>
      <w:r w:rsidR="00EC1126" w:rsidRPr="001B1423">
        <w:rPr>
          <w:rFonts w:ascii="Times New Roman" w:hAnsi="Times New Roman" w:cs="Times New Roman"/>
          <w:iCs/>
          <w:sz w:val="28"/>
          <w:szCs w:val="28"/>
        </w:rPr>
        <w:t xml:space="preserve"> to obtain a human SARS-CoV-2</w:t>
      </w:r>
      <w:r w:rsidR="00BE225C" w:rsidRPr="001B1423">
        <w:rPr>
          <w:rFonts w:ascii="Times New Roman" w:hAnsi="Times New Roman" w:cs="Times New Roman"/>
          <w:iCs/>
          <w:sz w:val="28"/>
          <w:szCs w:val="28"/>
        </w:rPr>
        <w:t xml:space="preserve"> specimen.</w:t>
      </w:r>
    </w:p>
    <w:p w14:paraId="21462E23" w14:textId="79F07454" w:rsidR="00F84195" w:rsidRPr="00F84195" w:rsidRDefault="00F84195" w:rsidP="00F84195">
      <w:pPr>
        <w:spacing w:after="0" w:line="240" w:lineRule="auto"/>
        <w:ind w:firstLine="709"/>
        <w:jc w:val="both"/>
        <w:rPr>
          <w:rFonts w:ascii="Times New Roman" w:hAnsi="Times New Roman" w:cs="Times New Roman"/>
          <w:iCs/>
          <w:sz w:val="28"/>
          <w:szCs w:val="28"/>
        </w:rPr>
      </w:pPr>
      <w:r w:rsidRPr="00F84195">
        <w:rPr>
          <w:rFonts w:ascii="Times New Roman" w:hAnsi="Times New Roman" w:cs="Times New Roman"/>
          <w:iCs/>
          <w:sz w:val="28"/>
          <w:szCs w:val="28"/>
        </w:rPr>
        <w:t>During SARS-CoV-2 isolation from Vero E6 cells, several issues can occur, affecting viral yield and integrity. These include low viral load or degradation in clinical samples, variability in cell susceptibility due to passage number or expression of entry cofactors, and contamination with bacteria or mycoplasma that compromise culture health. Moreover, prolonged culturing can lead to adaptive mutations—especially in the spike gene—that alter the viral phenotype. Inconsistent cytopathic effects and difficulties in distinguishing viral damage from nonspecific toxicity further complicate interpretation, while strict biosafety level 3 requirements pose additional logistical challenges for reproducibility and inter-laboratory comparison.</w:t>
      </w:r>
    </w:p>
    <w:p w14:paraId="20AEBDFD" w14:textId="77777777" w:rsidR="00F84195" w:rsidRPr="00F84195" w:rsidRDefault="00F84195" w:rsidP="001B1423">
      <w:pPr>
        <w:spacing w:line="240" w:lineRule="auto"/>
        <w:ind w:firstLine="708"/>
        <w:jc w:val="both"/>
        <w:rPr>
          <w:rFonts w:ascii="Times New Roman" w:hAnsi="Times New Roman" w:cs="Times New Roman"/>
          <w:iCs/>
          <w:sz w:val="28"/>
          <w:szCs w:val="28"/>
        </w:rPr>
      </w:pPr>
    </w:p>
    <w:p w14:paraId="40EE4887" w14:textId="505855C8" w:rsidR="00A8649F" w:rsidRPr="00F84195" w:rsidRDefault="00A8649F" w:rsidP="001B1423">
      <w:pPr>
        <w:spacing w:line="240" w:lineRule="auto"/>
        <w:ind w:firstLine="708"/>
        <w:jc w:val="both"/>
        <w:rPr>
          <w:rFonts w:ascii="Times New Roman" w:hAnsi="Times New Roman" w:cs="Times New Roman"/>
          <w:iCs/>
          <w:sz w:val="28"/>
          <w:szCs w:val="28"/>
        </w:rPr>
      </w:pPr>
    </w:p>
    <w:p w14:paraId="03F86A51" w14:textId="77777777" w:rsidR="00A57D64" w:rsidRDefault="00A57D64" w:rsidP="001B1423">
      <w:pPr>
        <w:spacing w:line="240" w:lineRule="auto"/>
        <w:ind w:firstLine="708"/>
        <w:jc w:val="both"/>
        <w:rPr>
          <w:rFonts w:ascii="Times New Roman" w:hAnsi="Times New Roman" w:cs="Times New Roman"/>
          <w:iCs/>
          <w:sz w:val="28"/>
          <w:szCs w:val="28"/>
        </w:rPr>
      </w:pPr>
    </w:p>
    <w:p w14:paraId="3A91A6C2" w14:textId="77777777" w:rsidR="00A57D64" w:rsidRDefault="00A57D64" w:rsidP="001B1423">
      <w:pPr>
        <w:spacing w:line="240" w:lineRule="auto"/>
        <w:ind w:firstLine="708"/>
        <w:jc w:val="both"/>
        <w:rPr>
          <w:rFonts w:ascii="Times New Roman" w:hAnsi="Times New Roman" w:cs="Times New Roman"/>
          <w:iCs/>
          <w:sz w:val="28"/>
          <w:szCs w:val="28"/>
        </w:rPr>
      </w:pPr>
    </w:p>
    <w:p w14:paraId="0FC0EB53" w14:textId="77777777" w:rsidR="00A57D64" w:rsidRDefault="00A57D64" w:rsidP="00816171">
      <w:pPr>
        <w:spacing w:line="240" w:lineRule="auto"/>
        <w:jc w:val="both"/>
        <w:rPr>
          <w:rFonts w:ascii="Times New Roman" w:hAnsi="Times New Roman" w:cs="Times New Roman"/>
          <w:iCs/>
          <w:sz w:val="28"/>
          <w:szCs w:val="28"/>
        </w:rPr>
      </w:pPr>
    </w:p>
    <w:p w14:paraId="210FAB9B" w14:textId="77777777" w:rsidR="00732D7D" w:rsidRPr="001B1423" w:rsidRDefault="00732D7D" w:rsidP="00816171">
      <w:pPr>
        <w:spacing w:line="240" w:lineRule="auto"/>
        <w:jc w:val="both"/>
        <w:rPr>
          <w:rFonts w:ascii="Times New Roman" w:hAnsi="Times New Roman" w:cs="Times New Roman"/>
          <w:iCs/>
          <w:sz w:val="28"/>
          <w:szCs w:val="28"/>
        </w:rPr>
      </w:pPr>
    </w:p>
    <w:p w14:paraId="3324635A" w14:textId="7137250F" w:rsidR="00F932FE" w:rsidRDefault="008E379C" w:rsidP="00612A1C">
      <w:pPr>
        <w:spacing w:after="0" w:line="240" w:lineRule="auto"/>
        <w:ind w:firstLine="709"/>
        <w:jc w:val="both"/>
        <w:rPr>
          <w:rFonts w:ascii="Times New Roman" w:hAnsi="Times New Roman" w:cs="Times New Roman"/>
          <w:iCs/>
          <w:sz w:val="28"/>
          <w:szCs w:val="28"/>
        </w:rPr>
      </w:pPr>
      <w:r w:rsidRPr="001B1423">
        <w:rPr>
          <w:rFonts w:ascii="Times New Roman" w:hAnsi="Times New Roman" w:cs="Times New Roman"/>
          <w:iCs/>
          <w:sz w:val="28"/>
          <w:szCs w:val="28"/>
        </w:rPr>
        <w:lastRenderedPageBreak/>
        <w:t xml:space="preserve">Table </w:t>
      </w:r>
      <w:r w:rsidRPr="001B1423">
        <w:rPr>
          <w:rFonts w:ascii="Times New Roman" w:hAnsi="Times New Roman" w:cs="Times New Roman"/>
          <w:color w:val="1B1B1B"/>
          <w:sz w:val="28"/>
          <w:szCs w:val="28"/>
          <w:shd w:val="clear" w:color="auto" w:fill="FFFFFF"/>
        </w:rPr>
        <w:t>6 –</w:t>
      </w:r>
      <w:r w:rsidR="00853685" w:rsidRPr="001B1423">
        <w:rPr>
          <w:rFonts w:ascii="Times New Roman" w:hAnsi="Times New Roman" w:cs="Times New Roman"/>
          <w:iCs/>
          <w:sz w:val="28"/>
          <w:szCs w:val="28"/>
        </w:rPr>
        <w:t xml:space="preserve"> Ct-values of </w:t>
      </w:r>
      <w:r w:rsidR="00853685" w:rsidRPr="001B1423">
        <w:rPr>
          <w:rFonts w:ascii="Times New Roman" w:hAnsi="Times New Roman" w:cs="Times New Roman"/>
          <w:color w:val="000000"/>
          <w:sz w:val="28"/>
          <w:szCs w:val="28"/>
        </w:rPr>
        <w:t xml:space="preserve">Bronchoalveolar lavage fluid- </w:t>
      </w:r>
      <w:r w:rsidR="00853685" w:rsidRPr="001B1423">
        <w:rPr>
          <w:rFonts w:ascii="Times New Roman" w:hAnsi="Times New Roman" w:cs="Times New Roman"/>
          <w:iCs/>
          <w:sz w:val="28"/>
          <w:szCs w:val="28"/>
        </w:rPr>
        <w:t>12 samples in 8 runs</w:t>
      </w:r>
    </w:p>
    <w:p w14:paraId="21F84109" w14:textId="77777777" w:rsidR="00732D7D" w:rsidRPr="001B1423" w:rsidRDefault="00732D7D" w:rsidP="00612A1C">
      <w:pPr>
        <w:spacing w:after="0" w:line="240" w:lineRule="auto"/>
        <w:ind w:firstLine="709"/>
        <w:jc w:val="both"/>
        <w:rPr>
          <w:rFonts w:ascii="Times New Roman" w:hAnsi="Times New Roman" w:cs="Times New Roman"/>
          <w:iCs/>
          <w:sz w:val="28"/>
          <w:szCs w:val="28"/>
        </w:rPr>
      </w:pPr>
    </w:p>
    <w:tbl>
      <w:tblPr>
        <w:tblW w:w="9816" w:type="dxa"/>
        <w:jc w:val="center"/>
        <w:tblBorders>
          <w:top w:val="single" w:sz="4" w:space="0" w:color="000000"/>
          <w:left w:val="single" w:sz="4" w:space="0" w:color="000000"/>
          <w:bottom w:val="single" w:sz="4" w:space="0" w:color="000000"/>
          <w:right w:val="single" w:sz="4" w:space="0" w:color="000000"/>
        </w:tblBorders>
        <w:tblLayout w:type="fixed"/>
        <w:tblCellMar>
          <w:left w:w="0" w:type="dxa"/>
          <w:right w:w="0" w:type="dxa"/>
        </w:tblCellMar>
        <w:tblLook w:val="04A0" w:firstRow="1" w:lastRow="0" w:firstColumn="1" w:lastColumn="0" w:noHBand="0" w:noVBand="1"/>
      </w:tblPr>
      <w:tblGrid>
        <w:gridCol w:w="594"/>
        <w:gridCol w:w="2102"/>
        <w:gridCol w:w="736"/>
        <w:gridCol w:w="1339"/>
        <w:gridCol w:w="1032"/>
        <w:gridCol w:w="1041"/>
        <w:gridCol w:w="743"/>
        <w:gridCol w:w="743"/>
        <w:gridCol w:w="743"/>
        <w:gridCol w:w="743"/>
      </w:tblGrid>
      <w:tr w:rsidR="00612A1C" w:rsidRPr="00612A1C" w14:paraId="6B19CB4D" w14:textId="77777777" w:rsidTr="00612A1C">
        <w:trPr>
          <w:trHeight w:val="311"/>
          <w:tblHeader/>
          <w:jc w:val="center"/>
        </w:trPr>
        <w:tc>
          <w:tcPr>
            <w:tcW w:w="594"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16D4D873" w14:textId="77777777" w:rsidR="00226539" w:rsidRPr="00612A1C" w:rsidRDefault="00853685" w:rsidP="00732D7D">
            <w:pPr>
              <w:spacing w:after="0" w:line="240" w:lineRule="exact"/>
              <w:ind w:firstLineChars="709" w:firstLine="1985"/>
              <w:jc w:val="center"/>
              <w:rPr>
                <w:rFonts w:ascii="Times New Roman" w:hAnsi="Times New Roman" w:cs="Times New Roman"/>
                <w:bCs/>
                <w:sz w:val="28"/>
                <w:szCs w:val="28"/>
              </w:rPr>
            </w:pPr>
            <w:r w:rsidRPr="00612A1C">
              <w:rPr>
                <w:rFonts w:ascii="Times New Roman" w:hAnsi="Times New Roman" w:cs="Times New Roman"/>
                <w:bCs/>
                <w:sz w:val="28"/>
                <w:szCs w:val="28"/>
              </w:rPr>
              <w:t>№</w:t>
            </w:r>
          </w:p>
        </w:tc>
        <w:tc>
          <w:tcPr>
            <w:tcW w:w="210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7E806141" w14:textId="5FAC1FD7" w:rsidR="00226539" w:rsidRPr="00612A1C" w:rsidRDefault="00853685" w:rsidP="00732D7D">
            <w:pPr>
              <w:spacing w:after="0" w:line="240" w:lineRule="exact"/>
              <w:rPr>
                <w:rFonts w:ascii="Times New Roman" w:hAnsi="Times New Roman" w:cs="Times New Roman"/>
                <w:bCs/>
                <w:sz w:val="28"/>
                <w:szCs w:val="28"/>
              </w:rPr>
            </w:pPr>
            <w:r w:rsidRPr="00612A1C">
              <w:rPr>
                <w:rFonts w:ascii="Times New Roman" w:hAnsi="Times New Roman" w:cs="Times New Roman"/>
                <w:bCs/>
                <w:sz w:val="28"/>
                <w:szCs w:val="28"/>
              </w:rPr>
              <w:t>Type</w:t>
            </w:r>
            <w:r w:rsidR="00732D7D" w:rsidRPr="00612A1C">
              <w:rPr>
                <w:rFonts w:ascii="Times New Roman" w:hAnsi="Times New Roman" w:cs="Times New Roman"/>
                <w:bCs/>
                <w:sz w:val="28"/>
                <w:szCs w:val="28"/>
              </w:rPr>
              <w:t xml:space="preserve"> (sample)</w:t>
            </w:r>
          </w:p>
        </w:tc>
        <w:tc>
          <w:tcPr>
            <w:tcW w:w="736"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1E2004A2" w14:textId="582BB180" w:rsidR="00226539" w:rsidRPr="00612A1C" w:rsidRDefault="00853685" w:rsidP="00732D7D">
            <w:pPr>
              <w:spacing w:after="0" w:line="240" w:lineRule="exact"/>
              <w:rPr>
                <w:rFonts w:ascii="Times New Roman" w:hAnsi="Times New Roman" w:cs="Times New Roman"/>
                <w:bCs/>
                <w:sz w:val="28"/>
                <w:szCs w:val="28"/>
              </w:rPr>
            </w:pPr>
            <w:r w:rsidRPr="00612A1C">
              <w:rPr>
                <w:rFonts w:ascii="Times New Roman" w:hAnsi="Times New Roman" w:cs="Times New Roman"/>
                <w:bCs/>
                <w:sz w:val="28"/>
                <w:szCs w:val="28"/>
              </w:rPr>
              <w:t>1Ct</w:t>
            </w:r>
          </w:p>
        </w:tc>
        <w:tc>
          <w:tcPr>
            <w:tcW w:w="1339"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4D5E84CE" w14:textId="77777777" w:rsidR="00226539" w:rsidRPr="00612A1C" w:rsidRDefault="00853685" w:rsidP="00732D7D">
            <w:pPr>
              <w:spacing w:after="0" w:line="240" w:lineRule="exact"/>
              <w:rPr>
                <w:rFonts w:ascii="Times New Roman" w:hAnsi="Times New Roman" w:cs="Times New Roman"/>
                <w:bCs/>
                <w:sz w:val="28"/>
                <w:szCs w:val="28"/>
              </w:rPr>
            </w:pPr>
            <w:r w:rsidRPr="00612A1C">
              <w:rPr>
                <w:rFonts w:ascii="Times New Roman" w:hAnsi="Times New Roman" w:cs="Times New Roman"/>
                <w:bCs/>
                <w:sz w:val="28"/>
                <w:szCs w:val="28"/>
              </w:rPr>
              <w:t>R2Ct</w:t>
            </w:r>
          </w:p>
        </w:tc>
        <w:tc>
          <w:tcPr>
            <w:tcW w:w="103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3E19B764" w14:textId="1F455D6F" w:rsidR="00226539" w:rsidRPr="00612A1C" w:rsidRDefault="00853685" w:rsidP="00732D7D">
            <w:pPr>
              <w:spacing w:after="0" w:line="240" w:lineRule="exact"/>
              <w:rPr>
                <w:rFonts w:ascii="Times New Roman" w:hAnsi="Times New Roman" w:cs="Times New Roman"/>
                <w:bCs/>
                <w:sz w:val="28"/>
                <w:szCs w:val="28"/>
              </w:rPr>
            </w:pPr>
            <w:r w:rsidRPr="00612A1C">
              <w:rPr>
                <w:rFonts w:ascii="Times New Roman" w:hAnsi="Times New Roman" w:cs="Times New Roman"/>
                <w:bCs/>
                <w:sz w:val="28"/>
                <w:szCs w:val="28"/>
              </w:rPr>
              <w:t>3Ct</w:t>
            </w:r>
          </w:p>
        </w:tc>
        <w:tc>
          <w:tcPr>
            <w:tcW w:w="1041"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7B9D4806" w14:textId="431E2E4F" w:rsidR="00226539" w:rsidRPr="00612A1C" w:rsidRDefault="00853685" w:rsidP="00732D7D">
            <w:pPr>
              <w:spacing w:after="0" w:line="240" w:lineRule="exact"/>
              <w:rPr>
                <w:rFonts w:ascii="Times New Roman" w:hAnsi="Times New Roman" w:cs="Times New Roman"/>
                <w:bCs/>
                <w:sz w:val="28"/>
                <w:szCs w:val="28"/>
              </w:rPr>
            </w:pPr>
            <w:r w:rsidRPr="00612A1C">
              <w:rPr>
                <w:rFonts w:ascii="Times New Roman" w:hAnsi="Times New Roman" w:cs="Times New Roman"/>
                <w:bCs/>
                <w:sz w:val="28"/>
                <w:szCs w:val="28"/>
              </w:rPr>
              <w:t>4Ct</w:t>
            </w:r>
          </w:p>
        </w:tc>
        <w:tc>
          <w:tcPr>
            <w:tcW w:w="743"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5BE10012" w14:textId="77E3755F" w:rsidR="00226539" w:rsidRPr="00612A1C" w:rsidRDefault="00853685" w:rsidP="00732D7D">
            <w:pPr>
              <w:spacing w:after="0" w:line="240" w:lineRule="exact"/>
              <w:rPr>
                <w:rFonts w:ascii="Times New Roman" w:hAnsi="Times New Roman" w:cs="Times New Roman"/>
                <w:bCs/>
                <w:sz w:val="28"/>
                <w:szCs w:val="28"/>
              </w:rPr>
            </w:pPr>
            <w:r w:rsidRPr="00612A1C">
              <w:rPr>
                <w:rFonts w:ascii="Times New Roman" w:hAnsi="Times New Roman" w:cs="Times New Roman"/>
                <w:bCs/>
                <w:sz w:val="28"/>
                <w:szCs w:val="28"/>
              </w:rPr>
              <w:t>5Ct</w:t>
            </w:r>
          </w:p>
        </w:tc>
        <w:tc>
          <w:tcPr>
            <w:tcW w:w="743" w:type="dxa"/>
            <w:tcBorders>
              <w:top w:val="single" w:sz="4" w:space="0" w:color="000000"/>
              <w:left w:val="single" w:sz="4" w:space="0" w:color="000000"/>
              <w:bottom w:val="single" w:sz="4" w:space="0" w:color="000000"/>
              <w:right w:val="single" w:sz="4" w:space="0" w:color="000000"/>
            </w:tcBorders>
          </w:tcPr>
          <w:p w14:paraId="61CC8FF9" w14:textId="6C1AB432" w:rsidR="00226539" w:rsidRPr="00612A1C" w:rsidRDefault="00853685" w:rsidP="00732D7D">
            <w:pPr>
              <w:spacing w:after="0" w:line="240" w:lineRule="exact"/>
              <w:rPr>
                <w:rFonts w:ascii="Times New Roman" w:hAnsi="Times New Roman" w:cs="Times New Roman"/>
                <w:bCs/>
                <w:sz w:val="28"/>
                <w:szCs w:val="28"/>
              </w:rPr>
            </w:pPr>
            <w:r w:rsidRPr="00612A1C">
              <w:rPr>
                <w:rFonts w:ascii="Times New Roman" w:hAnsi="Times New Roman" w:cs="Times New Roman"/>
                <w:bCs/>
                <w:sz w:val="28"/>
                <w:szCs w:val="28"/>
              </w:rPr>
              <w:t>6Ct</w:t>
            </w:r>
          </w:p>
        </w:tc>
        <w:tc>
          <w:tcPr>
            <w:tcW w:w="743" w:type="dxa"/>
            <w:tcBorders>
              <w:top w:val="single" w:sz="4" w:space="0" w:color="000000"/>
              <w:left w:val="single" w:sz="4" w:space="0" w:color="000000"/>
              <w:bottom w:val="single" w:sz="4" w:space="0" w:color="000000"/>
              <w:right w:val="single" w:sz="4" w:space="0" w:color="000000"/>
            </w:tcBorders>
          </w:tcPr>
          <w:p w14:paraId="7FBC30B3" w14:textId="577FD793" w:rsidR="00226539" w:rsidRPr="00612A1C" w:rsidRDefault="00853685" w:rsidP="00732D7D">
            <w:pPr>
              <w:spacing w:after="0" w:line="240" w:lineRule="exact"/>
              <w:rPr>
                <w:rFonts w:ascii="Times New Roman" w:hAnsi="Times New Roman" w:cs="Times New Roman"/>
                <w:bCs/>
                <w:sz w:val="28"/>
                <w:szCs w:val="28"/>
              </w:rPr>
            </w:pPr>
            <w:r w:rsidRPr="00612A1C">
              <w:rPr>
                <w:rFonts w:ascii="Times New Roman" w:hAnsi="Times New Roman" w:cs="Times New Roman"/>
                <w:bCs/>
                <w:sz w:val="28"/>
                <w:szCs w:val="28"/>
              </w:rPr>
              <w:t>7Ct</w:t>
            </w:r>
          </w:p>
        </w:tc>
        <w:tc>
          <w:tcPr>
            <w:tcW w:w="743" w:type="dxa"/>
            <w:tcBorders>
              <w:top w:val="single" w:sz="4" w:space="0" w:color="000000"/>
              <w:left w:val="single" w:sz="4" w:space="0" w:color="000000"/>
              <w:bottom w:val="single" w:sz="4" w:space="0" w:color="000000"/>
              <w:right w:val="single" w:sz="4" w:space="0" w:color="000000"/>
            </w:tcBorders>
          </w:tcPr>
          <w:p w14:paraId="71A53CC8" w14:textId="5E7E1484" w:rsidR="00226539" w:rsidRPr="00612A1C" w:rsidRDefault="00853685" w:rsidP="00732D7D">
            <w:pPr>
              <w:spacing w:after="0" w:line="240" w:lineRule="exact"/>
              <w:rPr>
                <w:rFonts w:ascii="Times New Roman" w:hAnsi="Times New Roman" w:cs="Times New Roman"/>
                <w:bCs/>
                <w:sz w:val="28"/>
                <w:szCs w:val="28"/>
              </w:rPr>
            </w:pPr>
            <w:r w:rsidRPr="00612A1C">
              <w:rPr>
                <w:rFonts w:ascii="Times New Roman" w:hAnsi="Times New Roman" w:cs="Times New Roman"/>
                <w:bCs/>
                <w:sz w:val="28"/>
                <w:szCs w:val="28"/>
              </w:rPr>
              <w:t>8Ct</w:t>
            </w:r>
          </w:p>
        </w:tc>
      </w:tr>
      <w:tr w:rsidR="00612A1C" w:rsidRPr="00612A1C" w14:paraId="5499A948" w14:textId="77777777" w:rsidTr="00612A1C">
        <w:trPr>
          <w:trHeight w:val="625"/>
          <w:jc w:val="center"/>
        </w:trPr>
        <w:tc>
          <w:tcPr>
            <w:tcW w:w="594"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5799328C" w14:textId="61A8D762" w:rsidR="00226539" w:rsidRPr="00612A1C" w:rsidRDefault="009F72B7" w:rsidP="001B1423">
            <w:pPr>
              <w:spacing w:after="0" w:line="240" w:lineRule="exact"/>
              <w:ind w:firstLineChars="709" w:firstLine="1985"/>
              <w:jc w:val="both"/>
              <w:rPr>
                <w:rFonts w:ascii="Times New Roman" w:hAnsi="Times New Roman" w:cs="Times New Roman"/>
                <w:bCs/>
                <w:color w:val="000000"/>
                <w:sz w:val="28"/>
                <w:szCs w:val="28"/>
                <w:lang w:val="ru-RU"/>
              </w:rPr>
            </w:pPr>
            <w:r w:rsidRPr="00612A1C">
              <w:rPr>
                <w:rFonts w:ascii="Times New Roman" w:hAnsi="Times New Roman" w:cs="Times New Roman"/>
                <w:bCs/>
                <w:color w:val="000000"/>
                <w:sz w:val="28"/>
                <w:szCs w:val="28"/>
                <w:lang w:val="ru-RU"/>
              </w:rPr>
              <w:t>11</w:t>
            </w:r>
          </w:p>
        </w:tc>
        <w:tc>
          <w:tcPr>
            <w:tcW w:w="210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2B34FC27" w14:textId="2EC2765B"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Bronchoalveolar lavage fluid</w:t>
            </w:r>
          </w:p>
        </w:tc>
        <w:tc>
          <w:tcPr>
            <w:tcW w:w="736"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2ABA2F19"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24,13</w:t>
            </w:r>
          </w:p>
        </w:tc>
        <w:tc>
          <w:tcPr>
            <w:tcW w:w="1339"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43AD9E22" w14:textId="77777777"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24</w:t>
            </w:r>
          </w:p>
        </w:tc>
        <w:tc>
          <w:tcPr>
            <w:tcW w:w="103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76986633"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23,89</w:t>
            </w:r>
          </w:p>
        </w:tc>
        <w:tc>
          <w:tcPr>
            <w:tcW w:w="1041"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4F95A94A"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24</w:t>
            </w:r>
          </w:p>
        </w:tc>
        <w:tc>
          <w:tcPr>
            <w:tcW w:w="743"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3B8C51FA"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24,2</w:t>
            </w:r>
          </w:p>
        </w:tc>
        <w:tc>
          <w:tcPr>
            <w:tcW w:w="743" w:type="dxa"/>
            <w:tcBorders>
              <w:top w:val="single" w:sz="4" w:space="0" w:color="000000"/>
              <w:left w:val="single" w:sz="4" w:space="0" w:color="000000"/>
              <w:bottom w:val="single" w:sz="4" w:space="0" w:color="000000"/>
              <w:right w:val="single" w:sz="4" w:space="0" w:color="000000"/>
            </w:tcBorders>
            <w:vAlign w:val="center"/>
          </w:tcPr>
          <w:p w14:paraId="1131B259"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24,14</w:t>
            </w:r>
          </w:p>
        </w:tc>
        <w:tc>
          <w:tcPr>
            <w:tcW w:w="743" w:type="dxa"/>
            <w:tcBorders>
              <w:top w:val="single" w:sz="4" w:space="0" w:color="000000"/>
              <w:left w:val="single" w:sz="4" w:space="0" w:color="000000"/>
              <w:bottom w:val="single" w:sz="4" w:space="0" w:color="000000"/>
              <w:right w:val="single" w:sz="4" w:space="0" w:color="000000"/>
            </w:tcBorders>
            <w:vAlign w:val="center"/>
          </w:tcPr>
          <w:p w14:paraId="3A93C198"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24,3</w:t>
            </w:r>
          </w:p>
        </w:tc>
        <w:tc>
          <w:tcPr>
            <w:tcW w:w="743" w:type="dxa"/>
            <w:tcBorders>
              <w:top w:val="single" w:sz="4" w:space="0" w:color="000000"/>
              <w:left w:val="single" w:sz="4" w:space="0" w:color="000000"/>
              <w:bottom w:val="single" w:sz="4" w:space="0" w:color="000000"/>
              <w:right w:val="single" w:sz="4" w:space="0" w:color="000000"/>
            </w:tcBorders>
            <w:vAlign w:val="center"/>
          </w:tcPr>
          <w:p w14:paraId="5176C613"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24,3</w:t>
            </w:r>
          </w:p>
        </w:tc>
      </w:tr>
      <w:tr w:rsidR="00612A1C" w:rsidRPr="00612A1C" w14:paraId="5DBDC2B8" w14:textId="77777777" w:rsidTr="00612A1C">
        <w:trPr>
          <w:trHeight w:val="625"/>
          <w:jc w:val="center"/>
        </w:trPr>
        <w:tc>
          <w:tcPr>
            <w:tcW w:w="594"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26001BF4" w14:textId="255BBD52" w:rsidR="00226539" w:rsidRPr="00612A1C" w:rsidRDefault="009F72B7" w:rsidP="001B1423">
            <w:pPr>
              <w:spacing w:after="0" w:line="240" w:lineRule="exact"/>
              <w:ind w:firstLineChars="709" w:firstLine="1985"/>
              <w:jc w:val="both"/>
              <w:rPr>
                <w:rFonts w:ascii="Times New Roman" w:hAnsi="Times New Roman" w:cs="Times New Roman"/>
                <w:bCs/>
                <w:color w:val="000000"/>
                <w:sz w:val="28"/>
                <w:szCs w:val="28"/>
                <w:u w:val="single"/>
              </w:rPr>
            </w:pPr>
            <w:r w:rsidRPr="00612A1C">
              <w:rPr>
                <w:rFonts w:ascii="Times New Roman" w:hAnsi="Times New Roman" w:cs="Times New Roman"/>
                <w:bCs/>
                <w:color w:val="000000"/>
                <w:sz w:val="28"/>
                <w:szCs w:val="28"/>
                <w:u w:val="single"/>
                <w:lang w:val="ru-RU"/>
              </w:rPr>
              <w:t>2</w:t>
            </w:r>
            <w:r w:rsidR="00853685" w:rsidRPr="00612A1C">
              <w:rPr>
                <w:rFonts w:ascii="Times New Roman" w:hAnsi="Times New Roman" w:cs="Times New Roman"/>
                <w:bCs/>
                <w:color w:val="000000"/>
                <w:sz w:val="28"/>
                <w:szCs w:val="28"/>
                <w:u w:val="single"/>
              </w:rPr>
              <w:t>2</w:t>
            </w:r>
          </w:p>
        </w:tc>
        <w:tc>
          <w:tcPr>
            <w:tcW w:w="210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6D3D2F96" w14:textId="474728A0"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Bronchoalveolar lavage fluid</w:t>
            </w:r>
          </w:p>
        </w:tc>
        <w:tc>
          <w:tcPr>
            <w:tcW w:w="736"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5F57866D"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18,43</w:t>
            </w:r>
          </w:p>
        </w:tc>
        <w:tc>
          <w:tcPr>
            <w:tcW w:w="1339"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3BCCE408" w14:textId="77777777"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18,23</w:t>
            </w:r>
          </w:p>
        </w:tc>
        <w:tc>
          <w:tcPr>
            <w:tcW w:w="103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3E54D7FB"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19</w:t>
            </w:r>
          </w:p>
        </w:tc>
        <w:tc>
          <w:tcPr>
            <w:tcW w:w="1041"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57EE8030"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20</w:t>
            </w:r>
          </w:p>
        </w:tc>
        <w:tc>
          <w:tcPr>
            <w:tcW w:w="743"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73B8A0A1"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21</w:t>
            </w:r>
          </w:p>
        </w:tc>
        <w:tc>
          <w:tcPr>
            <w:tcW w:w="743" w:type="dxa"/>
            <w:tcBorders>
              <w:top w:val="single" w:sz="4" w:space="0" w:color="000000"/>
              <w:left w:val="single" w:sz="4" w:space="0" w:color="000000"/>
              <w:bottom w:val="single" w:sz="4" w:space="0" w:color="000000"/>
              <w:right w:val="single" w:sz="4" w:space="0" w:color="000000"/>
            </w:tcBorders>
            <w:vAlign w:val="center"/>
          </w:tcPr>
          <w:p w14:paraId="0CF72F9C"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18,49</w:t>
            </w:r>
          </w:p>
        </w:tc>
        <w:tc>
          <w:tcPr>
            <w:tcW w:w="743" w:type="dxa"/>
            <w:tcBorders>
              <w:top w:val="single" w:sz="4" w:space="0" w:color="000000"/>
              <w:left w:val="single" w:sz="4" w:space="0" w:color="000000"/>
              <w:bottom w:val="single" w:sz="4" w:space="0" w:color="000000"/>
              <w:right w:val="single" w:sz="4" w:space="0" w:color="000000"/>
            </w:tcBorders>
            <w:vAlign w:val="center"/>
          </w:tcPr>
          <w:p w14:paraId="01EA358A"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18,28</w:t>
            </w:r>
          </w:p>
        </w:tc>
        <w:tc>
          <w:tcPr>
            <w:tcW w:w="743" w:type="dxa"/>
            <w:tcBorders>
              <w:top w:val="single" w:sz="4" w:space="0" w:color="000000"/>
              <w:left w:val="single" w:sz="4" w:space="0" w:color="000000"/>
              <w:bottom w:val="single" w:sz="4" w:space="0" w:color="000000"/>
              <w:right w:val="single" w:sz="4" w:space="0" w:color="000000"/>
            </w:tcBorders>
            <w:vAlign w:val="center"/>
          </w:tcPr>
          <w:p w14:paraId="111495A6"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18,28</w:t>
            </w:r>
          </w:p>
        </w:tc>
      </w:tr>
      <w:tr w:rsidR="00612A1C" w:rsidRPr="00612A1C" w14:paraId="2A7ADD7F" w14:textId="77777777" w:rsidTr="00612A1C">
        <w:trPr>
          <w:trHeight w:val="625"/>
          <w:jc w:val="center"/>
        </w:trPr>
        <w:tc>
          <w:tcPr>
            <w:tcW w:w="594"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53E3ED47" w14:textId="4B7AA9C9" w:rsidR="00226539" w:rsidRPr="00612A1C" w:rsidRDefault="009F72B7"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lang w:val="ru-RU"/>
              </w:rPr>
              <w:t>3</w:t>
            </w:r>
            <w:r w:rsidR="00853685" w:rsidRPr="00612A1C">
              <w:rPr>
                <w:rFonts w:ascii="Times New Roman" w:hAnsi="Times New Roman" w:cs="Times New Roman"/>
                <w:bCs/>
                <w:color w:val="000000"/>
                <w:sz w:val="28"/>
                <w:szCs w:val="28"/>
              </w:rPr>
              <w:t>3</w:t>
            </w:r>
          </w:p>
        </w:tc>
        <w:tc>
          <w:tcPr>
            <w:tcW w:w="210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6A128DDD" w14:textId="0547FB53"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Bronchoalveolar lavage fluid</w:t>
            </w:r>
          </w:p>
        </w:tc>
        <w:tc>
          <w:tcPr>
            <w:tcW w:w="736"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64D945A7"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17,23</w:t>
            </w:r>
          </w:p>
        </w:tc>
        <w:tc>
          <w:tcPr>
            <w:tcW w:w="1339"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7E5206DC" w14:textId="77777777"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16,87</w:t>
            </w:r>
          </w:p>
        </w:tc>
        <w:tc>
          <w:tcPr>
            <w:tcW w:w="103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2BDE150B"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17,11</w:t>
            </w:r>
          </w:p>
        </w:tc>
        <w:tc>
          <w:tcPr>
            <w:tcW w:w="1041"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01DA08DD"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18,2</w:t>
            </w:r>
          </w:p>
        </w:tc>
        <w:tc>
          <w:tcPr>
            <w:tcW w:w="743"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2492ACCD"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18</w:t>
            </w:r>
          </w:p>
        </w:tc>
        <w:tc>
          <w:tcPr>
            <w:tcW w:w="743" w:type="dxa"/>
            <w:tcBorders>
              <w:top w:val="single" w:sz="4" w:space="0" w:color="000000"/>
              <w:left w:val="single" w:sz="4" w:space="0" w:color="000000"/>
              <w:bottom w:val="single" w:sz="4" w:space="0" w:color="000000"/>
              <w:right w:val="single" w:sz="4" w:space="0" w:color="000000"/>
            </w:tcBorders>
            <w:vAlign w:val="center"/>
          </w:tcPr>
          <w:p w14:paraId="29FBF5E4"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17,28</w:t>
            </w:r>
          </w:p>
        </w:tc>
        <w:tc>
          <w:tcPr>
            <w:tcW w:w="743" w:type="dxa"/>
            <w:tcBorders>
              <w:top w:val="single" w:sz="4" w:space="0" w:color="000000"/>
              <w:left w:val="single" w:sz="4" w:space="0" w:color="000000"/>
              <w:bottom w:val="single" w:sz="4" w:space="0" w:color="000000"/>
              <w:right w:val="single" w:sz="4" w:space="0" w:color="000000"/>
            </w:tcBorders>
            <w:vAlign w:val="center"/>
          </w:tcPr>
          <w:p w14:paraId="4214E5E6"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16,88</w:t>
            </w:r>
          </w:p>
        </w:tc>
        <w:tc>
          <w:tcPr>
            <w:tcW w:w="743" w:type="dxa"/>
            <w:tcBorders>
              <w:top w:val="single" w:sz="4" w:space="0" w:color="000000"/>
              <w:left w:val="single" w:sz="4" w:space="0" w:color="000000"/>
              <w:bottom w:val="single" w:sz="4" w:space="0" w:color="000000"/>
              <w:right w:val="single" w:sz="4" w:space="0" w:color="000000"/>
            </w:tcBorders>
            <w:vAlign w:val="center"/>
          </w:tcPr>
          <w:p w14:paraId="36C479A1"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16,88</w:t>
            </w:r>
          </w:p>
        </w:tc>
      </w:tr>
      <w:tr w:rsidR="00612A1C" w:rsidRPr="00612A1C" w14:paraId="1E784CFC" w14:textId="77777777" w:rsidTr="00612A1C">
        <w:trPr>
          <w:trHeight w:val="644"/>
          <w:jc w:val="center"/>
        </w:trPr>
        <w:tc>
          <w:tcPr>
            <w:tcW w:w="594"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469019F8" w14:textId="3BD06A4C" w:rsidR="00226539" w:rsidRPr="00612A1C" w:rsidRDefault="009F72B7"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lang w:val="ru-RU"/>
              </w:rPr>
              <w:t>4</w:t>
            </w:r>
            <w:r w:rsidR="00853685" w:rsidRPr="00612A1C">
              <w:rPr>
                <w:rFonts w:ascii="Times New Roman" w:hAnsi="Times New Roman" w:cs="Times New Roman"/>
                <w:bCs/>
                <w:color w:val="000000"/>
                <w:sz w:val="28"/>
                <w:szCs w:val="28"/>
              </w:rPr>
              <w:t>4</w:t>
            </w:r>
          </w:p>
        </w:tc>
        <w:tc>
          <w:tcPr>
            <w:tcW w:w="210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214107DA" w14:textId="4A138D16"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Bronchoalveolar lavage fluid</w:t>
            </w:r>
          </w:p>
        </w:tc>
        <w:tc>
          <w:tcPr>
            <w:tcW w:w="736"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56D6F7FB"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23,20</w:t>
            </w:r>
          </w:p>
        </w:tc>
        <w:tc>
          <w:tcPr>
            <w:tcW w:w="1339"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0FF44475" w14:textId="77777777"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22,8</w:t>
            </w:r>
          </w:p>
        </w:tc>
        <w:tc>
          <w:tcPr>
            <w:tcW w:w="103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28F3020A"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23,29</w:t>
            </w:r>
          </w:p>
        </w:tc>
        <w:tc>
          <w:tcPr>
            <w:tcW w:w="1041"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0DA202B1"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22,83</w:t>
            </w:r>
          </w:p>
        </w:tc>
        <w:tc>
          <w:tcPr>
            <w:tcW w:w="743"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1B4DF79A"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18,5</w:t>
            </w:r>
          </w:p>
        </w:tc>
        <w:tc>
          <w:tcPr>
            <w:tcW w:w="743" w:type="dxa"/>
            <w:tcBorders>
              <w:top w:val="single" w:sz="4" w:space="0" w:color="000000"/>
              <w:left w:val="single" w:sz="4" w:space="0" w:color="000000"/>
              <w:bottom w:val="single" w:sz="4" w:space="0" w:color="000000"/>
              <w:right w:val="single" w:sz="4" w:space="0" w:color="000000"/>
            </w:tcBorders>
            <w:vAlign w:val="center"/>
          </w:tcPr>
          <w:p w14:paraId="1920845F"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23,23</w:t>
            </w:r>
          </w:p>
        </w:tc>
        <w:tc>
          <w:tcPr>
            <w:tcW w:w="743" w:type="dxa"/>
            <w:tcBorders>
              <w:top w:val="single" w:sz="4" w:space="0" w:color="000000"/>
              <w:left w:val="single" w:sz="4" w:space="0" w:color="000000"/>
              <w:bottom w:val="single" w:sz="4" w:space="0" w:color="000000"/>
              <w:right w:val="single" w:sz="4" w:space="0" w:color="000000"/>
            </w:tcBorders>
            <w:vAlign w:val="center"/>
          </w:tcPr>
          <w:p w14:paraId="0F82F78C"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22,8</w:t>
            </w:r>
          </w:p>
        </w:tc>
        <w:tc>
          <w:tcPr>
            <w:tcW w:w="743" w:type="dxa"/>
            <w:tcBorders>
              <w:top w:val="single" w:sz="4" w:space="0" w:color="000000"/>
              <w:left w:val="single" w:sz="4" w:space="0" w:color="000000"/>
              <w:bottom w:val="single" w:sz="4" w:space="0" w:color="000000"/>
              <w:right w:val="single" w:sz="4" w:space="0" w:color="000000"/>
            </w:tcBorders>
            <w:vAlign w:val="center"/>
          </w:tcPr>
          <w:p w14:paraId="2E5F70D4"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22,8</w:t>
            </w:r>
          </w:p>
        </w:tc>
      </w:tr>
      <w:tr w:rsidR="00612A1C" w:rsidRPr="00612A1C" w14:paraId="1F7D45FF" w14:textId="77777777" w:rsidTr="00612A1C">
        <w:trPr>
          <w:trHeight w:val="939"/>
          <w:jc w:val="center"/>
        </w:trPr>
        <w:tc>
          <w:tcPr>
            <w:tcW w:w="594"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082E1C78" w14:textId="458ABD20" w:rsidR="00226539" w:rsidRPr="00612A1C" w:rsidRDefault="009F72B7"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lang w:val="ru-RU"/>
              </w:rPr>
              <w:t>5</w:t>
            </w:r>
            <w:r w:rsidR="00853685" w:rsidRPr="00612A1C">
              <w:rPr>
                <w:rFonts w:ascii="Times New Roman" w:hAnsi="Times New Roman" w:cs="Times New Roman"/>
                <w:bCs/>
                <w:color w:val="000000"/>
                <w:sz w:val="28"/>
                <w:szCs w:val="28"/>
              </w:rPr>
              <w:t>5</w:t>
            </w:r>
          </w:p>
        </w:tc>
        <w:tc>
          <w:tcPr>
            <w:tcW w:w="210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6C06CE8E" w14:textId="4338E0FB"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 xml:space="preserve"> Bronchoalveolar lavage fluid</w:t>
            </w:r>
          </w:p>
        </w:tc>
        <w:tc>
          <w:tcPr>
            <w:tcW w:w="736"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5C2F08CF"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22,64</w:t>
            </w:r>
          </w:p>
        </w:tc>
        <w:tc>
          <w:tcPr>
            <w:tcW w:w="1339"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1371C458" w14:textId="77777777"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22,51</w:t>
            </w:r>
          </w:p>
        </w:tc>
        <w:tc>
          <w:tcPr>
            <w:tcW w:w="103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0E8620F7"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22,69</w:t>
            </w:r>
          </w:p>
        </w:tc>
        <w:tc>
          <w:tcPr>
            <w:tcW w:w="1041"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4AAB51A9"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23</w:t>
            </w:r>
          </w:p>
        </w:tc>
        <w:tc>
          <w:tcPr>
            <w:tcW w:w="743"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2968A77F"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22,9</w:t>
            </w:r>
          </w:p>
        </w:tc>
        <w:tc>
          <w:tcPr>
            <w:tcW w:w="743" w:type="dxa"/>
            <w:tcBorders>
              <w:top w:val="single" w:sz="4" w:space="0" w:color="000000"/>
              <w:left w:val="single" w:sz="4" w:space="0" w:color="000000"/>
              <w:bottom w:val="single" w:sz="4" w:space="0" w:color="000000"/>
              <w:right w:val="single" w:sz="4" w:space="0" w:color="000000"/>
            </w:tcBorders>
            <w:vAlign w:val="center"/>
          </w:tcPr>
          <w:p w14:paraId="2EEE8A94"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22,66</w:t>
            </w:r>
          </w:p>
        </w:tc>
        <w:tc>
          <w:tcPr>
            <w:tcW w:w="743" w:type="dxa"/>
            <w:tcBorders>
              <w:top w:val="single" w:sz="4" w:space="0" w:color="000000"/>
              <w:left w:val="single" w:sz="4" w:space="0" w:color="000000"/>
              <w:bottom w:val="single" w:sz="4" w:space="0" w:color="000000"/>
              <w:right w:val="single" w:sz="4" w:space="0" w:color="000000"/>
            </w:tcBorders>
            <w:vAlign w:val="center"/>
          </w:tcPr>
          <w:p w14:paraId="104728A2"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22,51</w:t>
            </w:r>
          </w:p>
        </w:tc>
        <w:tc>
          <w:tcPr>
            <w:tcW w:w="743" w:type="dxa"/>
            <w:tcBorders>
              <w:top w:val="single" w:sz="4" w:space="0" w:color="000000"/>
              <w:left w:val="single" w:sz="4" w:space="0" w:color="000000"/>
              <w:bottom w:val="single" w:sz="4" w:space="0" w:color="000000"/>
              <w:right w:val="single" w:sz="4" w:space="0" w:color="000000"/>
            </w:tcBorders>
            <w:vAlign w:val="center"/>
          </w:tcPr>
          <w:p w14:paraId="14EE92AA"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22,51</w:t>
            </w:r>
          </w:p>
        </w:tc>
      </w:tr>
      <w:tr w:rsidR="00612A1C" w:rsidRPr="00612A1C" w14:paraId="197970CD" w14:textId="77777777" w:rsidTr="00612A1C">
        <w:trPr>
          <w:trHeight w:val="625"/>
          <w:jc w:val="center"/>
        </w:trPr>
        <w:tc>
          <w:tcPr>
            <w:tcW w:w="594"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23F310FE" w14:textId="76865475" w:rsidR="00226539" w:rsidRPr="00612A1C" w:rsidRDefault="009F72B7"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lang w:val="ru-RU"/>
              </w:rPr>
              <w:t>6</w:t>
            </w:r>
            <w:r w:rsidR="00853685" w:rsidRPr="00612A1C">
              <w:rPr>
                <w:rFonts w:ascii="Times New Roman" w:hAnsi="Times New Roman" w:cs="Times New Roman"/>
                <w:bCs/>
                <w:color w:val="000000"/>
                <w:sz w:val="28"/>
                <w:szCs w:val="28"/>
              </w:rPr>
              <w:t>6</w:t>
            </w:r>
          </w:p>
        </w:tc>
        <w:tc>
          <w:tcPr>
            <w:tcW w:w="210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3EDFB372" w14:textId="1694D178"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Bronchoalveolar lavage fluid</w:t>
            </w:r>
          </w:p>
        </w:tc>
        <w:tc>
          <w:tcPr>
            <w:tcW w:w="736"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26F3E7B8"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17,48</w:t>
            </w:r>
          </w:p>
        </w:tc>
        <w:tc>
          <w:tcPr>
            <w:tcW w:w="1339"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760D465F" w14:textId="77777777"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17,52</w:t>
            </w:r>
          </w:p>
        </w:tc>
        <w:tc>
          <w:tcPr>
            <w:tcW w:w="103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7651A41E"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17,99</w:t>
            </w:r>
          </w:p>
        </w:tc>
        <w:tc>
          <w:tcPr>
            <w:tcW w:w="1041"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35120B9C"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18</w:t>
            </w:r>
          </w:p>
        </w:tc>
        <w:tc>
          <w:tcPr>
            <w:tcW w:w="743"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10542B21"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17,69</w:t>
            </w:r>
          </w:p>
        </w:tc>
        <w:tc>
          <w:tcPr>
            <w:tcW w:w="743" w:type="dxa"/>
            <w:tcBorders>
              <w:top w:val="single" w:sz="4" w:space="0" w:color="000000"/>
              <w:left w:val="single" w:sz="4" w:space="0" w:color="000000"/>
              <w:bottom w:val="single" w:sz="4" w:space="0" w:color="000000"/>
              <w:right w:val="single" w:sz="4" w:space="0" w:color="000000"/>
            </w:tcBorders>
            <w:vAlign w:val="center"/>
          </w:tcPr>
          <w:p w14:paraId="08074119"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17,38</w:t>
            </w:r>
          </w:p>
        </w:tc>
        <w:tc>
          <w:tcPr>
            <w:tcW w:w="743" w:type="dxa"/>
            <w:tcBorders>
              <w:top w:val="single" w:sz="4" w:space="0" w:color="000000"/>
              <w:left w:val="single" w:sz="4" w:space="0" w:color="000000"/>
              <w:bottom w:val="single" w:sz="4" w:space="0" w:color="000000"/>
              <w:right w:val="single" w:sz="4" w:space="0" w:color="000000"/>
            </w:tcBorders>
            <w:vAlign w:val="center"/>
          </w:tcPr>
          <w:p w14:paraId="195900BA"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17,52</w:t>
            </w:r>
          </w:p>
        </w:tc>
        <w:tc>
          <w:tcPr>
            <w:tcW w:w="743" w:type="dxa"/>
            <w:tcBorders>
              <w:top w:val="single" w:sz="4" w:space="0" w:color="000000"/>
              <w:left w:val="single" w:sz="4" w:space="0" w:color="000000"/>
              <w:bottom w:val="single" w:sz="4" w:space="0" w:color="000000"/>
              <w:right w:val="single" w:sz="4" w:space="0" w:color="000000"/>
            </w:tcBorders>
            <w:vAlign w:val="center"/>
          </w:tcPr>
          <w:p w14:paraId="067D8C3B"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17,52</w:t>
            </w:r>
          </w:p>
        </w:tc>
      </w:tr>
      <w:tr w:rsidR="00612A1C" w:rsidRPr="00612A1C" w14:paraId="60821BA5" w14:textId="77777777" w:rsidTr="00612A1C">
        <w:trPr>
          <w:trHeight w:val="625"/>
          <w:jc w:val="center"/>
        </w:trPr>
        <w:tc>
          <w:tcPr>
            <w:tcW w:w="594"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62E9393E" w14:textId="1A62F28F" w:rsidR="00226539" w:rsidRPr="00612A1C" w:rsidRDefault="009F72B7"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lang w:val="ru-RU"/>
              </w:rPr>
              <w:t>7</w:t>
            </w:r>
            <w:r w:rsidR="00853685" w:rsidRPr="00612A1C">
              <w:rPr>
                <w:rFonts w:ascii="Times New Roman" w:hAnsi="Times New Roman" w:cs="Times New Roman"/>
                <w:bCs/>
                <w:color w:val="000000"/>
                <w:sz w:val="28"/>
                <w:szCs w:val="28"/>
              </w:rPr>
              <w:t>7</w:t>
            </w:r>
          </w:p>
        </w:tc>
        <w:tc>
          <w:tcPr>
            <w:tcW w:w="210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2845F862" w14:textId="44AFB284"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Bronchoalveolar lavage fluid</w:t>
            </w:r>
          </w:p>
        </w:tc>
        <w:tc>
          <w:tcPr>
            <w:tcW w:w="736"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1F56A0EB" w14:textId="11A46A5B"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0,76</w:t>
            </w:r>
          </w:p>
        </w:tc>
        <w:tc>
          <w:tcPr>
            <w:tcW w:w="1339"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59681EA0" w14:textId="77777777"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30</w:t>
            </w:r>
          </w:p>
        </w:tc>
        <w:tc>
          <w:tcPr>
            <w:tcW w:w="103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0A6BD65E"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30,6</w:t>
            </w:r>
          </w:p>
        </w:tc>
        <w:tc>
          <w:tcPr>
            <w:tcW w:w="1041"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660B7963"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31</w:t>
            </w:r>
          </w:p>
        </w:tc>
        <w:tc>
          <w:tcPr>
            <w:tcW w:w="743"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613CAF5E"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31</w:t>
            </w:r>
          </w:p>
        </w:tc>
        <w:tc>
          <w:tcPr>
            <w:tcW w:w="743" w:type="dxa"/>
            <w:tcBorders>
              <w:top w:val="single" w:sz="4" w:space="0" w:color="000000"/>
              <w:left w:val="single" w:sz="4" w:space="0" w:color="000000"/>
              <w:bottom w:val="single" w:sz="4" w:space="0" w:color="000000"/>
              <w:right w:val="single" w:sz="4" w:space="0" w:color="000000"/>
            </w:tcBorders>
            <w:vAlign w:val="center"/>
          </w:tcPr>
          <w:p w14:paraId="70209245"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30,71</w:t>
            </w:r>
          </w:p>
        </w:tc>
        <w:tc>
          <w:tcPr>
            <w:tcW w:w="743" w:type="dxa"/>
            <w:tcBorders>
              <w:top w:val="single" w:sz="4" w:space="0" w:color="000000"/>
              <w:left w:val="single" w:sz="4" w:space="0" w:color="000000"/>
              <w:bottom w:val="single" w:sz="4" w:space="0" w:color="000000"/>
              <w:right w:val="single" w:sz="4" w:space="0" w:color="000000"/>
            </w:tcBorders>
            <w:vAlign w:val="center"/>
          </w:tcPr>
          <w:p w14:paraId="2C985B33"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30</w:t>
            </w:r>
          </w:p>
        </w:tc>
        <w:tc>
          <w:tcPr>
            <w:tcW w:w="743" w:type="dxa"/>
            <w:tcBorders>
              <w:top w:val="single" w:sz="4" w:space="0" w:color="000000"/>
              <w:left w:val="single" w:sz="4" w:space="0" w:color="000000"/>
              <w:bottom w:val="single" w:sz="4" w:space="0" w:color="000000"/>
              <w:right w:val="single" w:sz="4" w:space="0" w:color="000000"/>
            </w:tcBorders>
            <w:vAlign w:val="center"/>
          </w:tcPr>
          <w:p w14:paraId="6BEF905C"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30</w:t>
            </w:r>
          </w:p>
        </w:tc>
      </w:tr>
      <w:tr w:rsidR="00612A1C" w:rsidRPr="00612A1C" w14:paraId="4A74F01B" w14:textId="77777777" w:rsidTr="00612A1C">
        <w:trPr>
          <w:trHeight w:val="644"/>
          <w:jc w:val="center"/>
        </w:trPr>
        <w:tc>
          <w:tcPr>
            <w:tcW w:w="594"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7A6B7D74" w14:textId="61001AB5" w:rsidR="00226539" w:rsidRPr="00612A1C" w:rsidRDefault="009F72B7"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lang w:val="ru-RU"/>
              </w:rPr>
              <w:t>8</w:t>
            </w:r>
            <w:r w:rsidR="00853685" w:rsidRPr="00612A1C">
              <w:rPr>
                <w:rFonts w:ascii="Times New Roman" w:hAnsi="Times New Roman" w:cs="Times New Roman"/>
                <w:bCs/>
                <w:color w:val="000000"/>
                <w:sz w:val="28"/>
                <w:szCs w:val="28"/>
              </w:rPr>
              <w:t>8</w:t>
            </w:r>
          </w:p>
        </w:tc>
        <w:tc>
          <w:tcPr>
            <w:tcW w:w="210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08B8B64B" w14:textId="7BB199FA"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Bronchoalveolar lavage fluid</w:t>
            </w:r>
          </w:p>
        </w:tc>
        <w:tc>
          <w:tcPr>
            <w:tcW w:w="736"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31360522" w14:textId="6B90DC94"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7,62</w:t>
            </w:r>
          </w:p>
        </w:tc>
        <w:tc>
          <w:tcPr>
            <w:tcW w:w="1339"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006FB170" w14:textId="77777777"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28</w:t>
            </w:r>
          </w:p>
        </w:tc>
        <w:tc>
          <w:tcPr>
            <w:tcW w:w="103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57F6BF1F"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27,5</w:t>
            </w:r>
          </w:p>
        </w:tc>
        <w:tc>
          <w:tcPr>
            <w:tcW w:w="1041"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300EF343"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28</w:t>
            </w:r>
          </w:p>
        </w:tc>
        <w:tc>
          <w:tcPr>
            <w:tcW w:w="743"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48971EF7"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27,89</w:t>
            </w:r>
          </w:p>
        </w:tc>
        <w:tc>
          <w:tcPr>
            <w:tcW w:w="743" w:type="dxa"/>
            <w:tcBorders>
              <w:top w:val="single" w:sz="4" w:space="0" w:color="000000"/>
              <w:left w:val="single" w:sz="4" w:space="0" w:color="000000"/>
              <w:bottom w:val="single" w:sz="4" w:space="0" w:color="000000"/>
              <w:right w:val="single" w:sz="4" w:space="0" w:color="000000"/>
            </w:tcBorders>
            <w:vAlign w:val="center"/>
          </w:tcPr>
          <w:p w14:paraId="688BCA76"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27,68</w:t>
            </w:r>
          </w:p>
        </w:tc>
        <w:tc>
          <w:tcPr>
            <w:tcW w:w="743" w:type="dxa"/>
            <w:tcBorders>
              <w:top w:val="single" w:sz="4" w:space="0" w:color="000000"/>
              <w:left w:val="single" w:sz="4" w:space="0" w:color="000000"/>
              <w:bottom w:val="single" w:sz="4" w:space="0" w:color="000000"/>
              <w:right w:val="single" w:sz="4" w:space="0" w:color="000000"/>
            </w:tcBorders>
            <w:vAlign w:val="center"/>
          </w:tcPr>
          <w:p w14:paraId="55E2FDD0"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28</w:t>
            </w:r>
          </w:p>
        </w:tc>
        <w:tc>
          <w:tcPr>
            <w:tcW w:w="743" w:type="dxa"/>
            <w:tcBorders>
              <w:top w:val="single" w:sz="4" w:space="0" w:color="000000"/>
              <w:left w:val="single" w:sz="4" w:space="0" w:color="000000"/>
              <w:bottom w:val="single" w:sz="4" w:space="0" w:color="000000"/>
              <w:right w:val="single" w:sz="4" w:space="0" w:color="000000"/>
            </w:tcBorders>
            <w:vAlign w:val="center"/>
          </w:tcPr>
          <w:p w14:paraId="002FF274"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28</w:t>
            </w:r>
          </w:p>
        </w:tc>
      </w:tr>
      <w:tr w:rsidR="00612A1C" w:rsidRPr="00612A1C" w14:paraId="22BBD930" w14:textId="77777777" w:rsidTr="00612A1C">
        <w:trPr>
          <w:trHeight w:val="625"/>
          <w:jc w:val="center"/>
        </w:trPr>
        <w:tc>
          <w:tcPr>
            <w:tcW w:w="594"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032C1CD9" w14:textId="5C0D8BE3" w:rsidR="00226539" w:rsidRPr="00612A1C" w:rsidRDefault="009F72B7"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lang w:val="ru-RU"/>
              </w:rPr>
              <w:t>9</w:t>
            </w:r>
            <w:r w:rsidR="00853685" w:rsidRPr="00612A1C">
              <w:rPr>
                <w:rFonts w:ascii="Times New Roman" w:hAnsi="Times New Roman" w:cs="Times New Roman"/>
                <w:bCs/>
                <w:color w:val="000000"/>
                <w:sz w:val="28"/>
                <w:szCs w:val="28"/>
              </w:rPr>
              <w:t>9</w:t>
            </w:r>
          </w:p>
        </w:tc>
        <w:tc>
          <w:tcPr>
            <w:tcW w:w="210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4E5B54F2" w14:textId="678ABAFB"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Bronchoalveolar lavage fluid</w:t>
            </w:r>
          </w:p>
        </w:tc>
        <w:tc>
          <w:tcPr>
            <w:tcW w:w="736"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20D6B6E3" w14:textId="4F032E5D"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8,13</w:t>
            </w:r>
          </w:p>
        </w:tc>
        <w:tc>
          <w:tcPr>
            <w:tcW w:w="1339"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6832ED51" w14:textId="77777777"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28,33</w:t>
            </w:r>
          </w:p>
        </w:tc>
        <w:tc>
          <w:tcPr>
            <w:tcW w:w="103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04C727E0" w14:textId="481685C5"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8,33</w:t>
            </w:r>
          </w:p>
        </w:tc>
        <w:tc>
          <w:tcPr>
            <w:tcW w:w="1041"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675181FB"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29</w:t>
            </w:r>
          </w:p>
        </w:tc>
        <w:tc>
          <w:tcPr>
            <w:tcW w:w="743"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3CF47092"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28,34</w:t>
            </w:r>
          </w:p>
        </w:tc>
        <w:tc>
          <w:tcPr>
            <w:tcW w:w="743" w:type="dxa"/>
            <w:tcBorders>
              <w:top w:val="single" w:sz="4" w:space="0" w:color="000000"/>
              <w:left w:val="single" w:sz="4" w:space="0" w:color="000000"/>
              <w:bottom w:val="single" w:sz="4" w:space="0" w:color="000000"/>
              <w:right w:val="single" w:sz="4" w:space="0" w:color="000000"/>
            </w:tcBorders>
            <w:vAlign w:val="center"/>
          </w:tcPr>
          <w:p w14:paraId="088F6A95"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28,18</w:t>
            </w:r>
          </w:p>
        </w:tc>
        <w:tc>
          <w:tcPr>
            <w:tcW w:w="743" w:type="dxa"/>
            <w:tcBorders>
              <w:top w:val="single" w:sz="4" w:space="0" w:color="000000"/>
              <w:left w:val="single" w:sz="4" w:space="0" w:color="000000"/>
              <w:bottom w:val="single" w:sz="4" w:space="0" w:color="000000"/>
              <w:right w:val="single" w:sz="4" w:space="0" w:color="000000"/>
            </w:tcBorders>
            <w:vAlign w:val="center"/>
          </w:tcPr>
          <w:p w14:paraId="00F88BEE"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28,33</w:t>
            </w:r>
          </w:p>
        </w:tc>
        <w:tc>
          <w:tcPr>
            <w:tcW w:w="743" w:type="dxa"/>
            <w:tcBorders>
              <w:top w:val="single" w:sz="4" w:space="0" w:color="000000"/>
              <w:left w:val="single" w:sz="4" w:space="0" w:color="000000"/>
              <w:bottom w:val="single" w:sz="4" w:space="0" w:color="000000"/>
              <w:right w:val="single" w:sz="4" w:space="0" w:color="000000"/>
            </w:tcBorders>
            <w:vAlign w:val="center"/>
          </w:tcPr>
          <w:p w14:paraId="5A1CECF8"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28,33</w:t>
            </w:r>
          </w:p>
        </w:tc>
      </w:tr>
      <w:tr w:rsidR="00612A1C" w:rsidRPr="00612A1C" w14:paraId="1367DBC1" w14:textId="77777777" w:rsidTr="00612A1C">
        <w:trPr>
          <w:trHeight w:val="939"/>
          <w:jc w:val="center"/>
        </w:trPr>
        <w:tc>
          <w:tcPr>
            <w:tcW w:w="594"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1B87C561" w14:textId="6220217A" w:rsidR="00226539" w:rsidRPr="00612A1C" w:rsidRDefault="009F72B7" w:rsidP="001B1423">
            <w:pPr>
              <w:spacing w:after="0" w:line="240" w:lineRule="exact"/>
              <w:ind w:firstLineChars="709" w:firstLine="1985"/>
              <w:jc w:val="both"/>
              <w:rPr>
                <w:rFonts w:ascii="Times New Roman" w:hAnsi="Times New Roman" w:cs="Times New Roman"/>
                <w:bCs/>
                <w:color w:val="000000"/>
                <w:sz w:val="28"/>
                <w:szCs w:val="28"/>
                <w:lang w:val="ru-RU"/>
              </w:rPr>
            </w:pPr>
            <w:r w:rsidRPr="00612A1C">
              <w:rPr>
                <w:rFonts w:ascii="Times New Roman" w:hAnsi="Times New Roman" w:cs="Times New Roman"/>
                <w:bCs/>
                <w:color w:val="000000"/>
                <w:sz w:val="28"/>
                <w:szCs w:val="28"/>
                <w:lang w:val="ru-RU"/>
              </w:rPr>
              <w:t>110</w:t>
            </w:r>
          </w:p>
        </w:tc>
        <w:tc>
          <w:tcPr>
            <w:tcW w:w="210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42ABE3E5" w14:textId="55B272D4"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 xml:space="preserve"> Bronchoalveolar lavage fluid</w:t>
            </w:r>
          </w:p>
        </w:tc>
        <w:tc>
          <w:tcPr>
            <w:tcW w:w="736"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575290DF" w14:textId="0D2924CA"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6,47</w:t>
            </w:r>
          </w:p>
        </w:tc>
        <w:tc>
          <w:tcPr>
            <w:tcW w:w="1339"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158C9C32" w14:textId="77777777"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26,89</w:t>
            </w:r>
          </w:p>
        </w:tc>
        <w:tc>
          <w:tcPr>
            <w:tcW w:w="103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4E50F431"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26,9</w:t>
            </w:r>
          </w:p>
        </w:tc>
        <w:tc>
          <w:tcPr>
            <w:tcW w:w="1041"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12B4E753"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27,1</w:t>
            </w:r>
          </w:p>
        </w:tc>
        <w:tc>
          <w:tcPr>
            <w:tcW w:w="743"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411B27BB"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27,25</w:t>
            </w:r>
          </w:p>
        </w:tc>
        <w:tc>
          <w:tcPr>
            <w:tcW w:w="743" w:type="dxa"/>
            <w:tcBorders>
              <w:top w:val="single" w:sz="4" w:space="0" w:color="000000"/>
              <w:left w:val="single" w:sz="4" w:space="0" w:color="000000"/>
              <w:bottom w:val="single" w:sz="4" w:space="0" w:color="000000"/>
              <w:right w:val="single" w:sz="4" w:space="0" w:color="000000"/>
            </w:tcBorders>
            <w:vAlign w:val="center"/>
          </w:tcPr>
          <w:p w14:paraId="49CFFCD6"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26,44</w:t>
            </w:r>
          </w:p>
        </w:tc>
        <w:tc>
          <w:tcPr>
            <w:tcW w:w="743" w:type="dxa"/>
            <w:tcBorders>
              <w:top w:val="single" w:sz="4" w:space="0" w:color="000000"/>
              <w:left w:val="single" w:sz="4" w:space="0" w:color="000000"/>
              <w:bottom w:val="single" w:sz="4" w:space="0" w:color="000000"/>
              <w:right w:val="single" w:sz="4" w:space="0" w:color="000000"/>
            </w:tcBorders>
            <w:vAlign w:val="center"/>
          </w:tcPr>
          <w:p w14:paraId="4B2377A8"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26,89</w:t>
            </w:r>
          </w:p>
        </w:tc>
        <w:tc>
          <w:tcPr>
            <w:tcW w:w="743" w:type="dxa"/>
            <w:tcBorders>
              <w:top w:val="single" w:sz="4" w:space="0" w:color="000000"/>
              <w:left w:val="single" w:sz="4" w:space="0" w:color="000000"/>
              <w:bottom w:val="single" w:sz="4" w:space="0" w:color="000000"/>
              <w:right w:val="single" w:sz="4" w:space="0" w:color="000000"/>
            </w:tcBorders>
            <w:vAlign w:val="center"/>
          </w:tcPr>
          <w:p w14:paraId="2AB240AC"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26,89</w:t>
            </w:r>
          </w:p>
        </w:tc>
      </w:tr>
      <w:tr w:rsidR="00612A1C" w:rsidRPr="00612A1C" w14:paraId="3B1944FE" w14:textId="77777777" w:rsidTr="00612A1C">
        <w:trPr>
          <w:trHeight w:val="625"/>
          <w:jc w:val="center"/>
        </w:trPr>
        <w:tc>
          <w:tcPr>
            <w:tcW w:w="594"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126649B7" w14:textId="0BEAE736" w:rsidR="00226539" w:rsidRPr="00612A1C" w:rsidRDefault="009F72B7" w:rsidP="001B1423">
            <w:pPr>
              <w:spacing w:after="0" w:line="240" w:lineRule="exact"/>
              <w:ind w:firstLineChars="709" w:firstLine="1985"/>
              <w:jc w:val="both"/>
              <w:rPr>
                <w:rFonts w:ascii="Times New Roman" w:hAnsi="Times New Roman" w:cs="Times New Roman"/>
                <w:bCs/>
                <w:color w:val="000000"/>
                <w:sz w:val="28"/>
                <w:szCs w:val="28"/>
                <w:lang w:val="ru-RU"/>
              </w:rPr>
            </w:pPr>
            <w:r w:rsidRPr="00612A1C">
              <w:rPr>
                <w:rFonts w:ascii="Times New Roman" w:hAnsi="Times New Roman" w:cs="Times New Roman"/>
                <w:bCs/>
                <w:color w:val="000000"/>
                <w:sz w:val="28"/>
                <w:szCs w:val="28"/>
                <w:lang w:val="ru-RU"/>
              </w:rPr>
              <w:t>111</w:t>
            </w:r>
          </w:p>
        </w:tc>
        <w:tc>
          <w:tcPr>
            <w:tcW w:w="210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7926B9B5" w14:textId="3031021E"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Bronchoalveolar lavage fluid</w:t>
            </w:r>
          </w:p>
        </w:tc>
        <w:tc>
          <w:tcPr>
            <w:tcW w:w="736"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5DAF58DA"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30,51</w:t>
            </w:r>
          </w:p>
        </w:tc>
        <w:tc>
          <w:tcPr>
            <w:tcW w:w="1339"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2AF08607" w14:textId="77777777"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30,08</w:t>
            </w:r>
          </w:p>
        </w:tc>
        <w:tc>
          <w:tcPr>
            <w:tcW w:w="103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6852846C"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30,1</w:t>
            </w:r>
          </w:p>
        </w:tc>
        <w:tc>
          <w:tcPr>
            <w:tcW w:w="1041"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40AF00D2"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30</w:t>
            </w:r>
          </w:p>
        </w:tc>
        <w:tc>
          <w:tcPr>
            <w:tcW w:w="743"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14BF4D1C"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30,1</w:t>
            </w:r>
          </w:p>
        </w:tc>
        <w:tc>
          <w:tcPr>
            <w:tcW w:w="743" w:type="dxa"/>
            <w:tcBorders>
              <w:top w:val="single" w:sz="4" w:space="0" w:color="000000"/>
              <w:left w:val="single" w:sz="4" w:space="0" w:color="000000"/>
              <w:bottom w:val="single" w:sz="4" w:space="0" w:color="000000"/>
              <w:right w:val="single" w:sz="4" w:space="0" w:color="000000"/>
            </w:tcBorders>
            <w:vAlign w:val="center"/>
          </w:tcPr>
          <w:p w14:paraId="09FDF654"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30,54</w:t>
            </w:r>
          </w:p>
        </w:tc>
        <w:tc>
          <w:tcPr>
            <w:tcW w:w="743" w:type="dxa"/>
            <w:tcBorders>
              <w:top w:val="single" w:sz="4" w:space="0" w:color="000000"/>
              <w:left w:val="single" w:sz="4" w:space="0" w:color="000000"/>
              <w:bottom w:val="single" w:sz="4" w:space="0" w:color="000000"/>
              <w:right w:val="single" w:sz="4" w:space="0" w:color="000000"/>
            </w:tcBorders>
            <w:vAlign w:val="center"/>
          </w:tcPr>
          <w:p w14:paraId="6EDFAF1B"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30,08</w:t>
            </w:r>
          </w:p>
        </w:tc>
        <w:tc>
          <w:tcPr>
            <w:tcW w:w="743" w:type="dxa"/>
            <w:tcBorders>
              <w:top w:val="single" w:sz="4" w:space="0" w:color="000000"/>
              <w:left w:val="single" w:sz="4" w:space="0" w:color="000000"/>
              <w:bottom w:val="single" w:sz="4" w:space="0" w:color="000000"/>
              <w:right w:val="single" w:sz="4" w:space="0" w:color="000000"/>
            </w:tcBorders>
            <w:vAlign w:val="center"/>
          </w:tcPr>
          <w:p w14:paraId="164DA0AA"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30,08</w:t>
            </w:r>
          </w:p>
        </w:tc>
      </w:tr>
      <w:tr w:rsidR="00612A1C" w:rsidRPr="00612A1C" w14:paraId="78D4AA03" w14:textId="77777777" w:rsidTr="00612A1C">
        <w:trPr>
          <w:trHeight w:val="644"/>
          <w:jc w:val="center"/>
        </w:trPr>
        <w:tc>
          <w:tcPr>
            <w:tcW w:w="594"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537896B2" w14:textId="5A223F12" w:rsidR="00226539" w:rsidRPr="00612A1C" w:rsidRDefault="009F72B7" w:rsidP="001B1423">
            <w:pPr>
              <w:spacing w:after="0" w:line="240" w:lineRule="exact"/>
              <w:ind w:firstLineChars="709" w:firstLine="1985"/>
              <w:jc w:val="both"/>
              <w:rPr>
                <w:rFonts w:ascii="Times New Roman" w:hAnsi="Times New Roman" w:cs="Times New Roman"/>
                <w:bCs/>
                <w:color w:val="000000"/>
                <w:sz w:val="28"/>
                <w:szCs w:val="28"/>
                <w:lang w:val="ru-RU"/>
              </w:rPr>
            </w:pPr>
            <w:r w:rsidRPr="00612A1C">
              <w:rPr>
                <w:rFonts w:ascii="Times New Roman" w:hAnsi="Times New Roman" w:cs="Times New Roman"/>
                <w:bCs/>
                <w:color w:val="000000"/>
                <w:sz w:val="28"/>
                <w:szCs w:val="28"/>
                <w:lang w:val="ru-RU"/>
              </w:rPr>
              <w:t>112</w:t>
            </w:r>
          </w:p>
        </w:tc>
        <w:tc>
          <w:tcPr>
            <w:tcW w:w="210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5439FD02" w14:textId="67E912E8"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Bronchoalveolar lavage fluid</w:t>
            </w:r>
          </w:p>
        </w:tc>
        <w:tc>
          <w:tcPr>
            <w:tcW w:w="736"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4FAC2778"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31,26</w:t>
            </w:r>
          </w:p>
        </w:tc>
        <w:tc>
          <w:tcPr>
            <w:tcW w:w="1339"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1A72F618" w14:textId="77777777"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31,26</w:t>
            </w:r>
          </w:p>
        </w:tc>
        <w:tc>
          <w:tcPr>
            <w:tcW w:w="103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4757C5D8"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33</w:t>
            </w:r>
          </w:p>
        </w:tc>
        <w:tc>
          <w:tcPr>
            <w:tcW w:w="1041"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0D4DC21E"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32</w:t>
            </w:r>
          </w:p>
        </w:tc>
        <w:tc>
          <w:tcPr>
            <w:tcW w:w="743"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vAlign w:val="center"/>
          </w:tcPr>
          <w:p w14:paraId="7B1CB9C8"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30,2</w:t>
            </w:r>
          </w:p>
        </w:tc>
        <w:tc>
          <w:tcPr>
            <w:tcW w:w="743" w:type="dxa"/>
            <w:tcBorders>
              <w:top w:val="single" w:sz="4" w:space="0" w:color="000000"/>
              <w:left w:val="single" w:sz="4" w:space="0" w:color="000000"/>
              <w:bottom w:val="single" w:sz="4" w:space="0" w:color="000000"/>
              <w:right w:val="single" w:sz="4" w:space="0" w:color="000000"/>
            </w:tcBorders>
            <w:vAlign w:val="center"/>
          </w:tcPr>
          <w:p w14:paraId="18103966"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31,27</w:t>
            </w:r>
          </w:p>
        </w:tc>
        <w:tc>
          <w:tcPr>
            <w:tcW w:w="743" w:type="dxa"/>
            <w:tcBorders>
              <w:top w:val="single" w:sz="4" w:space="0" w:color="000000"/>
              <w:left w:val="single" w:sz="4" w:space="0" w:color="000000"/>
              <w:bottom w:val="single" w:sz="4" w:space="0" w:color="000000"/>
              <w:right w:val="single" w:sz="4" w:space="0" w:color="000000"/>
            </w:tcBorders>
            <w:vAlign w:val="center"/>
          </w:tcPr>
          <w:p w14:paraId="4176CEC1"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31,26</w:t>
            </w:r>
          </w:p>
        </w:tc>
        <w:tc>
          <w:tcPr>
            <w:tcW w:w="743" w:type="dxa"/>
            <w:tcBorders>
              <w:top w:val="single" w:sz="4" w:space="0" w:color="000000"/>
              <w:left w:val="single" w:sz="4" w:space="0" w:color="000000"/>
              <w:bottom w:val="single" w:sz="4" w:space="0" w:color="000000"/>
              <w:right w:val="single" w:sz="4" w:space="0" w:color="000000"/>
            </w:tcBorders>
            <w:vAlign w:val="center"/>
          </w:tcPr>
          <w:p w14:paraId="05E68DA5" w14:textId="77777777" w:rsidR="00226539" w:rsidRPr="00612A1C" w:rsidRDefault="00853685" w:rsidP="001B1423">
            <w:pPr>
              <w:spacing w:after="0" w:line="240" w:lineRule="exact"/>
              <w:ind w:firstLineChars="709" w:firstLine="1985"/>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31,26</w:t>
            </w:r>
          </w:p>
        </w:tc>
      </w:tr>
      <w:tr w:rsidR="00612A1C" w:rsidRPr="00612A1C" w14:paraId="7DD2F9FE" w14:textId="77777777" w:rsidTr="00612A1C">
        <w:trPr>
          <w:trHeight w:val="293"/>
          <w:jc w:val="center"/>
        </w:trPr>
        <w:tc>
          <w:tcPr>
            <w:tcW w:w="594"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118B2257" w14:textId="40BB3574" w:rsidR="00226539" w:rsidRPr="00612A1C" w:rsidRDefault="009F72B7" w:rsidP="001B1423">
            <w:pPr>
              <w:spacing w:after="0" w:line="240" w:lineRule="exact"/>
              <w:ind w:firstLineChars="709" w:firstLine="1985"/>
              <w:jc w:val="both"/>
              <w:rPr>
                <w:rFonts w:ascii="Times New Roman" w:hAnsi="Times New Roman" w:cs="Times New Roman"/>
                <w:bCs/>
                <w:color w:val="000000"/>
                <w:sz w:val="28"/>
                <w:szCs w:val="28"/>
                <w:lang w:val="ru-RU"/>
              </w:rPr>
            </w:pPr>
            <w:r w:rsidRPr="00612A1C">
              <w:rPr>
                <w:rFonts w:ascii="Times New Roman" w:hAnsi="Times New Roman" w:cs="Times New Roman"/>
                <w:bCs/>
                <w:color w:val="000000"/>
                <w:sz w:val="28"/>
                <w:szCs w:val="28"/>
                <w:lang w:val="ru-RU"/>
              </w:rPr>
              <w:t>1</w:t>
            </w:r>
          </w:p>
        </w:tc>
        <w:tc>
          <w:tcPr>
            <w:tcW w:w="210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21B110CA" w14:textId="77777777"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Negative control</w:t>
            </w:r>
          </w:p>
        </w:tc>
        <w:tc>
          <w:tcPr>
            <w:tcW w:w="736"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20DDDD2B" w14:textId="45FDF9CE"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00</w:t>
            </w:r>
          </w:p>
        </w:tc>
        <w:tc>
          <w:tcPr>
            <w:tcW w:w="1339"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7A7A6E8B" w14:textId="77777777"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0,00</w:t>
            </w:r>
          </w:p>
        </w:tc>
        <w:tc>
          <w:tcPr>
            <w:tcW w:w="103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45EFC5FA" w14:textId="34A16B7E"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00</w:t>
            </w:r>
          </w:p>
        </w:tc>
        <w:tc>
          <w:tcPr>
            <w:tcW w:w="1041"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1A8AEED9" w14:textId="2FA59A8A"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,00</w:t>
            </w:r>
          </w:p>
        </w:tc>
        <w:tc>
          <w:tcPr>
            <w:tcW w:w="743"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5EF9CB4E" w14:textId="7FDD7140"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00</w:t>
            </w:r>
          </w:p>
        </w:tc>
        <w:tc>
          <w:tcPr>
            <w:tcW w:w="743" w:type="dxa"/>
            <w:tcBorders>
              <w:top w:val="single" w:sz="4" w:space="0" w:color="000000"/>
              <w:left w:val="single" w:sz="4" w:space="0" w:color="000000"/>
              <w:bottom w:val="single" w:sz="4" w:space="0" w:color="000000"/>
              <w:right w:val="single" w:sz="4" w:space="0" w:color="000000"/>
            </w:tcBorders>
          </w:tcPr>
          <w:p w14:paraId="2FF94C53" w14:textId="7B3BDC94"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00</w:t>
            </w:r>
          </w:p>
        </w:tc>
        <w:tc>
          <w:tcPr>
            <w:tcW w:w="743" w:type="dxa"/>
            <w:tcBorders>
              <w:top w:val="single" w:sz="4" w:space="0" w:color="000000"/>
              <w:left w:val="single" w:sz="4" w:space="0" w:color="000000"/>
              <w:bottom w:val="single" w:sz="4" w:space="0" w:color="000000"/>
              <w:right w:val="single" w:sz="4" w:space="0" w:color="000000"/>
            </w:tcBorders>
          </w:tcPr>
          <w:p w14:paraId="09F1CF97" w14:textId="43643B42"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00</w:t>
            </w:r>
          </w:p>
        </w:tc>
        <w:tc>
          <w:tcPr>
            <w:tcW w:w="743" w:type="dxa"/>
            <w:tcBorders>
              <w:top w:val="single" w:sz="4" w:space="0" w:color="000000"/>
              <w:left w:val="single" w:sz="4" w:space="0" w:color="000000"/>
              <w:bottom w:val="single" w:sz="4" w:space="0" w:color="000000"/>
              <w:right w:val="single" w:sz="4" w:space="0" w:color="000000"/>
            </w:tcBorders>
          </w:tcPr>
          <w:p w14:paraId="1CB5999E" w14:textId="431124D4"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00</w:t>
            </w:r>
          </w:p>
        </w:tc>
      </w:tr>
      <w:tr w:rsidR="00612A1C" w:rsidRPr="00612A1C" w14:paraId="7024C1CD" w14:textId="77777777" w:rsidTr="00612A1C">
        <w:trPr>
          <w:trHeight w:val="311"/>
          <w:jc w:val="center"/>
        </w:trPr>
        <w:tc>
          <w:tcPr>
            <w:tcW w:w="594"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21CD7CF0" w14:textId="507D5A16" w:rsidR="00226539" w:rsidRPr="00612A1C" w:rsidRDefault="00226539" w:rsidP="001B1423">
            <w:pPr>
              <w:spacing w:after="0" w:line="240" w:lineRule="exact"/>
              <w:ind w:firstLineChars="709" w:firstLine="1985"/>
              <w:jc w:val="both"/>
              <w:rPr>
                <w:rFonts w:ascii="Times New Roman" w:hAnsi="Times New Roman" w:cs="Times New Roman"/>
                <w:bCs/>
                <w:color w:val="000000"/>
                <w:sz w:val="28"/>
                <w:szCs w:val="28"/>
              </w:rPr>
            </w:pPr>
          </w:p>
        </w:tc>
        <w:tc>
          <w:tcPr>
            <w:tcW w:w="210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633EB9CF" w14:textId="77777777"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Positive control</w:t>
            </w:r>
          </w:p>
        </w:tc>
        <w:tc>
          <w:tcPr>
            <w:tcW w:w="736"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786B23FF" w14:textId="03BEA96B"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0,26</w:t>
            </w:r>
          </w:p>
        </w:tc>
        <w:tc>
          <w:tcPr>
            <w:tcW w:w="1339"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4150D9C2" w14:textId="77777777"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30,26</w:t>
            </w:r>
          </w:p>
        </w:tc>
        <w:tc>
          <w:tcPr>
            <w:tcW w:w="1032"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55BEC583" w14:textId="44761D87"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0,26</w:t>
            </w:r>
          </w:p>
        </w:tc>
        <w:tc>
          <w:tcPr>
            <w:tcW w:w="1041"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12AC0ADC" w14:textId="02578B9B"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0,26</w:t>
            </w:r>
          </w:p>
        </w:tc>
        <w:tc>
          <w:tcPr>
            <w:tcW w:w="743" w:type="dxa"/>
            <w:tcBorders>
              <w:top w:val="single" w:sz="4" w:space="0" w:color="000000"/>
              <w:left w:val="single" w:sz="4" w:space="0" w:color="000000"/>
              <w:bottom w:val="single" w:sz="4" w:space="0" w:color="000000"/>
              <w:right w:val="single" w:sz="4" w:space="0" w:color="000000"/>
            </w:tcBorders>
            <w:noWrap/>
            <w:tcMar>
              <w:top w:w="40" w:type="dxa"/>
              <w:left w:w="40" w:type="dxa"/>
              <w:bottom w:w="40" w:type="dxa"/>
              <w:right w:w="40" w:type="dxa"/>
            </w:tcMar>
          </w:tcPr>
          <w:p w14:paraId="6D294C59" w14:textId="73935853"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0,26</w:t>
            </w:r>
          </w:p>
        </w:tc>
        <w:tc>
          <w:tcPr>
            <w:tcW w:w="743" w:type="dxa"/>
            <w:tcBorders>
              <w:top w:val="single" w:sz="4" w:space="0" w:color="000000"/>
              <w:left w:val="single" w:sz="4" w:space="0" w:color="000000"/>
              <w:bottom w:val="single" w:sz="4" w:space="0" w:color="000000"/>
              <w:right w:val="single" w:sz="4" w:space="0" w:color="000000"/>
            </w:tcBorders>
          </w:tcPr>
          <w:p w14:paraId="6462D589" w14:textId="76B06FFF"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0,26</w:t>
            </w:r>
          </w:p>
        </w:tc>
        <w:tc>
          <w:tcPr>
            <w:tcW w:w="743" w:type="dxa"/>
            <w:tcBorders>
              <w:top w:val="single" w:sz="4" w:space="0" w:color="000000"/>
              <w:left w:val="single" w:sz="4" w:space="0" w:color="000000"/>
              <w:bottom w:val="single" w:sz="4" w:space="0" w:color="000000"/>
              <w:right w:val="single" w:sz="4" w:space="0" w:color="000000"/>
            </w:tcBorders>
          </w:tcPr>
          <w:p w14:paraId="3EA6D57E" w14:textId="69C5868A"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0,26</w:t>
            </w:r>
          </w:p>
        </w:tc>
        <w:tc>
          <w:tcPr>
            <w:tcW w:w="743" w:type="dxa"/>
            <w:tcBorders>
              <w:top w:val="single" w:sz="4" w:space="0" w:color="000000"/>
              <w:left w:val="single" w:sz="4" w:space="0" w:color="000000"/>
              <w:bottom w:val="single" w:sz="4" w:space="0" w:color="000000"/>
              <w:right w:val="single" w:sz="4" w:space="0" w:color="000000"/>
            </w:tcBorders>
          </w:tcPr>
          <w:p w14:paraId="21590BC1" w14:textId="59C7548B" w:rsidR="00226539" w:rsidRPr="00612A1C" w:rsidRDefault="00853685" w:rsidP="001B1423">
            <w:pPr>
              <w:spacing w:after="0" w:line="240" w:lineRule="exact"/>
              <w:jc w:val="both"/>
              <w:rPr>
                <w:rFonts w:ascii="Times New Roman" w:hAnsi="Times New Roman" w:cs="Times New Roman"/>
                <w:bCs/>
                <w:color w:val="000000"/>
                <w:sz w:val="28"/>
                <w:szCs w:val="28"/>
              </w:rPr>
            </w:pPr>
            <w:r w:rsidRPr="00612A1C">
              <w:rPr>
                <w:rFonts w:ascii="Times New Roman" w:hAnsi="Times New Roman" w:cs="Times New Roman"/>
                <w:bCs/>
                <w:color w:val="000000"/>
                <w:sz w:val="28"/>
                <w:szCs w:val="28"/>
              </w:rPr>
              <w:t>0,26</w:t>
            </w:r>
          </w:p>
        </w:tc>
      </w:tr>
    </w:tbl>
    <w:p w14:paraId="1DE73823" w14:textId="77777777" w:rsidR="00803224" w:rsidRPr="00194630" w:rsidRDefault="00803224" w:rsidP="00194630">
      <w:pPr>
        <w:spacing w:line="240" w:lineRule="auto"/>
        <w:ind w:firstLine="708"/>
        <w:jc w:val="both"/>
        <w:rPr>
          <w:rFonts w:ascii="Times New Roman" w:hAnsi="Times New Roman" w:cs="Times New Roman"/>
          <w:iCs/>
          <w:sz w:val="28"/>
          <w:szCs w:val="28"/>
        </w:rPr>
      </w:pPr>
    </w:p>
    <w:p w14:paraId="3C175BB1" w14:textId="349EA7D3" w:rsidR="00612A1C" w:rsidRPr="00194630" w:rsidRDefault="00672C1D" w:rsidP="00612A1C">
      <w:pPr>
        <w:spacing w:after="0" w:line="240" w:lineRule="auto"/>
        <w:ind w:firstLine="709"/>
        <w:jc w:val="both"/>
        <w:rPr>
          <w:rFonts w:ascii="Times New Roman" w:hAnsi="Times New Roman" w:cs="Times New Roman"/>
          <w:iCs/>
          <w:sz w:val="28"/>
          <w:szCs w:val="28"/>
        </w:rPr>
      </w:pPr>
      <w:r w:rsidRPr="00194630">
        <w:rPr>
          <w:rFonts w:ascii="Times New Roman" w:hAnsi="Times New Roman" w:cs="Times New Roman"/>
          <w:iCs/>
          <w:sz w:val="28"/>
          <w:szCs w:val="28"/>
        </w:rPr>
        <w:t>Negative Control (all zeros) is distinct from all samples/controls, as expected.</w:t>
      </w:r>
      <w:r w:rsidR="00533082" w:rsidRPr="00194630">
        <w:rPr>
          <w:rFonts w:ascii="Times New Roman" w:hAnsi="Times New Roman" w:cs="Times New Roman"/>
          <w:iCs/>
          <w:sz w:val="28"/>
          <w:szCs w:val="28"/>
        </w:rPr>
        <w:t xml:space="preserve"> </w:t>
      </w:r>
      <w:r w:rsidRPr="00194630">
        <w:rPr>
          <w:rFonts w:ascii="Times New Roman" w:hAnsi="Times New Roman" w:cs="Times New Roman"/>
          <w:iCs/>
          <w:sz w:val="28"/>
          <w:szCs w:val="28"/>
        </w:rPr>
        <w:t>Positive Control (30.26) is statistically indistinguishable from Group 7 (mean = 30.51) and Group 11 (mean = 30.19), indicating that these samples have similar viral loads. Group 12 (mean = 31.44) differs from both controls and most samples, suggesting an outlier or a unique condition. Lower Ct groups (e.g., Groups 2, 3, 6) have higher viral loads than higher Ct groups (e.g., Groups 7, 11, 14), as Ct values are inversely proportional to viral load.</w:t>
      </w:r>
    </w:p>
    <w:p w14:paraId="7CEFAAE5" w14:textId="34879B7E" w:rsidR="00FC709D" w:rsidRPr="00194630" w:rsidRDefault="00612A1C" w:rsidP="00194630">
      <w:pPr>
        <w:spacing w:after="0" w:line="240" w:lineRule="auto"/>
        <w:ind w:firstLine="709"/>
        <w:jc w:val="both"/>
        <w:rPr>
          <w:rFonts w:ascii="Times New Roman" w:hAnsi="Times New Roman" w:cs="Times New Roman"/>
          <w:iCs/>
          <w:sz w:val="28"/>
          <w:szCs w:val="28"/>
        </w:rPr>
      </w:pPr>
      <w:r w:rsidRPr="00194630">
        <w:rPr>
          <w:rFonts w:ascii="Times New Roman" w:hAnsi="Times New Roman" w:cs="Times New Roman"/>
          <w:iCs/>
          <w:sz w:val="28"/>
          <w:szCs w:val="28"/>
        </w:rPr>
        <w:lastRenderedPageBreak/>
        <w:t>This “</w:t>
      </w:r>
      <w:r w:rsidR="00533082" w:rsidRPr="00194630">
        <w:rPr>
          <w:rFonts w:ascii="Times New Roman" w:hAnsi="Times New Roman" w:cs="Times New Roman"/>
          <w:iCs/>
          <w:sz w:val="28"/>
          <w:szCs w:val="28"/>
        </w:rPr>
        <w:t>Table 6</w:t>
      </w:r>
      <w:r w:rsidR="00854081" w:rsidRPr="00194630">
        <w:rPr>
          <w:rFonts w:ascii="Times New Roman" w:hAnsi="Times New Roman" w:cs="Times New Roman"/>
          <w:iCs/>
          <w:sz w:val="28"/>
          <w:szCs w:val="28"/>
        </w:rPr>
        <w:t>”</w:t>
      </w:r>
      <w:r w:rsidR="00533082" w:rsidRPr="00194630">
        <w:rPr>
          <w:rFonts w:ascii="Times New Roman" w:hAnsi="Times New Roman" w:cs="Times New Roman"/>
          <w:iCs/>
          <w:sz w:val="28"/>
          <w:szCs w:val="28"/>
        </w:rPr>
        <w:t xml:space="preserve"> presents the Ct values obtained from bronchoalveolar lavage (BAL) fluid samples analysed across eight independent runs, including both experimental specimens (n = 12) and assay controls. The results demonstrate overall consistency and reproducibility of amplification cycles </w:t>
      </w:r>
      <w:r w:rsidR="00A57D64">
        <w:rPr>
          <w:rFonts w:ascii="Times New Roman" w:hAnsi="Times New Roman" w:cs="Times New Roman"/>
          <w:iCs/>
          <w:sz w:val="28"/>
          <w:szCs w:val="28"/>
        </w:rPr>
        <w:t>across most BAL samples, with Ct values clustering tightly around their means</w:t>
      </w:r>
      <w:r w:rsidR="00533082" w:rsidRPr="00194630">
        <w:rPr>
          <w:rFonts w:ascii="Times New Roman" w:hAnsi="Times New Roman" w:cs="Times New Roman"/>
          <w:iCs/>
          <w:sz w:val="28"/>
          <w:szCs w:val="28"/>
        </w:rPr>
        <w:t xml:space="preserve">. For example, samples 1, 2, 3, 5, and 6 show stable amplification with minimal inter-run variation, remaining within a narrow range of approximately ±0.3 cycles, which highlights the robustness of the detection protocol. A few samples, such as sample 4, exhibit irregularity, with one outlying replicate (Ct = 18.5) deviating significantly from the otherwise consistent values of ~23, indicating either technical variation or sample-specific heterogeneity. More pronounced discrepancies are observed in samples 7–10, which display unusually low Ct-values in isolated replicates (e.g., 0.76 in sample 7, 7.62 in sample 8, 8.13 in sample 9, and 6.47 in sample 10) alongside higher values (~27–31) in subsequent runs, suggesting possible pipetting errors, cross-contamination, or misreads in the initial cycles. Importantly, samples 11 and 12 remain consistent in the high Ct range (~30–33), reflecting low target abundance but reproducible amplification. </w:t>
      </w:r>
    </w:p>
    <w:p w14:paraId="2E71FDFB" w14:textId="1D8470FF" w:rsidR="00533082" w:rsidRPr="00194630" w:rsidRDefault="00533082" w:rsidP="00194630">
      <w:pPr>
        <w:spacing w:after="0" w:line="240" w:lineRule="auto"/>
        <w:ind w:firstLine="709"/>
        <w:jc w:val="both"/>
        <w:rPr>
          <w:rFonts w:ascii="Times New Roman" w:hAnsi="Times New Roman" w:cs="Times New Roman"/>
          <w:iCs/>
          <w:sz w:val="28"/>
          <w:szCs w:val="28"/>
        </w:rPr>
      </w:pPr>
      <w:r w:rsidRPr="00194630">
        <w:rPr>
          <w:rFonts w:ascii="Times New Roman" w:hAnsi="Times New Roman" w:cs="Times New Roman"/>
          <w:iCs/>
          <w:sz w:val="28"/>
          <w:szCs w:val="28"/>
        </w:rPr>
        <w:t>The controls further validate the assay’s performance: the negative control produced no amplification in any run, confirming the absence of contamination, while the positive control consistently amplified at the expected Ct (~30), ensuring assay sensitivity and internal validity. Taken together, the dataset underscores that the assay is technically reliable, but the anomalous outlier values in several samples warrant closer scrutiny to rule out procedural errors or instrument artefacts.</w:t>
      </w:r>
    </w:p>
    <w:p w14:paraId="11C12777" w14:textId="77777777" w:rsidR="00803224" w:rsidRPr="00194630" w:rsidRDefault="00533082" w:rsidP="00194630">
      <w:pPr>
        <w:spacing w:after="0" w:line="240" w:lineRule="auto"/>
        <w:ind w:firstLine="709"/>
        <w:jc w:val="both"/>
        <w:rPr>
          <w:rFonts w:ascii="Times New Roman" w:hAnsi="Times New Roman" w:cs="Times New Roman"/>
          <w:iCs/>
          <w:sz w:val="28"/>
          <w:szCs w:val="28"/>
        </w:rPr>
      </w:pPr>
      <w:r w:rsidRPr="00194630">
        <w:rPr>
          <w:rFonts w:ascii="Times New Roman" w:hAnsi="Times New Roman" w:cs="Times New Roman"/>
          <w:iCs/>
          <w:sz w:val="28"/>
          <w:szCs w:val="28"/>
        </w:rPr>
        <w:t>T</w:t>
      </w:r>
      <w:r w:rsidR="00EC1126" w:rsidRPr="00194630">
        <w:rPr>
          <w:rFonts w:ascii="Times New Roman" w:hAnsi="Times New Roman" w:cs="Times New Roman"/>
          <w:iCs/>
          <w:sz w:val="28"/>
          <w:szCs w:val="28"/>
        </w:rPr>
        <w:t xml:space="preserve">his method provides a </w:t>
      </w:r>
      <w:r w:rsidR="00213AD1" w:rsidRPr="00194630">
        <w:rPr>
          <w:rFonts w:ascii="Times New Roman" w:hAnsi="Times New Roman" w:cs="Times New Roman"/>
          <w:iCs/>
          <w:sz w:val="28"/>
          <w:szCs w:val="28"/>
        </w:rPr>
        <w:t>standardised</w:t>
      </w:r>
      <w:r w:rsidR="00EC1126" w:rsidRPr="00194630">
        <w:rPr>
          <w:rFonts w:ascii="Times New Roman" w:hAnsi="Times New Roman" w:cs="Times New Roman"/>
          <w:iCs/>
          <w:sz w:val="28"/>
          <w:szCs w:val="28"/>
        </w:rPr>
        <w:t xml:space="preserve"> approach for quantifying infectious SARS-CoV-2 in BALF, which is </w:t>
      </w:r>
      <w:r w:rsidR="00DE38CA" w:rsidRPr="00194630">
        <w:rPr>
          <w:rFonts w:ascii="Times New Roman" w:hAnsi="Times New Roman" w:cs="Times New Roman"/>
          <w:iCs/>
          <w:sz w:val="28"/>
          <w:szCs w:val="28"/>
        </w:rPr>
        <w:t>crucial for understanding pathogenesis and evaluating antiviral therapies</w:t>
      </w:r>
      <w:r w:rsidR="00EC1126" w:rsidRPr="00194630">
        <w:rPr>
          <w:rFonts w:ascii="Times New Roman" w:hAnsi="Times New Roman" w:cs="Times New Roman"/>
          <w:iCs/>
          <w:sz w:val="28"/>
          <w:szCs w:val="28"/>
        </w:rPr>
        <w:t>. Report results as TCID₅₀/mL or convert to PFU/mL (1 TCID₅₀ ≈ 0.7 PFU</w:t>
      </w:r>
      <w:r w:rsidR="00DE38CA" w:rsidRPr="00194630">
        <w:rPr>
          <w:rFonts w:ascii="Times New Roman" w:hAnsi="Times New Roman" w:cs="Times New Roman"/>
          <w:iCs/>
          <w:sz w:val="28"/>
          <w:szCs w:val="28"/>
        </w:rPr>
        <w:t xml:space="preserve">). </w:t>
      </w:r>
      <w:r w:rsidR="00853685" w:rsidRPr="00194630">
        <w:rPr>
          <w:rFonts w:ascii="Times New Roman" w:hAnsi="Times New Roman" w:cs="Times New Roman"/>
          <w:iCs/>
          <w:sz w:val="28"/>
          <w:szCs w:val="28"/>
        </w:rPr>
        <w:t xml:space="preserve"> Although fluorescent dyes and real-time PCR probes must be </w:t>
      </w:r>
      <w:r w:rsidR="00D13575" w:rsidRPr="00194630">
        <w:rPr>
          <w:rFonts w:ascii="Times New Roman" w:hAnsi="Times New Roman" w:cs="Times New Roman"/>
          <w:iCs/>
          <w:sz w:val="28"/>
          <w:szCs w:val="28"/>
        </w:rPr>
        <w:t xml:space="preserve">used sequentially, </w:t>
      </w:r>
      <w:r w:rsidR="001F6D3C" w:rsidRPr="00194630">
        <w:rPr>
          <w:rFonts w:ascii="Times New Roman" w:hAnsi="Times New Roman" w:cs="Times New Roman"/>
          <w:iCs/>
          <w:sz w:val="28"/>
          <w:szCs w:val="28"/>
        </w:rPr>
        <w:t xml:space="preserve">significant background fluorescence often occurs </w:t>
      </w:r>
      <w:r w:rsidR="00853685" w:rsidRPr="00194630">
        <w:rPr>
          <w:rFonts w:ascii="Times New Roman" w:hAnsi="Times New Roman" w:cs="Times New Roman"/>
          <w:iCs/>
          <w:sz w:val="28"/>
          <w:szCs w:val="28"/>
        </w:rPr>
        <w:t xml:space="preserve">in most real-time PCR experiments. Therefore, it is essential to </w:t>
      </w:r>
      <w:r w:rsidR="00CD7EB8" w:rsidRPr="00194630">
        <w:rPr>
          <w:rFonts w:ascii="Times New Roman" w:hAnsi="Times New Roman" w:cs="Times New Roman"/>
          <w:iCs/>
          <w:sz w:val="28"/>
          <w:szCs w:val="28"/>
        </w:rPr>
        <w:t>filter out this background signal to obtain</w:t>
      </w:r>
      <w:r w:rsidR="00853685" w:rsidRPr="00194630">
        <w:rPr>
          <w:rFonts w:ascii="Times New Roman" w:hAnsi="Times New Roman" w:cs="Times New Roman"/>
          <w:iCs/>
          <w:sz w:val="28"/>
          <w:szCs w:val="28"/>
        </w:rPr>
        <w:t xml:space="preserve"> meaningful information about your goal. Two values solve this problem in </w:t>
      </w:r>
      <w:r w:rsidR="00D13575" w:rsidRPr="00194630">
        <w:rPr>
          <w:rFonts w:ascii="Times New Roman" w:hAnsi="Times New Roman" w:cs="Times New Roman"/>
          <w:iCs/>
          <w:sz w:val="28"/>
          <w:szCs w:val="28"/>
        </w:rPr>
        <w:t>real-time PCR</w:t>
      </w:r>
      <w:r w:rsidR="0079177F" w:rsidRPr="00194630">
        <w:rPr>
          <w:rFonts w:ascii="Times New Roman" w:hAnsi="Times New Roman" w:cs="Times New Roman"/>
          <w:iCs/>
          <w:sz w:val="28"/>
          <w:szCs w:val="28"/>
        </w:rPr>
        <w:t>: the</w:t>
      </w:r>
      <w:r w:rsidR="00853685" w:rsidRPr="00194630">
        <w:rPr>
          <w:rFonts w:ascii="Times New Roman" w:hAnsi="Times New Roman" w:cs="Times New Roman"/>
          <w:iCs/>
          <w:sz w:val="28"/>
          <w:szCs w:val="28"/>
        </w:rPr>
        <w:t xml:space="preserve"> threshold line and the Cq value. A threshold line is a point or detection stage at which the fluorescence intensity in a reaction </w:t>
      </w:r>
      <w:r w:rsidR="001F6D3C" w:rsidRPr="00194630">
        <w:rPr>
          <w:rFonts w:ascii="Times New Roman" w:hAnsi="Times New Roman" w:cs="Times New Roman"/>
          <w:iCs/>
          <w:sz w:val="28"/>
          <w:szCs w:val="28"/>
        </w:rPr>
        <w:t>exceeds</w:t>
      </w:r>
      <w:r w:rsidR="00853685" w:rsidRPr="00194630">
        <w:rPr>
          <w:rFonts w:ascii="Times New Roman" w:hAnsi="Times New Roman" w:cs="Times New Roman"/>
          <w:iCs/>
          <w:sz w:val="28"/>
          <w:szCs w:val="28"/>
        </w:rPr>
        <w:t xml:space="preserve"> the background level. Bronchoalveolar lavage (BAL) fluid is often used to evaluate patients with suspected or confirmed SARS-CoV-2 infection, especially in severe or atypical cases. </w:t>
      </w:r>
    </w:p>
    <w:p w14:paraId="1318FDED" w14:textId="0CEE3C7C" w:rsidR="007F71F2" w:rsidRPr="00194630" w:rsidRDefault="00853685" w:rsidP="00194630">
      <w:pPr>
        <w:spacing w:after="0" w:line="240" w:lineRule="auto"/>
        <w:ind w:firstLine="709"/>
        <w:jc w:val="both"/>
        <w:rPr>
          <w:rFonts w:ascii="Times New Roman" w:hAnsi="Times New Roman" w:cs="Times New Roman"/>
          <w:iCs/>
          <w:sz w:val="28"/>
          <w:szCs w:val="28"/>
        </w:rPr>
      </w:pPr>
      <w:r w:rsidRPr="00194630">
        <w:rPr>
          <w:rFonts w:ascii="Times New Roman" w:hAnsi="Times New Roman" w:cs="Times New Roman"/>
          <w:iCs/>
          <w:sz w:val="28"/>
          <w:szCs w:val="28"/>
        </w:rPr>
        <w:t xml:space="preserve">Here are some key points regarding BAL fluid in </w:t>
      </w:r>
      <w:r w:rsidR="00D13575" w:rsidRPr="00194630">
        <w:rPr>
          <w:rFonts w:ascii="Times New Roman" w:hAnsi="Times New Roman" w:cs="Times New Roman"/>
          <w:iCs/>
          <w:sz w:val="28"/>
          <w:szCs w:val="28"/>
        </w:rPr>
        <w:t>SARS-CoV-2-positive patients: Diagnostic utility</w:t>
      </w:r>
      <w:r w:rsidR="00C05D42">
        <w:rPr>
          <w:rFonts w:ascii="Times New Roman" w:hAnsi="Times New Roman" w:cs="Times New Roman"/>
          <w:iCs/>
          <w:sz w:val="28"/>
          <w:szCs w:val="28"/>
        </w:rPr>
        <w:t>: BAL fluid can yield</w:t>
      </w:r>
      <w:r w:rsidRPr="00194630">
        <w:rPr>
          <w:rFonts w:ascii="Times New Roman" w:hAnsi="Times New Roman" w:cs="Times New Roman"/>
          <w:iCs/>
          <w:sz w:val="28"/>
          <w:szCs w:val="28"/>
        </w:rPr>
        <w:t xml:space="preserve"> a high diagnostic yield. In patients </w:t>
      </w:r>
      <w:r w:rsidR="00C05D42">
        <w:rPr>
          <w:rFonts w:ascii="Times New Roman" w:hAnsi="Times New Roman" w:cs="Times New Roman"/>
          <w:iCs/>
          <w:sz w:val="28"/>
          <w:szCs w:val="28"/>
        </w:rPr>
        <w:t xml:space="preserve">with upper respiratory samples (such as nasopharyngeal swabs) that are negative or inconclusive, particularly in critically ill patients, bronchoalveolar lavage (BAL) fluid analysis </w:t>
      </w:r>
      <w:r w:rsidRPr="00194630">
        <w:rPr>
          <w:rFonts w:ascii="Times New Roman" w:hAnsi="Times New Roman" w:cs="Times New Roman"/>
          <w:iCs/>
          <w:sz w:val="28"/>
          <w:szCs w:val="28"/>
        </w:rPr>
        <w:t xml:space="preserve">may </w:t>
      </w:r>
      <w:r w:rsidR="00C05D42">
        <w:rPr>
          <w:rFonts w:ascii="Times New Roman" w:hAnsi="Times New Roman" w:cs="Times New Roman"/>
          <w:iCs/>
          <w:sz w:val="28"/>
          <w:szCs w:val="28"/>
        </w:rPr>
        <w:t>detect</w:t>
      </w:r>
      <w:r w:rsidRPr="00194630">
        <w:rPr>
          <w:rFonts w:ascii="Times New Roman" w:hAnsi="Times New Roman" w:cs="Times New Roman"/>
          <w:iCs/>
          <w:sz w:val="28"/>
          <w:szCs w:val="28"/>
        </w:rPr>
        <w:t xml:space="preserve"> the virus. Viral Load: </w:t>
      </w:r>
      <w:r w:rsidR="00D13575" w:rsidRPr="00194630">
        <w:rPr>
          <w:rFonts w:ascii="Times New Roman" w:hAnsi="Times New Roman" w:cs="Times New Roman"/>
          <w:iCs/>
          <w:sz w:val="28"/>
          <w:szCs w:val="28"/>
        </w:rPr>
        <w:t>Studies</w:t>
      </w:r>
      <w:r w:rsidRPr="00194630">
        <w:rPr>
          <w:rFonts w:ascii="Times New Roman" w:hAnsi="Times New Roman" w:cs="Times New Roman"/>
          <w:iCs/>
          <w:sz w:val="28"/>
          <w:szCs w:val="28"/>
        </w:rPr>
        <w:t xml:space="preserve"> have shown that BAL fluid from COVID-19 patients often contains a high viral load, sometimes </w:t>
      </w:r>
      <w:r w:rsidR="00C05D42">
        <w:rPr>
          <w:rFonts w:ascii="Times New Roman" w:hAnsi="Times New Roman" w:cs="Times New Roman"/>
          <w:iCs/>
          <w:sz w:val="28"/>
          <w:szCs w:val="28"/>
        </w:rPr>
        <w:t>higher than that</w:t>
      </w:r>
      <w:r w:rsidRPr="00194630">
        <w:rPr>
          <w:rFonts w:ascii="Times New Roman" w:hAnsi="Times New Roman" w:cs="Times New Roman"/>
          <w:iCs/>
          <w:sz w:val="28"/>
          <w:szCs w:val="28"/>
        </w:rPr>
        <w:t xml:space="preserve"> detected in upper respiratory samples. This high viral load can be </w:t>
      </w:r>
      <w:r w:rsidR="00C05D42">
        <w:rPr>
          <w:rFonts w:ascii="Times New Roman" w:hAnsi="Times New Roman" w:cs="Times New Roman"/>
          <w:iCs/>
          <w:sz w:val="28"/>
          <w:szCs w:val="28"/>
        </w:rPr>
        <w:t>detected by RT-qPCR, with lower cycle threshold (Ct) values indicating greater</w:t>
      </w:r>
      <w:r w:rsidRPr="00194630">
        <w:rPr>
          <w:rFonts w:ascii="Times New Roman" w:hAnsi="Times New Roman" w:cs="Times New Roman"/>
          <w:iCs/>
          <w:sz w:val="28"/>
          <w:szCs w:val="28"/>
        </w:rPr>
        <w:t xml:space="preserve"> </w:t>
      </w:r>
      <w:r w:rsidR="00FC28C2">
        <w:rPr>
          <w:rFonts w:ascii="Times New Roman" w:hAnsi="Times New Roman" w:cs="Times New Roman"/>
          <w:iCs/>
          <w:sz w:val="28"/>
          <w:szCs w:val="28"/>
        </w:rPr>
        <w:t>viral RNA levels</w:t>
      </w:r>
      <w:r w:rsidRPr="00194630">
        <w:rPr>
          <w:rFonts w:ascii="Times New Roman" w:hAnsi="Times New Roman" w:cs="Times New Roman"/>
          <w:iCs/>
          <w:sz w:val="28"/>
          <w:szCs w:val="28"/>
        </w:rPr>
        <w:t xml:space="preserve">. Disease Severity Correlation: </w:t>
      </w:r>
      <w:r w:rsidR="00D13575" w:rsidRPr="00194630">
        <w:rPr>
          <w:rFonts w:ascii="Times New Roman" w:hAnsi="Times New Roman" w:cs="Times New Roman"/>
          <w:iCs/>
          <w:sz w:val="28"/>
          <w:szCs w:val="28"/>
        </w:rPr>
        <w:t>A</w:t>
      </w:r>
      <w:r w:rsidRPr="00194630">
        <w:rPr>
          <w:rFonts w:ascii="Times New Roman" w:hAnsi="Times New Roman" w:cs="Times New Roman"/>
          <w:iCs/>
          <w:sz w:val="28"/>
          <w:szCs w:val="28"/>
        </w:rPr>
        <w:t xml:space="preserve"> high viral load in </w:t>
      </w:r>
      <w:r w:rsidR="00656DF0" w:rsidRPr="00194630">
        <w:rPr>
          <w:rFonts w:ascii="Times New Roman" w:hAnsi="Times New Roman" w:cs="Times New Roman"/>
          <w:iCs/>
          <w:sz w:val="28"/>
          <w:szCs w:val="28"/>
        </w:rPr>
        <w:t>bronchoalveolar lavage (BAL)</w:t>
      </w:r>
      <w:r w:rsidRPr="00194630">
        <w:rPr>
          <w:rFonts w:ascii="Times New Roman" w:hAnsi="Times New Roman" w:cs="Times New Roman"/>
          <w:iCs/>
          <w:sz w:val="28"/>
          <w:szCs w:val="28"/>
        </w:rPr>
        <w:t xml:space="preserve"> fluid is frequently associated with severe disease. In patients with significant lower respiratory tract involvement, the viral RNA concentration in </w:t>
      </w:r>
      <w:r w:rsidR="00656DF0" w:rsidRPr="00194630">
        <w:rPr>
          <w:rFonts w:ascii="Times New Roman" w:hAnsi="Times New Roman" w:cs="Times New Roman"/>
          <w:iCs/>
          <w:sz w:val="28"/>
          <w:szCs w:val="28"/>
        </w:rPr>
        <w:t xml:space="preserve">bronchoalveolar lavage </w:t>
      </w:r>
      <w:r w:rsidR="00656DF0" w:rsidRPr="00194630">
        <w:rPr>
          <w:rFonts w:ascii="Times New Roman" w:hAnsi="Times New Roman" w:cs="Times New Roman"/>
          <w:iCs/>
          <w:sz w:val="28"/>
          <w:szCs w:val="28"/>
        </w:rPr>
        <w:lastRenderedPageBreak/>
        <w:t>(BAL)</w:t>
      </w:r>
      <w:r w:rsidRPr="00194630">
        <w:rPr>
          <w:rFonts w:ascii="Times New Roman" w:hAnsi="Times New Roman" w:cs="Times New Roman"/>
          <w:iCs/>
          <w:sz w:val="28"/>
          <w:szCs w:val="28"/>
        </w:rPr>
        <w:t xml:space="preserve"> fluid tends to be high, correlating with the extent of lung injury. Inflammatory Profile: BAL fluid analysis can provide insights into the local immune response beyond viral detection. It often reveals </w:t>
      </w:r>
      <w:r w:rsidR="00600AE0" w:rsidRPr="00194630">
        <w:rPr>
          <w:rFonts w:ascii="Times New Roman" w:hAnsi="Times New Roman" w:cs="Times New Roman"/>
          <w:iCs/>
          <w:sz w:val="28"/>
          <w:szCs w:val="28"/>
        </w:rPr>
        <w:t>the presence of inflammatory cells, such as macrophages and neutrophils, as well as</w:t>
      </w:r>
      <w:r w:rsidRPr="00194630">
        <w:rPr>
          <w:rFonts w:ascii="Times New Roman" w:hAnsi="Times New Roman" w:cs="Times New Roman"/>
          <w:iCs/>
          <w:sz w:val="28"/>
          <w:szCs w:val="28"/>
        </w:rPr>
        <w:t xml:space="preserve"> elevated levels of cytokines and chemokines. This information helps understand the pathogenesis of lung injury in COVID-19. Procedural Considerations</w:t>
      </w:r>
      <w:r w:rsidRPr="00194630">
        <w:rPr>
          <w:rFonts w:ascii="Times New Roman" w:hAnsi="Times New Roman" w:cs="Times New Roman"/>
          <w:b/>
          <w:bCs/>
          <w:iCs/>
          <w:sz w:val="28"/>
          <w:szCs w:val="28"/>
        </w:rPr>
        <w:t xml:space="preserve">: </w:t>
      </w:r>
      <w:r w:rsidRPr="00194630">
        <w:rPr>
          <w:rFonts w:ascii="Times New Roman" w:hAnsi="Times New Roman" w:cs="Times New Roman"/>
          <w:iCs/>
          <w:sz w:val="28"/>
          <w:szCs w:val="28"/>
        </w:rPr>
        <w:t xml:space="preserve">While BAL can </w:t>
      </w:r>
      <w:r w:rsidR="00DE5223">
        <w:rPr>
          <w:rFonts w:ascii="Times New Roman" w:hAnsi="Times New Roman" w:cs="Times New Roman"/>
          <w:iCs/>
          <w:sz w:val="28"/>
          <w:szCs w:val="28"/>
        </w:rPr>
        <w:t>provide valuable diagnostic and research information, the procedure is invasive and may aerosolise the virus, requiring</w:t>
      </w:r>
      <w:r w:rsidRPr="00194630">
        <w:rPr>
          <w:rFonts w:ascii="Times New Roman" w:hAnsi="Times New Roman" w:cs="Times New Roman"/>
          <w:iCs/>
          <w:sz w:val="28"/>
          <w:szCs w:val="28"/>
        </w:rPr>
        <w:t xml:space="preserve"> strict infection control measures. As a result, BAL is typically reserved for patients with severe disease or when less invasive samples have not yielded precise results. The </w:t>
      </w:r>
      <w:r w:rsidR="00DE5223">
        <w:rPr>
          <w:rFonts w:ascii="Times New Roman" w:hAnsi="Times New Roman" w:cs="Times New Roman"/>
          <w:iCs/>
          <w:sz w:val="28"/>
          <w:szCs w:val="28"/>
        </w:rPr>
        <w:t xml:space="preserve">test results </w:t>
      </w:r>
      <w:r w:rsidR="00844831" w:rsidRPr="00194630">
        <w:rPr>
          <w:rFonts w:ascii="Times New Roman" w:hAnsi="Times New Roman" w:cs="Times New Roman"/>
          <w:iCs/>
          <w:sz w:val="28"/>
          <w:szCs w:val="28"/>
        </w:rPr>
        <w:t>are shown in Figure</w:t>
      </w:r>
      <w:r w:rsidRPr="00194630">
        <w:rPr>
          <w:rFonts w:ascii="Times New Roman" w:hAnsi="Times New Roman" w:cs="Times New Roman"/>
          <w:iCs/>
          <w:sz w:val="28"/>
          <w:szCs w:val="28"/>
        </w:rPr>
        <w:t xml:space="preserve"> </w:t>
      </w:r>
      <w:r w:rsidR="00E17134" w:rsidRPr="00194630">
        <w:rPr>
          <w:rFonts w:ascii="Times New Roman" w:hAnsi="Times New Roman" w:cs="Times New Roman"/>
          <w:iCs/>
          <w:sz w:val="28"/>
          <w:szCs w:val="28"/>
        </w:rPr>
        <w:t>2</w:t>
      </w:r>
      <w:r w:rsidR="0076567C" w:rsidRPr="00194630">
        <w:rPr>
          <w:rFonts w:ascii="Times New Roman" w:hAnsi="Times New Roman" w:cs="Times New Roman"/>
          <w:iCs/>
          <w:sz w:val="28"/>
          <w:szCs w:val="28"/>
        </w:rPr>
        <w:t>5</w:t>
      </w:r>
      <w:r w:rsidRPr="00194630">
        <w:rPr>
          <w:rFonts w:ascii="Times New Roman" w:hAnsi="Times New Roman" w:cs="Times New Roman"/>
          <w:iCs/>
          <w:sz w:val="28"/>
          <w:szCs w:val="28"/>
        </w:rPr>
        <w:t xml:space="preserve">. </w:t>
      </w:r>
      <w:r w:rsidR="00533082" w:rsidRPr="00194630">
        <w:rPr>
          <w:rFonts w:ascii="Times New Roman" w:hAnsi="Times New Roman" w:cs="Times New Roman"/>
          <w:iCs/>
          <w:sz w:val="28"/>
          <w:szCs w:val="28"/>
        </w:rPr>
        <w:t xml:space="preserve"> </w:t>
      </w:r>
    </w:p>
    <w:p w14:paraId="33470AEE" w14:textId="38F31F70" w:rsidR="0063680F" w:rsidRPr="00194630" w:rsidRDefault="00AC2273" w:rsidP="00194630">
      <w:pPr>
        <w:spacing w:after="0" w:line="240" w:lineRule="auto"/>
        <w:ind w:firstLine="709"/>
        <w:jc w:val="both"/>
        <w:rPr>
          <w:rFonts w:ascii="Times New Roman" w:hAnsi="Times New Roman" w:cs="Times New Roman"/>
          <w:iCs/>
          <w:sz w:val="28"/>
          <w:szCs w:val="28"/>
        </w:rPr>
      </w:pPr>
      <w:r w:rsidRPr="00194630">
        <w:rPr>
          <w:rFonts w:ascii="Times New Roman" w:hAnsi="Times New Roman" w:cs="Times New Roman"/>
          <w:iCs/>
          <w:sz w:val="28"/>
          <w:szCs w:val="28"/>
        </w:rPr>
        <w:t xml:space="preserve">The 117 samples were gained from </w:t>
      </w:r>
      <w:r w:rsidRPr="00194630">
        <w:rPr>
          <w:rFonts w:ascii="Times New Roman" w:hAnsi="Times New Roman" w:cs="Times New Roman"/>
          <w:color w:val="000000"/>
          <w:sz w:val="28"/>
          <w:szCs w:val="28"/>
        </w:rPr>
        <w:t>Bronchoalveolar lavage fluid</w:t>
      </w:r>
      <w:r w:rsidR="0015740B" w:rsidRPr="00194630">
        <w:rPr>
          <w:rFonts w:ascii="Times New Roman" w:hAnsi="Times New Roman" w:cs="Times New Roman"/>
          <w:color w:val="000000"/>
          <w:sz w:val="28"/>
          <w:szCs w:val="28"/>
        </w:rPr>
        <w:t xml:space="preserve">. However, only </w:t>
      </w:r>
      <w:r w:rsidR="001F7B3C" w:rsidRPr="00194630">
        <w:rPr>
          <w:rFonts w:ascii="Times New Roman" w:hAnsi="Times New Roman" w:cs="Times New Roman"/>
          <w:color w:val="000000"/>
          <w:sz w:val="28"/>
          <w:szCs w:val="28"/>
        </w:rPr>
        <w:t>12</w:t>
      </w:r>
      <w:r w:rsidR="0015740B" w:rsidRPr="00194630">
        <w:rPr>
          <w:rFonts w:ascii="Times New Roman" w:hAnsi="Times New Roman" w:cs="Times New Roman"/>
          <w:color w:val="000000"/>
          <w:sz w:val="28"/>
          <w:szCs w:val="28"/>
        </w:rPr>
        <w:t xml:space="preserve"> were worth testing and </w:t>
      </w:r>
      <w:r w:rsidR="00794C04" w:rsidRPr="00194630">
        <w:rPr>
          <w:rFonts w:ascii="Times New Roman" w:hAnsi="Times New Roman" w:cs="Times New Roman"/>
          <w:color w:val="000000"/>
          <w:sz w:val="28"/>
          <w:szCs w:val="28"/>
        </w:rPr>
        <w:t>titrating onto VeroE6 cells, which are permissive and susceptible to SARS-CoV-2</w:t>
      </w:r>
      <w:r w:rsidR="00870AE3" w:rsidRPr="00194630">
        <w:rPr>
          <w:rFonts w:ascii="Times New Roman" w:hAnsi="Times New Roman" w:cs="Times New Roman"/>
          <w:color w:val="000000"/>
          <w:sz w:val="28"/>
          <w:szCs w:val="28"/>
        </w:rPr>
        <w:t xml:space="preserve"> reproduction. </w:t>
      </w:r>
      <w:r w:rsidR="001F7B3C" w:rsidRPr="00194630">
        <w:rPr>
          <w:rFonts w:ascii="Times New Roman" w:hAnsi="Times New Roman" w:cs="Times New Roman"/>
          <w:color w:val="000000"/>
          <w:sz w:val="28"/>
          <w:szCs w:val="28"/>
        </w:rPr>
        <w:t xml:space="preserve">The </w:t>
      </w:r>
      <w:r w:rsidR="00DE5223">
        <w:rPr>
          <w:rFonts w:ascii="Times New Roman" w:hAnsi="Times New Roman" w:cs="Times New Roman"/>
          <w:color w:val="000000"/>
          <w:sz w:val="28"/>
          <w:szCs w:val="28"/>
        </w:rPr>
        <w:t>remaining samples showed few traces of viral nucleotides or no</w:t>
      </w:r>
      <w:r w:rsidR="001F7B3C" w:rsidRPr="00194630">
        <w:rPr>
          <w:rFonts w:ascii="Times New Roman" w:hAnsi="Times New Roman" w:cs="Times New Roman"/>
          <w:color w:val="000000"/>
          <w:sz w:val="28"/>
          <w:szCs w:val="28"/>
        </w:rPr>
        <w:t xml:space="preserve"> viral RNA in the BALF supernatants</w:t>
      </w:r>
      <w:r w:rsidR="00EE43F4" w:rsidRPr="00194630">
        <w:rPr>
          <w:rFonts w:ascii="Times New Roman" w:hAnsi="Times New Roman" w:cs="Times New Roman"/>
          <w:color w:val="000000"/>
          <w:sz w:val="28"/>
          <w:szCs w:val="28"/>
        </w:rPr>
        <w:t xml:space="preserve">. </w:t>
      </w:r>
      <w:r w:rsidR="00870AE3" w:rsidRPr="00194630">
        <w:rPr>
          <w:rFonts w:ascii="Times New Roman" w:hAnsi="Times New Roman" w:cs="Times New Roman"/>
          <w:color w:val="000000"/>
          <w:sz w:val="28"/>
          <w:szCs w:val="28"/>
        </w:rPr>
        <w:t xml:space="preserve"> </w:t>
      </w:r>
      <w:r w:rsidR="00F67F1B" w:rsidRPr="00194630">
        <w:rPr>
          <w:rFonts w:ascii="Times New Roman" w:hAnsi="Times New Roman" w:cs="Times New Roman"/>
          <w:color w:val="000000"/>
          <w:sz w:val="28"/>
          <w:szCs w:val="28"/>
        </w:rPr>
        <w:t>We confirmed the Active Replication Site: Detection of viable virus in BALF provides definitive evidence that SARS-CoV-2 is actively replicating in the lower respiratory tract, not just present as viral debris or RNA fragments.</w:t>
      </w:r>
      <w:r w:rsidR="00533082" w:rsidRPr="00194630">
        <w:rPr>
          <w:rFonts w:ascii="Times New Roman" w:hAnsi="Times New Roman" w:cs="Times New Roman"/>
          <w:color w:val="000000"/>
          <w:sz w:val="28"/>
          <w:szCs w:val="28"/>
        </w:rPr>
        <w:t xml:space="preserve"> </w:t>
      </w:r>
      <w:r w:rsidR="00F67F1B" w:rsidRPr="00194630">
        <w:rPr>
          <w:rFonts w:ascii="Times New Roman" w:hAnsi="Times New Roman" w:cs="Times New Roman"/>
          <w:iCs/>
          <w:sz w:val="28"/>
          <w:szCs w:val="28"/>
        </w:rPr>
        <w:t xml:space="preserve">BALF is a sample collected via bronchoscopy, </w:t>
      </w:r>
      <w:r w:rsidR="00612A1C">
        <w:rPr>
          <w:rFonts w:ascii="Times New Roman" w:hAnsi="Times New Roman" w:cs="Times New Roman"/>
          <w:iCs/>
          <w:sz w:val="28"/>
          <w:szCs w:val="28"/>
        </w:rPr>
        <w:t xml:space="preserve">in which sterile saline is instilled into a specific lung segment </w:t>
      </w:r>
      <w:r w:rsidR="00F67F1B" w:rsidRPr="00194630">
        <w:rPr>
          <w:rFonts w:ascii="Times New Roman" w:hAnsi="Times New Roman" w:cs="Times New Roman"/>
          <w:iCs/>
          <w:sz w:val="28"/>
          <w:szCs w:val="28"/>
        </w:rPr>
        <w:t>and then aspirated back. It provides direct access to the lower respiratory tract (LRT), specifically the alveoli and small airways, where severe COVID-19 pathology occurs. It is a more invasive procedure than nasopharyngeal (NP) swabs and is typically reserved for hospitalised patients with severe pneumonia or immunocompromised individuals where diagnosis is challenging.</w:t>
      </w:r>
      <w:bookmarkStart w:id="33" w:name="_Hlk170065107"/>
    </w:p>
    <w:p w14:paraId="59D55104" w14:textId="24B89FFA" w:rsidR="0063680F" w:rsidRPr="00194630" w:rsidRDefault="0063680F" w:rsidP="00194630">
      <w:pPr>
        <w:spacing w:after="0" w:line="240" w:lineRule="auto"/>
        <w:ind w:firstLine="708"/>
        <w:jc w:val="both"/>
        <w:rPr>
          <w:rFonts w:ascii="Times New Roman" w:hAnsi="Times New Roman" w:cs="Times New Roman"/>
          <w:iCs/>
          <w:sz w:val="28"/>
          <w:szCs w:val="28"/>
        </w:rPr>
      </w:pPr>
      <w:r w:rsidRPr="00194630">
        <w:rPr>
          <w:rFonts w:ascii="Times New Roman" w:hAnsi="Times New Roman" w:cs="Times New Roman"/>
          <w:iCs/>
          <w:sz w:val="28"/>
          <w:szCs w:val="28"/>
        </w:rPr>
        <w:t xml:space="preserve">The </w:t>
      </w:r>
      <w:r w:rsidR="00EB0EF7" w:rsidRPr="00194630">
        <w:rPr>
          <w:rFonts w:ascii="Times New Roman" w:hAnsi="Times New Roman" w:cs="Times New Roman"/>
          <w:iCs/>
          <w:sz w:val="28"/>
          <w:szCs w:val="28"/>
        </w:rPr>
        <w:t xml:space="preserve">results in </w:t>
      </w:r>
      <w:r w:rsidRPr="00194630">
        <w:rPr>
          <w:rFonts w:ascii="Times New Roman" w:hAnsi="Times New Roman" w:cs="Times New Roman"/>
          <w:iCs/>
          <w:sz w:val="28"/>
          <w:szCs w:val="28"/>
        </w:rPr>
        <w:t>Figure 25 demonstrate that the applied qPCR protocol yields reproducible amplification across multiple independent runs, as indicated by the narrow error margins for most samples. Samples 1, 2, 3, and 6 display low Cq values (16–19 cycles), consistent with high template abundance, while Samples 4 and 5 cluster around mid-range values (~22–23 cycles), suggesting moderate target presence. In contrast, Samples 7 and 8 exhibit high Cq values (~28–31 cycles), corresponding to low template concentrations, yet remain reproducible across runs. Notably, the overlap of error bars among runs indicates methodological robustness and limited variability.</w:t>
      </w:r>
    </w:p>
    <w:p w14:paraId="690BCC74" w14:textId="5F431960" w:rsidR="00097D3C" w:rsidRPr="00194630" w:rsidRDefault="00B17854" w:rsidP="00194630">
      <w:pPr>
        <w:spacing w:line="240" w:lineRule="auto"/>
        <w:ind w:firstLine="708"/>
        <w:jc w:val="both"/>
        <w:rPr>
          <w:rFonts w:ascii="Times New Roman" w:hAnsi="Times New Roman" w:cs="Times New Roman"/>
          <w:iCs/>
          <w:sz w:val="28"/>
          <w:szCs w:val="28"/>
        </w:rPr>
      </w:pPr>
      <w:r w:rsidRPr="00B17854">
        <w:rPr>
          <w:rFonts w:ascii="Times New Roman" w:hAnsi="Times New Roman" w:cs="Times New Roman"/>
          <w:iCs/>
          <w:sz w:val="28"/>
          <w:szCs w:val="28"/>
        </w:rPr>
        <w:t>Isolation of SARS-CoV-2 RNA from human bronchoalveolar lavage fluid (BALF) is often challenging due to low viral loads, high viscosity, and the presence of inhibitors</w:t>
      </w:r>
      <w:r>
        <w:rPr>
          <w:rFonts w:ascii="Times New Roman" w:hAnsi="Times New Roman" w:cs="Times New Roman"/>
          <w:iCs/>
          <w:sz w:val="28"/>
          <w:szCs w:val="28"/>
        </w:rPr>
        <w:t>, such as mucus, proteins, and RNases, which</w:t>
      </w:r>
      <w:r w:rsidRPr="00B17854">
        <w:rPr>
          <w:rFonts w:ascii="Times New Roman" w:hAnsi="Times New Roman" w:cs="Times New Roman"/>
          <w:iCs/>
          <w:sz w:val="28"/>
          <w:szCs w:val="28"/>
        </w:rPr>
        <w:t xml:space="preserve"> degrade RNA or interfere with extraction reagents. The complex and variable composition of BALF leads to inconsistent recovery, while delays in processing or improper storage further contribute to RNA degradation. Additionally, biosafety constraints during sample handling can limit processing efficiency, collectively resulting in reduced yield and quality of viral RNA.</w:t>
      </w:r>
    </w:p>
    <w:p w14:paraId="395D087E" w14:textId="1CE53CC5" w:rsidR="00141391" w:rsidRPr="00141391" w:rsidRDefault="00141391" w:rsidP="00141391">
      <w:pPr>
        <w:spacing w:after="0" w:line="240" w:lineRule="auto"/>
        <w:jc w:val="center"/>
        <w:rPr>
          <w:rFonts w:ascii="Times New Roman" w:hAnsi="Times New Roman" w:cs="Times New Roman"/>
          <w:iCs/>
          <w:color w:val="FF0000"/>
          <w:sz w:val="24"/>
          <w:szCs w:val="24"/>
          <w:lang w:val="ru-RU"/>
        </w:rPr>
      </w:pPr>
      <w:r w:rsidRPr="00141391">
        <w:rPr>
          <w:rFonts w:ascii="Times New Roman" w:hAnsi="Times New Roman" w:cs="Times New Roman"/>
          <w:iCs/>
          <w:noProof/>
          <w:color w:val="FF0000"/>
          <w:sz w:val="24"/>
          <w:szCs w:val="24"/>
          <w:lang w:val="ru-RU"/>
        </w:rPr>
        <w:lastRenderedPageBreak/>
        <w:drawing>
          <wp:inline distT="0" distB="0" distL="0" distR="0" wp14:anchorId="0DFCE154" wp14:editId="274CE101">
            <wp:extent cx="4697872" cy="2997641"/>
            <wp:effectExtent l="0" t="0" r="7620" b="0"/>
            <wp:docPr id="212925734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4">
                      <a:extLst>
                        <a:ext uri="{28A0092B-C50C-407E-A947-70E740481C1C}">
                          <a14:useLocalDpi xmlns:a14="http://schemas.microsoft.com/office/drawing/2010/main" val="0"/>
                        </a:ext>
                      </a:extLst>
                    </a:blip>
                    <a:srcRect t="5713" r="1495"/>
                    <a:stretch>
                      <a:fillRect/>
                    </a:stretch>
                  </pic:blipFill>
                  <pic:spPr bwMode="auto">
                    <a:xfrm>
                      <a:off x="0" y="0"/>
                      <a:ext cx="4706380" cy="3003070"/>
                    </a:xfrm>
                    <a:prstGeom prst="rect">
                      <a:avLst/>
                    </a:prstGeom>
                    <a:noFill/>
                    <a:ln>
                      <a:noFill/>
                    </a:ln>
                    <a:extLst>
                      <a:ext uri="{53640926-AAD7-44D8-BBD7-CCE9431645EC}">
                        <a14:shadowObscured xmlns:a14="http://schemas.microsoft.com/office/drawing/2010/main"/>
                      </a:ext>
                    </a:extLst>
                  </pic:spPr>
                </pic:pic>
              </a:graphicData>
            </a:graphic>
          </wp:inline>
        </w:drawing>
      </w:r>
    </w:p>
    <w:p w14:paraId="12EFCA8D" w14:textId="72351841" w:rsidR="004A73EC" w:rsidRPr="006531C9" w:rsidRDefault="004A73EC" w:rsidP="0074194B">
      <w:pPr>
        <w:spacing w:after="0" w:line="240" w:lineRule="auto"/>
        <w:jc w:val="center"/>
        <w:rPr>
          <w:rFonts w:ascii="Times New Roman" w:hAnsi="Times New Roman" w:cs="Times New Roman"/>
          <w:iCs/>
          <w:color w:val="FF0000"/>
          <w:sz w:val="24"/>
          <w:szCs w:val="24"/>
        </w:rPr>
      </w:pPr>
    </w:p>
    <w:p w14:paraId="2FB8E908" w14:textId="3ECC5BA7" w:rsidR="00CB2BF4" w:rsidRDefault="004A73EC" w:rsidP="0074194B">
      <w:pPr>
        <w:spacing w:after="0" w:line="240" w:lineRule="auto"/>
        <w:jc w:val="center"/>
        <w:rPr>
          <w:rFonts w:ascii="Times New Roman" w:hAnsi="Times New Roman" w:cs="Times New Roman"/>
          <w:iCs/>
          <w:sz w:val="28"/>
          <w:szCs w:val="28"/>
        </w:rPr>
      </w:pPr>
      <w:r w:rsidRPr="00194630">
        <w:rPr>
          <w:rFonts w:ascii="Times New Roman" w:hAnsi="Times New Roman" w:cs="Times New Roman"/>
          <w:iCs/>
          <w:sz w:val="28"/>
          <w:szCs w:val="28"/>
        </w:rPr>
        <w:t>Figure 2</w:t>
      </w:r>
      <w:r w:rsidR="00536FF8" w:rsidRPr="00194630">
        <w:rPr>
          <w:rFonts w:ascii="Times New Roman" w:hAnsi="Times New Roman" w:cs="Times New Roman"/>
          <w:iCs/>
          <w:sz w:val="28"/>
          <w:szCs w:val="28"/>
        </w:rPr>
        <w:t>5</w:t>
      </w:r>
      <w:r w:rsidRPr="00194630">
        <w:rPr>
          <w:rFonts w:ascii="Times New Roman" w:hAnsi="Times New Roman" w:cs="Times New Roman"/>
          <w:iCs/>
          <w:sz w:val="28"/>
          <w:szCs w:val="28"/>
        </w:rPr>
        <w:t xml:space="preserve"> </w:t>
      </w:r>
      <w:r w:rsidR="00D02FCB" w:rsidRPr="00194630">
        <w:rPr>
          <w:rFonts w:ascii="Times New Roman" w:hAnsi="Times New Roman" w:cs="Times New Roman"/>
          <w:iCs/>
          <w:sz w:val="28"/>
          <w:szCs w:val="28"/>
        </w:rPr>
        <w:t xml:space="preserve">– </w:t>
      </w:r>
      <w:r w:rsidR="00383FCB">
        <w:rPr>
          <w:rFonts w:ascii="Times New Roman" w:hAnsi="Times New Roman" w:cs="Times New Roman"/>
          <w:iCs/>
          <w:sz w:val="28"/>
          <w:szCs w:val="28"/>
        </w:rPr>
        <w:t>T</w:t>
      </w:r>
      <w:r w:rsidR="00D02FCB" w:rsidRPr="00194630">
        <w:rPr>
          <w:rFonts w:ascii="Times New Roman" w:hAnsi="Times New Roman" w:cs="Times New Roman"/>
          <w:iCs/>
          <w:sz w:val="28"/>
          <w:szCs w:val="28"/>
        </w:rPr>
        <w:t>he results of quantitative PCR (qPCR) analysis of eight bronchoalveolar lavage (BAL) fluid samples</w:t>
      </w:r>
    </w:p>
    <w:p w14:paraId="5C43F92A" w14:textId="77777777" w:rsidR="00CB2BF4" w:rsidRDefault="00CB2BF4" w:rsidP="00097D3C">
      <w:pPr>
        <w:spacing w:after="0" w:line="240" w:lineRule="auto"/>
        <w:jc w:val="center"/>
        <w:rPr>
          <w:rFonts w:ascii="Times New Roman" w:hAnsi="Times New Roman" w:cs="Times New Roman"/>
          <w:iCs/>
          <w:sz w:val="28"/>
          <w:szCs w:val="28"/>
        </w:rPr>
      </w:pPr>
    </w:p>
    <w:p w14:paraId="59CE989A" w14:textId="77777777" w:rsidR="00CC7CC4" w:rsidRDefault="00CB2BF4" w:rsidP="00CC7CC4">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Each sample was </w:t>
      </w:r>
      <w:r w:rsidR="00D02FCB" w:rsidRPr="00194630">
        <w:rPr>
          <w:rFonts w:ascii="Times New Roman" w:hAnsi="Times New Roman" w:cs="Times New Roman"/>
          <w:iCs/>
          <w:sz w:val="28"/>
          <w:szCs w:val="28"/>
        </w:rPr>
        <w:t>tested in eight independent amplification runs. The mean quantification cycle (Cq) values for each sample are shown as vertical bars, while error bars represent the standard deviation across the repeated runs. The y-axis indicates the Cq value (0–35 cycles), while the x-axis denotes the analysed BAL fluid samples (Samples 1–8)</w:t>
      </w:r>
      <w:r>
        <w:rPr>
          <w:rFonts w:ascii="Times New Roman" w:hAnsi="Times New Roman" w:cs="Times New Roman"/>
          <w:iCs/>
          <w:sz w:val="28"/>
          <w:szCs w:val="28"/>
        </w:rPr>
        <w:t xml:space="preserve">. </w:t>
      </w:r>
      <w:r w:rsidR="004A73EC" w:rsidRPr="00194630">
        <w:rPr>
          <w:rFonts w:ascii="Times New Roman" w:hAnsi="Times New Roman" w:cs="Times New Roman"/>
          <w:iCs/>
          <w:sz w:val="28"/>
          <w:szCs w:val="28"/>
        </w:rPr>
        <w:t>Eight times repeated PCR runs with eight intact biological samples, with the highest viral load</w:t>
      </w:r>
      <w:r w:rsidR="002876CA" w:rsidRPr="00194630">
        <w:rPr>
          <w:rFonts w:ascii="Times New Roman" w:hAnsi="Times New Roman" w:cs="Times New Roman"/>
          <w:iCs/>
          <w:sz w:val="28"/>
          <w:szCs w:val="28"/>
        </w:rPr>
        <w:t xml:space="preserve"> Cq</w:t>
      </w:r>
      <w:r w:rsidR="004A73EC" w:rsidRPr="00194630">
        <w:rPr>
          <w:rFonts w:ascii="Times New Roman" w:hAnsi="Times New Roman" w:cs="Times New Roman"/>
          <w:iCs/>
          <w:sz w:val="28"/>
          <w:szCs w:val="28"/>
        </w:rPr>
        <w:t>: 17- 28 n=8.</w:t>
      </w:r>
      <w:r w:rsidR="00C71E48" w:rsidRPr="00194630">
        <w:rPr>
          <w:rFonts w:ascii="Times New Roman" w:hAnsi="Times New Roman" w:cs="Times New Roman"/>
          <w:iCs/>
          <w:sz w:val="28"/>
          <w:szCs w:val="28"/>
        </w:rPr>
        <w:t xml:space="preserve"> </w:t>
      </w:r>
    </w:p>
    <w:p w14:paraId="6DC92C95" w14:textId="42ABF479" w:rsidR="0063680F" w:rsidRPr="00194630" w:rsidRDefault="00A278C2" w:rsidP="00CC7CC4">
      <w:pPr>
        <w:spacing w:after="0" w:line="240" w:lineRule="auto"/>
        <w:ind w:firstLine="709"/>
        <w:jc w:val="both"/>
        <w:rPr>
          <w:rFonts w:ascii="Times New Roman" w:hAnsi="Times New Roman" w:cs="Times New Roman"/>
          <w:iCs/>
          <w:sz w:val="28"/>
          <w:szCs w:val="28"/>
        </w:rPr>
      </w:pPr>
      <w:r w:rsidRPr="00194630">
        <w:rPr>
          <w:rFonts w:ascii="Times New Roman" w:hAnsi="Times New Roman" w:cs="Times New Roman"/>
          <w:iCs/>
          <w:sz w:val="28"/>
          <w:szCs w:val="28"/>
        </w:rPr>
        <w:t xml:space="preserve">The data were analysed using an ANOVA test.  </w:t>
      </w:r>
      <w:r w:rsidR="00C71E48" w:rsidRPr="00194630">
        <w:rPr>
          <w:rFonts w:ascii="Times New Roman" w:hAnsi="Times New Roman" w:cs="Times New Roman"/>
          <w:iCs/>
          <w:sz w:val="28"/>
          <w:szCs w:val="28"/>
        </w:rPr>
        <w:t>F-critical (from F-distribution table, </w:t>
      </w:r>
      <w:proofErr w:type="spellStart"/>
      <w:r w:rsidR="00C71E48" w:rsidRPr="00194630">
        <w:rPr>
          <w:rFonts w:ascii="Times New Roman" w:hAnsi="Times New Roman" w:cs="Times New Roman"/>
          <w:iCs/>
          <w:sz w:val="28"/>
          <w:szCs w:val="28"/>
        </w:rPr>
        <w:t>dfB</w:t>
      </w:r>
      <w:proofErr w:type="spellEnd"/>
      <w:r w:rsidR="00C71E48" w:rsidRPr="00194630">
        <w:rPr>
          <w:rFonts w:ascii="Times New Roman" w:hAnsi="Times New Roman" w:cs="Times New Roman"/>
          <w:iCs/>
          <w:sz w:val="28"/>
          <w:szCs w:val="28"/>
        </w:rPr>
        <w:t>=7</w:t>
      </w:r>
      <w:r w:rsidR="00C71E48" w:rsidRPr="00194630">
        <w:rPr>
          <w:rFonts w:ascii="Times New Roman" w:hAnsi="Times New Roman" w:cs="Times New Roman"/>
          <w:i/>
          <w:iCs/>
          <w:sz w:val="28"/>
          <w:szCs w:val="28"/>
        </w:rPr>
        <w:t>dfB</w:t>
      </w:r>
      <w:r w:rsidR="00C71E48" w:rsidRPr="00194630">
        <w:rPr>
          <w:rFonts w:ascii="Times New Roman" w:hAnsi="Times New Roman" w:cs="Times New Roman"/>
          <w:iCs/>
          <w:sz w:val="28"/>
          <w:szCs w:val="28"/>
        </w:rPr>
        <w:t>​=7, </w:t>
      </w:r>
      <w:proofErr w:type="spellStart"/>
      <w:r w:rsidR="00C71E48" w:rsidRPr="00194630">
        <w:rPr>
          <w:rFonts w:ascii="Times New Roman" w:hAnsi="Times New Roman" w:cs="Times New Roman"/>
          <w:iCs/>
          <w:sz w:val="28"/>
          <w:szCs w:val="28"/>
        </w:rPr>
        <w:t>dfW</w:t>
      </w:r>
      <w:proofErr w:type="spellEnd"/>
      <w:r w:rsidR="00C71E48" w:rsidRPr="00194630">
        <w:rPr>
          <w:rFonts w:ascii="Times New Roman" w:hAnsi="Times New Roman" w:cs="Times New Roman"/>
          <w:iCs/>
          <w:sz w:val="28"/>
          <w:szCs w:val="28"/>
        </w:rPr>
        <w:t>=56</w:t>
      </w:r>
      <w:r w:rsidR="00C71E48" w:rsidRPr="00194630">
        <w:rPr>
          <w:rFonts w:ascii="Times New Roman" w:hAnsi="Times New Roman" w:cs="Times New Roman"/>
          <w:i/>
          <w:iCs/>
          <w:sz w:val="28"/>
          <w:szCs w:val="28"/>
        </w:rPr>
        <w:t>dfW</w:t>
      </w:r>
      <w:r w:rsidR="00C71E48" w:rsidRPr="00194630">
        <w:rPr>
          <w:rFonts w:ascii="Times New Roman" w:hAnsi="Times New Roman" w:cs="Times New Roman"/>
          <w:iCs/>
          <w:sz w:val="28"/>
          <w:szCs w:val="28"/>
        </w:rPr>
        <w:t>​=56, α=0.05</w:t>
      </w:r>
      <w:r w:rsidR="00C71E48" w:rsidRPr="00194630">
        <w:rPr>
          <w:rFonts w:ascii="Times New Roman" w:hAnsi="Times New Roman" w:cs="Times New Roman"/>
          <w:i/>
          <w:iCs/>
          <w:sz w:val="28"/>
          <w:szCs w:val="28"/>
        </w:rPr>
        <w:t>α</w:t>
      </w:r>
      <w:r w:rsidR="00C71E48" w:rsidRPr="00194630">
        <w:rPr>
          <w:rFonts w:ascii="Times New Roman" w:hAnsi="Times New Roman" w:cs="Times New Roman"/>
          <w:iCs/>
          <w:sz w:val="28"/>
          <w:szCs w:val="28"/>
        </w:rPr>
        <w:t>=0.05): 2.17Calculated F-value: 288.23, p-value: &lt;0.0001&lt;0.0001 (extremely significant).</w:t>
      </w:r>
      <w:r w:rsidR="0063680F" w:rsidRPr="00194630">
        <w:rPr>
          <w:rFonts w:ascii="Times New Roman" w:hAnsi="Times New Roman" w:cs="Times New Roman"/>
          <w:iCs/>
          <w:sz w:val="28"/>
          <w:szCs w:val="28"/>
        </w:rPr>
        <w:t xml:space="preserve"> The clear stratification of Cq values among samples highlights differences in viral or nucleic acid load within BAL fluid, which may reflect biological variability or differences in disease severity. The consistency of results across eight runs supports the </w:t>
      </w:r>
      <w:r w:rsidR="00A57D64">
        <w:rPr>
          <w:rFonts w:ascii="Times New Roman" w:hAnsi="Times New Roman" w:cs="Times New Roman"/>
          <w:iCs/>
          <w:sz w:val="28"/>
          <w:szCs w:val="28"/>
        </w:rPr>
        <w:t>assay's reliability</w:t>
      </w:r>
      <w:r w:rsidR="0063680F" w:rsidRPr="00194630">
        <w:rPr>
          <w:rFonts w:ascii="Times New Roman" w:hAnsi="Times New Roman" w:cs="Times New Roman"/>
          <w:iCs/>
          <w:sz w:val="28"/>
          <w:szCs w:val="28"/>
        </w:rPr>
        <w:t xml:space="preserve"> and validates its application in both diagnostic and experimental settings.</w:t>
      </w:r>
    </w:p>
    <w:p w14:paraId="7DF2B8D9" w14:textId="56ABBD97" w:rsidR="00390CE3" w:rsidRDefault="00F15D7C" w:rsidP="00194630">
      <w:pPr>
        <w:spacing w:line="240" w:lineRule="auto"/>
        <w:ind w:firstLine="708"/>
        <w:jc w:val="both"/>
        <w:rPr>
          <w:rFonts w:ascii="Times New Roman" w:hAnsi="Times New Roman" w:cs="Times New Roman"/>
          <w:iCs/>
          <w:sz w:val="28"/>
          <w:szCs w:val="28"/>
        </w:rPr>
      </w:pPr>
      <w:r w:rsidRPr="00194630">
        <w:rPr>
          <w:rFonts w:ascii="Times New Roman" w:hAnsi="Times New Roman" w:cs="Times New Roman"/>
          <w:iCs/>
          <w:sz w:val="28"/>
          <w:szCs w:val="28"/>
        </w:rPr>
        <w:t>“</w:t>
      </w:r>
      <w:r w:rsidR="0063680F" w:rsidRPr="00194630">
        <w:rPr>
          <w:rFonts w:ascii="Times New Roman" w:hAnsi="Times New Roman" w:cs="Times New Roman"/>
          <w:iCs/>
          <w:sz w:val="28"/>
          <w:szCs w:val="28"/>
        </w:rPr>
        <w:t>Table 7</w:t>
      </w:r>
      <w:r w:rsidRPr="00194630">
        <w:rPr>
          <w:rFonts w:ascii="Times New Roman" w:hAnsi="Times New Roman" w:cs="Times New Roman"/>
          <w:iCs/>
          <w:sz w:val="28"/>
          <w:szCs w:val="28"/>
        </w:rPr>
        <w:t>”</w:t>
      </w:r>
      <w:r w:rsidR="0063680F" w:rsidRPr="00194630">
        <w:rPr>
          <w:rFonts w:ascii="Times New Roman" w:hAnsi="Times New Roman" w:cs="Times New Roman"/>
          <w:iCs/>
          <w:sz w:val="28"/>
          <w:szCs w:val="28"/>
        </w:rPr>
        <w:t xml:space="preserve"> presents the results of one-way ANOVA calculations for eight bronchoalveolar lavage (BAL) fluid samples that were previously identified as the most promising based on their consistent viral RNA amplification and purity profiles. Each sample was tested in </w:t>
      </w:r>
      <w:r w:rsidR="00A57D64">
        <w:rPr>
          <w:rFonts w:ascii="Times New Roman" w:hAnsi="Times New Roman" w:cs="Times New Roman"/>
          <w:iCs/>
          <w:sz w:val="28"/>
          <w:szCs w:val="28"/>
        </w:rPr>
        <w:t>8 replicates (n = 8), and the mean Cq values (x̄ᵢ) and</w:t>
      </w:r>
      <w:r w:rsidR="0063680F" w:rsidRPr="00194630">
        <w:rPr>
          <w:rFonts w:ascii="Times New Roman" w:hAnsi="Times New Roman" w:cs="Times New Roman"/>
          <w:iCs/>
          <w:sz w:val="28"/>
          <w:szCs w:val="28"/>
        </w:rPr>
        <w:t xml:space="preserve"> their corresponding variances (sᵢ²) are provided. The overall mean Cq value across all samples was 22.40, indicating moderate target abundance in the dataset.</w:t>
      </w:r>
    </w:p>
    <w:p w14:paraId="4ACED32E" w14:textId="77777777" w:rsidR="00DE5223" w:rsidRDefault="00DE5223" w:rsidP="00194630">
      <w:pPr>
        <w:spacing w:line="240" w:lineRule="auto"/>
        <w:ind w:firstLine="708"/>
        <w:jc w:val="both"/>
        <w:rPr>
          <w:rFonts w:ascii="Times New Roman" w:hAnsi="Times New Roman" w:cs="Times New Roman"/>
          <w:iCs/>
          <w:sz w:val="28"/>
          <w:szCs w:val="28"/>
        </w:rPr>
      </w:pPr>
    </w:p>
    <w:p w14:paraId="3C75AF55" w14:textId="77777777" w:rsidR="00DE5223" w:rsidRPr="002C7733" w:rsidRDefault="00DE5223" w:rsidP="00194630">
      <w:pPr>
        <w:spacing w:line="240" w:lineRule="auto"/>
        <w:ind w:firstLine="708"/>
        <w:jc w:val="both"/>
        <w:rPr>
          <w:rFonts w:ascii="Times New Roman" w:hAnsi="Times New Roman" w:cs="Times New Roman"/>
          <w:iCs/>
          <w:sz w:val="28"/>
          <w:szCs w:val="28"/>
          <w:lang w:val="en-US"/>
        </w:rPr>
      </w:pPr>
    </w:p>
    <w:p w14:paraId="11D8FD67" w14:textId="77777777" w:rsidR="00141391" w:rsidRPr="002C7733" w:rsidRDefault="00141391" w:rsidP="00194630">
      <w:pPr>
        <w:spacing w:line="240" w:lineRule="auto"/>
        <w:ind w:firstLine="708"/>
        <w:jc w:val="both"/>
        <w:rPr>
          <w:rFonts w:ascii="Times New Roman" w:hAnsi="Times New Roman" w:cs="Times New Roman"/>
          <w:iCs/>
          <w:sz w:val="28"/>
          <w:szCs w:val="28"/>
          <w:lang w:val="en-US"/>
        </w:rPr>
      </w:pPr>
    </w:p>
    <w:p w14:paraId="2ACD0F77" w14:textId="77777777" w:rsidR="00DE5223" w:rsidRPr="00194630" w:rsidRDefault="00DE5223" w:rsidP="00194630">
      <w:pPr>
        <w:spacing w:line="240" w:lineRule="auto"/>
        <w:ind w:firstLine="708"/>
        <w:jc w:val="both"/>
        <w:rPr>
          <w:rFonts w:ascii="Times New Roman" w:hAnsi="Times New Roman" w:cs="Times New Roman"/>
          <w:iCs/>
          <w:sz w:val="28"/>
          <w:szCs w:val="28"/>
        </w:rPr>
      </w:pPr>
    </w:p>
    <w:p w14:paraId="1403FCC4" w14:textId="5C748A83" w:rsidR="004A73EC" w:rsidRDefault="004A73EC" w:rsidP="00E05714">
      <w:pPr>
        <w:spacing w:after="0" w:line="240" w:lineRule="auto"/>
        <w:ind w:firstLine="708"/>
        <w:jc w:val="both"/>
        <w:rPr>
          <w:rFonts w:ascii="Times New Roman" w:hAnsi="Times New Roman" w:cs="Times New Roman"/>
          <w:iCs/>
          <w:sz w:val="28"/>
          <w:szCs w:val="28"/>
        </w:rPr>
      </w:pPr>
      <w:r w:rsidRPr="00194630">
        <w:rPr>
          <w:rFonts w:ascii="Times New Roman" w:hAnsi="Times New Roman" w:cs="Times New Roman"/>
          <w:iCs/>
          <w:sz w:val="28"/>
          <w:szCs w:val="28"/>
        </w:rPr>
        <w:lastRenderedPageBreak/>
        <w:t xml:space="preserve">Table </w:t>
      </w:r>
      <w:r w:rsidR="00533082" w:rsidRPr="00194630">
        <w:rPr>
          <w:rFonts w:ascii="Times New Roman" w:hAnsi="Times New Roman" w:cs="Times New Roman"/>
          <w:iCs/>
          <w:sz w:val="28"/>
          <w:szCs w:val="28"/>
        </w:rPr>
        <w:t>7</w:t>
      </w:r>
      <w:r w:rsidRPr="00194630">
        <w:rPr>
          <w:rFonts w:ascii="Times New Roman" w:hAnsi="Times New Roman" w:cs="Times New Roman"/>
          <w:iCs/>
          <w:sz w:val="28"/>
          <w:szCs w:val="28"/>
        </w:rPr>
        <w:t xml:space="preserve"> </w:t>
      </w:r>
      <w:r w:rsidR="00795185" w:rsidRPr="00194630">
        <w:rPr>
          <w:rFonts w:ascii="Times New Roman" w:hAnsi="Times New Roman" w:cs="Times New Roman"/>
          <w:iCs/>
          <w:sz w:val="28"/>
          <w:szCs w:val="28"/>
        </w:rPr>
        <w:t>– ANOVA</w:t>
      </w:r>
      <w:r w:rsidRPr="00194630">
        <w:rPr>
          <w:rFonts w:ascii="Times New Roman" w:hAnsi="Times New Roman" w:cs="Times New Roman"/>
          <w:iCs/>
          <w:sz w:val="28"/>
          <w:szCs w:val="28"/>
        </w:rPr>
        <w:t xml:space="preserve"> Calculations of the eight most promising selected samples, overall mean (</w:t>
      </w:r>
      <w:proofErr w:type="spellStart"/>
      <w:r w:rsidRPr="00194630">
        <w:rPr>
          <w:rFonts w:ascii="Times New Roman" w:hAnsi="Times New Roman" w:cs="Times New Roman"/>
          <w:iCs/>
          <w:sz w:val="28"/>
          <w:szCs w:val="28"/>
        </w:rPr>
        <w:t>xˉ</w:t>
      </w:r>
      <w:r w:rsidRPr="00194630">
        <w:rPr>
          <w:rFonts w:ascii="Times New Roman" w:hAnsi="Times New Roman" w:cs="Times New Roman"/>
          <w:i/>
          <w:iCs/>
          <w:sz w:val="28"/>
          <w:szCs w:val="28"/>
        </w:rPr>
        <w:t>x</w:t>
      </w:r>
      <w:proofErr w:type="spellEnd"/>
      <w:r w:rsidRPr="00194630">
        <w:rPr>
          <w:rFonts w:ascii="Times New Roman" w:hAnsi="Times New Roman" w:cs="Times New Roman"/>
          <w:iCs/>
          <w:sz w:val="28"/>
          <w:szCs w:val="28"/>
        </w:rPr>
        <w:t>ˉ): 22.40</w:t>
      </w:r>
    </w:p>
    <w:p w14:paraId="3D3AFF23" w14:textId="77777777" w:rsidR="00CE19C8" w:rsidRPr="00194630" w:rsidRDefault="00CE19C8" w:rsidP="00E05714">
      <w:pPr>
        <w:spacing w:after="0" w:line="240" w:lineRule="auto"/>
        <w:ind w:firstLine="708"/>
        <w:jc w:val="both"/>
        <w:rPr>
          <w:rFonts w:ascii="Times New Roman" w:hAnsi="Times New Roman" w:cs="Times New Roman"/>
          <w:i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70"/>
        <w:gridCol w:w="727"/>
        <w:gridCol w:w="1587"/>
        <w:gridCol w:w="1947"/>
      </w:tblGrid>
      <w:tr w:rsidR="004A73EC" w:rsidRPr="00112F95" w14:paraId="06581FB5" w14:textId="77777777" w:rsidTr="00204EB1">
        <w:trPr>
          <w:tblHeader/>
          <w:jc w:val="center"/>
        </w:trPr>
        <w:tc>
          <w:tcPr>
            <w:tcW w:w="0" w:type="auto"/>
            <w:tcMar>
              <w:top w:w="150" w:type="dxa"/>
              <w:left w:w="0" w:type="dxa"/>
              <w:bottom w:w="150" w:type="dxa"/>
              <w:right w:w="150" w:type="dxa"/>
            </w:tcMar>
            <w:vAlign w:val="center"/>
            <w:hideMark/>
          </w:tcPr>
          <w:p w14:paraId="68255AB1" w14:textId="77777777" w:rsidR="004A73EC" w:rsidRPr="00112F95" w:rsidRDefault="004A73EC" w:rsidP="00E05714">
            <w:pPr>
              <w:spacing w:after="0" w:line="240" w:lineRule="auto"/>
              <w:jc w:val="center"/>
              <w:rPr>
                <w:rFonts w:ascii="Times New Roman" w:hAnsi="Times New Roman" w:cs="Times New Roman"/>
                <w:iCs/>
                <w:sz w:val="24"/>
                <w:szCs w:val="24"/>
              </w:rPr>
            </w:pPr>
            <w:r w:rsidRPr="00112F95">
              <w:rPr>
                <w:rFonts w:ascii="Times New Roman" w:hAnsi="Times New Roman" w:cs="Times New Roman"/>
                <w:iCs/>
                <w:sz w:val="24"/>
                <w:szCs w:val="24"/>
              </w:rPr>
              <w:t>Sample</w:t>
            </w:r>
          </w:p>
        </w:tc>
        <w:tc>
          <w:tcPr>
            <w:tcW w:w="0" w:type="auto"/>
            <w:tcMar>
              <w:top w:w="150" w:type="dxa"/>
              <w:left w:w="150" w:type="dxa"/>
              <w:bottom w:w="150" w:type="dxa"/>
              <w:right w:w="150" w:type="dxa"/>
            </w:tcMar>
            <w:vAlign w:val="center"/>
            <w:hideMark/>
          </w:tcPr>
          <w:p w14:paraId="7C152D43" w14:textId="555B1385" w:rsidR="004A73EC" w:rsidRPr="00112F95" w:rsidRDefault="00005A5C" w:rsidP="00E05714">
            <w:pPr>
              <w:spacing w:after="0" w:line="240" w:lineRule="auto"/>
              <w:jc w:val="center"/>
              <w:rPr>
                <w:rFonts w:ascii="Times New Roman" w:hAnsi="Times New Roman" w:cs="Times New Roman"/>
                <w:iCs/>
                <w:sz w:val="24"/>
                <w:szCs w:val="24"/>
              </w:rPr>
            </w:pPr>
            <w:r w:rsidRPr="00112F95">
              <w:rPr>
                <w:rFonts w:ascii="Times New Roman" w:hAnsi="Times New Roman" w:cs="Times New Roman"/>
                <w:iCs/>
                <w:sz w:val="24"/>
                <w:szCs w:val="24"/>
              </w:rPr>
              <w:t>Ni</w:t>
            </w:r>
            <w:r w:rsidRPr="00112F95">
              <w:rPr>
                <w:rFonts w:ascii="Times New Roman" w:hAnsi="Times New Roman" w:cs="Times New Roman"/>
                <w:i/>
                <w:iCs/>
                <w:sz w:val="24"/>
                <w:szCs w:val="24"/>
              </w:rPr>
              <w:t>ni</w:t>
            </w:r>
            <w:r w:rsidRPr="00112F95">
              <w:rPr>
                <w:rFonts w:ascii="Times New Roman" w:hAnsi="Times New Roman" w:cs="Times New Roman"/>
                <w:iCs/>
                <w:sz w:val="24"/>
                <w:szCs w:val="24"/>
              </w:rPr>
              <w:t>​</w:t>
            </w:r>
          </w:p>
        </w:tc>
        <w:tc>
          <w:tcPr>
            <w:tcW w:w="0" w:type="auto"/>
            <w:tcMar>
              <w:top w:w="150" w:type="dxa"/>
              <w:left w:w="150" w:type="dxa"/>
              <w:bottom w:w="150" w:type="dxa"/>
              <w:right w:w="150" w:type="dxa"/>
            </w:tcMar>
            <w:vAlign w:val="center"/>
            <w:hideMark/>
          </w:tcPr>
          <w:p w14:paraId="537651EF" w14:textId="77777777" w:rsidR="004A73EC" w:rsidRPr="00112F95" w:rsidRDefault="004A73EC" w:rsidP="00E05714">
            <w:pPr>
              <w:spacing w:after="0" w:line="240" w:lineRule="auto"/>
              <w:jc w:val="center"/>
              <w:rPr>
                <w:rFonts w:ascii="Times New Roman" w:hAnsi="Times New Roman" w:cs="Times New Roman"/>
                <w:iCs/>
                <w:sz w:val="24"/>
                <w:szCs w:val="24"/>
              </w:rPr>
            </w:pPr>
            <w:r w:rsidRPr="00112F95">
              <w:rPr>
                <w:rFonts w:ascii="Times New Roman" w:hAnsi="Times New Roman" w:cs="Times New Roman"/>
                <w:iCs/>
                <w:sz w:val="24"/>
                <w:szCs w:val="24"/>
              </w:rPr>
              <w:t>Mean (</w:t>
            </w:r>
            <w:proofErr w:type="spellStart"/>
            <w:r w:rsidRPr="00112F95">
              <w:rPr>
                <w:rFonts w:ascii="Times New Roman" w:hAnsi="Times New Roman" w:cs="Times New Roman"/>
                <w:iCs/>
                <w:sz w:val="24"/>
                <w:szCs w:val="24"/>
              </w:rPr>
              <w:t>xˉi</w:t>
            </w:r>
            <w:r w:rsidRPr="00112F95">
              <w:rPr>
                <w:rFonts w:ascii="Times New Roman" w:hAnsi="Times New Roman" w:cs="Times New Roman"/>
                <w:i/>
                <w:iCs/>
                <w:sz w:val="24"/>
                <w:szCs w:val="24"/>
              </w:rPr>
              <w:t>x</w:t>
            </w:r>
            <w:r w:rsidRPr="00112F95">
              <w:rPr>
                <w:rFonts w:ascii="Times New Roman" w:hAnsi="Times New Roman" w:cs="Times New Roman"/>
                <w:iCs/>
                <w:sz w:val="24"/>
                <w:szCs w:val="24"/>
              </w:rPr>
              <w:t>ˉ</w:t>
            </w:r>
            <w:r w:rsidRPr="00112F95">
              <w:rPr>
                <w:rFonts w:ascii="Times New Roman" w:hAnsi="Times New Roman" w:cs="Times New Roman"/>
                <w:i/>
                <w:iCs/>
                <w:sz w:val="24"/>
                <w:szCs w:val="24"/>
              </w:rPr>
              <w:t>i</w:t>
            </w:r>
            <w:proofErr w:type="spellEnd"/>
            <w:r w:rsidRPr="00112F95">
              <w:rPr>
                <w:rFonts w:ascii="Times New Roman" w:hAnsi="Times New Roman" w:cs="Times New Roman"/>
                <w:iCs/>
                <w:sz w:val="24"/>
                <w:szCs w:val="24"/>
              </w:rPr>
              <w:t>​)</w:t>
            </w:r>
          </w:p>
        </w:tc>
        <w:tc>
          <w:tcPr>
            <w:tcW w:w="0" w:type="auto"/>
            <w:tcMar>
              <w:top w:w="150" w:type="dxa"/>
              <w:left w:w="150" w:type="dxa"/>
              <w:bottom w:w="150" w:type="dxa"/>
              <w:right w:w="150" w:type="dxa"/>
            </w:tcMar>
            <w:vAlign w:val="center"/>
            <w:hideMark/>
          </w:tcPr>
          <w:p w14:paraId="7D321B8E" w14:textId="77777777" w:rsidR="004A73EC" w:rsidRPr="00112F95" w:rsidRDefault="004A73EC" w:rsidP="00E05714">
            <w:pPr>
              <w:spacing w:after="0" w:line="240" w:lineRule="auto"/>
              <w:jc w:val="center"/>
              <w:rPr>
                <w:rFonts w:ascii="Times New Roman" w:hAnsi="Times New Roman" w:cs="Times New Roman"/>
                <w:iCs/>
                <w:sz w:val="24"/>
                <w:szCs w:val="24"/>
              </w:rPr>
            </w:pPr>
            <w:r w:rsidRPr="00112F95">
              <w:rPr>
                <w:rFonts w:ascii="Times New Roman" w:hAnsi="Times New Roman" w:cs="Times New Roman"/>
                <w:iCs/>
                <w:sz w:val="24"/>
                <w:szCs w:val="24"/>
              </w:rPr>
              <w:t>Variance (si2</w:t>
            </w:r>
            <w:r w:rsidRPr="00112F95">
              <w:rPr>
                <w:rFonts w:ascii="Times New Roman" w:hAnsi="Times New Roman" w:cs="Times New Roman"/>
                <w:i/>
                <w:iCs/>
                <w:sz w:val="24"/>
                <w:szCs w:val="24"/>
              </w:rPr>
              <w:t>si</w:t>
            </w:r>
            <w:r w:rsidRPr="00112F95">
              <w:rPr>
                <w:rFonts w:ascii="Times New Roman" w:hAnsi="Times New Roman" w:cs="Times New Roman"/>
                <w:iCs/>
                <w:sz w:val="24"/>
                <w:szCs w:val="24"/>
              </w:rPr>
              <w:t>2​)</w:t>
            </w:r>
          </w:p>
        </w:tc>
      </w:tr>
      <w:tr w:rsidR="004A73EC" w:rsidRPr="00112F95" w14:paraId="4649028C" w14:textId="77777777" w:rsidTr="00204EB1">
        <w:trPr>
          <w:jc w:val="center"/>
        </w:trPr>
        <w:tc>
          <w:tcPr>
            <w:tcW w:w="0" w:type="auto"/>
            <w:tcMar>
              <w:top w:w="150" w:type="dxa"/>
              <w:left w:w="0" w:type="dxa"/>
              <w:bottom w:w="150" w:type="dxa"/>
              <w:right w:w="150" w:type="dxa"/>
            </w:tcMar>
            <w:vAlign w:val="center"/>
            <w:hideMark/>
          </w:tcPr>
          <w:p w14:paraId="7DC525D0" w14:textId="77777777" w:rsidR="004A73EC" w:rsidRPr="00112F95" w:rsidRDefault="004A73EC" w:rsidP="007F71F2">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1</w:t>
            </w:r>
          </w:p>
        </w:tc>
        <w:tc>
          <w:tcPr>
            <w:tcW w:w="0" w:type="auto"/>
            <w:tcMar>
              <w:top w:w="150" w:type="dxa"/>
              <w:left w:w="150" w:type="dxa"/>
              <w:bottom w:w="150" w:type="dxa"/>
              <w:right w:w="150" w:type="dxa"/>
            </w:tcMar>
            <w:vAlign w:val="center"/>
            <w:hideMark/>
          </w:tcPr>
          <w:p w14:paraId="0F488C35" w14:textId="77777777" w:rsidR="004A73EC" w:rsidRPr="00112F95" w:rsidRDefault="004A73EC" w:rsidP="00A57D64">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8</w:t>
            </w:r>
          </w:p>
        </w:tc>
        <w:tc>
          <w:tcPr>
            <w:tcW w:w="0" w:type="auto"/>
            <w:tcMar>
              <w:top w:w="150" w:type="dxa"/>
              <w:left w:w="150" w:type="dxa"/>
              <w:bottom w:w="150" w:type="dxa"/>
              <w:right w:w="150" w:type="dxa"/>
            </w:tcMar>
            <w:vAlign w:val="center"/>
            <w:hideMark/>
          </w:tcPr>
          <w:p w14:paraId="6D37999A" w14:textId="77777777" w:rsidR="004A73EC" w:rsidRPr="00112F95" w:rsidRDefault="004A73EC" w:rsidP="007F71F2">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17.67</w:t>
            </w:r>
          </w:p>
        </w:tc>
        <w:tc>
          <w:tcPr>
            <w:tcW w:w="0" w:type="auto"/>
            <w:tcMar>
              <w:top w:w="150" w:type="dxa"/>
              <w:left w:w="150" w:type="dxa"/>
              <w:bottom w:w="150" w:type="dxa"/>
              <w:right w:w="150" w:type="dxa"/>
            </w:tcMar>
            <w:vAlign w:val="center"/>
            <w:hideMark/>
          </w:tcPr>
          <w:p w14:paraId="090CACAC" w14:textId="77777777" w:rsidR="004A73EC" w:rsidRPr="00112F95" w:rsidRDefault="004A73EC" w:rsidP="007F71F2">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0.0690</w:t>
            </w:r>
          </w:p>
        </w:tc>
      </w:tr>
      <w:tr w:rsidR="004A73EC" w:rsidRPr="00112F95" w14:paraId="181EA3EC" w14:textId="77777777" w:rsidTr="00204EB1">
        <w:trPr>
          <w:jc w:val="center"/>
        </w:trPr>
        <w:tc>
          <w:tcPr>
            <w:tcW w:w="0" w:type="auto"/>
            <w:tcMar>
              <w:top w:w="150" w:type="dxa"/>
              <w:left w:w="0" w:type="dxa"/>
              <w:bottom w:w="150" w:type="dxa"/>
              <w:right w:w="150" w:type="dxa"/>
            </w:tcMar>
            <w:vAlign w:val="center"/>
            <w:hideMark/>
          </w:tcPr>
          <w:p w14:paraId="79F39A4F" w14:textId="77777777" w:rsidR="004A73EC" w:rsidRPr="00112F95" w:rsidRDefault="004A73EC" w:rsidP="007F71F2">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2</w:t>
            </w:r>
          </w:p>
        </w:tc>
        <w:tc>
          <w:tcPr>
            <w:tcW w:w="0" w:type="auto"/>
            <w:tcMar>
              <w:top w:w="150" w:type="dxa"/>
              <w:left w:w="150" w:type="dxa"/>
              <w:bottom w:w="150" w:type="dxa"/>
              <w:right w:w="150" w:type="dxa"/>
            </w:tcMar>
            <w:vAlign w:val="center"/>
            <w:hideMark/>
          </w:tcPr>
          <w:p w14:paraId="1173C6A8" w14:textId="77777777" w:rsidR="004A73EC" w:rsidRPr="00112F95" w:rsidRDefault="004A73EC" w:rsidP="00A57D64">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8</w:t>
            </w:r>
          </w:p>
        </w:tc>
        <w:tc>
          <w:tcPr>
            <w:tcW w:w="0" w:type="auto"/>
            <w:tcMar>
              <w:top w:w="150" w:type="dxa"/>
              <w:left w:w="150" w:type="dxa"/>
              <w:bottom w:w="150" w:type="dxa"/>
              <w:right w:w="150" w:type="dxa"/>
            </w:tcMar>
            <w:vAlign w:val="center"/>
            <w:hideMark/>
          </w:tcPr>
          <w:p w14:paraId="2198DB8C" w14:textId="77777777" w:rsidR="004A73EC" w:rsidRPr="00112F95" w:rsidRDefault="004A73EC" w:rsidP="007F71F2">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18.96</w:t>
            </w:r>
          </w:p>
        </w:tc>
        <w:tc>
          <w:tcPr>
            <w:tcW w:w="0" w:type="auto"/>
            <w:tcMar>
              <w:top w:w="150" w:type="dxa"/>
              <w:left w:w="150" w:type="dxa"/>
              <w:bottom w:w="150" w:type="dxa"/>
              <w:right w:w="150" w:type="dxa"/>
            </w:tcMar>
            <w:vAlign w:val="center"/>
            <w:hideMark/>
          </w:tcPr>
          <w:p w14:paraId="002B4C66" w14:textId="77777777" w:rsidR="004A73EC" w:rsidRPr="00112F95" w:rsidRDefault="004A73EC" w:rsidP="007F71F2">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1.0291</w:t>
            </w:r>
          </w:p>
        </w:tc>
      </w:tr>
      <w:tr w:rsidR="004A73EC" w:rsidRPr="00112F95" w14:paraId="4ED5720B" w14:textId="77777777" w:rsidTr="00204EB1">
        <w:trPr>
          <w:jc w:val="center"/>
        </w:trPr>
        <w:tc>
          <w:tcPr>
            <w:tcW w:w="0" w:type="auto"/>
            <w:tcMar>
              <w:top w:w="150" w:type="dxa"/>
              <w:left w:w="0" w:type="dxa"/>
              <w:bottom w:w="150" w:type="dxa"/>
              <w:right w:w="150" w:type="dxa"/>
            </w:tcMar>
            <w:vAlign w:val="center"/>
            <w:hideMark/>
          </w:tcPr>
          <w:p w14:paraId="6A83576B" w14:textId="77777777" w:rsidR="004A73EC" w:rsidRPr="00112F95" w:rsidRDefault="004A73EC" w:rsidP="007F71F2">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3</w:t>
            </w:r>
          </w:p>
        </w:tc>
        <w:tc>
          <w:tcPr>
            <w:tcW w:w="0" w:type="auto"/>
            <w:tcMar>
              <w:top w:w="150" w:type="dxa"/>
              <w:left w:w="150" w:type="dxa"/>
              <w:bottom w:w="150" w:type="dxa"/>
              <w:right w:w="150" w:type="dxa"/>
            </w:tcMar>
            <w:vAlign w:val="center"/>
            <w:hideMark/>
          </w:tcPr>
          <w:p w14:paraId="4BBDA567" w14:textId="77777777" w:rsidR="004A73EC" w:rsidRPr="00112F95" w:rsidRDefault="004A73EC" w:rsidP="00A57D64">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8</w:t>
            </w:r>
          </w:p>
        </w:tc>
        <w:tc>
          <w:tcPr>
            <w:tcW w:w="0" w:type="auto"/>
            <w:tcMar>
              <w:top w:w="150" w:type="dxa"/>
              <w:left w:w="150" w:type="dxa"/>
              <w:bottom w:w="150" w:type="dxa"/>
              <w:right w:w="150" w:type="dxa"/>
            </w:tcMar>
            <w:vAlign w:val="center"/>
            <w:hideMark/>
          </w:tcPr>
          <w:p w14:paraId="457F444C" w14:textId="77777777" w:rsidR="004A73EC" w:rsidRPr="00112F95" w:rsidRDefault="004A73EC" w:rsidP="007F71F2">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17.31</w:t>
            </w:r>
          </w:p>
        </w:tc>
        <w:tc>
          <w:tcPr>
            <w:tcW w:w="0" w:type="auto"/>
            <w:tcMar>
              <w:top w:w="150" w:type="dxa"/>
              <w:left w:w="150" w:type="dxa"/>
              <w:bottom w:w="150" w:type="dxa"/>
              <w:right w:w="150" w:type="dxa"/>
            </w:tcMar>
            <w:vAlign w:val="center"/>
            <w:hideMark/>
          </w:tcPr>
          <w:p w14:paraId="3E6BF652" w14:textId="77777777" w:rsidR="004A73EC" w:rsidRPr="00112F95" w:rsidRDefault="004A73EC" w:rsidP="007F71F2">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0.2684</w:t>
            </w:r>
          </w:p>
        </w:tc>
      </w:tr>
      <w:tr w:rsidR="004A73EC" w:rsidRPr="00112F95" w14:paraId="3BD54068" w14:textId="77777777" w:rsidTr="00204EB1">
        <w:trPr>
          <w:jc w:val="center"/>
        </w:trPr>
        <w:tc>
          <w:tcPr>
            <w:tcW w:w="0" w:type="auto"/>
            <w:tcMar>
              <w:top w:w="150" w:type="dxa"/>
              <w:left w:w="0" w:type="dxa"/>
              <w:bottom w:w="150" w:type="dxa"/>
              <w:right w:w="150" w:type="dxa"/>
            </w:tcMar>
            <w:vAlign w:val="center"/>
            <w:hideMark/>
          </w:tcPr>
          <w:p w14:paraId="6D84EA0F" w14:textId="77777777" w:rsidR="004A73EC" w:rsidRPr="00112F95" w:rsidRDefault="004A73EC" w:rsidP="007F71F2">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4</w:t>
            </w:r>
          </w:p>
        </w:tc>
        <w:tc>
          <w:tcPr>
            <w:tcW w:w="0" w:type="auto"/>
            <w:tcMar>
              <w:top w:w="150" w:type="dxa"/>
              <w:left w:w="150" w:type="dxa"/>
              <w:bottom w:w="150" w:type="dxa"/>
              <w:right w:w="150" w:type="dxa"/>
            </w:tcMar>
            <w:vAlign w:val="center"/>
            <w:hideMark/>
          </w:tcPr>
          <w:p w14:paraId="1F142807" w14:textId="77777777" w:rsidR="004A73EC" w:rsidRPr="00112F95" w:rsidRDefault="004A73EC" w:rsidP="00A57D64">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8</w:t>
            </w:r>
          </w:p>
        </w:tc>
        <w:tc>
          <w:tcPr>
            <w:tcW w:w="0" w:type="auto"/>
            <w:tcMar>
              <w:top w:w="150" w:type="dxa"/>
              <w:left w:w="150" w:type="dxa"/>
              <w:bottom w:w="150" w:type="dxa"/>
              <w:right w:w="150" w:type="dxa"/>
            </w:tcMar>
            <w:vAlign w:val="center"/>
            <w:hideMark/>
          </w:tcPr>
          <w:p w14:paraId="635061A4" w14:textId="77777777" w:rsidR="004A73EC" w:rsidRPr="00112F95" w:rsidRDefault="004A73EC" w:rsidP="007F71F2">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22.43</w:t>
            </w:r>
          </w:p>
        </w:tc>
        <w:tc>
          <w:tcPr>
            <w:tcW w:w="0" w:type="auto"/>
            <w:tcMar>
              <w:top w:w="150" w:type="dxa"/>
              <w:left w:w="150" w:type="dxa"/>
              <w:bottom w:w="150" w:type="dxa"/>
              <w:right w:w="150" w:type="dxa"/>
            </w:tcMar>
            <w:vAlign w:val="center"/>
            <w:hideMark/>
          </w:tcPr>
          <w:p w14:paraId="1DBECD43" w14:textId="77777777" w:rsidR="004A73EC" w:rsidRPr="00112F95" w:rsidRDefault="004A73EC" w:rsidP="007F71F2">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2.5701</w:t>
            </w:r>
          </w:p>
        </w:tc>
      </w:tr>
      <w:tr w:rsidR="004A73EC" w:rsidRPr="00112F95" w14:paraId="4A770E68" w14:textId="77777777" w:rsidTr="00204EB1">
        <w:trPr>
          <w:jc w:val="center"/>
        </w:trPr>
        <w:tc>
          <w:tcPr>
            <w:tcW w:w="0" w:type="auto"/>
            <w:tcMar>
              <w:top w:w="150" w:type="dxa"/>
              <w:left w:w="0" w:type="dxa"/>
              <w:bottom w:w="150" w:type="dxa"/>
              <w:right w:w="150" w:type="dxa"/>
            </w:tcMar>
            <w:vAlign w:val="center"/>
            <w:hideMark/>
          </w:tcPr>
          <w:p w14:paraId="7F14B10A" w14:textId="77777777" w:rsidR="004A73EC" w:rsidRPr="00112F95" w:rsidRDefault="004A73EC" w:rsidP="007F71F2">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5</w:t>
            </w:r>
          </w:p>
        </w:tc>
        <w:tc>
          <w:tcPr>
            <w:tcW w:w="0" w:type="auto"/>
            <w:tcMar>
              <w:top w:w="150" w:type="dxa"/>
              <w:left w:w="150" w:type="dxa"/>
              <w:bottom w:w="150" w:type="dxa"/>
              <w:right w:w="150" w:type="dxa"/>
            </w:tcMar>
            <w:vAlign w:val="center"/>
            <w:hideMark/>
          </w:tcPr>
          <w:p w14:paraId="57D8D5FA" w14:textId="77777777" w:rsidR="004A73EC" w:rsidRPr="00112F95" w:rsidRDefault="004A73EC" w:rsidP="00A57D64">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8</w:t>
            </w:r>
          </w:p>
        </w:tc>
        <w:tc>
          <w:tcPr>
            <w:tcW w:w="0" w:type="auto"/>
            <w:tcMar>
              <w:top w:w="150" w:type="dxa"/>
              <w:left w:w="150" w:type="dxa"/>
              <w:bottom w:w="150" w:type="dxa"/>
              <w:right w:w="150" w:type="dxa"/>
            </w:tcMar>
            <w:vAlign w:val="center"/>
            <w:hideMark/>
          </w:tcPr>
          <w:p w14:paraId="3495AFB6" w14:textId="77777777" w:rsidR="004A73EC" w:rsidRPr="00112F95" w:rsidRDefault="004A73EC" w:rsidP="007F71F2">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22.68</w:t>
            </w:r>
          </w:p>
        </w:tc>
        <w:tc>
          <w:tcPr>
            <w:tcW w:w="0" w:type="auto"/>
            <w:tcMar>
              <w:top w:w="150" w:type="dxa"/>
              <w:left w:w="150" w:type="dxa"/>
              <w:bottom w:w="150" w:type="dxa"/>
              <w:right w:w="150" w:type="dxa"/>
            </w:tcMar>
            <w:vAlign w:val="center"/>
            <w:hideMark/>
          </w:tcPr>
          <w:p w14:paraId="6D82B56D" w14:textId="77777777" w:rsidR="004A73EC" w:rsidRPr="00112F95" w:rsidRDefault="004A73EC" w:rsidP="007F71F2">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0.0342</w:t>
            </w:r>
          </w:p>
        </w:tc>
      </w:tr>
      <w:tr w:rsidR="004A73EC" w:rsidRPr="00112F95" w14:paraId="28970E83" w14:textId="77777777" w:rsidTr="00204EB1">
        <w:trPr>
          <w:jc w:val="center"/>
        </w:trPr>
        <w:tc>
          <w:tcPr>
            <w:tcW w:w="0" w:type="auto"/>
            <w:tcMar>
              <w:top w:w="150" w:type="dxa"/>
              <w:left w:w="0" w:type="dxa"/>
              <w:bottom w:w="150" w:type="dxa"/>
              <w:right w:w="150" w:type="dxa"/>
            </w:tcMar>
            <w:vAlign w:val="center"/>
            <w:hideMark/>
          </w:tcPr>
          <w:p w14:paraId="547096B4" w14:textId="77777777" w:rsidR="004A73EC" w:rsidRPr="00112F95" w:rsidRDefault="004A73EC" w:rsidP="007F71F2">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6</w:t>
            </w:r>
          </w:p>
        </w:tc>
        <w:tc>
          <w:tcPr>
            <w:tcW w:w="0" w:type="auto"/>
            <w:tcMar>
              <w:top w:w="150" w:type="dxa"/>
              <w:left w:w="150" w:type="dxa"/>
              <w:bottom w:w="150" w:type="dxa"/>
              <w:right w:w="150" w:type="dxa"/>
            </w:tcMar>
            <w:vAlign w:val="center"/>
            <w:hideMark/>
          </w:tcPr>
          <w:p w14:paraId="7E5258F2" w14:textId="77777777" w:rsidR="004A73EC" w:rsidRPr="00112F95" w:rsidRDefault="004A73EC" w:rsidP="00A57D64">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8</w:t>
            </w:r>
          </w:p>
        </w:tc>
        <w:tc>
          <w:tcPr>
            <w:tcW w:w="0" w:type="auto"/>
            <w:tcMar>
              <w:top w:w="150" w:type="dxa"/>
              <w:left w:w="150" w:type="dxa"/>
              <w:bottom w:w="150" w:type="dxa"/>
              <w:right w:w="150" w:type="dxa"/>
            </w:tcMar>
            <w:vAlign w:val="center"/>
            <w:hideMark/>
          </w:tcPr>
          <w:p w14:paraId="382B28C9" w14:textId="77777777" w:rsidR="004A73EC" w:rsidRPr="00112F95" w:rsidRDefault="004A73EC" w:rsidP="007F71F2">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24.12</w:t>
            </w:r>
          </w:p>
        </w:tc>
        <w:tc>
          <w:tcPr>
            <w:tcW w:w="0" w:type="auto"/>
            <w:tcMar>
              <w:top w:w="150" w:type="dxa"/>
              <w:left w:w="150" w:type="dxa"/>
              <w:bottom w:w="150" w:type="dxa"/>
              <w:right w:w="150" w:type="dxa"/>
            </w:tcMar>
            <w:vAlign w:val="center"/>
            <w:hideMark/>
          </w:tcPr>
          <w:p w14:paraId="6AC87E02" w14:textId="77777777" w:rsidR="004A73EC" w:rsidRPr="00112F95" w:rsidRDefault="004A73EC" w:rsidP="007F71F2">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0.0219</w:t>
            </w:r>
          </w:p>
        </w:tc>
      </w:tr>
      <w:tr w:rsidR="004A73EC" w:rsidRPr="00112F95" w14:paraId="7F51D7DB" w14:textId="77777777" w:rsidTr="00204EB1">
        <w:trPr>
          <w:jc w:val="center"/>
        </w:trPr>
        <w:tc>
          <w:tcPr>
            <w:tcW w:w="0" w:type="auto"/>
            <w:tcMar>
              <w:top w:w="150" w:type="dxa"/>
              <w:left w:w="0" w:type="dxa"/>
              <w:bottom w:w="150" w:type="dxa"/>
              <w:right w:w="150" w:type="dxa"/>
            </w:tcMar>
            <w:vAlign w:val="center"/>
            <w:hideMark/>
          </w:tcPr>
          <w:p w14:paraId="46146DC3" w14:textId="77777777" w:rsidR="004A73EC" w:rsidRPr="00112F95" w:rsidRDefault="004A73EC" w:rsidP="007F71F2">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7</w:t>
            </w:r>
          </w:p>
        </w:tc>
        <w:tc>
          <w:tcPr>
            <w:tcW w:w="0" w:type="auto"/>
            <w:tcMar>
              <w:top w:w="150" w:type="dxa"/>
              <w:left w:w="150" w:type="dxa"/>
              <w:bottom w:w="150" w:type="dxa"/>
              <w:right w:w="150" w:type="dxa"/>
            </w:tcMar>
            <w:vAlign w:val="center"/>
            <w:hideMark/>
          </w:tcPr>
          <w:p w14:paraId="18C3B832" w14:textId="77777777" w:rsidR="004A73EC" w:rsidRPr="00112F95" w:rsidRDefault="004A73EC" w:rsidP="00A57D64">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8</w:t>
            </w:r>
          </w:p>
        </w:tc>
        <w:tc>
          <w:tcPr>
            <w:tcW w:w="0" w:type="auto"/>
            <w:tcMar>
              <w:top w:w="150" w:type="dxa"/>
              <w:left w:w="150" w:type="dxa"/>
              <w:bottom w:w="150" w:type="dxa"/>
              <w:right w:w="150" w:type="dxa"/>
            </w:tcMar>
            <w:vAlign w:val="center"/>
            <w:hideMark/>
          </w:tcPr>
          <w:p w14:paraId="277E0E4A" w14:textId="77777777" w:rsidR="004A73EC" w:rsidRPr="00112F95" w:rsidRDefault="004A73EC" w:rsidP="007F71F2">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28.00</w:t>
            </w:r>
          </w:p>
        </w:tc>
        <w:tc>
          <w:tcPr>
            <w:tcW w:w="0" w:type="auto"/>
            <w:tcMar>
              <w:top w:w="150" w:type="dxa"/>
              <w:left w:w="150" w:type="dxa"/>
              <w:bottom w:w="150" w:type="dxa"/>
              <w:right w:w="150" w:type="dxa"/>
            </w:tcMar>
            <w:vAlign w:val="center"/>
            <w:hideMark/>
          </w:tcPr>
          <w:p w14:paraId="29F6E23C" w14:textId="77777777" w:rsidR="004A73EC" w:rsidRPr="00112F95" w:rsidRDefault="004A73EC" w:rsidP="007F71F2">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0.0000</w:t>
            </w:r>
          </w:p>
        </w:tc>
      </w:tr>
      <w:tr w:rsidR="004A73EC" w:rsidRPr="00112F95" w14:paraId="4A178DCB" w14:textId="77777777" w:rsidTr="00204EB1">
        <w:trPr>
          <w:jc w:val="center"/>
        </w:trPr>
        <w:tc>
          <w:tcPr>
            <w:tcW w:w="0" w:type="auto"/>
            <w:tcMar>
              <w:top w:w="150" w:type="dxa"/>
              <w:left w:w="0" w:type="dxa"/>
              <w:bottom w:w="150" w:type="dxa"/>
              <w:right w:w="150" w:type="dxa"/>
            </w:tcMar>
            <w:vAlign w:val="center"/>
            <w:hideMark/>
          </w:tcPr>
          <w:p w14:paraId="01D2F861" w14:textId="77777777" w:rsidR="004A73EC" w:rsidRPr="00112F95" w:rsidRDefault="004A73EC" w:rsidP="00E05714">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8</w:t>
            </w:r>
          </w:p>
        </w:tc>
        <w:tc>
          <w:tcPr>
            <w:tcW w:w="0" w:type="auto"/>
            <w:tcMar>
              <w:top w:w="150" w:type="dxa"/>
              <w:left w:w="150" w:type="dxa"/>
              <w:bottom w:w="150" w:type="dxa"/>
              <w:right w:w="150" w:type="dxa"/>
            </w:tcMar>
            <w:vAlign w:val="center"/>
            <w:hideMark/>
          </w:tcPr>
          <w:p w14:paraId="158F529E" w14:textId="77777777" w:rsidR="004A73EC" w:rsidRPr="00112F95" w:rsidRDefault="004A73EC" w:rsidP="00E05714">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8</w:t>
            </w:r>
          </w:p>
        </w:tc>
        <w:tc>
          <w:tcPr>
            <w:tcW w:w="0" w:type="auto"/>
            <w:tcMar>
              <w:top w:w="150" w:type="dxa"/>
              <w:left w:w="150" w:type="dxa"/>
              <w:bottom w:w="150" w:type="dxa"/>
              <w:right w:w="150" w:type="dxa"/>
            </w:tcMar>
            <w:vAlign w:val="center"/>
            <w:hideMark/>
          </w:tcPr>
          <w:p w14:paraId="366145C7" w14:textId="77777777" w:rsidR="004A73EC" w:rsidRPr="00112F95" w:rsidRDefault="004A73EC" w:rsidP="00E05714">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28.00</w:t>
            </w:r>
          </w:p>
        </w:tc>
        <w:tc>
          <w:tcPr>
            <w:tcW w:w="0" w:type="auto"/>
            <w:tcMar>
              <w:top w:w="150" w:type="dxa"/>
              <w:left w:w="150" w:type="dxa"/>
              <w:bottom w:w="150" w:type="dxa"/>
              <w:right w:w="150" w:type="dxa"/>
            </w:tcMar>
            <w:vAlign w:val="center"/>
            <w:hideMark/>
          </w:tcPr>
          <w:p w14:paraId="4CBEAD9F" w14:textId="77777777" w:rsidR="004A73EC" w:rsidRPr="00112F95" w:rsidRDefault="004A73EC" w:rsidP="00E05714">
            <w:pPr>
              <w:spacing w:after="0" w:line="240" w:lineRule="auto"/>
              <w:jc w:val="both"/>
              <w:rPr>
                <w:rFonts w:ascii="Times New Roman" w:hAnsi="Times New Roman" w:cs="Times New Roman"/>
                <w:iCs/>
                <w:sz w:val="24"/>
                <w:szCs w:val="24"/>
              </w:rPr>
            </w:pPr>
            <w:r w:rsidRPr="00112F95">
              <w:rPr>
                <w:rFonts w:ascii="Times New Roman" w:hAnsi="Times New Roman" w:cs="Times New Roman"/>
                <w:iCs/>
                <w:sz w:val="24"/>
                <w:szCs w:val="24"/>
              </w:rPr>
              <w:t>0.0000</w:t>
            </w:r>
          </w:p>
        </w:tc>
      </w:tr>
    </w:tbl>
    <w:p w14:paraId="556FC637" w14:textId="77777777" w:rsidR="0063680F" w:rsidRPr="006531C9" w:rsidRDefault="0063680F" w:rsidP="00E05714">
      <w:pPr>
        <w:spacing w:after="0" w:line="240" w:lineRule="auto"/>
        <w:ind w:firstLine="708"/>
        <w:jc w:val="both"/>
        <w:rPr>
          <w:rFonts w:ascii="Times New Roman" w:hAnsi="Times New Roman" w:cs="Times New Roman"/>
          <w:iCs/>
          <w:sz w:val="24"/>
          <w:szCs w:val="24"/>
        </w:rPr>
      </w:pPr>
    </w:p>
    <w:p w14:paraId="64825258" w14:textId="3391E709" w:rsidR="0063680F" w:rsidRPr="00326CAD" w:rsidRDefault="004665D9" w:rsidP="00E05714">
      <w:pPr>
        <w:spacing w:after="0" w:line="240" w:lineRule="auto"/>
        <w:ind w:firstLine="709"/>
        <w:jc w:val="both"/>
        <w:rPr>
          <w:rFonts w:ascii="Times New Roman" w:hAnsi="Times New Roman" w:cs="Times New Roman"/>
          <w:iCs/>
          <w:sz w:val="28"/>
          <w:szCs w:val="28"/>
        </w:rPr>
      </w:pPr>
      <w:r w:rsidRPr="00326CAD">
        <w:rPr>
          <w:rFonts w:ascii="Times New Roman" w:hAnsi="Times New Roman" w:cs="Times New Roman"/>
          <w:iCs/>
          <w:sz w:val="28"/>
          <w:szCs w:val="28"/>
        </w:rPr>
        <w:t xml:space="preserve">The eight isolates were selected from the cohort of previous PCR runs, </w:t>
      </w:r>
      <w:r w:rsidR="00A57D64">
        <w:rPr>
          <w:rFonts w:ascii="Times New Roman" w:hAnsi="Times New Roman" w:cs="Times New Roman"/>
          <w:iCs/>
          <w:sz w:val="28"/>
          <w:szCs w:val="28"/>
        </w:rPr>
        <w:t xml:space="preserve">in which viral RNA quantification and purification </w:t>
      </w:r>
      <w:r w:rsidRPr="00326CAD">
        <w:rPr>
          <w:rFonts w:ascii="Times New Roman" w:hAnsi="Times New Roman" w:cs="Times New Roman"/>
          <w:iCs/>
          <w:sz w:val="28"/>
          <w:szCs w:val="28"/>
        </w:rPr>
        <w:t xml:space="preserve">were satisfactory.  </w:t>
      </w:r>
      <w:r w:rsidR="0063680F" w:rsidRPr="00326CAD">
        <w:rPr>
          <w:rFonts w:ascii="Times New Roman" w:hAnsi="Times New Roman" w:cs="Times New Roman"/>
          <w:iCs/>
          <w:sz w:val="28"/>
          <w:szCs w:val="28"/>
        </w:rPr>
        <w:t xml:space="preserve">The data reveal clear differentiation among sample groups. Samples 1–3 exhibit relatively low mean Cq values (17.3–18.9), consistent with higher concentrations of detectable viral RNA, whereas Samples 4–6 occupy an intermediate range (22.4–24.1), suggesting moderate template quantities. Samples 7 and 8 </w:t>
      </w:r>
      <w:r w:rsidR="00DE5223">
        <w:rPr>
          <w:rFonts w:ascii="Times New Roman" w:hAnsi="Times New Roman" w:cs="Times New Roman"/>
          <w:iCs/>
          <w:sz w:val="28"/>
          <w:szCs w:val="28"/>
        </w:rPr>
        <w:t>exhibit the highest mean Cq values (28.0), indicating</w:t>
      </w:r>
      <w:r w:rsidR="0063680F" w:rsidRPr="00326CAD">
        <w:rPr>
          <w:rFonts w:ascii="Times New Roman" w:hAnsi="Times New Roman" w:cs="Times New Roman"/>
          <w:iCs/>
          <w:sz w:val="28"/>
          <w:szCs w:val="28"/>
        </w:rPr>
        <w:t xml:space="preserve"> low nucleic acid levels near the detection threshold. Variance analysis shows minimal intra-sample variability across most groups, with particularly low variance observed in Samples 5, 6, 7, and 8 (s² ≤ 0.035), reflecting excellent repeatability of qPCR amplification. The slightly elevated variances in Samples 2 (1.03) and 4 (2.57) may reflect modest experimental variation or heterogeneous template distribution, but these differences do not undermine the overall reproducibility of the assay.</w:t>
      </w:r>
    </w:p>
    <w:p w14:paraId="1B49C23A" w14:textId="3D4819F5" w:rsidR="00390CE3" w:rsidRPr="00326CAD" w:rsidRDefault="0063680F" w:rsidP="00326CAD">
      <w:pPr>
        <w:spacing w:after="0" w:line="240" w:lineRule="auto"/>
        <w:ind w:firstLine="709"/>
        <w:jc w:val="both"/>
        <w:rPr>
          <w:rFonts w:ascii="Times New Roman" w:hAnsi="Times New Roman" w:cs="Times New Roman"/>
          <w:iCs/>
          <w:sz w:val="28"/>
          <w:szCs w:val="28"/>
        </w:rPr>
      </w:pPr>
      <w:r w:rsidRPr="00326CAD">
        <w:rPr>
          <w:rFonts w:ascii="Times New Roman" w:hAnsi="Times New Roman" w:cs="Times New Roman"/>
          <w:iCs/>
          <w:sz w:val="28"/>
          <w:szCs w:val="28"/>
        </w:rPr>
        <w:t xml:space="preserve">The </w:t>
      </w:r>
      <w:r w:rsidR="00A57D64">
        <w:rPr>
          <w:rFonts w:ascii="Times New Roman" w:hAnsi="Times New Roman" w:cs="Times New Roman"/>
          <w:iCs/>
          <w:sz w:val="28"/>
          <w:szCs w:val="28"/>
        </w:rPr>
        <w:t xml:space="preserve">ANOVA </w:t>
      </w:r>
      <w:r w:rsidR="004A456A">
        <w:rPr>
          <w:rFonts w:ascii="Times New Roman" w:hAnsi="Times New Roman" w:cs="Times New Roman"/>
          <w:iCs/>
          <w:sz w:val="28"/>
          <w:szCs w:val="28"/>
        </w:rPr>
        <w:t>results indicate that differences in mean Cq values are not attributable to random error but reflect true</w:t>
      </w:r>
      <w:r w:rsidRPr="00326CAD">
        <w:rPr>
          <w:rFonts w:ascii="Times New Roman" w:hAnsi="Times New Roman" w:cs="Times New Roman"/>
          <w:iCs/>
          <w:sz w:val="28"/>
          <w:szCs w:val="28"/>
        </w:rPr>
        <w:t xml:space="preserve"> variation in target RNA abundance between samples. Thus, the presented results validate the methodological precision of the qPCR assay and support the selection of these eight BAL fluid samples as reliable candidates for further molecular or immunological characterisation</w:t>
      </w:r>
      <w:r w:rsidR="0049108C" w:rsidRPr="00326CAD">
        <w:rPr>
          <w:rFonts w:ascii="Times New Roman" w:hAnsi="Times New Roman" w:cs="Times New Roman"/>
          <w:iCs/>
          <w:sz w:val="28"/>
          <w:szCs w:val="28"/>
        </w:rPr>
        <w:t>.</w:t>
      </w:r>
    </w:p>
    <w:p w14:paraId="043B1E93" w14:textId="34F27F3B" w:rsidR="00226539" w:rsidRPr="00326CAD" w:rsidRDefault="00853685" w:rsidP="00326CAD">
      <w:pPr>
        <w:spacing w:after="0" w:line="240" w:lineRule="auto"/>
        <w:jc w:val="both"/>
        <w:rPr>
          <w:rFonts w:ascii="Times New Roman" w:hAnsi="Times New Roman" w:cs="Times New Roman"/>
          <w:i/>
          <w:iCs/>
          <w:sz w:val="28"/>
          <w:szCs w:val="28"/>
        </w:rPr>
      </w:pPr>
      <w:r w:rsidRPr="00326CAD">
        <w:rPr>
          <w:rFonts w:ascii="Times New Roman" w:hAnsi="Times New Roman" w:cs="Times New Roman"/>
          <w:i/>
          <w:iCs/>
          <w:sz w:val="28"/>
          <w:szCs w:val="28"/>
        </w:rPr>
        <w:t xml:space="preserve">Determination of </w:t>
      </w:r>
      <w:r w:rsidR="0015740B" w:rsidRPr="00326CAD">
        <w:rPr>
          <w:rFonts w:ascii="Times New Roman" w:hAnsi="Times New Roman" w:cs="Times New Roman"/>
          <w:i/>
          <w:iCs/>
          <w:sz w:val="28"/>
          <w:szCs w:val="28"/>
        </w:rPr>
        <w:t xml:space="preserve">Morphological Characteristics of </w:t>
      </w:r>
      <w:r w:rsidR="006D0B2F" w:rsidRPr="00326CAD">
        <w:rPr>
          <w:rFonts w:ascii="Times New Roman" w:hAnsi="Times New Roman" w:cs="Times New Roman"/>
          <w:i/>
          <w:iCs/>
          <w:sz w:val="28"/>
          <w:szCs w:val="28"/>
        </w:rPr>
        <w:t>SARS-CoV-2 Viral Strains</w:t>
      </w:r>
    </w:p>
    <w:bookmarkEnd w:id="33"/>
    <w:p w14:paraId="6B10AB37" w14:textId="0C104077" w:rsidR="00226539" w:rsidRPr="00326CAD" w:rsidRDefault="00853685" w:rsidP="00A026D5">
      <w:pPr>
        <w:spacing w:after="0" w:line="240" w:lineRule="auto"/>
        <w:ind w:firstLine="709"/>
        <w:jc w:val="both"/>
        <w:rPr>
          <w:rFonts w:ascii="Times New Roman" w:hAnsi="Times New Roman" w:cs="Times New Roman"/>
          <w:sz w:val="28"/>
          <w:szCs w:val="28"/>
          <w:lang w:val="en-US"/>
        </w:rPr>
      </w:pPr>
      <w:r w:rsidRPr="00326CAD">
        <w:rPr>
          <w:rFonts w:ascii="Times New Roman" w:hAnsi="Times New Roman" w:cs="Times New Roman"/>
          <w:sz w:val="28"/>
          <w:szCs w:val="28"/>
        </w:rPr>
        <w:t xml:space="preserve">To determine and compare morphological characteristics, viral preparations </w:t>
      </w:r>
      <w:r w:rsidR="00A57D64">
        <w:rPr>
          <w:rFonts w:ascii="Times New Roman" w:hAnsi="Times New Roman" w:cs="Times New Roman"/>
          <w:sz w:val="28"/>
          <w:szCs w:val="28"/>
        </w:rPr>
        <w:t>of the SARS-CoV-2 virus from the Wuhan, British, Delta, and Omicron variants were used</w:t>
      </w:r>
      <w:r w:rsidRPr="00326CAD">
        <w:rPr>
          <w:rFonts w:ascii="Times New Roman" w:hAnsi="Times New Roman" w:cs="Times New Roman"/>
          <w:sz w:val="28"/>
          <w:szCs w:val="28"/>
        </w:rPr>
        <w:t xml:space="preserve">. As a result, it was found that virions are spherical, </w:t>
      </w:r>
      <w:r w:rsidR="0015740B" w:rsidRPr="00326CAD">
        <w:rPr>
          <w:rFonts w:ascii="Times New Roman" w:hAnsi="Times New Roman" w:cs="Times New Roman"/>
          <w:sz w:val="28"/>
          <w:szCs w:val="28"/>
        </w:rPr>
        <w:t xml:space="preserve">measuring 115-125 </w:t>
      </w:r>
      <w:proofErr w:type="spellStart"/>
      <w:r w:rsidR="0015740B" w:rsidRPr="00326CAD">
        <w:rPr>
          <w:rFonts w:ascii="Times New Roman" w:hAnsi="Times New Roman" w:cs="Times New Roman"/>
          <w:sz w:val="28"/>
          <w:szCs w:val="28"/>
        </w:rPr>
        <w:t>nanometers</w:t>
      </w:r>
      <w:proofErr w:type="spellEnd"/>
      <w:r w:rsidR="0015740B" w:rsidRPr="00326CAD">
        <w:rPr>
          <w:rFonts w:ascii="Times New Roman" w:hAnsi="Times New Roman" w:cs="Times New Roman"/>
          <w:sz w:val="28"/>
          <w:szCs w:val="28"/>
        </w:rPr>
        <w:t xml:space="preserve"> in diameter, with spikes (surface glycoproteins) approximately 10 </w:t>
      </w:r>
      <w:proofErr w:type="spellStart"/>
      <w:r w:rsidR="0015740B" w:rsidRPr="00326CAD">
        <w:rPr>
          <w:rFonts w:ascii="Times New Roman" w:hAnsi="Times New Roman" w:cs="Times New Roman"/>
          <w:sz w:val="28"/>
          <w:szCs w:val="28"/>
        </w:rPr>
        <w:t>nanometers</w:t>
      </w:r>
      <w:proofErr w:type="spellEnd"/>
      <w:r w:rsidR="0015740B" w:rsidRPr="00326CAD">
        <w:rPr>
          <w:rFonts w:ascii="Times New Roman" w:hAnsi="Times New Roman" w:cs="Times New Roman"/>
          <w:sz w:val="28"/>
          <w:szCs w:val="28"/>
        </w:rPr>
        <w:t xml:space="preserve"> in length</w:t>
      </w:r>
      <w:r w:rsidRPr="00326CAD">
        <w:rPr>
          <w:rFonts w:ascii="Times New Roman" w:hAnsi="Times New Roman" w:cs="Times New Roman"/>
          <w:sz w:val="28"/>
          <w:szCs w:val="28"/>
        </w:rPr>
        <w:t xml:space="preserve">. Electron microscopy of the virus is presented below in Figure </w:t>
      </w:r>
      <w:r w:rsidR="00870AE3" w:rsidRPr="00326CAD">
        <w:rPr>
          <w:rFonts w:ascii="Times New Roman" w:hAnsi="Times New Roman" w:cs="Times New Roman"/>
          <w:sz w:val="28"/>
          <w:szCs w:val="28"/>
        </w:rPr>
        <w:t>2</w:t>
      </w:r>
      <w:r w:rsidR="00782738" w:rsidRPr="00326CAD">
        <w:rPr>
          <w:rFonts w:ascii="Times New Roman" w:hAnsi="Times New Roman" w:cs="Times New Roman"/>
          <w:sz w:val="28"/>
          <w:szCs w:val="28"/>
        </w:rPr>
        <w:t>6</w:t>
      </w:r>
      <w:r w:rsidRPr="00326CAD">
        <w:rPr>
          <w:rFonts w:ascii="Times New Roman" w:hAnsi="Times New Roman" w:cs="Times New Roman"/>
          <w:sz w:val="28"/>
          <w:szCs w:val="28"/>
        </w:rPr>
        <w:t xml:space="preserve"> </w:t>
      </w:r>
      <w:r w:rsidR="00844831" w:rsidRPr="00326CAD">
        <w:rPr>
          <w:rFonts w:ascii="Times New Roman" w:hAnsi="Times New Roman" w:cs="Times New Roman"/>
          <w:sz w:val="28"/>
          <w:szCs w:val="28"/>
        </w:rPr>
        <w:t xml:space="preserve">on a </w:t>
      </w:r>
      <w:r w:rsidRPr="00326CAD">
        <w:rPr>
          <w:rFonts w:ascii="Times New Roman" w:hAnsi="Times New Roman" w:cs="Times New Roman"/>
          <w:sz w:val="28"/>
          <w:szCs w:val="28"/>
        </w:rPr>
        <w:t>100nm scale.</w:t>
      </w:r>
    </w:p>
    <w:p w14:paraId="444DFBFC" w14:textId="77777777" w:rsidR="00535487" w:rsidRPr="00326CAD" w:rsidRDefault="00535487" w:rsidP="00A026D5">
      <w:pPr>
        <w:spacing w:after="0" w:line="240" w:lineRule="auto"/>
        <w:ind w:firstLine="709"/>
        <w:jc w:val="both"/>
        <w:rPr>
          <w:rFonts w:ascii="Times New Roman" w:hAnsi="Times New Roman" w:cs="Times New Roman"/>
          <w:sz w:val="28"/>
          <w:szCs w:val="28"/>
          <w:lang w:val="en-US"/>
        </w:rPr>
      </w:pPr>
    </w:p>
    <w:p w14:paraId="7985578F" w14:textId="77777777" w:rsidR="00226539" w:rsidRPr="00326CAD" w:rsidRDefault="00853685" w:rsidP="00213494">
      <w:pPr>
        <w:spacing w:line="240" w:lineRule="auto"/>
        <w:jc w:val="center"/>
        <w:rPr>
          <w:rFonts w:ascii="Times New Roman" w:hAnsi="Times New Roman" w:cs="Times New Roman"/>
          <w:sz w:val="28"/>
          <w:szCs w:val="28"/>
        </w:rPr>
      </w:pPr>
      <w:r w:rsidRPr="00326CAD">
        <w:rPr>
          <w:rFonts w:ascii="Times New Roman" w:hAnsi="Times New Roman" w:cs="Times New Roman"/>
          <w:noProof/>
          <w:color w:val="000000"/>
          <w:sz w:val="28"/>
          <w:szCs w:val="28"/>
        </w:rPr>
        <w:drawing>
          <wp:inline distT="0" distB="0" distL="0" distR="0" wp14:anchorId="3FF5253A" wp14:editId="0322E3FD">
            <wp:extent cx="3741041" cy="268941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a:picLocks noChangeAspect="1" noChangeArrowheads="1"/>
                    </pic:cNvPicPr>
                  </pic:nvPicPr>
                  <pic:blipFill>
                    <a:blip r:embed="rId55">
                      <a:extLst>
                        <a:ext uri="{28A0092B-C50C-407E-A947-70E740481C1C}">
                          <a14:useLocalDpi xmlns:a14="http://schemas.microsoft.com/office/drawing/2010/main" val="0"/>
                        </a:ext>
                      </a:extLst>
                    </a:blip>
                    <a:srcRect l="13080" t="16321" r="10202" b="2850"/>
                    <a:stretch>
                      <a:fillRect/>
                    </a:stretch>
                  </pic:blipFill>
                  <pic:spPr>
                    <a:xfrm>
                      <a:off x="0" y="0"/>
                      <a:ext cx="3756208" cy="2700316"/>
                    </a:xfrm>
                    <a:prstGeom prst="rect">
                      <a:avLst/>
                    </a:prstGeom>
                    <a:noFill/>
                    <a:ln>
                      <a:noFill/>
                    </a:ln>
                  </pic:spPr>
                </pic:pic>
              </a:graphicData>
            </a:graphic>
          </wp:inline>
        </w:drawing>
      </w:r>
      <w:r w:rsidRPr="00326CAD">
        <w:rPr>
          <w:rFonts w:ascii="Times New Roman" w:hAnsi="Times New Roman" w:cs="Times New Roman"/>
          <w:noProof/>
          <w:sz w:val="28"/>
          <w:szCs w:val="28"/>
        </w:rPr>
        <w:drawing>
          <wp:inline distT="0" distB="0" distL="0" distR="0" wp14:anchorId="72CE50E0" wp14:editId="33ADAD46">
            <wp:extent cx="1862444" cy="2686050"/>
            <wp:effectExtent l="0" t="0" r="5080" b="0"/>
            <wp:docPr id="94078418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784189" name="Рисунок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1881259" cy="2713186"/>
                    </a:xfrm>
                    <a:prstGeom prst="rect">
                      <a:avLst/>
                    </a:prstGeom>
                    <a:noFill/>
                  </pic:spPr>
                </pic:pic>
              </a:graphicData>
            </a:graphic>
          </wp:inline>
        </w:drawing>
      </w:r>
    </w:p>
    <w:p w14:paraId="33FC0E28" w14:textId="31770737" w:rsidR="000C1370" w:rsidRPr="00326CAD" w:rsidRDefault="00853685" w:rsidP="00A026D5">
      <w:pPr>
        <w:spacing w:after="0" w:line="240" w:lineRule="auto"/>
        <w:jc w:val="center"/>
        <w:rPr>
          <w:rFonts w:ascii="Times New Roman" w:hAnsi="Times New Roman" w:cs="Times New Roman"/>
          <w:sz w:val="28"/>
          <w:szCs w:val="28"/>
        </w:rPr>
      </w:pPr>
      <w:r w:rsidRPr="00326CAD">
        <w:rPr>
          <w:rFonts w:ascii="Times New Roman" w:hAnsi="Times New Roman" w:cs="Times New Roman"/>
          <w:iCs/>
          <w:sz w:val="28"/>
          <w:szCs w:val="28"/>
        </w:rPr>
        <w:t xml:space="preserve">Figure </w:t>
      </w:r>
      <w:r w:rsidR="00140396" w:rsidRPr="00326CAD">
        <w:rPr>
          <w:rFonts w:ascii="Times New Roman" w:hAnsi="Times New Roman" w:cs="Times New Roman"/>
          <w:iCs/>
          <w:sz w:val="28"/>
          <w:szCs w:val="28"/>
        </w:rPr>
        <w:t>2</w:t>
      </w:r>
      <w:r w:rsidR="00EB2B94" w:rsidRPr="00326CAD">
        <w:rPr>
          <w:rFonts w:ascii="Times New Roman" w:hAnsi="Times New Roman" w:cs="Times New Roman"/>
          <w:iCs/>
          <w:sz w:val="28"/>
          <w:szCs w:val="28"/>
        </w:rPr>
        <w:t>6</w:t>
      </w:r>
      <w:r w:rsidR="0055347E" w:rsidRPr="00326CAD">
        <w:rPr>
          <w:rFonts w:ascii="Times New Roman" w:hAnsi="Times New Roman" w:cs="Times New Roman"/>
          <w:iCs/>
          <w:sz w:val="28"/>
          <w:szCs w:val="28"/>
        </w:rPr>
        <w:t xml:space="preserve"> </w:t>
      </w:r>
      <w:r w:rsidR="00007313" w:rsidRPr="00326CAD">
        <w:rPr>
          <w:rFonts w:ascii="Times New Roman" w:hAnsi="Times New Roman" w:cs="Times New Roman"/>
          <w:iCs/>
          <w:sz w:val="28"/>
          <w:szCs w:val="28"/>
        </w:rPr>
        <w:t>–</w:t>
      </w:r>
      <w:r w:rsidRPr="00326CAD">
        <w:rPr>
          <w:rFonts w:ascii="Times New Roman" w:hAnsi="Times New Roman" w:cs="Times New Roman"/>
          <w:sz w:val="28"/>
          <w:szCs w:val="28"/>
        </w:rPr>
        <w:t xml:space="preserve"> Electron microscopy of the SARS-COV-2 virus. U</w:t>
      </w:r>
      <w:r w:rsidR="00442224" w:rsidRPr="00326CAD">
        <w:rPr>
          <w:rFonts w:ascii="Times New Roman" w:hAnsi="Times New Roman" w:cs="Times New Roman"/>
          <w:sz w:val="28"/>
          <w:szCs w:val="28"/>
        </w:rPr>
        <w:t>V</w:t>
      </w:r>
      <w:r w:rsidRPr="00326CAD">
        <w:rPr>
          <w:rFonts w:ascii="Times New Roman" w:hAnsi="Times New Roman" w:cs="Times New Roman"/>
          <w:sz w:val="28"/>
          <w:szCs w:val="28"/>
        </w:rPr>
        <w:t xml:space="preserve">. 120,000, on </w:t>
      </w:r>
      <w:r w:rsidR="006D0B2F" w:rsidRPr="00326CAD">
        <w:rPr>
          <w:rFonts w:ascii="Times New Roman" w:hAnsi="Times New Roman" w:cs="Times New Roman"/>
          <w:sz w:val="28"/>
          <w:szCs w:val="28"/>
        </w:rPr>
        <w:t>a microscope</w:t>
      </w:r>
      <w:r w:rsidR="0016253D" w:rsidRPr="00326CAD">
        <w:rPr>
          <w:rFonts w:ascii="Times New Roman" w:hAnsi="Times New Roman" w:cs="Times New Roman"/>
          <w:sz w:val="28"/>
          <w:szCs w:val="28"/>
        </w:rPr>
        <w:t xml:space="preserve"> of 8 successfully isolated</w:t>
      </w:r>
      <w:r w:rsidR="00C55597" w:rsidRPr="00326CAD">
        <w:rPr>
          <w:rFonts w:ascii="Times New Roman" w:hAnsi="Times New Roman" w:cs="Times New Roman"/>
          <w:sz w:val="28"/>
          <w:szCs w:val="28"/>
        </w:rPr>
        <w:t xml:space="preserve"> </w:t>
      </w:r>
      <w:r w:rsidR="0016253D" w:rsidRPr="00326CAD">
        <w:rPr>
          <w:rFonts w:ascii="Times New Roman" w:hAnsi="Times New Roman" w:cs="Times New Roman"/>
          <w:sz w:val="28"/>
          <w:szCs w:val="28"/>
        </w:rPr>
        <w:t xml:space="preserve">SARS-CoV-2/human/KAZ/B1.1/2021 strain. </w:t>
      </w:r>
      <w:r w:rsidR="006D0B2F" w:rsidRPr="00326CAD">
        <w:rPr>
          <w:rFonts w:ascii="Times New Roman" w:hAnsi="Times New Roman" w:cs="Times New Roman"/>
          <w:sz w:val="28"/>
          <w:szCs w:val="28"/>
        </w:rPr>
        <w:t xml:space="preserve"> (</w:t>
      </w:r>
      <w:proofErr w:type="spellStart"/>
      <w:r w:rsidR="006D0B2F" w:rsidRPr="00326CAD">
        <w:rPr>
          <w:rFonts w:ascii="Times New Roman" w:hAnsi="Times New Roman" w:cs="Times New Roman"/>
          <w:sz w:val="28"/>
          <w:szCs w:val="28"/>
        </w:rPr>
        <w:t>Jeol</w:t>
      </w:r>
      <w:proofErr w:type="spellEnd"/>
      <w:r w:rsidR="006D0B2F" w:rsidRPr="00326CAD">
        <w:rPr>
          <w:rFonts w:ascii="Times New Roman" w:hAnsi="Times New Roman" w:cs="Times New Roman"/>
          <w:sz w:val="28"/>
          <w:szCs w:val="28"/>
        </w:rPr>
        <w:t xml:space="preserve"> JEM-100 XC, </w:t>
      </w:r>
      <w:r w:rsidRPr="00326CAD">
        <w:rPr>
          <w:rFonts w:ascii="Times New Roman" w:hAnsi="Times New Roman" w:cs="Times New Roman"/>
          <w:sz w:val="28"/>
          <w:szCs w:val="28"/>
        </w:rPr>
        <w:t xml:space="preserve">provided by </w:t>
      </w:r>
      <w:proofErr w:type="spellStart"/>
      <w:r w:rsidRPr="00326CAD">
        <w:rPr>
          <w:rFonts w:ascii="Times New Roman" w:hAnsi="Times New Roman" w:cs="Times New Roman"/>
          <w:b/>
          <w:bCs/>
          <w:sz w:val="28"/>
          <w:szCs w:val="28"/>
        </w:rPr>
        <w:t>Kozhabergenov</w:t>
      </w:r>
      <w:proofErr w:type="spellEnd"/>
      <w:r w:rsidRPr="00326CAD">
        <w:rPr>
          <w:rFonts w:ascii="Times New Roman" w:hAnsi="Times New Roman" w:cs="Times New Roman"/>
          <w:b/>
          <w:bCs/>
          <w:sz w:val="28"/>
          <w:szCs w:val="28"/>
        </w:rPr>
        <w:t xml:space="preserve"> N.S.</w:t>
      </w:r>
      <w:r w:rsidRPr="00326CAD">
        <w:rPr>
          <w:rFonts w:ascii="Times New Roman" w:hAnsi="Times New Roman" w:cs="Times New Roman"/>
          <w:sz w:val="28"/>
          <w:szCs w:val="28"/>
        </w:rPr>
        <w:t>)</w:t>
      </w:r>
      <w:r w:rsidR="0016253D" w:rsidRPr="00326CAD">
        <w:rPr>
          <w:rFonts w:ascii="Times New Roman" w:hAnsi="Times New Roman" w:cs="Times New Roman"/>
          <w:sz w:val="28"/>
          <w:szCs w:val="28"/>
        </w:rPr>
        <w:t xml:space="preserve"> </w:t>
      </w:r>
      <w:r w:rsidR="00536593" w:rsidRPr="00326CAD">
        <w:rPr>
          <w:rFonts w:ascii="Times New Roman" w:hAnsi="Times New Roman" w:cs="Times New Roman"/>
          <w:sz w:val="28"/>
          <w:szCs w:val="28"/>
        </w:rPr>
        <w:t xml:space="preserve"> [115</w:t>
      </w:r>
      <w:r w:rsidR="00D02FCB" w:rsidRPr="00326CAD">
        <w:rPr>
          <w:rFonts w:ascii="Times New Roman" w:hAnsi="Times New Roman" w:cs="Times New Roman"/>
          <w:sz w:val="28"/>
          <w:szCs w:val="28"/>
        </w:rPr>
        <w:t>,126</w:t>
      </w:r>
      <w:r w:rsidR="00536593" w:rsidRPr="00326CAD">
        <w:rPr>
          <w:rFonts w:ascii="Times New Roman" w:hAnsi="Times New Roman" w:cs="Times New Roman"/>
          <w:sz w:val="28"/>
          <w:szCs w:val="28"/>
        </w:rPr>
        <w:t>]</w:t>
      </w:r>
    </w:p>
    <w:p w14:paraId="00AE9D2F" w14:textId="77777777" w:rsidR="00364CF1" w:rsidRPr="00326CAD" w:rsidRDefault="00364CF1" w:rsidP="00A026D5">
      <w:pPr>
        <w:spacing w:after="0" w:line="240" w:lineRule="auto"/>
        <w:jc w:val="center"/>
        <w:rPr>
          <w:rFonts w:ascii="Times New Roman" w:hAnsi="Times New Roman" w:cs="Times New Roman"/>
          <w:sz w:val="28"/>
          <w:szCs w:val="28"/>
        </w:rPr>
      </w:pPr>
    </w:p>
    <w:p w14:paraId="3633B8A7" w14:textId="3AA91761" w:rsidR="00364CF1" w:rsidRPr="00326CAD" w:rsidRDefault="0058304B" w:rsidP="00A026D5">
      <w:pPr>
        <w:spacing w:after="0" w:line="240" w:lineRule="auto"/>
        <w:ind w:firstLine="709"/>
        <w:jc w:val="both"/>
        <w:rPr>
          <w:rFonts w:ascii="Times New Roman" w:hAnsi="Times New Roman" w:cs="Times New Roman"/>
          <w:sz w:val="28"/>
          <w:szCs w:val="28"/>
        </w:rPr>
      </w:pPr>
      <w:r w:rsidRPr="00326CAD">
        <w:rPr>
          <w:rFonts w:ascii="Times New Roman" w:hAnsi="Times New Roman" w:cs="Times New Roman"/>
          <w:sz w:val="28"/>
          <w:szCs w:val="28"/>
        </w:rPr>
        <w:t xml:space="preserve">As a result, it was found that virions are spherical, </w:t>
      </w:r>
      <w:r w:rsidR="006D0B2F" w:rsidRPr="00326CAD">
        <w:rPr>
          <w:rFonts w:ascii="Times New Roman" w:hAnsi="Times New Roman" w:cs="Times New Roman"/>
          <w:sz w:val="28"/>
          <w:szCs w:val="28"/>
        </w:rPr>
        <w:t xml:space="preserve">measuring 115-125 </w:t>
      </w:r>
      <w:proofErr w:type="spellStart"/>
      <w:r w:rsidR="006D0B2F" w:rsidRPr="00326CAD">
        <w:rPr>
          <w:rFonts w:ascii="Times New Roman" w:hAnsi="Times New Roman" w:cs="Times New Roman"/>
          <w:sz w:val="28"/>
          <w:szCs w:val="28"/>
        </w:rPr>
        <w:t>nanometers</w:t>
      </w:r>
      <w:proofErr w:type="spellEnd"/>
      <w:r w:rsidR="006D0B2F" w:rsidRPr="00326CAD">
        <w:rPr>
          <w:rFonts w:ascii="Times New Roman" w:hAnsi="Times New Roman" w:cs="Times New Roman"/>
          <w:sz w:val="28"/>
          <w:szCs w:val="28"/>
        </w:rPr>
        <w:t xml:space="preserve"> in diameter, with spikes (surface glycoproteins) approximately 10 </w:t>
      </w:r>
      <w:proofErr w:type="spellStart"/>
      <w:r w:rsidR="006D0B2F" w:rsidRPr="00326CAD">
        <w:rPr>
          <w:rFonts w:ascii="Times New Roman" w:hAnsi="Times New Roman" w:cs="Times New Roman"/>
          <w:sz w:val="28"/>
          <w:szCs w:val="28"/>
        </w:rPr>
        <w:t>nanometers</w:t>
      </w:r>
      <w:proofErr w:type="spellEnd"/>
      <w:r w:rsidR="006D0B2F" w:rsidRPr="00326CAD">
        <w:rPr>
          <w:rFonts w:ascii="Times New Roman" w:hAnsi="Times New Roman" w:cs="Times New Roman"/>
          <w:sz w:val="28"/>
          <w:szCs w:val="28"/>
        </w:rPr>
        <w:t xml:space="preserve"> in length</w:t>
      </w:r>
      <w:r w:rsidRPr="00326CAD">
        <w:rPr>
          <w:rFonts w:ascii="Times New Roman" w:hAnsi="Times New Roman" w:cs="Times New Roman"/>
          <w:sz w:val="28"/>
          <w:szCs w:val="28"/>
        </w:rPr>
        <w:t xml:space="preserve">. Electron microscopy of the virus is presented below in Figure </w:t>
      </w:r>
      <w:r w:rsidR="00D81D14" w:rsidRPr="00326CAD">
        <w:rPr>
          <w:rFonts w:ascii="Times New Roman" w:hAnsi="Times New Roman" w:cs="Times New Roman"/>
          <w:sz w:val="28"/>
          <w:szCs w:val="28"/>
        </w:rPr>
        <w:t>2</w:t>
      </w:r>
      <w:r w:rsidRPr="00326CAD">
        <w:rPr>
          <w:rFonts w:ascii="Times New Roman" w:hAnsi="Times New Roman" w:cs="Times New Roman"/>
          <w:sz w:val="28"/>
          <w:szCs w:val="28"/>
        </w:rPr>
        <w:t>6 on a 100nm scale.</w:t>
      </w:r>
      <w:r w:rsidR="009A3EEE" w:rsidRPr="00326CAD">
        <w:rPr>
          <w:rFonts w:ascii="Times New Roman" w:hAnsi="Times New Roman" w:cs="Times New Roman"/>
          <w:sz w:val="28"/>
          <w:szCs w:val="28"/>
        </w:rPr>
        <w:t xml:space="preserve"> </w:t>
      </w:r>
      <w:r w:rsidR="00331FFB" w:rsidRPr="00326CAD">
        <w:rPr>
          <w:rFonts w:ascii="Times New Roman" w:hAnsi="Times New Roman" w:cs="Times New Roman"/>
          <w:sz w:val="28"/>
          <w:szCs w:val="28"/>
        </w:rPr>
        <w:t>Counting</w:t>
      </w:r>
      <w:r w:rsidR="009A3EEE" w:rsidRPr="00326CAD">
        <w:rPr>
          <w:rFonts w:ascii="Times New Roman" w:hAnsi="Times New Roman" w:cs="Times New Roman"/>
          <w:sz w:val="28"/>
          <w:szCs w:val="28"/>
        </w:rPr>
        <w:t xml:space="preserve"> </w:t>
      </w:r>
      <w:r w:rsidR="00A57D64">
        <w:rPr>
          <w:rFonts w:ascii="Times New Roman" w:hAnsi="Times New Roman" w:cs="Times New Roman"/>
          <w:sz w:val="28"/>
          <w:szCs w:val="28"/>
        </w:rPr>
        <w:t>intact viral particles via Electron microscopy, the viral load is extrapolated to</w:t>
      </w:r>
      <w:r w:rsidR="00331FFB" w:rsidRPr="00326CAD">
        <w:rPr>
          <w:rFonts w:ascii="Times New Roman" w:hAnsi="Times New Roman" w:cs="Times New Roman"/>
          <w:sz w:val="28"/>
          <w:szCs w:val="28"/>
        </w:rPr>
        <w:t xml:space="preserve"> particles per </w:t>
      </w:r>
      <w:r w:rsidR="00171D36" w:rsidRPr="00326CAD">
        <w:rPr>
          <w:rFonts w:ascii="Times New Roman" w:hAnsi="Times New Roman" w:cs="Times New Roman"/>
          <w:sz w:val="28"/>
          <w:szCs w:val="28"/>
        </w:rPr>
        <w:t xml:space="preserve">millilitre (e.g., particles/mL) based on the </w:t>
      </w:r>
      <w:r w:rsidR="00331FFB" w:rsidRPr="00326CAD">
        <w:rPr>
          <w:rFonts w:ascii="Times New Roman" w:hAnsi="Times New Roman" w:cs="Times New Roman"/>
          <w:sz w:val="28"/>
          <w:szCs w:val="28"/>
        </w:rPr>
        <w:t>counted volume.</w:t>
      </w:r>
      <w:r w:rsidR="00D81D14" w:rsidRPr="00326CAD">
        <w:rPr>
          <w:rFonts w:ascii="Times New Roman" w:eastAsia="Times New Roman" w:hAnsi="Times New Roman" w:cs="Times New Roman"/>
          <w:b/>
          <w:bCs/>
          <w:sz w:val="28"/>
          <w:szCs w:val="28"/>
        </w:rPr>
        <w:t xml:space="preserve"> </w:t>
      </w:r>
      <w:r w:rsidR="00D81D14" w:rsidRPr="00326CAD">
        <w:rPr>
          <w:rFonts w:ascii="Times New Roman" w:hAnsi="Times New Roman" w:cs="Times New Roman"/>
          <w:sz w:val="28"/>
          <w:szCs w:val="28"/>
        </w:rPr>
        <w:t>Shape: The virions have a spherical or slightly ellipsoidal shape.</w:t>
      </w:r>
      <w:r w:rsidR="006162A7" w:rsidRPr="00326CAD">
        <w:rPr>
          <w:rFonts w:ascii="Times New Roman" w:hAnsi="Times New Roman" w:cs="Times New Roman"/>
          <w:sz w:val="28"/>
          <w:szCs w:val="28"/>
        </w:rPr>
        <w:t xml:space="preserve"> </w:t>
      </w:r>
      <w:r w:rsidR="00D81D14" w:rsidRPr="00326CAD">
        <w:rPr>
          <w:rFonts w:ascii="Times New Roman" w:hAnsi="Times New Roman" w:cs="Times New Roman"/>
          <w:sz w:val="28"/>
          <w:szCs w:val="28"/>
        </w:rPr>
        <w:t xml:space="preserve">The </w:t>
      </w:r>
      <w:r w:rsidR="00A57D64">
        <w:rPr>
          <w:rFonts w:ascii="Times New Roman" w:hAnsi="Times New Roman" w:cs="Times New Roman"/>
          <w:sz w:val="28"/>
          <w:szCs w:val="28"/>
        </w:rPr>
        <w:t>virion diameter is approximately 80–120 nm, corresponding</w:t>
      </w:r>
      <w:r w:rsidR="00D81D14" w:rsidRPr="00326CAD">
        <w:rPr>
          <w:rFonts w:ascii="Times New Roman" w:hAnsi="Times New Roman" w:cs="Times New Roman"/>
          <w:sz w:val="28"/>
          <w:szCs w:val="28"/>
        </w:rPr>
        <w:t xml:space="preserve"> to the scale shown in the image (100 nm indicated).</w:t>
      </w:r>
      <w:r w:rsidR="006162A7" w:rsidRPr="00326CAD">
        <w:rPr>
          <w:rFonts w:ascii="Times New Roman" w:hAnsi="Times New Roman" w:cs="Times New Roman"/>
          <w:sz w:val="28"/>
          <w:szCs w:val="28"/>
        </w:rPr>
        <w:t xml:space="preserve"> </w:t>
      </w:r>
      <w:r w:rsidR="00D81D14" w:rsidRPr="00326CAD">
        <w:rPr>
          <w:rFonts w:ascii="Times New Roman" w:hAnsi="Times New Roman" w:cs="Times New Roman"/>
          <w:sz w:val="28"/>
          <w:szCs w:val="28"/>
        </w:rPr>
        <w:t>Surface:</w:t>
      </w:r>
      <w:r w:rsidR="006162A7" w:rsidRPr="00326CAD">
        <w:rPr>
          <w:rFonts w:ascii="Times New Roman" w:hAnsi="Times New Roman" w:cs="Times New Roman"/>
          <w:sz w:val="28"/>
          <w:szCs w:val="28"/>
        </w:rPr>
        <w:t xml:space="preserve"> </w:t>
      </w:r>
      <w:r w:rsidR="00D81D14" w:rsidRPr="00326CAD">
        <w:rPr>
          <w:rFonts w:ascii="Times New Roman" w:hAnsi="Times New Roman" w:cs="Times New Roman"/>
          <w:sz w:val="28"/>
          <w:szCs w:val="28"/>
        </w:rPr>
        <w:t xml:space="preserve">The surface of the viral particles displays characteristic spike-like projections (spike proteins, or S proteins), which form a crown-like structure — hence the name of the </w:t>
      </w:r>
      <w:r w:rsidR="00D81D14" w:rsidRPr="00326CAD">
        <w:rPr>
          <w:rFonts w:ascii="Times New Roman" w:hAnsi="Times New Roman" w:cs="Times New Roman"/>
          <w:i/>
          <w:iCs/>
          <w:sz w:val="28"/>
          <w:szCs w:val="28"/>
        </w:rPr>
        <w:t>Coronaviridae</w:t>
      </w:r>
      <w:r w:rsidR="00D81D14" w:rsidRPr="00326CAD">
        <w:rPr>
          <w:rFonts w:ascii="Times New Roman" w:hAnsi="Times New Roman" w:cs="Times New Roman"/>
          <w:sz w:val="28"/>
          <w:szCs w:val="28"/>
        </w:rPr>
        <w:t xml:space="preserve"> family.</w:t>
      </w:r>
      <w:r w:rsidR="006162A7" w:rsidRPr="00326CAD">
        <w:rPr>
          <w:rFonts w:ascii="Times New Roman" w:hAnsi="Times New Roman" w:cs="Times New Roman"/>
          <w:sz w:val="28"/>
          <w:szCs w:val="28"/>
        </w:rPr>
        <w:t xml:space="preserve"> </w:t>
      </w:r>
      <w:bookmarkStart w:id="34" w:name="_Hlk170050399"/>
      <w:bookmarkStart w:id="35" w:name="_Hlk170065985"/>
      <w:bookmarkStart w:id="36" w:name="_Hlk187747653"/>
    </w:p>
    <w:p w14:paraId="258FB750" w14:textId="77777777" w:rsidR="00364CF1" w:rsidRPr="00326CAD" w:rsidRDefault="00364CF1" w:rsidP="00326CAD">
      <w:pPr>
        <w:spacing w:after="0" w:line="240" w:lineRule="auto"/>
        <w:jc w:val="both"/>
        <w:rPr>
          <w:rFonts w:ascii="Times New Roman" w:hAnsi="Times New Roman" w:cs="Times New Roman"/>
          <w:sz w:val="28"/>
          <w:szCs w:val="28"/>
        </w:rPr>
      </w:pPr>
    </w:p>
    <w:p w14:paraId="50A3547E" w14:textId="0FB017EE" w:rsidR="000C1370" w:rsidRPr="00DE5223" w:rsidRDefault="00D40198" w:rsidP="00DE5223">
      <w:pPr>
        <w:pStyle w:val="af1"/>
        <w:numPr>
          <w:ilvl w:val="1"/>
          <w:numId w:val="73"/>
        </w:numPr>
        <w:spacing w:after="0" w:line="240" w:lineRule="auto"/>
        <w:jc w:val="both"/>
        <w:rPr>
          <w:rFonts w:ascii="Times New Roman" w:hAnsi="Times New Roman" w:cs="Times New Roman"/>
          <w:b/>
          <w:bCs/>
          <w:sz w:val="28"/>
          <w:szCs w:val="28"/>
        </w:rPr>
      </w:pPr>
      <w:r w:rsidRPr="00DE5223">
        <w:rPr>
          <w:rFonts w:ascii="Times New Roman" w:hAnsi="Times New Roman" w:cs="Times New Roman"/>
          <w:b/>
          <w:bCs/>
          <w:sz w:val="28"/>
          <w:szCs w:val="28"/>
        </w:rPr>
        <w:t xml:space="preserve">Antiviral drug cytotoxicity assays </w:t>
      </w:r>
    </w:p>
    <w:p w14:paraId="4C9B60DE" w14:textId="02E5B6F7" w:rsidR="00B16933" w:rsidRDefault="00B16933" w:rsidP="00B16933">
      <w:pPr>
        <w:spacing w:after="0" w:line="240" w:lineRule="auto"/>
        <w:ind w:left="426" w:firstLine="425"/>
        <w:jc w:val="both"/>
        <w:rPr>
          <w:rFonts w:ascii="Times New Roman" w:hAnsi="Times New Roman" w:cs="Times New Roman"/>
          <w:sz w:val="28"/>
          <w:szCs w:val="28"/>
        </w:rPr>
      </w:pPr>
      <w:r>
        <w:rPr>
          <w:rFonts w:ascii="Times New Roman" w:hAnsi="Times New Roman" w:cs="Times New Roman"/>
          <w:sz w:val="28"/>
          <w:szCs w:val="28"/>
        </w:rPr>
        <w:t>All four drugs were started from their stock concentrations; all but dexamethasone showed the absence of any degradational processes during testing. In contrast, the higher the concentration, the denser the monolayer became.</w:t>
      </w:r>
    </w:p>
    <w:p w14:paraId="3F577A51" w14:textId="77777777" w:rsidR="00A57D64" w:rsidRPr="00B16933" w:rsidRDefault="00A57D64" w:rsidP="00B16933">
      <w:pPr>
        <w:spacing w:after="0" w:line="240" w:lineRule="auto"/>
        <w:ind w:left="426" w:firstLine="425"/>
        <w:jc w:val="both"/>
        <w:rPr>
          <w:rFonts w:ascii="Times New Roman" w:hAnsi="Times New Roman" w:cs="Times New Roman"/>
          <w:sz w:val="28"/>
          <w:szCs w:val="28"/>
        </w:rPr>
      </w:pPr>
    </w:p>
    <w:p w14:paraId="65A3EDD5" w14:textId="70F90B5F" w:rsidR="000C1370" w:rsidRPr="00326CAD" w:rsidRDefault="00D40198" w:rsidP="0065497C">
      <w:pPr>
        <w:spacing w:after="0" w:line="240" w:lineRule="auto"/>
        <w:ind w:left="426" w:firstLine="283"/>
        <w:jc w:val="both"/>
        <w:rPr>
          <w:rFonts w:ascii="Times New Roman" w:hAnsi="Times New Roman" w:cs="Times New Roman"/>
          <w:b/>
          <w:bCs/>
          <w:sz w:val="28"/>
          <w:szCs w:val="28"/>
        </w:rPr>
      </w:pPr>
      <w:r w:rsidRPr="00326CAD">
        <w:rPr>
          <w:rFonts w:ascii="Times New Roman" w:hAnsi="Times New Roman" w:cs="Times New Roman"/>
          <w:b/>
          <w:bCs/>
          <w:sz w:val="28"/>
          <w:szCs w:val="28"/>
        </w:rPr>
        <w:t>3.</w:t>
      </w:r>
      <w:r w:rsidR="00E041F0" w:rsidRPr="00326CAD">
        <w:rPr>
          <w:rFonts w:ascii="Times New Roman" w:hAnsi="Times New Roman" w:cs="Times New Roman"/>
          <w:b/>
          <w:bCs/>
          <w:sz w:val="28"/>
          <w:szCs w:val="28"/>
          <w:lang w:val="en-US"/>
        </w:rPr>
        <w:t>3</w:t>
      </w:r>
      <w:r w:rsidRPr="00326CAD">
        <w:rPr>
          <w:rFonts w:ascii="Times New Roman" w:hAnsi="Times New Roman" w:cs="Times New Roman"/>
          <w:b/>
          <w:bCs/>
          <w:sz w:val="28"/>
          <w:szCs w:val="28"/>
        </w:rPr>
        <w:t xml:space="preserve">.1 </w:t>
      </w:r>
      <w:r w:rsidR="00853685" w:rsidRPr="00326CAD">
        <w:rPr>
          <w:rFonts w:ascii="Times New Roman" w:hAnsi="Times New Roman" w:cs="Times New Roman"/>
          <w:b/>
          <w:bCs/>
          <w:sz w:val="28"/>
          <w:szCs w:val="28"/>
        </w:rPr>
        <w:t xml:space="preserve">Determination of cytotoxicity of drugs for cell culture (CCK8) </w:t>
      </w:r>
    </w:p>
    <w:bookmarkEnd w:id="34"/>
    <w:bookmarkEnd w:id="35"/>
    <w:bookmarkEnd w:id="36"/>
    <w:p w14:paraId="69551B6C" w14:textId="0EA8ABAA" w:rsidR="00892C7E" w:rsidRPr="0065497C" w:rsidRDefault="00853685" w:rsidP="0065497C">
      <w:pPr>
        <w:spacing w:after="0" w:line="240" w:lineRule="auto"/>
        <w:ind w:firstLine="708"/>
        <w:jc w:val="both"/>
        <w:rPr>
          <w:rFonts w:ascii="Times New Roman" w:hAnsi="Times New Roman" w:cs="Times New Roman"/>
          <w:sz w:val="28"/>
          <w:szCs w:val="28"/>
          <w:lang w:val="en-US"/>
        </w:rPr>
      </w:pPr>
      <w:r w:rsidRPr="00326CAD">
        <w:rPr>
          <w:rFonts w:ascii="Times New Roman" w:hAnsi="Times New Roman" w:cs="Times New Roman"/>
          <w:sz w:val="28"/>
          <w:szCs w:val="28"/>
        </w:rPr>
        <w:t>Dexamethasone (</w:t>
      </w:r>
      <w:r w:rsidR="00852704" w:rsidRPr="00326CAD">
        <w:rPr>
          <w:rFonts w:ascii="Times New Roman" w:hAnsi="Times New Roman" w:cs="Times New Roman"/>
          <w:sz w:val="28"/>
          <w:szCs w:val="28"/>
        </w:rPr>
        <w:t>a hormone), Ribavirin (a purine analogue), Tenvir (a purine analogue), and Fabiflu (a purine analogue) were chosen to study their antiviral activity against the SARS-CoV-2</w:t>
      </w:r>
      <w:r w:rsidRPr="00326CAD">
        <w:rPr>
          <w:rFonts w:ascii="Times New Roman" w:hAnsi="Times New Roman" w:cs="Times New Roman"/>
          <w:sz w:val="28"/>
          <w:szCs w:val="28"/>
        </w:rPr>
        <w:t xml:space="preserve"> virus. </w:t>
      </w:r>
      <w:r w:rsidR="00390B7B" w:rsidRPr="00326CAD">
        <w:rPr>
          <w:rFonts w:ascii="Times New Roman" w:hAnsi="Times New Roman" w:cs="Times New Roman"/>
          <w:sz w:val="28"/>
          <w:szCs w:val="28"/>
        </w:rPr>
        <w:t>Before</w:t>
      </w:r>
      <w:r w:rsidR="00213AD1" w:rsidRPr="00326CAD">
        <w:rPr>
          <w:rFonts w:ascii="Times New Roman" w:hAnsi="Times New Roman" w:cs="Times New Roman"/>
          <w:sz w:val="28"/>
          <w:szCs w:val="28"/>
        </w:rPr>
        <w:t xml:space="preserve"> determining the antiviral activity, a non-toxic working dose was established for each compound</w:t>
      </w:r>
      <w:r w:rsidR="00123459" w:rsidRPr="00326CAD">
        <w:rPr>
          <w:rFonts w:ascii="Times New Roman" w:hAnsi="Times New Roman" w:cs="Times New Roman"/>
          <w:sz w:val="28"/>
          <w:szCs w:val="28"/>
        </w:rPr>
        <w:t>. In</w:t>
      </w:r>
      <w:r w:rsidR="00892C7E" w:rsidRPr="00326CAD">
        <w:rPr>
          <w:rFonts w:ascii="Times New Roman" w:hAnsi="Times New Roman" w:cs="Times New Roman"/>
          <w:sz w:val="28"/>
          <w:szCs w:val="28"/>
        </w:rPr>
        <w:t xml:space="preserve"> Figure 2</w:t>
      </w:r>
      <w:r w:rsidR="00123459" w:rsidRPr="00326CAD">
        <w:rPr>
          <w:rFonts w:ascii="Times New Roman" w:hAnsi="Times New Roman" w:cs="Times New Roman"/>
          <w:sz w:val="28"/>
          <w:szCs w:val="28"/>
          <w:lang w:val="en-US"/>
        </w:rPr>
        <w:t>7, we can see the Dexamethasone exposure</w:t>
      </w:r>
      <w:r w:rsidRPr="00326CAD">
        <w:rPr>
          <w:rFonts w:ascii="Times New Roman" w:hAnsi="Times New Roman" w:cs="Times New Roman"/>
          <w:sz w:val="28"/>
          <w:szCs w:val="28"/>
        </w:rPr>
        <w:t xml:space="preserve">. </w:t>
      </w:r>
    </w:p>
    <w:tbl>
      <w:tblPr>
        <w:tblW w:w="0" w:type="auto"/>
        <w:jc w:val="center"/>
        <w:tblLook w:val="04A0" w:firstRow="1" w:lastRow="0" w:firstColumn="1" w:lastColumn="0" w:noHBand="0" w:noVBand="1"/>
      </w:tblPr>
      <w:tblGrid>
        <w:gridCol w:w="2983"/>
        <w:gridCol w:w="2650"/>
        <w:gridCol w:w="2861"/>
      </w:tblGrid>
      <w:tr w:rsidR="000C1370" w:rsidRPr="006531C9" w14:paraId="651FB75D" w14:textId="77777777" w:rsidTr="00FA40F0">
        <w:trPr>
          <w:trHeight w:val="1817"/>
          <w:jc w:val="center"/>
        </w:trPr>
        <w:tc>
          <w:tcPr>
            <w:tcW w:w="2916" w:type="dxa"/>
          </w:tcPr>
          <w:p w14:paraId="6E83E6DB" w14:textId="5AB2A71B" w:rsidR="00226539" w:rsidRPr="006531C9" w:rsidRDefault="00852704" w:rsidP="000C1370">
            <w:pPr>
              <w:spacing w:after="0" w:line="240" w:lineRule="auto"/>
              <w:ind w:firstLineChars="14" w:firstLine="34"/>
              <w:jc w:val="both"/>
              <w:rPr>
                <w:rFonts w:ascii="Times New Roman" w:hAnsi="Times New Roman" w:cs="Times New Roman"/>
                <w:iCs/>
                <w:sz w:val="24"/>
                <w:szCs w:val="24"/>
              </w:rPr>
            </w:pPr>
            <w:r w:rsidRPr="006531C9">
              <w:rPr>
                <w:rFonts w:ascii="Times New Roman" w:hAnsi="Times New Roman" w:cs="Times New Roman"/>
                <w:noProof/>
                <w:sz w:val="24"/>
                <w:szCs w:val="24"/>
              </w:rPr>
              <w:lastRenderedPageBreak/>
              <mc:AlternateContent>
                <mc:Choice Requires="wps">
                  <w:drawing>
                    <wp:anchor distT="0" distB="0" distL="114300" distR="114300" simplePos="0" relativeHeight="251675136" behindDoc="0" locked="0" layoutInCell="1" allowOverlap="1" wp14:anchorId="12C18DCE" wp14:editId="690187D2">
                      <wp:simplePos x="0" y="0"/>
                      <wp:positionH relativeFrom="column">
                        <wp:posOffset>1172068</wp:posOffset>
                      </wp:positionH>
                      <wp:positionV relativeFrom="paragraph">
                        <wp:posOffset>1616890</wp:posOffset>
                      </wp:positionV>
                      <wp:extent cx="595668" cy="451371"/>
                      <wp:effectExtent l="0" t="0" r="13970" b="25400"/>
                      <wp:wrapNone/>
                      <wp:docPr id="213550517" name="Надпись 52"/>
                      <wp:cNvGraphicFramePr/>
                      <a:graphic xmlns:a="http://schemas.openxmlformats.org/drawingml/2006/main">
                        <a:graphicData uri="http://schemas.microsoft.com/office/word/2010/wordprocessingShape">
                          <wps:wsp>
                            <wps:cNvSpPr txBox="1"/>
                            <wps:spPr>
                              <a:xfrm>
                                <a:off x="0" y="0"/>
                                <a:ext cx="595668" cy="451371"/>
                              </a:xfrm>
                              <a:prstGeom prst="rect">
                                <a:avLst/>
                              </a:prstGeom>
                              <a:solidFill>
                                <a:schemeClr val="lt1"/>
                              </a:solidFill>
                              <a:ln w="6350">
                                <a:solidFill>
                                  <a:prstClr val="black"/>
                                </a:solidFill>
                              </a:ln>
                            </wps:spPr>
                            <wps:txbx>
                              <w:txbxContent>
                                <w:p w14:paraId="7074D722" w14:textId="4BACC714" w:rsidR="00852704" w:rsidRPr="006531C9" w:rsidRDefault="00852704">
                                  <w:pPr>
                                    <w:rPr>
                                      <w:b/>
                                      <w:bCs/>
                                      <w:sz w:val="40"/>
                                      <w:szCs w:val="40"/>
                                    </w:rPr>
                                  </w:pPr>
                                  <w:r w:rsidRPr="006531C9">
                                    <w:rPr>
                                      <w:b/>
                                      <w:bCs/>
                                      <w:sz w:val="40"/>
                                      <w:szCs w:val="40"/>
                                    </w:rPr>
                                    <w:t>27X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18DCE" id="Надпись 52" o:spid="_x0000_s1032" type="#_x0000_t202" style="position:absolute;left:0;text-align:left;margin-left:92.3pt;margin-top:127.3pt;width:46.9pt;height:35.5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" fillcolor="white [3201]" strokeweight=".5pt">
                      <v:textbox>
                        <w:txbxContent>
                          <w:p w14:paraId="7074D722" w14:textId="4BACC714" w:rsidR="00852704" w:rsidRPr="006531C9" w:rsidRDefault="00852704">
                            <w:pPr>
                              <w:rPr>
                                <w:b/>
                                <w:bCs/>
                                <w:sz w:val="40"/>
                                <w:szCs w:val="40"/>
                              </w:rPr>
                            </w:pPr>
                            <w:r w:rsidRPr="006531C9">
                              <w:rPr>
                                <w:b/>
                                <w:bCs/>
                                <w:sz w:val="40"/>
                                <w:szCs w:val="40"/>
                              </w:rPr>
                              <w:t>27X</w:t>
                            </w:r>
                          </w:p>
                        </w:txbxContent>
                      </v:textbox>
                    </v:shape>
                  </w:pict>
                </mc:Fallback>
              </mc:AlternateContent>
            </w:r>
            <w:r w:rsidR="00853685" w:rsidRPr="006531C9">
              <w:rPr>
                <w:rFonts w:ascii="Times New Roman" w:hAnsi="Times New Roman" w:cs="Times New Roman"/>
                <w:noProof/>
                <w:sz w:val="24"/>
                <w:szCs w:val="24"/>
              </w:rPr>
              <w:drawing>
                <wp:inline distT="0" distB="0" distL="0" distR="0" wp14:anchorId="6B90B1FB" wp14:editId="6DA4D732">
                  <wp:extent cx="2121901" cy="1730552"/>
                  <wp:effectExtent l="5080" t="0" r="0" b="0"/>
                  <wp:docPr id="123828338" name="Рисунок 3" descr="C:\Users\Yerbol\Desktop\New\Новая папка\дексаметазон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28338" name="Рисунок 3" descr="C:\Users\Yerbol\Desktop\New\Новая папка\дексаметазон 5.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rot="5400000">
                            <a:off x="0" y="0"/>
                            <a:ext cx="2129746" cy="1736950"/>
                          </a:xfrm>
                          <a:prstGeom prst="rect">
                            <a:avLst/>
                          </a:prstGeom>
                          <a:noFill/>
                          <a:ln>
                            <a:noFill/>
                          </a:ln>
                        </pic:spPr>
                      </pic:pic>
                    </a:graphicData>
                  </a:graphic>
                </wp:inline>
              </w:drawing>
            </w:r>
          </w:p>
          <w:p w14:paraId="553C4310" w14:textId="77777777" w:rsidR="00226539" w:rsidRPr="006531C9" w:rsidRDefault="00853685" w:rsidP="000C1370">
            <w:pPr>
              <w:spacing w:line="240" w:lineRule="auto"/>
              <w:ind w:firstLineChars="709" w:firstLine="1702"/>
              <w:jc w:val="both"/>
              <w:rPr>
                <w:rFonts w:ascii="Times New Roman" w:hAnsi="Times New Roman" w:cs="Times New Roman"/>
                <w:iCs/>
                <w:sz w:val="24"/>
                <w:szCs w:val="24"/>
              </w:rPr>
            </w:pPr>
            <w:r w:rsidRPr="006531C9">
              <w:rPr>
                <w:rFonts w:ascii="Times New Roman" w:hAnsi="Times New Roman" w:cs="Times New Roman"/>
                <w:iCs/>
                <w:sz w:val="24"/>
                <w:szCs w:val="24"/>
              </w:rPr>
              <w:t>A</w:t>
            </w:r>
          </w:p>
        </w:tc>
        <w:tc>
          <w:tcPr>
            <w:tcW w:w="2591" w:type="dxa"/>
          </w:tcPr>
          <w:p w14:paraId="03E59F0C" w14:textId="77777777" w:rsidR="00226539" w:rsidRPr="006531C9" w:rsidRDefault="00853685" w:rsidP="000C1370">
            <w:pPr>
              <w:spacing w:after="0" w:line="240" w:lineRule="auto"/>
              <w:ind w:left="-1899" w:firstLineChars="709" w:firstLine="1702"/>
              <w:jc w:val="both"/>
              <w:rPr>
                <w:rFonts w:ascii="Times New Roman" w:hAnsi="Times New Roman" w:cs="Times New Roman"/>
                <w:iCs/>
                <w:sz w:val="24"/>
                <w:szCs w:val="24"/>
              </w:rPr>
            </w:pPr>
            <w:r w:rsidRPr="006531C9">
              <w:rPr>
                <w:rFonts w:ascii="Times New Roman" w:hAnsi="Times New Roman" w:cs="Times New Roman"/>
                <w:noProof/>
                <w:sz w:val="24"/>
                <w:szCs w:val="24"/>
              </w:rPr>
              <w:drawing>
                <wp:inline distT="0" distB="0" distL="0" distR="0" wp14:anchorId="54349F3C" wp14:editId="37A5C5DF">
                  <wp:extent cx="2076304" cy="1670881"/>
                  <wp:effectExtent l="0" t="6985" r="0" b="0"/>
                  <wp:docPr id="671748017" name="Рисунок 2" descr="C:\Users\Yerbol\Desktop\New\Новая папка\дексаметазон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748017" name="Рисунок 2" descr="C:\Users\Yerbol\Desktop\New\Новая папка\дексаметазон 4.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rot="5400000">
                            <a:off x="0" y="0"/>
                            <a:ext cx="2096885" cy="1687443"/>
                          </a:xfrm>
                          <a:prstGeom prst="rect">
                            <a:avLst/>
                          </a:prstGeom>
                          <a:noFill/>
                          <a:ln>
                            <a:noFill/>
                          </a:ln>
                        </pic:spPr>
                      </pic:pic>
                    </a:graphicData>
                  </a:graphic>
                </wp:inline>
              </w:drawing>
            </w:r>
          </w:p>
          <w:p w14:paraId="1B1347DC" w14:textId="51AA55DF" w:rsidR="00226539" w:rsidRPr="006531C9" w:rsidRDefault="00753122" w:rsidP="000C1370">
            <w:pPr>
              <w:spacing w:line="240" w:lineRule="auto"/>
              <w:ind w:firstLineChars="709" w:firstLine="1702"/>
              <w:jc w:val="both"/>
              <w:rPr>
                <w:rFonts w:ascii="Times New Roman" w:hAnsi="Times New Roman" w:cs="Times New Roman"/>
                <w:iCs/>
                <w:sz w:val="24"/>
                <w:szCs w:val="24"/>
              </w:rPr>
            </w:pPr>
            <w:r w:rsidRPr="006531C9">
              <w:rPr>
                <w:rFonts w:ascii="Times New Roman" w:hAnsi="Times New Roman" w:cs="Times New Roman"/>
                <w:iCs/>
                <w:sz w:val="24"/>
                <w:szCs w:val="24"/>
              </w:rPr>
              <w:t xml:space="preserve">   B  </w:t>
            </w:r>
          </w:p>
        </w:tc>
        <w:tc>
          <w:tcPr>
            <w:tcW w:w="2715" w:type="dxa"/>
          </w:tcPr>
          <w:p w14:paraId="4DB874C0" w14:textId="77777777" w:rsidR="00226539" w:rsidRPr="006531C9" w:rsidRDefault="00853685" w:rsidP="000C1370">
            <w:pPr>
              <w:spacing w:after="0" w:line="240" w:lineRule="auto"/>
              <w:ind w:left="-1877" w:firstLineChars="709" w:firstLine="1702"/>
              <w:jc w:val="both"/>
              <w:rPr>
                <w:rFonts w:ascii="Times New Roman" w:hAnsi="Times New Roman" w:cs="Times New Roman"/>
                <w:iCs/>
                <w:sz w:val="24"/>
                <w:szCs w:val="24"/>
              </w:rPr>
            </w:pPr>
            <w:r w:rsidRPr="006531C9">
              <w:rPr>
                <w:rFonts w:ascii="Times New Roman" w:hAnsi="Times New Roman" w:cs="Times New Roman"/>
                <w:noProof/>
                <w:sz w:val="24"/>
                <w:szCs w:val="24"/>
              </w:rPr>
              <w:drawing>
                <wp:inline distT="0" distB="0" distL="0" distR="0" wp14:anchorId="4747D5AC" wp14:editId="5EF35236">
                  <wp:extent cx="2074254" cy="1728217"/>
                  <wp:effectExtent l="1587" t="0" r="4128" b="4127"/>
                  <wp:docPr id="1981826149" name="Рисунок 1" descr="C:\Users\Yerbol\Desktop\New\Новая папка\дексаметазон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826149" name="Рисунок 1" descr="C:\Users\Yerbol\Desktop\New\Новая папка\дексаметазон 3.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rot="5400000">
                            <a:off x="0" y="0"/>
                            <a:ext cx="2095350" cy="1745794"/>
                          </a:xfrm>
                          <a:prstGeom prst="rect">
                            <a:avLst/>
                          </a:prstGeom>
                          <a:noFill/>
                          <a:ln>
                            <a:noFill/>
                          </a:ln>
                        </pic:spPr>
                      </pic:pic>
                    </a:graphicData>
                  </a:graphic>
                </wp:inline>
              </w:drawing>
            </w:r>
          </w:p>
          <w:p w14:paraId="3863BB93" w14:textId="77777777" w:rsidR="00226539" w:rsidRPr="006531C9" w:rsidRDefault="00853685" w:rsidP="000C1370">
            <w:pPr>
              <w:spacing w:line="240" w:lineRule="auto"/>
              <w:ind w:firstLineChars="709" w:firstLine="1702"/>
              <w:jc w:val="both"/>
              <w:rPr>
                <w:rFonts w:ascii="Times New Roman" w:hAnsi="Times New Roman" w:cs="Times New Roman"/>
                <w:iCs/>
                <w:sz w:val="24"/>
                <w:szCs w:val="24"/>
              </w:rPr>
            </w:pPr>
            <w:r w:rsidRPr="006531C9">
              <w:rPr>
                <w:rFonts w:ascii="Times New Roman" w:hAnsi="Times New Roman" w:cs="Times New Roman"/>
                <w:iCs/>
                <w:sz w:val="24"/>
                <w:szCs w:val="24"/>
              </w:rPr>
              <w:t>C</w:t>
            </w:r>
          </w:p>
        </w:tc>
      </w:tr>
      <w:tr w:rsidR="000C1370" w:rsidRPr="006531C9" w14:paraId="19C18BEA" w14:textId="77777777" w:rsidTr="00FA40F0">
        <w:trPr>
          <w:trHeight w:val="1817"/>
          <w:jc w:val="center"/>
        </w:trPr>
        <w:tc>
          <w:tcPr>
            <w:tcW w:w="2916" w:type="dxa"/>
          </w:tcPr>
          <w:p w14:paraId="0CCA5723" w14:textId="77777777" w:rsidR="00226539" w:rsidRPr="006531C9" w:rsidRDefault="00853685" w:rsidP="000C1370">
            <w:pPr>
              <w:spacing w:after="0" w:line="240" w:lineRule="auto"/>
              <w:ind w:firstLineChars="14" w:firstLine="34"/>
              <w:jc w:val="both"/>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1E521849" wp14:editId="1A9B9D6E">
                  <wp:extent cx="1883621" cy="1723659"/>
                  <wp:effectExtent l="3810" t="0" r="6350" b="6350"/>
                  <wp:docPr id="765223025" name="Рисунок 6" descr="C:\Users\Yerbol\Desktop\New\Новая папка\дексаметазон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223025" name="Рисунок 6" descr="C:\Users\Yerbol\Desktop\New\Новая папка\дексаметазон 2.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rot="5400000">
                            <a:off x="0" y="0"/>
                            <a:ext cx="1895601" cy="1734622"/>
                          </a:xfrm>
                          <a:prstGeom prst="rect">
                            <a:avLst/>
                          </a:prstGeom>
                          <a:noFill/>
                          <a:ln>
                            <a:noFill/>
                          </a:ln>
                        </pic:spPr>
                      </pic:pic>
                    </a:graphicData>
                  </a:graphic>
                </wp:inline>
              </w:drawing>
            </w:r>
          </w:p>
          <w:p w14:paraId="497D7FDA" w14:textId="77777777" w:rsidR="00226539" w:rsidRPr="006531C9" w:rsidRDefault="00853685" w:rsidP="000C1370">
            <w:pPr>
              <w:spacing w:line="240" w:lineRule="auto"/>
              <w:ind w:firstLineChars="709" w:firstLine="1702"/>
              <w:jc w:val="both"/>
              <w:rPr>
                <w:rFonts w:ascii="Times New Roman" w:hAnsi="Times New Roman" w:cs="Times New Roman"/>
                <w:sz w:val="24"/>
                <w:szCs w:val="24"/>
              </w:rPr>
            </w:pPr>
            <w:r w:rsidRPr="006531C9">
              <w:rPr>
                <w:rFonts w:ascii="Times New Roman" w:hAnsi="Times New Roman" w:cs="Times New Roman"/>
                <w:sz w:val="24"/>
                <w:szCs w:val="24"/>
              </w:rPr>
              <w:t>D</w:t>
            </w:r>
          </w:p>
        </w:tc>
        <w:tc>
          <w:tcPr>
            <w:tcW w:w="2591" w:type="dxa"/>
          </w:tcPr>
          <w:p w14:paraId="6E9EB97D" w14:textId="77777777" w:rsidR="00226539" w:rsidRPr="006531C9" w:rsidRDefault="00853685" w:rsidP="000C1370">
            <w:pPr>
              <w:spacing w:after="0" w:line="240" w:lineRule="auto"/>
              <w:ind w:left="-2489" w:firstLineChars="709" w:firstLine="1702"/>
              <w:jc w:val="both"/>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4BB722CD" wp14:editId="137B0F72">
                  <wp:extent cx="1856523" cy="2043055"/>
                  <wp:effectExtent l="1905" t="0" r="0" b="0"/>
                  <wp:docPr id="1742602966" name="Рисунок 5" descr="C:\Users\Yerbol\Desktop\New\Новая папка\дексаметазон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602966" name="Рисунок 5" descr="C:\Users\Yerbol\Desktop\New\Новая папка\дексаметазон 1.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rot="5400000">
                            <a:off x="0" y="0"/>
                            <a:ext cx="1867754" cy="2055414"/>
                          </a:xfrm>
                          <a:prstGeom prst="rect">
                            <a:avLst/>
                          </a:prstGeom>
                          <a:noFill/>
                          <a:ln>
                            <a:noFill/>
                          </a:ln>
                        </pic:spPr>
                      </pic:pic>
                    </a:graphicData>
                  </a:graphic>
                </wp:inline>
              </w:drawing>
            </w:r>
          </w:p>
          <w:p w14:paraId="5A3EF4CF" w14:textId="77777777" w:rsidR="00226539" w:rsidRPr="006531C9" w:rsidRDefault="00853685" w:rsidP="000C1370">
            <w:pPr>
              <w:spacing w:line="240" w:lineRule="auto"/>
              <w:ind w:firstLineChars="709" w:firstLine="1702"/>
              <w:jc w:val="both"/>
              <w:rPr>
                <w:rFonts w:ascii="Times New Roman" w:hAnsi="Times New Roman" w:cs="Times New Roman"/>
                <w:sz w:val="24"/>
                <w:szCs w:val="24"/>
              </w:rPr>
            </w:pPr>
            <w:r w:rsidRPr="006531C9">
              <w:rPr>
                <w:rFonts w:ascii="Times New Roman" w:hAnsi="Times New Roman" w:cs="Times New Roman"/>
                <w:sz w:val="24"/>
                <w:szCs w:val="24"/>
              </w:rPr>
              <w:t>E</w:t>
            </w:r>
          </w:p>
        </w:tc>
        <w:tc>
          <w:tcPr>
            <w:tcW w:w="2715" w:type="dxa"/>
          </w:tcPr>
          <w:p w14:paraId="3C42818A" w14:textId="77777777" w:rsidR="00226539" w:rsidRPr="006531C9" w:rsidRDefault="00853685" w:rsidP="00B16933">
            <w:pPr>
              <w:spacing w:after="0" w:line="240" w:lineRule="auto"/>
              <w:ind w:left="-1848" w:firstLineChars="741" w:firstLine="1778"/>
              <w:jc w:val="both"/>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78A471E7" wp14:editId="63A9B820">
                  <wp:extent cx="1851846" cy="1718310"/>
                  <wp:effectExtent l="0" t="9525" r="5715" b="5715"/>
                  <wp:docPr id="923356345" name="Рисунок 4" descr="C:\Users\Yerbol\Desktop\New\Новая папка\дексаметазон К,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356345" name="Рисунок 4" descr="C:\Users\Yerbol\Desktop\New\Новая папка\дексаметазон К,К.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rot="5400000">
                            <a:off x="0" y="0"/>
                            <a:ext cx="1859855" cy="1725741"/>
                          </a:xfrm>
                          <a:prstGeom prst="rect">
                            <a:avLst/>
                          </a:prstGeom>
                          <a:noFill/>
                          <a:ln>
                            <a:noFill/>
                          </a:ln>
                        </pic:spPr>
                      </pic:pic>
                    </a:graphicData>
                  </a:graphic>
                </wp:inline>
              </w:drawing>
            </w:r>
          </w:p>
          <w:p w14:paraId="5E706AE4" w14:textId="77777777" w:rsidR="00226539" w:rsidRPr="006531C9" w:rsidRDefault="00853685" w:rsidP="000C1370">
            <w:pPr>
              <w:spacing w:line="240" w:lineRule="auto"/>
              <w:ind w:firstLineChars="709" w:firstLine="1702"/>
              <w:jc w:val="both"/>
              <w:rPr>
                <w:rFonts w:ascii="Times New Roman" w:hAnsi="Times New Roman" w:cs="Times New Roman"/>
                <w:sz w:val="24"/>
                <w:szCs w:val="24"/>
              </w:rPr>
            </w:pPr>
            <w:r w:rsidRPr="006531C9">
              <w:rPr>
                <w:rFonts w:ascii="Times New Roman" w:hAnsi="Times New Roman" w:cs="Times New Roman"/>
                <w:sz w:val="24"/>
                <w:szCs w:val="24"/>
              </w:rPr>
              <w:t>F</w:t>
            </w:r>
          </w:p>
        </w:tc>
      </w:tr>
    </w:tbl>
    <w:p w14:paraId="37B0602B" w14:textId="6FCF3511" w:rsidR="00456E5E" w:rsidRDefault="00853685" w:rsidP="00326CAD">
      <w:pPr>
        <w:spacing w:after="0" w:line="240" w:lineRule="auto"/>
        <w:jc w:val="center"/>
        <w:rPr>
          <w:rFonts w:ascii="Times New Roman" w:hAnsi="Times New Roman" w:cs="Times New Roman"/>
          <w:sz w:val="28"/>
          <w:szCs w:val="28"/>
        </w:rPr>
      </w:pPr>
      <w:r w:rsidRPr="00326CAD">
        <w:rPr>
          <w:rFonts w:ascii="Times New Roman" w:hAnsi="Times New Roman" w:cs="Times New Roman"/>
          <w:sz w:val="28"/>
          <w:szCs w:val="28"/>
        </w:rPr>
        <w:t xml:space="preserve">Figure </w:t>
      </w:r>
      <w:r w:rsidR="0005231D" w:rsidRPr="00326CAD">
        <w:rPr>
          <w:rFonts w:ascii="Times New Roman" w:hAnsi="Times New Roman" w:cs="Times New Roman"/>
          <w:sz w:val="28"/>
          <w:szCs w:val="28"/>
        </w:rPr>
        <w:t>2</w:t>
      </w:r>
      <w:r w:rsidR="00123459" w:rsidRPr="00326CAD">
        <w:rPr>
          <w:rFonts w:ascii="Times New Roman" w:hAnsi="Times New Roman" w:cs="Times New Roman"/>
          <w:sz w:val="28"/>
          <w:szCs w:val="28"/>
          <w:lang w:val="en-US"/>
        </w:rPr>
        <w:t>7</w:t>
      </w:r>
      <w:r w:rsidR="004B3B45" w:rsidRPr="00326CAD">
        <w:rPr>
          <w:rFonts w:ascii="Times New Roman" w:hAnsi="Times New Roman" w:cs="Times New Roman"/>
          <w:sz w:val="28"/>
          <w:szCs w:val="28"/>
        </w:rPr>
        <w:t xml:space="preserve"> </w:t>
      </w:r>
      <w:r w:rsidR="004B3B45" w:rsidRPr="00326CAD">
        <w:rPr>
          <w:rFonts w:ascii="Times New Roman" w:hAnsi="Times New Roman" w:cs="Times New Roman"/>
          <w:b/>
          <w:bCs/>
          <w:sz w:val="28"/>
          <w:szCs w:val="28"/>
        </w:rPr>
        <w:t>–</w:t>
      </w:r>
      <w:r w:rsidRPr="00326CAD">
        <w:rPr>
          <w:rFonts w:ascii="Times New Roman" w:hAnsi="Times New Roman" w:cs="Times New Roman"/>
          <w:sz w:val="28"/>
          <w:szCs w:val="28"/>
        </w:rPr>
        <w:t xml:space="preserve"> Determination of cytotoxicity of Dexamethasone in Vero cell </w:t>
      </w:r>
      <w:r w:rsidR="00535487" w:rsidRPr="00326CAD">
        <w:rPr>
          <w:rFonts w:ascii="Times New Roman" w:hAnsi="Times New Roman" w:cs="Times New Roman"/>
          <w:sz w:val="28"/>
          <w:szCs w:val="28"/>
        </w:rPr>
        <w:t>culture</w:t>
      </w:r>
      <w:r w:rsidRPr="00326CAD">
        <w:rPr>
          <w:rFonts w:ascii="Times New Roman" w:hAnsi="Times New Roman" w:cs="Times New Roman"/>
          <w:sz w:val="28"/>
          <w:szCs w:val="28"/>
        </w:rPr>
        <w:t xml:space="preserve"> – 20 mg/</w:t>
      </w:r>
      <w:r w:rsidR="00456E5E" w:rsidRPr="00326CAD">
        <w:rPr>
          <w:rFonts w:ascii="Times New Roman" w:hAnsi="Times New Roman" w:cs="Times New Roman"/>
          <w:sz w:val="28"/>
          <w:szCs w:val="28"/>
        </w:rPr>
        <w:t>mL, B – 16 mg/mL, C – 12 mg/mL, D – 8 mg/mL, E – 4 mg/mL, F – Vero control (untreated) - 72-hour exposure, n = 3</w:t>
      </w:r>
      <w:r w:rsidRPr="00326CAD">
        <w:rPr>
          <w:rFonts w:ascii="Times New Roman" w:hAnsi="Times New Roman" w:cs="Times New Roman"/>
          <w:sz w:val="28"/>
          <w:szCs w:val="28"/>
        </w:rPr>
        <w:t>.</w:t>
      </w:r>
      <w:r w:rsidR="00456E5E" w:rsidRPr="00326CAD">
        <w:rPr>
          <w:rFonts w:ascii="Times New Roman" w:hAnsi="Times New Roman" w:cs="Times New Roman"/>
          <w:sz w:val="28"/>
          <w:szCs w:val="28"/>
        </w:rPr>
        <w:t xml:space="preserve"> Main Absorbance Wavelength: 450 nm</w:t>
      </w:r>
    </w:p>
    <w:p w14:paraId="66799247" w14:textId="77777777" w:rsidR="00665619" w:rsidRPr="00326CAD" w:rsidRDefault="00665619" w:rsidP="00326CAD">
      <w:pPr>
        <w:spacing w:after="0" w:line="240" w:lineRule="auto"/>
        <w:jc w:val="center"/>
        <w:rPr>
          <w:rFonts w:ascii="Times New Roman" w:hAnsi="Times New Roman" w:cs="Times New Roman"/>
          <w:sz w:val="28"/>
          <w:szCs w:val="28"/>
          <w:lang w:val="en-US"/>
        </w:rPr>
      </w:pPr>
    </w:p>
    <w:p w14:paraId="1D215852" w14:textId="37C11584" w:rsidR="00853DDF" w:rsidRDefault="00853685" w:rsidP="00326CAD">
      <w:pPr>
        <w:spacing w:after="0" w:line="240" w:lineRule="auto"/>
        <w:ind w:firstLine="709"/>
        <w:jc w:val="both"/>
        <w:rPr>
          <w:rFonts w:ascii="Times New Roman" w:hAnsi="Times New Roman" w:cs="Times New Roman"/>
          <w:sz w:val="28"/>
          <w:szCs w:val="28"/>
        </w:rPr>
      </w:pPr>
      <w:r w:rsidRPr="00326CAD">
        <w:rPr>
          <w:rFonts w:ascii="Times New Roman" w:hAnsi="Times New Roman" w:cs="Times New Roman"/>
          <w:sz w:val="28"/>
          <w:szCs w:val="28"/>
        </w:rPr>
        <w:t xml:space="preserve">The higher the concentration, the denser the cell layers stimulated in incubation conditions, mostly indirectly, because dexamethasone only slightly stimulates cellular growth over time. As </w:t>
      </w:r>
      <w:r w:rsidR="00456E5E" w:rsidRPr="00326CAD">
        <w:rPr>
          <w:rFonts w:ascii="Times New Roman" w:hAnsi="Times New Roman" w:cs="Times New Roman"/>
          <w:sz w:val="28"/>
          <w:szCs w:val="28"/>
        </w:rPr>
        <w:t xml:space="preserve">shown in Figure </w:t>
      </w:r>
      <w:r w:rsidR="007951DB" w:rsidRPr="00326CAD">
        <w:rPr>
          <w:rFonts w:ascii="Times New Roman" w:hAnsi="Times New Roman" w:cs="Times New Roman"/>
          <w:sz w:val="28"/>
          <w:szCs w:val="28"/>
        </w:rPr>
        <w:t>2</w:t>
      </w:r>
      <w:r w:rsidR="00A10505" w:rsidRPr="00326CAD">
        <w:rPr>
          <w:rFonts w:ascii="Times New Roman" w:hAnsi="Times New Roman" w:cs="Times New Roman"/>
          <w:sz w:val="28"/>
          <w:szCs w:val="28"/>
        </w:rPr>
        <w:t>9</w:t>
      </w:r>
      <w:r w:rsidR="00456E5E" w:rsidRPr="00326CAD">
        <w:rPr>
          <w:rFonts w:ascii="Times New Roman" w:hAnsi="Times New Roman" w:cs="Times New Roman"/>
          <w:sz w:val="28"/>
          <w:szCs w:val="28"/>
        </w:rPr>
        <w:t xml:space="preserve">, cell growth stimulation by Dexamethasone is evident: the mass multiplication of cell monolayers, even from a stock concentration of 4.37 ml (column A), and the mass multiplication of cell monolayers from double stock concentration (8.74 ml, column B). </w:t>
      </w:r>
      <w:r w:rsidR="00535487" w:rsidRPr="00326CAD">
        <w:rPr>
          <w:rFonts w:ascii="Times New Roman" w:hAnsi="Times New Roman" w:cs="Times New Roman"/>
          <w:sz w:val="28"/>
          <w:szCs w:val="28"/>
        </w:rPr>
        <w:t xml:space="preserve">Space limitations </w:t>
      </w:r>
      <w:r w:rsidR="00D00C9C">
        <w:rPr>
          <w:rFonts w:ascii="Times New Roman" w:hAnsi="Times New Roman" w:cs="Times New Roman"/>
          <w:sz w:val="28"/>
          <w:szCs w:val="28"/>
        </w:rPr>
        <w:t>trigger cell bursting in</w:t>
      </w:r>
      <w:r w:rsidR="00535487" w:rsidRPr="00326CAD">
        <w:rPr>
          <w:rFonts w:ascii="Times New Roman" w:hAnsi="Times New Roman" w:cs="Times New Roman"/>
          <w:sz w:val="28"/>
          <w:szCs w:val="28"/>
        </w:rPr>
        <w:t xml:space="preserve"> monolayers</w:t>
      </w:r>
      <w:r w:rsidRPr="00326CAD">
        <w:rPr>
          <w:rFonts w:ascii="Times New Roman" w:hAnsi="Times New Roman" w:cs="Times New Roman"/>
          <w:sz w:val="28"/>
          <w:szCs w:val="28"/>
        </w:rPr>
        <w:t xml:space="preserve">. Triple stock concentration 13,11ml column C, the moderate bursting of cells from monolayers due to space limitations, from four times stock concentration 17,48ml column D, the acute bursting of cells from monolayers due to space limitations visual evidence of second layer growth, five times stock concentration 21,85ml column E, the complete rupture of tissue integrity of monolayers due to space limitations, the multiple layers formations. It was found that the drug Dexamethasone at a </w:t>
      </w:r>
      <w:r w:rsidR="00056A15">
        <w:rPr>
          <w:rFonts w:ascii="Times New Roman" w:hAnsi="Times New Roman" w:cs="Times New Roman"/>
          <w:sz w:val="28"/>
          <w:szCs w:val="28"/>
        </w:rPr>
        <w:t>concentration of 4 mg/ml is not toxic to cell culture and will be used to study its</w:t>
      </w:r>
      <w:r w:rsidRPr="00326CAD">
        <w:rPr>
          <w:rFonts w:ascii="Times New Roman" w:hAnsi="Times New Roman" w:cs="Times New Roman"/>
          <w:sz w:val="28"/>
          <w:szCs w:val="28"/>
        </w:rPr>
        <w:t xml:space="preserve"> antiviral activity. </w:t>
      </w:r>
      <w:r w:rsidR="00456E5E" w:rsidRPr="00326CAD">
        <w:rPr>
          <w:rFonts w:ascii="Times New Roman" w:hAnsi="Times New Roman" w:cs="Times New Roman"/>
          <w:sz w:val="28"/>
          <w:szCs w:val="28"/>
        </w:rPr>
        <w:t xml:space="preserve">Additionally, with increasing doses of the drug Dexamethasone, the </w:t>
      </w:r>
      <w:r w:rsidRPr="00326CAD">
        <w:rPr>
          <w:rFonts w:ascii="Times New Roman" w:hAnsi="Times New Roman" w:cs="Times New Roman"/>
          <w:sz w:val="28"/>
          <w:szCs w:val="28"/>
        </w:rPr>
        <w:t xml:space="preserve">dynamics of cell rounding and swelling are observed. </w:t>
      </w:r>
    </w:p>
    <w:p w14:paraId="075CF123" w14:textId="53952E62" w:rsidR="00226539" w:rsidRPr="00326CAD" w:rsidRDefault="00853685" w:rsidP="00326CAD">
      <w:pPr>
        <w:spacing w:after="0" w:line="240" w:lineRule="auto"/>
        <w:ind w:firstLine="709"/>
        <w:jc w:val="both"/>
        <w:rPr>
          <w:rFonts w:ascii="Times New Roman" w:hAnsi="Times New Roman" w:cs="Times New Roman"/>
          <w:sz w:val="28"/>
          <w:szCs w:val="28"/>
        </w:rPr>
      </w:pPr>
      <w:r w:rsidRPr="00326CAD">
        <w:rPr>
          <w:rFonts w:ascii="Times New Roman" w:hAnsi="Times New Roman" w:cs="Times New Roman"/>
          <w:sz w:val="28"/>
          <w:szCs w:val="28"/>
        </w:rPr>
        <w:t xml:space="preserve">Control </w:t>
      </w:r>
      <w:r w:rsidR="00BF2675" w:rsidRPr="00326CAD">
        <w:rPr>
          <w:rFonts w:ascii="Times New Roman" w:hAnsi="Times New Roman" w:cs="Times New Roman"/>
          <w:sz w:val="28"/>
          <w:szCs w:val="28"/>
        </w:rPr>
        <w:t xml:space="preserve">refers to untreated Vero cells </w:t>
      </w:r>
      <w:r w:rsidR="00307CCA" w:rsidRPr="00326CAD">
        <w:rPr>
          <w:rFonts w:ascii="Times New Roman" w:hAnsi="Times New Roman" w:cs="Times New Roman"/>
          <w:sz w:val="28"/>
          <w:szCs w:val="28"/>
        </w:rPr>
        <w:t>in this context</w:t>
      </w:r>
      <w:r w:rsidR="00844831" w:rsidRPr="00326CAD">
        <w:rPr>
          <w:rFonts w:ascii="Times New Roman" w:hAnsi="Times New Roman" w:cs="Times New Roman"/>
          <w:sz w:val="28"/>
          <w:szCs w:val="28"/>
        </w:rPr>
        <w:t>.</w:t>
      </w:r>
      <w:r w:rsidRPr="00326CAD">
        <w:rPr>
          <w:rFonts w:ascii="Times New Roman" w:hAnsi="Times New Roman" w:cs="Times New Roman"/>
          <w:sz w:val="28"/>
          <w:szCs w:val="28"/>
        </w:rPr>
        <w:t xml:space="preserve"> </w:t>
      </w:r>
      <w:r w:rsidR="00C62618" w:rsidRPr="00326CAD">
        <w:rPr>
          <w:rFonts w:ascii="Times New Roman" w:hAnsi="Times New Roman" w:cs="Times New Roman"/>
          <w:sz w:val="28"/>
          <w:szCs w:val="28"/>
        </w:rPr>
        <w:t xml:space="preserve">As </w:t>
      </w:r>
      <w:r w:rsidR="00BF2675" w:rsidRPr="00326CAD">
        <w:rPr>
          <w:rFonts w:ascii="Times New Roman" w:hAnsi="Times New Roman" w:cs="Times New Roman"/>
          <w:sz w:val="28"/>
          <w:szCs w:val="28"/>
        </w:rPr>
        <w:t xml:space="preserve">shown in Figure </w:t>
      </w:r>
      <w:r w:rsidR="00326CAD">
        <w:rPr>
          <w:rFonts w:ascii="Times New Roman" w:hAnsi="Times New Roman" w:cs="Times New Roman"/>
          <w:sz w:val="28"/>
          <w:szCs w:val="28"/>
        </w:rPr>
        <w:t>24</w:t>
      </w:r>
      <w:r w:rsidR="00BF2675" w:rsidRPr="00326CAD">
        <w:rPr>
          <w:rFonts w:ascii="Times New Roman" w:hAnsi="Times New Roman" w:cs="Times New Roman"/>
          <w:sz w:val="28"/>
          <w:szCs w:val="28"/>
        </w:rPr>
        <w:t>, a 72-hour exposure to dexamethasone affected only the prefiltration rates of Vero E6 cells, without harming cell viability, as measured by CCK8, across</w:t>
      </w:r>
      <w:r w:rsidR="005222F2" w:rsidRPr="00326CAD">
        <w:rPr>
          <w:rFonts w:ascii="Times New Roman" w:hAnsi="Times New Roman" w:cs="Times New Roman"/>
          <w:sz w:val="28"/>
          <w:szCs w:val="28"/>
        </w:rPr>
        <w:t xml:space="preserve"> all concentration </w:t>
      </w:r>
      <w:r w:rsidR="005222F2" w:rsidRPr="00326CAD">
        <w:rPr>
          <w:rFonts w:ascii="Times New Roman" w:hAnsi="Times New Roman" w:cs="Times New Roman"/>
          <w:sz w:val="28"/>
          <w:szCs w:val="28"/>
        </w:rPr>
        <w:lastRenderedPageBreak/>
        <w:t>ranges</w:t>
      </w:r>
      <w:r w:rsidR="00C62618" w:rsidRPr="00326CAD">
        <w:rPr>
          <w:rFonts w:ascii="Times New Roman" w:hAnsi="Times New Roman" w:cs="Times New Roman"/>
          <w:sz w:val="28"/>
          <w:szCs w:val="28"/>
        </w:rPr>
        <w:t xml:space="preserve">.   </w:t>
      </w:r>
      <w:r w:rsidR="00456E5E" w:rsidRPr="00326CAD">
        <w:rPr>
          <w:rFonts w:ascii="Times New Roman" w:hAnsi="Times New Roman" w:cs="Times New Roman"/>
          <w:sz w:val="28"/>
          <w:szCs w:val="28"/>
        </w:rPr>
        <w:t xml:space="preserve">Dexamethasone was used in ampoules containing 4 mg/ml in 5 dosages (20, 16, 12, 8, and 4 mg/ml). The results are presented in </w:t>
      </w:r>
      <w:bookmarkStart w:id="37" w:name="_Hlk158117823"/>
      <w:r w:rsidR="00456E5E" w:rsidRPr="00326CAD">
        <w:rPr>
          <w:rFonts w:ascii="Times New Roman" w:hAnsi="Times New Roman" w:cs="Times New Roman"/>
          <w:sz w:val="28"/>
          <w:szCs w:val="28"/>
        </w:rPr>
        <w:t xml:space="preserve">Figure </w:t>
      </w:r>
      <w:bookmarkEnd w:id="37"/>
      <w:r w:rsidR="007951DB" w:rsidRPr="00326CAD">
        <w:rPr>
          <w:rFonts w:ascii="Times New Roman" w:hAnsi="Times New Roman" w:cs="Times New Roman"/>
          <w:sz w:val="28"/>
          <w:szCs w:val="28"/>
        </w:rPr>
        <w:t>27</w:t>
      </w:r>
      <w:r w:rsidR="00456E5E" w:rsidRPr="00326CAD">
        <w:rPr>
          <w:rFonts w:ascii="Times New Roman" w:hAnsi="Times New Roman" w:cs="Times New Roman"/>
          <w:sz w:val="28"/>
          <w:szCs w:val="28"/>
        </w:rPr>
        <w:t xml:space="preserve">. Control refers to untreated Vero cells </w:t>
      </w:r>
      <w:r w:rsidR="00BF2675" w:rsidRPr="00326CAD">
        <w:rPr>
          <w:rFonts w:ascii="Times New Roman" w:hAnsi="Times New Roman" w:cs="Times New Roman"/>
          <w:sz w:val="28"/>
          <w:szCs w:val="28"/>
        </w:rPr>
        <w:t>in this context</w:t>
      </w:r>
      <w:r w:rsidR="00456E5E" w:rsidRPr="00326CAD">
        <w:rPr>
          <w:rFonts w:ascii="Times New Roman" w:hAnsi="Times New Roman" w:cs="Times New Roman"/>
          <w:sz w:val="28"/>
          <w:szCs w:val="28"/>
        </w:rPr>
        <w:t xml:space="preserve">. </w:t>
      </w:r>
    </w:p>
    <w:p w14:paraId="4FAA89A0" w14:textId="40326B20" w:rsidR="00226539" w:rsidRDefault="00DE63E2" w:rsidP="00326CAD">
      <w:pPr>
        <w:spacing w:after="0" w:line="240" w:lineRule="auto"/>
        <w:ind w:firstLine="709"/>
        <w:jc w:val="both"/>
        <w:rPr>
          <w:rFonts w:ascii="Times New Roman" w:hAnsi="Times New Roman" w:cs="Times New Roman"/>
          <w:sz w:val="28"/>
          <w:szCs w:val="28"/>
        </w:rPr>
      </w:pPr>
      <w:r w:rsidRPr="00326CAD">
        <w:rPr>
          <w:rFonts w:ascii="Times New Roman" w:hAnsi="Times New Roman" w:cs="Times New Roman"/>
          <w:sz w:val="28"/>
          <w:szCs w:val="28"/>
        </w:rPr>
        <w:t xml:space="preserve">Ribavirin </w:t>
      </w:r>
      <w:bookmarkStart w:id="38" w:name="_Hlk157465299"/>
      <w:r w:rsidRPr="00326CAD">
        <w:rPr>
          <w:rFonts w:ascii="Times New Roman" w:hAnsi="Times New Roman" w:cs="Times New Roman"/>
          <w:sz w:val="28"/>
          <w:szCs w:val="28"/>
        </w:rPr>
        <w:t>shows high toxicity rates (cell layers are torn even at minimum concentration) since only a few concentrations are recommended to achieve the therapeutic effect.</w:t>
      </w:r>
      <w:bookmarkEnd w:id="38"/>
      <w:r w:rsidRPr="00326CAD">
        <w:rPr>
          <w:rFonts w:ascii="Times New Roman" w:hAnsi="Times New Roman" w:cs="Times New Roman"/>
          <w:sz w:val="28"/>
          <w:szCs w:val="28"/>
        </w:rPr>
        <w:t xml:space="preserve"> Control refers to untreated Vero cells in this context. </w:t>
      </w:r>
      <w:r w:rsidR="00D00C9C">
        <w:rPr>
          <w:rFonts w:ascii="Times New Roman" w:hAnsi="Times New Roman" w:cs="Times New Roman"/>
          <w:sz w:val="28"/>
          <w:szCs w:val="28"/>
        </w:rPr>
        <w:t>Mass destruction of cell monolayers</w:t>
      </w:r>
      <w:r w:rsidR="0011405C">
        <w:rPr>
          <w:rFonts w:ascii="Times New Roman" w:hAnsi="Times New Roman" w:cs="Times New Roman"/>
          <w:sz w:val="28"/>
          <w:szCs w:val="28"/>
        </w:rPr>
        <w:t xml:space="preserve"> and evident signs of cellular necrosis occurred even at the stock concentration (200 mg) in column A and at 5 times that</w:t>
      </w:r>
      <w:r w:rsidRPr="00326CAD">
        <w:rPr>
          <w:rFonts w:ascii="Times New Roman" w:hAnsi="Times New Roman" w:cs="Times New Roman"/>
          <w:sz w:val="28"/>
          <w:szCs w:val="28"/>
        </w:rPr>
        <w:t xml:space="preserve"> concentration (1000 mg) in column B.  The CCs (</w:t>
      </w:r>
      <w:bookmarkStart w:id="39" w:name="_Hlk131069188"/>
      <w:r w:rsidRPr="00326CAD">
        <w:rPr>
          <w:rFonts w:ascii="Times New Roman" w:hAnsi="Times New Roman" w:cs="Times New Roman"/>
          <w:sz w:val="28"/>
          <w:szCs w:val="28"/>
        </w:rPr>
        <w:t xml:space="preserve">cytotoxic concentrations) were too high for VeroE6 cells to survive </w:t>
      </w:r>
      <w:r w:rsidR="00D00C9C">
        <w:rPr>
          <w:rFonts w:ascii="Times New Roman" w:hAnsi="Times New Roman" w:cs="Times New Roman"/>
          <w:sz w:val="28"/>
          <w:szCs w:val="28"/>
        </w:rPr>
        <w:t>for 72 hours</w:t>
      </w:r>
      <w:r w:rsidRPr="00326CAD">
        <w:rPr>
          <w:rFonts w:ascii="Times New Roman" w:hAnsi="Times New Roman" w:cs="Times New Roman"/>
          <w:sz w:val="28"/>
          <w:szCs w:val="28"/>
        </w:rPr>
        <w:t xml:space="preserve">. Therefore, starting from a two-fold increase, the wells were practically cell-free and did not differ significantly from the 5-fold increase, as shown in Figure 28.   </w:t>
      </w:r>
      <w:bookmarkEnd w:id="39"/>
    </w:p>
    <w:p w14:paraId="4B01734C" w14:textId="77777777" w:rsidR="00326CAD" w:rsidRPr="00326CAD" w:rsidRDefault="00326CAD" w:rsidP="00D00C9C">
      <w:pPr>
        <w:spacing w:after="0" w:line="240" w:lineRule="auto"/>
        <w:jc w:val="both"/>
        <w:rPr>
          <w:rFonts w:ascii="Times New Roman" w:hAnsi="Times New Roman" w:cs="Times New Roman"/>
          <w:sz w:val="28"/>
          <w:szCs w:val="28"/>
        </w:rPr>
      </w:pPr>
    </w:p>
    <w:tbl>
      <w:tblPr>
        <w:tblW w:w="9638" w:type="dxa"/>
        <w:jc w:val="center"/>
        <w:tblLook w:val="04A0" w:firstRow="1" w:lastRow="0" w:firstColumn="1" w:lastColumn="0" w:noHBand="0" w:noVBand="1"/>
      </w:tblPr>
      <w:tblGrid>
        <w:gridCol w:w="3582"/>
        <w:gridCol w:w="3494"/>
        <w:gridCol w:w="2562"/>
      </w:tblGrid>
      <w:tr w:rsidR="00226539" w:rsidRPr="006531C9" w14:paraId="352BD9CB" w14:textId="77777777" w:rsidTr="00D00C9C">
        <w:trPr>
          <w:trHeight w:val="515"/>
          <w:jc w:val="center"/>
        </w:trPr>
        <w:tc>
          <w:tcPr>
            <w:tcW w:w="3575" w:type="dxa"/>
          </w:tcPr>
          <w:p w14:paraId="5C6EB0F1" w14:textId="5A2120EA" w:rsidR="00226539" w:rsidRPr="006531C9" w:rsidRDefault="00852704" w:rsidP="00123459">
            <w:pPr>
              <w:spacing w:after="0" w:line="360" w:lineRule="auto"/>
              <w:ind w:firstLineChars="14" w:firstLine="34"/>
              <w:jc w:val="both"/>
              <w:rPr>
                <w:rFonts w:ascii="Times New Roman" w:hAnsi="Times New Roman" w:cs="Times New Roman"/>
                <w:sz w:val="24"/>
                <w:szCs w:val="24"/>
              </w:rPr>
            </w:pPr>
            <w:r w:rsidRPr="006531C9">
              <w:rPr>
                <w:rFonts w:ascii="Times New Roman" w:hAnsi="Times New Roman" w:cs="Times New Roman"/>
                <w:noProof/>
                <w:sz w:val="24"/>
                <w:szCs w:val="24"/>
              </w:rPr>
              <mc:AlternateContent>
                <mc:Choice Requires="wps">
                  <w:drawing>
                    <wp:anchor distT="0" distB="0" distL="114300" distR="114300" simplePos="0" relativeHeight="251676160" behindDoc="0" locked="0" layoutInCell="1" allowOverlap="1" wp14:anchorId="3D78EC81" wp14:editId="3BB106C5">
                      <wp:simplePos x="0" y="0"/>
                      <wp:positionH relativeFrom="column">
                        <wp:posOffset>1456699</wp:posOffset>
                      </wp:positionH>
                      <wp:positionV relativeFrom="paragraph">
                        <wp:posOffset>1874833</wp:posOffset>
                      </wp:positionV>
                      <wp:extent cx="628650" cy="413703"/>
                      <wp:effectExtent l="0" t="0" r="19050" b="24765"/>
                      <wp:wrapNone/>
                      <wp:docPr id="1179908322" name="Надпись 52"/>
                      <wp:cNvGraphicFramePr/>
                      <a:graphic xmlns:a="http://schemas.openxmlformats.org/drawingml/2006/main">
                        <a:graphicData uri="http://schemas.microsoft.com/office/word/2010/wordprocessingShape">
                          <wps:wsp>
                            <wps:cNvSpPr txBox="1"/>
                            <wps:spPr>
                              <a:xfrm>
                                <a:off x="0" y="0"/>
                                <a:ext cx="628650" cy="413703"/>
                              </a:xfrm>
                              <a:prstGeom prst="rect">
                                <a:avLst/>
                              </a:prstGeom>
                              <a:solidFill>
                                <a:schemeClr val="lt1"/>
                              </a:solidFill>
                              <a:ln w="6350">
                                <a:solidFill>
                                  <a:prstClr val="black"/>
                                </a:solidFill>
                              </a:ln>
                            </wps:spPr>
                            <wps:txbx>
                              <w:txbxContent>
                                <w:p w14:paraId="7BC9F5EA" w14:textId="09F434CE" w:rsidR="00852704" w:rsidRPr="006531C9" w:rsidRDefault="00852704" w:rsidP="00852704">
                                  <w:pPr>
                                    <w:rPr>
                                      <w:b/>
                                      <w:bCs/>
                                      <w:sz w:val="40"/>
                                      <w:szCs w:val="40"/>
                                    </w:rPr>
                                  </w:pPr>
                                  <w:r w:rsidRPr="006531C9">
                                    <w:rPr>
                                      <w:b/>
                                      <w:bCs/>
                                      <w:sz w:val="40"/>
                                      <w:szCs w:val="40"/>
                                    </w:rPr>
                                    <w:t>27X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8EC81" id="_x0000_s1033" type="#_x0000_t202" style="position:absolute;left:0;text-align:left;margin-left:114.7pt;margin-top:147.6pt;width:49.5pt;height:32.6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" fillcolor="white [3201]" strokeweight=".5pt">
                      <v:textbox>
                        <w:txbxContent>
                          <w:p w14:paraId="7BC9F5EA" w14:textId="09F434CE" w:rsidR="00852704" w:rsidRPr="006531C9" w:rsidRDefault="00852704" w:rsidP="00852704">
                            <w:pPr>
                              <w:rPr>
                                <w:b/>
                                <w:bCs/>
                                <w:sz w:val="40"/>
                                <w:szCs w:val="40"/>
                              </w:rPr>
                            </w:pPr>
                            <w:r w:rsidRPr="006531C9">
                              <w:rPr>
                                <w:b/>
                                <w:bCs/>
                                <w:sz w:val="40"/>
                                <w:szCs w:val="40"/>
                              </w:rPr>
                              <w:t>27X</w:t>
                            </w:r>
                          </w:p>
                        </w:txbxContent>
                      </v:textbox>
                    </v:shape>
                  </w:pict>
                </mc:Fallback>
              </mc:AlternateContent>
            </w:r>
            <w:r w:rsidR="00853685" w:rsidRPr="006531C9">
              <w:rPr>
                <w:rFonts w:ascii="Times New Roman" w:hAnsi="Times New Roman" w:cs="Times New Roman"/>
                <w:noProof/>
                <w:sz w:val="24"/>
                <w:szCs w:val="24"/>
              </w:rPr>
              <w:drawing>
                <wp:inline distT="0" distB="0" distL="0" distR="0" wp14:anchorId="78B2802A" wp14:editId="4A95D53C">
                  <wp:extent cx="2124089" cy="2047229"/>
                  <wp:effectExtent l="635" t="0" r="0" b="0"/>
                  <wp:docPr id="376396193" name="Рисунок 24" descr="C:\Users\Yerbol\Desktop\New\Новая папка\рибоверин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96193" name="Рисунок 24" descr="C:\Users\Yerbol\Desktop\New\Новая папка\рибоверин 5.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rot="5400000">
                            <a:off x="0" y="0"/>
                            <a:ext cx="2126842" cy="2049883"/>
                          </a:xfrm>
                          <a:prstGeom prst="rect">
                            <a:avLst/>
                          </a:prstGeom>
                          <a:noFill/>
                          <a:ln>
                            <a:noFill/>
                          </a:ln>
                        </pic:spPr>
                      </pic:pic>
                    </a:graphicData>
                  </a:graphic>
                </wp:inline>
              </w:drawing>
            </w:r>
          </w:p>
          <w:p w14:paraId="1D86E405" w14:textId="77777777" w:rsidR="00226539" w:rsidRPr="006531C9" w:rsidRDefault="00853685" w:rsidP="000B4B42">
            <w:pPr>
              <w:spacing w:line="360" w:lineRule="auto"/>
              <w:ind w:firstLineChars="709" w:firstLine="1702"/>
              <w:jc w:val="both"/>
              <w:rPr>
                <w:rFonts w:ascii="Times New Roman" w:hAnsi="Times New Roman" w:cs="Times New Roman"/>
                <w:sz w:val="24"/>
                <w:szCs w:val="24"/>
              </w:rPr>
            </w:pPr>
            <w:r w:rsidRPr="006531C9">
              <w:rPr>
                <w:rFonts w:ascii="Times New Roman" w:hAnsi="Times New Roman" w:cs="Times New Roman"/>
                <w:sz w:val="24"/>
                <w:szCs w:val="24"/>
              </w:rPr>
              <w:t>A</w:t>
            </w:r>
          </w:p>
        </w:tc>
        <w:tc>
          <w:tcPr>
            <w:tcW w:w="3445" w:type="dxa"/>
          </w:tcPr>
          <w:p w14:paraId="5AE65ED1" w14:textId="291034C6" w:rsidR="00226539" w:rsidRPr="006531C9" w:rsidRDefault="00853685" w:rsidP="00123459">
            <w:pPr>
              <w:spacing w:after="0" w:line="360" w:lineRule="auto"/>
              <w:ind w:left="-1542" w:firstLineChars="709" w:firstLine="1702"/>
              <w:jc w:val="both"/>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5C0012FE" wp14:editId="46D8D514">
                  <wp:extent cx="2104519" cy="1991444"/>
                  <wp:effectExtent l="0" t="635" r="0" b="0"/>
                  <wp:docPr id="1161031591" name="Рисунок 23" descr="C:\Users\Yerbol\Desktop\New\Новая папка\рибоверин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031591" name="Рисунок 23" descr="C:\Users\Yerbol\Desktop\New\Новая папка\рибоверин 4.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rot="5400000">
                            <a:off x="0" y="0"/>
                            <a:ext cx="2105677" cy="1992540"/>
                          </a:xfrm>
                          <a:prstGeom prst="rect">
                            <a:avLst/>
                          </a:prstGeom>
                          <a:noFill/>
                          <a:ln>
                            <a:noFill/>
                          </a:ln>
                        </pic:spPr>
                      </pic:pic>
                    </a:graphicData>
                  </a:graphic>
                </wp:inline>
              </w:drawing>
            </w:r>
          </w:p>
          <w:p w14:paraId="52D0714F" w14:textId="2C2F8BBC" w:rsidR="00226539" w:rsidRPr="006531C9" w:rsidRDefault="00753122" w:rsidP="000B4B42">
            <w:pPr>
              <w:spacing w:line="360" w:lineRule="auto"/>
              <w:ind w:firstLineChars="709" w:firstLine="1702"/>
              <w:jc w:val="both"/>
              <w:rPr>
                <w:rFonts w:ascii="Times New Roman" w:hAnsi="Times New Roman" w:cs="Times New Roman"/>
                <w:sz w:val="24"/>
                <w:szCs w:val="24"/>
              </w:rPr>
            </w:pPr>
            <w:r w:rsidRPr="006531C9">
              <w:rPr>
                <w:rFonts w:ascii="Times New Roman" w:hAnsi="Times New Roman" w:cs="Times New Roman"/>
                <w:sz w:val="24"/>
                <w:szCs w:val="24"/>
              </w:rPr>
              <w:t>B</w:t>
            </w:r>
          </w:p>
        </w:tc>
        <w:tc>
          <w:tcPr>
            <w:tcW w:w="2618" w:type="dxa"/>
          </w:tcPr>
          <w:p w14:paraId="2197C76E" w14:textId="77777777" w:rsidR="00226539" w:rsidRPr="006531C9" w:rsidRDefault="00853685" w:rsidP="00123459">
            <w:pPr>
              <w:spacing w:after="0" w:line="360" w:lineRule="auto"/>
              <w:ind w:left="-1814" w:firstLineChars="709" w:firstLine="1702"/>
              <w:jc w:val="both"/>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45EBA872" wp14:editId="14870370">
                  <wp:extent cx="2082987" cy="1503979"/>
                  <wp:effectExtent l="3810" t="0" r="0" b="0"/>
                  <wp:docPr id="397596150" name="Рисунок 22" descr="C:\Users\Yerbol\Desktop\New\Новая папка\рибоверин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596150" name="Рисунок 22" descr="C:\Users\Yerbol\Desktop\New\Новая папка\рибоверин 3.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rot="5400000">
                            <a:off x="0" y="0"/>
                            <a:ext cx="2084214" cy="1504865"/>
                          </a:xfrm>
                          <a:prstGeom prst="rect">
                            <a:avLst/>
                          </a:prstGeom>
                          <a:noFill/>
                          <a:ln>
                            <a:noFill/>
                          </a:ln>
                        </pic:spPr>
                      </pic:pic>
                    </a:graphicData>
                  </a:graphic>
                </wp:inline>
              </w:drawing>
            </w:r>
          </w:p>
          <w:p w14:paraId="56CA97BC" w14:textId="77777777" w:rsidR="00226539" w:rsidRPr="006531C9" w:rsidRDefault="00853685" w:rsidP="000B4B42">
            <w:pPr>
              <w:spacing w:line="360" w:lineRule="auto"/>
              <w:ind w:firstLineChars="709" w:firstLine="1702"/>
              <w:jc w:val="both"/>
              <w:rPr>
                <w:rFonts w:ascii="Times New Roman" w:hAnsi="Times New Roman" w:cs="Times New Roman"/>
                <w:sz w:val="24"/>
                <w:szCs w:val="24"/>
              </w:rPr>
            </w:pPr>
            <w:r w:rsidRPr="006531C9">
              <w:rPr>
                <w:rFonts w:ascii="Times New Roman" w:hAnsi="Times New Roman" w:cs="Times New Roman"/>
                <w:sz w:val="24"/>
                <w:szCs w:val="24"/>
              </w:rPr>
              <w:t xml:space="preserve"> C</w:t>
            </w:r>
          </w:p>
        </w:tc>
      </w:tr>
      <w:tr w:rsidR="00226539" w:rsidRPr="006531C9" w14:paraId="3B706776" w14:textId="77777777" w:rsidTr="00D00C9C">
        <w:trPr>
          <w:trHeight w:val="523"/>
          <w:jc w:val="center"/>
        </w:trPr>
        <w:tc>
          <w:tcPr>
            <w:tcW w:w="3575" w:type="dxa"/>
          </w:tcPr>
          <w:p w14:paraId="6E4F1A0F" w14:textId="77777777" w:rsidR="00226539" w:rsidRPr="006531C9" w:rsidRDefault="00853685" w:rsidP="00123459">
            <w:pPr>
              <w:spacing w:after="0" w:line="360" w:lineRule="auto"/>
              <w:ind w:right="403"/>
              <w:jc w:val="both"/>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1D51A360" wp14:editId="4E4B66CA">
                  <wp:extent cx="2029751" cy="1890675"/>
                  <wp:effectExtent l="0" t="6668" r="2223" b="2222"/>
                  <wp:docPr id="763244448" name="Рисунок 21" descr="C:\Users\Yerbol\Desktop\New\Новая папка\рибоверин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244448" name="Рисунок 21" descr="C:\Users\Yerbol\Desktop\New\Новая папка\рибоверин 2.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rot="5400000">
                            <a:off x="0" y="0"/>
                            <a:ext cx="2055147" cy="1914331"/>
                          </a:xfrm>
                          <a:prstGeom prst="rect">
                            <a:avLst/>
                          </a:prstGeom>
                          <a:noFill/>
                          <a:ln>
                            <a:noFill/>
                          </a:ln>
                        </pic:spPr>
                      </pic:pic>
                    </a:graphicData>
                  </a:graphic>
                </wp:inline>
              </w:drawing>
            </w:r>
          </w:p>
          <w:p w14:paraId="6BA79F11" w14:textId="77777777" w:rsidR="00226539" w:rsidRPr="006531C9" w:rsidRDefault="00853685" w:rsidP="000B4B42">
            <w:pPr>
              <w:spacing w:line="360" w:lineRule="auto"/>
              <w:ind w:firstLineChars="709" w:firstLine="1702"/>
              <w:jc w:val="both"/>
              <w:rPr>
                <w:rFonts w:ascii="Times New Roman" w:hAnsi="Times New Roman" w:cs="Times New Roman"/>
                <w:sz w:val="24"/>
                <w:szCs w:val="24"/>
              </w:rPr>
            </w:pPr>
            <w:r w:rsidRPr="006531C9">
              <w:rPr>
                <w:rFonts w:ascii="Times New Roman" w:hAnsi="Times New Roman" w:cs="Times New Roman"/>
                <w:sz w:val="24"/>
                <w:szCs w:val="24"/>
              </w:rPr>
              <w:t>D</w:t>
            </w:r>
          </w:p>
        </w:tc>
        <w:tc>
          <w:tcPr>
            <w:tcW w:w="3445" w:type="dxa"/>
          </w:tcPr>
          <w:p w14:paraId="188E457E" w14:textId="77777777" w:rsidR="00226539" w:rsidRPr="006531C9" w:rsidRDefault="00853685" w:rsidP="00123459">
            <w:pPr>
              <w:spacing w:after="0" w:line="360" w:lineRule="auto"/>
              <w:ind w:left="-601" w:firstLineChars="300" w:firstLine="720"/>
              <w:jc w:val="both"/>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65681088" wp14:editId="020C3ADE">
                  <wp:extent cx="2000132" cy="1790856"/>
                  <wp:effectExtent l="9208" t="0" r="0" b="0"/>
                  <wp:docPr id="18509652" name="Рисунок 20" descr="C:\Users\Yerbol\Desktop\New\Новая папка\рибоверин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9652" name="Рисунок 20" descr="C:\Users\Yerbol\Desktop\New\Новая папка\рибоверин 1.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rot="5400000">
                            <a:off x="0" y="0"/>
                            <a:ext cx="2031583" cy="1819016"/>
                          </a:xfrm>
                          <a:prstGeom prst="rect">
                            <a:avLst/>
                          </a:prstGeom>
                          <a:noFill/>
                          <a:ln>
                            <a:noFill/>
                          </a:ln>
                        </pic:spPr>
                      </pic:pic>
                    </a:graphicData>
                  </a:graphic>
                </wp:inline>
              </w:drawing>
            </w:r>
          </w:p>
          <w:p w14:paraId="250C9F0F" w14:textId="77777777" w:rsidR="00226539" w:rsidRPr="006531C9" w:rsidRDefault="00853685" w:rsidP="000B4B42">
            <w:pPr>
              <w:spacing w:line="360" w:lineRule="auto"/>
              <w:ind w:firstLineChars="709" w:firstLine="1702"/>
              <w:jc w:val="both"/>
              <w:rPr>
                <w:rFonts w:ascii="Times New Roman" w:hAnsi="Times New Roman" w:cs="Times New Roman"/>
                <w:sz w:val="24"/>
                <w:szCs w:val="24"/>
              </w:rPr>
            </w:pPr>
            <w:r w:rsidRPr="006531C9">
              <w:rPr>
                <w:rFonts w:ascii="Times New Roman" w:hAnsi="Times New Roman" w:cs="Times New Roman"/>
                <w:color w:val="000000" w:themeColor="text1"/>
                <w:sz w:val="24"/>
                <w:szCs w:val="24"/>
              </w:rPr>
              <w:t>E</w:t>
            </w:r>
          </w:p>
        </w:tc>
        <w:tc>
          <w:tcPr>
            <w:tcW w:w="2618" w:type="dxa"/>
          </w:tcPr>
          <w:p w14:paraId="703EC356" w14:textId="77777777" w:rsidR="00226539" w:rsidRPr="006531C9" w:rsidRDefault="00853685" w:rsidP="00123459">
            <w:pPr>
              <w:spacing w:after="0" w:line="360" w:lineRule="auto"/>
              <w:ind w:leftChars="-25" w:hangingChars="23" w:hanging="55"/>
              <w:jc w:val="both"/>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49F8E455" wp14:editId="58B78C1C">
                  <wp:extent cx="1964768" cy="1525364"/>
                  <wp:effectExtent l="0" t="8890" r="7620" b="7620"/>
                  <wp:docPr id="445691278" name="Рисунок 19" descr="C:\Users\Yerbol\Desktop\New\Новая папка\КК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91278" name="Рисунок 19" descr="C:\Users\Yerbol\Desktop\New\Новая папка\КК 6.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rot="5400000">
                            <a:off x="0" y="0"/>
                            <a:ext cx="1989945" cy="1544910"/>
                          </a:xfrm>
                          <a:prstGeom prst="rect">
                            <a:avLst/>
                          </a:prstGeom>
                          <a:noFill/>
                          <a:ln>
                            <a:noFill/>
                          </a:ln>
                        </pic:spPr>
                      </pic:pic>
                    </a:graphicData>
                  </a:graphic>
                </wp:inline>
              </w:drawing>
            </w:r>
          </w:p>
          <w:p w14:paraId="32D89F9F" w14:textId="77777777" w:rsidR="00226539" w:rsidRPr="006531C9" w:rsidRDefault="00853685" w:rsidP="000B4B42">
            <w:pPr>
              <w:spacing w:line="360" w:lineRule="auto"/>
              <w:ind w:firstLineChars="709" w:firstLine="1702"/>
              <w:jc w:val="both"/>
              <w:rPr>
                <w:rFonts w:ascii="Times New Roman" w:hAnsi="Times New Roman" w:cs="Times New Roman"/>
                <w:sz w:val="24"/>
                <w:szCs w:val="24"/>
              </w:rPr>
            </w:pPr>
            <w:r w:rsidRPr="006531C9">
              <w:rPr>
                <w:rFonts w:ascii="Times New Roman" w:hAnsi="Times New Roman" w:cs="Times New Roman"/>
                <w:sz w:val="24"/>
                <w:szCs w:val="24"/>
              </w:rPr>
              <w:t xml:space="preserve">  F</w:t>
            </w:r>
          </w:p>
        </w:tc>
      </w:tr>
    </w:tbl>
    <w:p w14:paraId="34C0AC46" w14:textId="2E1F5EE6" w:rsidR="005A53D0" w:rsidRPr="00326CAD" w:rsidRDefault="00853685" w:rsidP="00326CAD">
      <w:pPr>
        <w:spacing w:after="0" w:line="240" w:lineRule="auto"/>
        <w:jc w:val="center"/>
        <w:rPr>
          <w:rFonts w:ascii="Times New Roman" w:hAnsi="Times New Roman" w:cs="Times New Roman"/>
          <w:sz w:val="28"/>
          <w:szCs w:val="28"/>
          <w:lang w:val="en-US"/>
        </w:rPr>
      </w:pPr>
      <w:r w:rsidRPr="00326CAD">
        <w:rPr>
          <w:rFonts w:ascii="Times New Roman" w:hAnsi="Times New Roman" w:cs="Times New Roman"/>
          <w:sz w:val="28"/>
          <w:szCs w:val="28"/>
        </w:rPr>
        <w:t xml:space="preserve">Figure </w:t>
      </w:r>
      <w:r w:rsidR="00123459" w:rsidRPr="00326CAD">
        <w:rPr>
          <w:rFonts w:ascii="Times New Roman" w:hAnsi="Times New Roman" w:cs="Times New Roman"/>
          <w:sz w:val="28"/>
          <w:szCs w:val="28"/>
          <w:lang w:val="en-US"/>
        </w:rPr>
        <w:t>28</w:t>
      </w:r>
      <w:r w:rsidRPr="00326CAD">
        <w:rPr>
          <w:rFonts w:ascii="Times New Roman" w:hAnsi="Times New Roman" w:cs="Times New Roman"/>
          <w:sz w:val="28"/>
          <w:szCs w:val="28"/>
        </w:rPr>
        <w:t xml:space="preserve"> </w:t>
      </w:r>
      <w:r w:rsidR="004B3B45" w:rsidRPr="00326CAD">
        <w:rPr>
          <w:rFonts w:ascii="Times New Roman" w:hAnsi="Times New Roman" w:cs="Times New Roman"/>
          <w:b/>
          <w:bCs/>
          <w:sz w:val="28"/>
          <w:szCs w:val="28"/>
        </w:rPr>
        <w:t>–</w:t>
      </w:r>
      <w:r w:rsidRPr="00326CAD">
        <w:rPr>
          <w:rFonts w:ascii="Times New Roman" w:hAnsi="Times New Roman" w:cs="Times New Roman"/>
          <w:sz w:val="28"/>
          <w:szCs w:val="28"/>
        </w:rPr>
        <w:t xml:space="preserve">Determination of the cytotoxicity of Ribavirin in Vero cell </w:t>
      </w:r>
      <w:r w:rsidR="00123459" w:rsidRPr="00326CAD">
        <w:rPr>
          <w:rFonts w:ascii="Times New Roman" w:hAnsi="Times New Roman" w:cs="Times New Roman"/>
          <w:sz w:val="28"/>
          <w:szCs w:val="28"/>
        </w:rPr>
        <w:t>culture A</w:t>
      </w:r>
      <w:r w:rsidRPr="00326CAD">
        <w:rPr>
          <w:rFonts w:ascii="Times New Roman" w:hAnsi="Times New Roman" w:cs="Times New Roman"/>
          <w:sz w:val="28"/>
          <w:szCs w:val="28"/>
        </w:rPr>
        <w:t xml:space="preserve"> – 200 µg, B – 150 µg, C – 100 µg, D – 75 µg, E – 50 µg, F – Vero control</w:t>
      </w:r>
      <w:r w:rsidR="00456E5E" w:rsidRPr="00326CAD">
        <w:rPr>
          <w:rFonts w:ascii="Times New Roman" w:hAnsi="Times New Roman" w:cs="Times New Roman"/>
          <w:sz w:val="28"/>
          <w:szCs w:val="28"/>
        </w:rPr>
        <w:t xml:space="preserve"> (untreated)</w:t>
      </w:r>
      <w:r w:rsidRPr="00326CAD">
        <w:rPr>
          <w:rFonts w:ascii="Times New Roman" w:hAnsi="Times New Roman" w:cs="Times New Roman"/>
          <w:sz w:val="28"/>
          <w:szCs w:val="28"/>
        </w:rPr>
        <w:t>.</w:t>
      </w:r>
      <w:r w:rsidR="0005231D" w:rsidRPr="00326CAD">
        <w:rPr>
          <w:rFonts w:ascii="Times New Roman" w:hAnsi="Times New Roman" w:cs="Times New Roman"/>
          <w:sz w:val="28"/>
          <w:szCs w:val="28"/>
        </w:rPr>
        <w:t>72-hour exposure, n = 3</w:t>
      </w:r>
      <w:r w:rsidR="00C62618" w:rsidRPr="00326CAD">
        <w:rPr>
          <w:rFonts w:ascii="Times New Roman" w:hAnsi="Times New Roman" w:cs="Times New Roman"/>
          <w:sz w:val="28"/>
          <w:szCs w:val="28"/>
        </w:rPr>
        <w:t>.</w:t>
      </w:r>
      <w:r w:rsidR="00456E5E" w:rsidRPr="00326CAD">
        <w:rPr>
          <w:rFonts w:ascii="Times New Roman" w:hAnsi="Times New Roman" w:cs="Times New Roman"/>
          <w:sz w:val="28"/>
          <w:szCs w:val="28"/>
        </w:rPr>
        <w:t xml:space="preserve"> Main Absorbance Wavelength: 450 nm</w:t>
      </w:r>
    </w:p>
    <w:p w14:paraId="41953649" w14:textId="77777777" w:rsidR="0073016F" w:rsidRPr="00326CAD" w:rsidRDefault="0073016F" w:rsidP="00326CAD">
      <w:pPr>
        <w:spacing w:after="0" w:line="240" w:lineRule="auto"/>
        <w:ind w:firstLineChars="709" w:firstLine="1985"/>
        <w:jc w:val="center"/>
        <w:rPr>
          <w:rFonts w:ascii="Times New Roman" w:hAnsi="Times New Roman" w:cs="Times New Roman"/>
          <w:sz w:val="28"/>
          <w:szCs w:val="28"/>
        </w:rPr>
      </w:pPr>
      <w:bookmarkStart w:id="40" w:name="_Hlk157465651"/>
    </w:p>
    <w:p w14:paraId="41F66839" w14:textId="38080049" w:rsidR="00226539" w:rsidRPr="00326CAD" w:rsidRDefault="00DE63E2" w:rsidP="007C7692">
      <w:pPr>
        <w:spacing w:after="0" w:line="240" w:lineRule="auto"/>
        <w:ind w:firstLine="708"/>
        <w:jc w:val="both"/>
        <w:rPr>
          <w:rFonts w:ascii="Times New Roman" w:hAnsi="Times New Roman" w:cs="Times New Roman"/>
          <w:sz w:val="28"/>
          <w:szCs w:val="28"/>
        </w:rPr>
      </w:pPr>
      <w:r w:rsidRPr="00326CAD">
        <w:rPr>
          <w:rFonts w:ascii="Times New Roman" w:hAnsi="Times New Roman" w:cs="Times New Roman"/>
          <w:sz w:val="28"/>
          <w:szCs w:val="28"/>
        </w:rPr>
        <w:t xml:space="preserve">Vero control means that no drug was added, and </w:t>
      </w:r>
      <w:r w:rsidR="007C7692">
        <w:rPr>
          <w:rFonts w:ascii="Times New Roman" w:hAnsi="Times New Roman" w:cs="Times New Roman"/>
          <w:sz w:val="28"/>
          <w:szCs w:val="28"/>
        </w:rPr>
        <w:t>the cells showed no cytotoxicity</w:t>
      </w:r>
      <w:r w:rsidRPr="00326CAD">
        <w:rPr>
          <w:rFonts w:ascii="Times New Roman" w:hAnsi="Times New Roman" w:cs="Times New Roman"/>
          <w:sz w:val="28"/>
          <w:szCs w:val="28"/>
        </w:rPr>
        <w:t xml:space="preserve">; as a result, Vero cells successfully proliferated throughout the entire cell viability assay. The subsequent CCK8 cell viability measures were obtained: 50 µg: </w:t>
      </w:r>
      <w:r w:rsidRPr="00326CAD">
        <w:rPr>
          <w:rFonts w:ascii="Times New Roman" w:hAnsi="Times New Roman" w:cs="Times New Roman"/>
          <w:sz w:val="28"/>
          <w:szCs w:val="28"/>
        </w:rPr>
        <w:lastRenderedPageBreak/>
        <w:t>75-80%±0.03, 75 µg: 55-65%±0.03, 100 µg: 35-40%±0.03, 150 µg: 20-25% ±0.03, and 200 µg: 10-15% ±0.03</w:t>
      </w:r>
      <w:bookmarkEnd w:id="40"/>
      <w:r w:rsidR="00056A15">
        <w:rPr>
          <w:rFonts w:ascii="Times New Roman" w:hAnsi="Times New Roman" w:cs="Times New Roman"/>
          <w:sz w:val="28"/>
          <w:szCs w:val="28"/>
        </w:rPr>
        <w:t>.</w:t>
      </w:r>
      <w:r w:rsidR="007C7692">
        <w:rPr>
          <w:rFonts w:ascii="Times New Roman" w:hAnsi="Times New Roman" w:cs="Times New Roman"/>
          <w:sz w:val="28"/>
          <w:szCs w:val="28"/>
        </w:rPr>
        <w:t xml:space="preserve"> </w:t>
      </w:r>
      <w:r w:rsidRPr="00326CAD">
        <w:rPr>
          <w:rFonts w:ascii="Times New Roman" w:hAnsi="Times New Roman" w:cs="Times New Roman"/>
          <w:sz w:val="28"/>
          <w:szCs w:val="28"/>
        </w:rPr>
        <w:t xml:space="preserve">According to Figure 29, the cytotoxicity assessment of Tenvir (tenofovir disoproxil fumarate) on Vero E6 cell cultures </w:t>
      </w:r>
      <w:r w:rsidR="007C7692">
        <w:rPr>
          <w:rFonts w:ascii="Times New Roman" w:hAnsi="Times New Roman" w:cs="Times New Roman"/>
          <w:sz w:val="28"/>
          <w:szCs w:val="28"/>
        </w:rPr>
        <w:t>shows a relationship between drug concentration and cellular viability,</w:t>
      </w:r>
      <w:r w:rsidRPr="00326CAD">
        <w:rPr>
          <w:rFonts w:ascii="Times New Roman" w:hAnsi="Times New Roman" w:cs="Times New Roman"/>
          <w:sz w:val="28"/>
          <w:szCs w:val="28"/>
        </w:rPr>
        <w:t xml:space="preserve"> as determined by the CCK-8 assay. The data clearly demonstrate a dose-dependent decline in cell viability, indicating that Tenvir exerts significant </w:t>
      </w:r>
      <w:r w:rsidR="007C7692">
        <w:rPr>
          <w:rFonts w:ascii="Times New Roman" w:hAnsi="Times New Roman" w:cs="Times New Roman"/>
          <w:sz w:val="28"/>
          <w:szCs w:val="28"/>
        </w:rPr>
        <w:t>cytotoxicity even at relatively low</w:t>
      </w:r>
      <w:r w:rsidRPr="00326CAD">
        <w:rPr>
          <w:rFonts w:ascii="Times New Roman" w:hAnsi="Times New Roman" w:cs="Times New Roman"/>
          <w:sz w:val="28"/>
          <w:szCs w:val="28"/>
        </w:rPr>
        <w:t xml:space="preserve"> concentrations. At lower concentrations (50 µg/mL), cell viability remained high (90–95 %), suggesting negligible cytotoxicity and suitability for subsequent antiviral testing. However, progressive increases in concentration resulted in a marked reduction in viability — approximately 85–90 % at 75 µg/mL, 75–80 % at 100 µg/mL, 65–70 % at 150 µg/mL, and 50–55 % at 200 µg/mL — demonstrating clear cytotoxic thresholds. The steep decline beyond 100 µg/mL suggests that Tenvir’s therapeutic window in vitro is narrow, with effective antiviral concentrations approaching levels that are detrimental to cell integrity. </w:t>
      </w:r>
    </w:p>
    <w:p w14:paraId="250927D4" w14:textId="7E41DEB6" w:rsidR="00226539" w:rsidRPr="00326CAD" w:rsidRDefault="00226539" w:rsidP="00326CAD">
      <w:pPr>
        <w:spacing w:line="240" w:lineRule="auto"/>
        <w:jc w:val="both"/>
        <w:rPr>
          <w:rFonts w:ascii="Times New Roman" w:hAnsi="Times New Roman" w:cs="Times New Roman"/>
          <w:b/>
          <w:bCs/>
          <w:sz w:val="28"/>
          <w:szCs w:val="28"/>
        </w:rPr>
      </w:pPr>
      <w:bookmarkStart w:id="41" w:name="_Hlk170050434"/>
    </w:p>
    <w:tbl>
      <w:tblPr>
        <w:tblW w:w="0" w:type="auto"/>
        <w:tblLook w:val="04A0" w:firstRow="1" w:lastRow="0" w:firstColumn="1" w:lastColumn="0" w:noHBand="0" w:noVBand="1"/>
      </w:tblPr>
      <w:tblGrid>
        <w:gridCol w:w="5434"/>
        <w:gridCol w:w="4204"/>
      </w:tblGrid>
      <w:tr w:rsidR="00226539" w:rsidRPr="006531C9" w14:paraId="421B5F4A" w14:textId="77777777">
        <w:trPr>
          <w:trHeight w:val="3611"/>
        </w:trPr>
        <w:tc>
          <w:tcPr>
            <w:tcW w:w="4633" w:type="dxa"/>
          </w:tcPr>
          <w:p w14:paraId="6B49B0AD" w14:textId="5DC78647" w:rsidR="00226539" w:rsidRPr="006531C9" w:rsidRDefault="00852704" w:rsidP="00BB2EB8">
            <w:pPr>
              <w:spacing w:after="0" w:line="360" w:lineRule="auto"/>
              <w:ind w:left="35" w:firstLineChars="14" w:firstLine="34"/>
              <w:jc w:val="both"/>
              <w:rPr>
                <w:rFonts w:ascii="Times New Roman" w:hAnsi="Times New Roman" w:cs="Times New Roman"/>
                <w:sz w:val="24"/>
                <w:szCs w:val="24"/>
              </w:rPr>
            </w:pPr>
            <w:r w:rsidRPr="006531C9">
              <w:rPr>
                <w:rFonts w:ascii="Times New Roman" w:hAnsi="Times New Roman" w:cs="Times New Roman"/>
                <w:noProof/>
                <w:sz w:val="24"/>
                <w:szCs w:val="24"/>
              </w:rPr>
              <mc:AlternateContent>
                <mc:Choice Requires="wps">
                  <w:drawing>
                    <wp:anchor distT="0" distB="0" distL="114300" distR="114300" simplePos="0" relativeHeight="251677184" behindDoc="0" locked="0" layoutInCell="1" allowOverlap="1" wp14:anchorId="10B594AF" wp14:editId="79163C86">
                      <wp:simplePos x="0" y="0"/>
                      <wp:positionH relativeFrom="column">
                        <wp:posOffset>1772920</wp:posOffset>
                      </wp:positionH>
                      <wp:positionV relativeFrom="paragraph">
                        <wp:posOffset>1433513</wp:posOffset>
                      </wp:positionV>
                      <wp:extent cx="628650" cy="413703"/>
                      <wp:effectExtent l="0" t="0" r="19050" b="24765"/>
                      <wp:wrapNone/>
                      <wp:docPr id="342033557" name="Надпись 52"/>
                      <wp:cNvGraphicFramePr/>
                      <a:graphic xmlns:a="http://schemas.openxmlformats.org/drawingml/2006/main">
                        <a:graphicData uri="http://schemas.microsoft.com/office/word/2010/wordprocessingShape">
                          <wps:wsp>
                            <wps:cNvSpPr txBox="1"/>
                            <wps:spPr>
                              <a:xfrm>
                                <a:off x="0" y="0"/>
                                <a:ext cx="628650" cy="413703"/>
                              </a:xfrm>
                              <a:prstGeom prst="rect">
                                <a:avLst/>
                              </a:prstGeom>
                              <a:solidFill>
                                <a:schemeClr val="lt1"/>
                              </a:solidFill>
                              <a:ln w="6350">
                                <a:solidFill>
                                  <a:prstClr val="black"/>
                                </a:solidFill>
                              </a:ln>
                            </wps:spPr>
                            <wps:txbx>
                              <w:txbxContent>
                                <w:p w14:paraId="08A0BE53" w14:textId="5649E8CC" w:rsidR="00852704" w:rsidRPr="006531C9" w:rsidRDefault="00852704" w:rsidP="00852704">
                                  <w:pPr>
                                    <w:rPr>
                                      <w:b/>
                                      <w:bCs/>
                                      <w:sz w:val="40"/>
                                      <w:szCs w:val="40"/>
                                    </w:rPr>
                                  </w:pPr>
                                  <w:r w:rsidRPr="006531C9">
                                    <w:rPr>
                                      <w:b/>
                                      <w:bCs/>
                                      <w:sz w:val="40"/>
                                      <w:szCs w:val="40"/>
                                    </w:rPr>
                                    <w:t>27X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594AF" id="_x0000_s1034" type="#_x0000_t202" style="position:absolute;left:0;text-align:left;margin-left:139.6pt;margin-top:112.9pt;width:49.5pt;height:32.6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" fillcolor="white [3201]" strokeweight=".5pt">
                      <v:textbox>
                        <w:txbxContent>
                          <w:p w14:paraId="08A0BE53" w14:textId="5649E8CC" w:rsidR="00852704" w:rsidRPr="006531C9" w:rsidRDefault="00852704" w:rsidP="00852704">
                            <w:pPr>
                              <w:rPr>
                                <w:b/>
                                <w:bCs/>
                                <w:sz w:val="40"/>
                                <w:szCs w:val="40"/>
                              </w:rPr>
                            </w:pPr>
                            <w:r w:rsidRPr="006531C9">
                              <w:rPr>
                                <w:b/>
                                <w:bCs/>
                                <w:sz w:val="40"/>
                                <w:szCs w:val="40"/>
                              </w:rPr>
                              <w:t>27X</w:t>
                            </w:r>
                          </w:p>
                        </w:txbxContent>
                      </v:textbox>
                    </v:shape>
                  </w:pict>
                </mc:Fallback>
              </mc:AlternateContent>
            </w:r>
            <w:r w:rsidR="00853685" w:rsidRPr="006531C9">
              <w:rPr>
                <w:rFonts w:ascii="Times New Roman" w:hAnsi="Times New Roman" w:cs="Times New Roman"/>
                <w:noProof/>
                <w:sz w:val="24"/>
                <w:szCs w:val="24"/>
              </w:rPr>
              <w:drawing>
                <wp:inline distT="0" distB="0" distL="0" distR="0" wp14:anchorId="2ECD79A8" wp14:editId="2CB93874">
                  <wp:extent cx="1879105" cy="2391759"/>
                  <wp:effectExtent l="0" t="8572" r="0" b="0"/>
                  <wp:docPr id="1779808052" name="Рисунок 28" descr="C:\Users\Yerbol\Desktop\New\Новая папка\Тенвир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808052" name="Рисунок 28" descr="C:\Users\Yerbol\Desktop\New\Новая папка\Тенвир 3.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rot="5400000">
                            <a:off x="0" y="0"/>
                            <a:ext cx="1898968" cy="2417041"/>
                          </a:xfrm>
                          <a:prstGeom prst="rect">
                            <a:avLst/>
                          </a:prstGeom>
                          <a:noFill/>
                          <a:ln>
                            <a:noFill/>
                          </a:ln>
                        </pic:spPr>
                      </pic:pic>
                    </a:graphicData>
                  </a:graphic>
                </wp:inline>
              </w:drawing>
            </w:r>
          </w:p>
          <w:p w14:paraId="050BD3B0" w14:textId="7F0BB596" w:rsidR="00226539" w:rsidRPr="006531C9" w:rsidRDefault="00853685" w:rsidP="00BB2EB8">
            <w:pPr>
              <w:spacing w:line="360" w:lineRule="auto"/>
              <w:ind w:left="35" w:firstLineChars="709" w:firstLine="1702"/>
              <w:rPr>
                <w:rFonts w:ascii="Times New Roman" w:hAnsi="Times New Roman" w:cs="Times New Roman"/>
                <w:sz w:val="24"/>
                <w:szCs w:val="24"/>
              </w:rPr>
            </w:pPr>
            <w:r w:rsidRPr="006531C9">
              <w:rPr>
                <w:rFonts w:ascii="Times New Roman" w:hAnsi="Times New Roman" w:cs="Times New Roman"/>
                <w:sz w:val="24"/>
                <w:szCs w:val="24"/>
              </w:rPr>
              <w:t>A</w:t>
            </w:r>
            <w:r w:rsidR="00753122" w:rsidRPr="006531C9">
              <w:rPr>
                <w:rFonts w:ascii="Times New Roman" w:hAnsi="Times New Roman" w:cs="Times New Roman"/>
                <w:sz w:val="24"/>
                <w:szCs w:val="24"/>
              </w:rPr>
              <w:t xml:space="preserve">                                 </w:t>
            </w:r>
          </w:p>
        </w:tc>
        <w:tc>
          <w:tcPr>
            <w:tcW w:w="4626" w:type="dxa"/>
          </w:tcPr>
          <w:p w14:paraId="31C4BDB6" w14:textId="77777777" w:rsidR="00226539" w:rsidRPr="006531C9" w:rsidRDefault="00853685" w:rsidP="00B46792">
            <w:pPr>
              <w:spacing w:after="0" w:line="360" w:lineRule="auto"/>
              <w:ind w:left="-227"/>
              <w:jc w:val="center"/>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54EA72ED" wp14:editId="64984FBD">
                  <wp:extent cx="1857625" cy="1997710"/>
                  <wp:effectExtent l="6033" t="0" r="0" b="0"/>
                  <wp:docPr id="2097847435" name="Рисунок 27" descr="C:\Users\Yerbol\Desktop\New\Новая папка\Тенвир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847435" name="Рисунок 27" descr="C:\Users\Yerbol\Desktop\New\Новая папка\Тенвир 2.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rot="5400000">
                            <a:off x="0" y="0"/>
                            <a:ext cx="1886582" cy="2028851"/>
                          </a:xfrm>
                          <a:prstGeom prst="rect">
                            <a:avLst/>
                          </a:prstGeom>
                          <a:noFill/>
                          <a:ln>
                            <a:noFill/>
                          </a:ln>
                        </pic:spPr>
                      </pic:pic>
                    </a:graphicData>
                  </a:graphic>
                </wp:inline>
              </w:drawing>
            </w:r>
          </w:p>
          <w:p w14:paraId="63AEC07D" w14:textId="1264ED01" w:rsidR="00226539" w:rsidRPr="006531C9" w:rsidRDefault="00753122" w:rsidP="00BB2EB8">
            <w:pPr>
              <w:spacing w:line="360" w:lineRule="auto"/>
              <w:ind w:left="35" w:firstLineChars="709" w:firstLine="1702"/>
              <w:jc w:val="both"/>
              <w:rPr>
                <w:rFonts w:ascii="Times New Roman" w:hAnsi="Times New Roman" w:cs="Times New Roman"/>
                <w:sz w:val="24"/>
                <w:szCs w:val="24"/>
              </w:rPr>
            </w:pPr>
            <w:r w:rsidRPr="006531C9">
              <w:rPr>
                <w:rFonts w:ascii="Times New Roman" w:hAnsi="Times New Roman" w:cs="Times New Roman"/>
                <w:sz w:val="24"/>
                <w:szCs w:val="24"/>
              </w:rPr>
              <w:t xml:space="preserve">  </w:t>
            </w:r>
            <w:r w:rsidR="00853685" w:rsidRPr="006531C9">
              <w:rPr>
                <w:rFonts w:ascii="Times New Roman" w:hAnsi="Times New Roman" w:cs="Times New Roman"/>
                <w:sz w:val="24"/>
                <w:szCs w:val="24"/>
              </w:rPr>
              <w:t>B</w:t>
            </w:r>
          </w:p>
        </w:tc>
      </w:tr>
      <w:tr w:rsidR="00226539" w:rsidRPr="006531C9" w14:paraId="3A51A689" w14:textId="77777777">
        <w:trPr>
          <w:trHeight w:val="3716"/>
        </w:trPr>
        <w:tc>
          <w:tcPr>
            <w:tcW w:w="4633" w:type="dxa"/>
          </w:tcPr>
          <w:p w14:paraId="2F237898" w14:textId="7609B04D" w:rsidR="00226539" w:rsidRPr="006531C9" w:rsidRDefault="00853685" w:rsidP="00BB2EB8">
            <w:pPr>
              <w:spacing w:after="0" w:line="360" w:lineRule="auto"/>
              <w:ind w:right="1610" w:firstLine="35"/>
              <w:jc w:val="center"/>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79D3D399" wp14:editId="5348D8FD">
                  <wp:extent cx="1971766" cy="2261506"/>
                  <wp:effectExtent l="7620" t="0" r="0" b="0"/>
                  <wp:docPr id="640223652" name="Рисунок 26" descr="C:\Users\Yerbol\Desktop\New\Новая папка\Тенвир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23652" name="Рисунок 26" descr="C:\Users\Yerbol\Desktop\New\Новая папка\Тенвир 1.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rot="5400000">
                            <a:off x="0" y="0"/>
                            <a:ext cx="1996142" cy="2289463"/>
                          </a:xfrm>
                          <a:prstGeom prst="rect">
                            <a:avLst/>
                          </a:prstGeom>
                          <a:noFill/>
                          <a:ln>
                            <a:noFill/>
                          </a:ln>
                        </pic:spPr>
                      </pic:pic>
                    </a:graphicData>
                  </a:graphic>
                </wp:inline>
              </w:drawing>
            </w:r>
          </w:p>
          <w:p w14:paraId="7ED62978" w14:textId="77777777" w:rsidR="00226539" w:rsidRPr="006531C9" w:rsidRDefault="00853685" w:rsidP="000B4B42">
            <w:pPr>
              <w:spacing w:line="360" w:lineRule="auto"/>
              <w:ind w:firstLineChars="709" w:firstLine="1702"/>
              <w:jc w:val="both"/>
              <w:rPr>
                <w:rFonts w:ascii="Times New Roman" w:hAnsi="Times New Roman" w:cs="Times New Roman"/>
                <w:sz w:val="24"/>
                <w:szCs w:val="24"/>
              </w:rPr>
            </w:pPr>
            <w:r w:rsidRPr="006531C9">
              <w:rPr>
                <w:rFonts w:ascii="Times New Roman" w:hAnsi="Times New Roman" w:cs="Times New Roman"/>
                <w:sz w:val="24"/>
                <w:szCs w:val="24"/>
              </w:rPr>
              <w:t>C</w:t>
            </w:r>
          </w:p>
        </w:tc>
        <w:tc>
          <w:tcPr>
            <w:tcW w:w="4626" w:type="dxa"/>
          </w:tcPr>
          <w:p w14:paraId="7901E105" w14:textId="77777777" w:rsidR="00226539" w:rsidRPr="006531C9" w:rsidRDefault="00853685" w:rsidP="00B46792">
            <w:pPr>
              <w:spacing w:after="0" w:line="360" w:lineRule="auto"/>
              <w:ind w:leftChars="-109" w:left="-2" w:hangingChars="99" w:hanging="238"/>
              <w:jc w:val="center"/>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423043C5" wp14:editId="1CBB2A0C">
                  <wp:extent cx="1960880" cy="2017031"/>
                  <wp:effectExtent l="0" t="8890" r="0" b="0"/>
                  <wp:docPr id="500845483" name="Рисунок 25" descr="C:\Users\Yerbol\Desktop\New\Новая папка\КК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45483" name="Рисунок 25" descr="C:\Users\Yerbol\Desktop\New\Новая папка\КК 3.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rot="5400000">
                            <a:off x="0" y="0"/>
                            <a:ext cx="1981743" cy="2038492"/>
                          </a:xfrm>
                          <a:prstGeom prst="rect">
                            <a:avLst/>
                          </a:prstGeom>
                          <a:noFill/>
                          <a:ln>
                            <a:noFill/>
                          </a:ln>
                        </pic:spPr>
                      </pic:pic>
                    </a:graphicData>
                  </a:graphic>
                </wp:inline>
              </w:drawing>
            </w:r>
          </w:p>
          <w:p w14:paraId="5822638B" w14:textId="77777777" w:rsidR="00226539" w:rsidRPr="006531C9" w:rsidRDefault="00853685" w:rsidP="000B4B42">
            <w:pPr>
              <w:spacing w:line="360" w:lineRule="auto"/>
              <w:ind w:firstLineChars="709" w:firstLine="1702"/>
              <w:jc w:val="both"/>
              <w:rPr>
                <w:rFonts w:ascii="Times New Roman" w:hAnsi="Times New Roman" w:cs="Times New Roman"/>
                <w:sz w:val="24"/>
                <w:szCs w:val="24"/>
              </w:rPr>
            </w:pPr>
            <w:r w:rsidRPr="006531C9">
              <w:rPr>
                <w:rFonts w:ascii="Times New Roman" w:hAnsi="Times New Roman" w:cs="Times New Roman"/>
                <w:sz w:val="24"/>
                <w:szCs w:val="24"/>
              </w:rPr>
              <w:t>D</w:t>
            </w:r>
          </w:p>
        </w:tc>
      </w:tr>
    </w:tbl>
    <w:p w14:paraId="4550ACFD" w14:textId="581210D7" w:rsidR="002627E7" w:rsidRPr="00326CAD" w:rsidRDefault="00853685" w:rsidP="00326CAD">
      <w:pPr>
        <w:spacing w:after="0" w:line="240" w:lineRule="auto"/>
        <w:jc w:val="center"/>
        <w:rPr>
          <w:rFonts w:ascii="Times New Roman" w:hAnsi="Times New Roman" w:cs="Times New Roman"/>
          <w:sz w:val="28"/>
          <w:szCs w:val="28"/>
        </w:rPr>
      </w:pPr>
      <w:r w:rsidRPr="00326CAD">
        <w:rPr>
          <w:rFonts w:ascii="Times New Roman" w:hAnsi="Times New Roman" w:cs="Times New Roman"/>
          <w:sz w:val="28"/>
          <w:szCs w:val="28"/>
        </w:rPr>
        <w:t xml:space="preserve">Figure </w:t>
      </w:r>
      <w:r w:rsidR="00DE63E2" w:rsidRPr="00326CAD">
        <w:rPr>
          <w:rFonts w:ascii="Times New Roman" w:hAnsi="Times New Roman" w:cs="Times New Roman"/>
          <w:sz w:val="28"/>
          <w:szCs w:val="28"/>
        </w:rPr>
        <w:t>29</w:t>
      </w:r>
      <w:r w:rsidRPr="00326CAD">
        <w:rPr>
          <w:rFonts w:ascii="Times New Roman" w:hAnsi="Times New Roman" w:cs="Times New Roman"/>
          <w:sz w:val="28"/>
          <w:szCs w:val="28"/>
        </w:rPr>
        <w:t xml:space="preserve"> </w:t>
      </w:r>
      <w:r w:rsidR="004B3B45" w:rsidRPr="00326CAD">
        <w:rPr>
          <w:rFonts w:ascii="Times New Roman" w:hAnsi="Times New Roman" w:cs="Times New Roman"/>
          <w:b/>
          <w:bCs/>
          <w:sz w:val="28"/>
          <w:szCs w:val="28"/>
        </w:rPr>
        <w:t>–</w:t>
      </w:r>
      <w:r w:rsidRPr="00326CAD">
        <w:rPr>
          <w:rFonts w:ascii="Times New Roman" w:hAnsi="Times New Roman" w:cs="Times New Roman"/>
          <w:sz w:val="28"/>
          <w:szCs w:val="28"/>
        </w:rPr>
        <w:t>Determination of Tenvir cytotoxicity in Vero cell culture</w:t>
      </w:r>
      <w:r w:rsidR="00456E5E" w:rsidRPr="00326CAD">
        <w:rPr>
          <w:rFonts w:ascii="Times New Roman" w:hAnsi="Times New Roman" w:cs="Times New Roman"/>
          <w:sz w:val="28"/>
          <w:szCs w:val="28"/>
        </w:rPr>
        <w:t>.</w:t>
      </w:r>
    </w:p>
    <w:p w14:paraId="0126B5E5" w14:textId="588D2CA6" w:rsidR="00DE63E2" w:rsidRDefault="00853685" w:rsidP="007C7692">
      <w:pPr>
        <w:spacing w:after="0" w:line="240" w:lineRule="auto"/>
        <w:jc w:val="center"/>
        <w:rPr>
          <w:rFonts w:ascii="Times New Roman" w:hAnsi="Times New Roman" w:cs="Times New Roman"/>
          <w:sz w:val="28"/>
          <w:szCs w:val="28"/>
        </w:rPr>
      </w:pPr>
      <w:r w:rsidRPr="00326CAD">
        <w:rPr>
          <w:rFonts w:ascii="Times New Roman" w:hAnsi="Times New Roman" w:cs="Times New Roman"/>
          <w:sz w:val="28"/>
          <w:szCs w:val="28"/>
        </w:rPr>
        <w:t>A – 300 µg, B – 150 gµ, C – 100 µg, D – 50 µg.</w:t>
      </w:r>
      <w:r w:rsidR="00753122" w:rsidRPr="00326CAD">
        <w:rPr>
          <w:rFonts w:ascii="Times New Roman" w:hAnsi="Times New Roman" w:cs="Times New Roman"/>
          <w:sz w:val="28"/>
          <w:szCs w:val="28"/>
        </w:rPr>
        <w:t xml:space="preserve"> 72 hours exposure</w:t>
      </w:r>
      <w:r w:rsidR="00AE7300" w:rsidRPr="00326CAD">
        <w:rPr>
          <w:rFonts w:ascii="Times New Roman" w:hAnsi="Times New Roman" w:cs="Times New Roman"/>
          <w:sz w:val="28"/>
          <w:szCs w:val="28"/>
        </w:rPr>
        <w:t xml:space="preserve">, n=3. </w:t>
      </w:r>
      <w:r w:rsidR="005D1CC3" w:rsidRPr="00326CAD">
        <w:rPr>
          <w:rFonts w:ascii="Times New Roman" w:hAnsi="Times New Roman" w:cs="Times New Roman"/>
          <w:sz w:val="28"/>
          <w:szCs w:val="28"/>
        </w:rPr>
        <w:t>Main Absorbance Wavelength: 450 nm</w:t>
      </w:r>
    </w:p>
    <w:p w14:paraId="59D410A3" w14:textId="77777777" w:rsidR="00782F50" w:rsidRPr="00326CAD" w:rsidRDefault="00782F50" w:rsidP="007C7692">
      <w:pPr>
        <w:spacing w:after="0" w:line="240" w:lineRule="auto"/>
        <w:jc w:val="center"/>
        <w:rPr>
          <w:rFonts w:ascii="Times New Roman" w:hAnsi="Times New Roman" w:cs="Times New Roman"/>
          <w:sz w:val="28"/>
          <w:szCs w:val="28"/>
        </w:rPr>
      </w:pPr>
    </w:p>
    <w:p w14:paraId="7AC9CEF3" w14:textId="173C2987" w:rsidR="00DE63E2" w:rsidRPr="00326CAD" w:rsidRDefault="00456E5E" w:rsidP="00326CAD">
      <w:pPr>
        <w:spacing w:after="0" w:line="240" w:lineRule="auto"/>
        <w:ind w:firstLine="709"/>
        <w:jc w:val="both"/>
        <w:rPr>
          <w:rFonts w:ascii="Times New Roman" w:hAnsi="Times New Roman" w:cs="Times New Roman"/>
          <w:sz w:val="28"/>
          <w:szCs w:val="28"/>
        </w:rPr>
      </w:pPr>
      <w:r w:rsidRPr="00326CAD">
        <w:rPr>
          <w:rFonts w:ascii="Times New Roman" w:hAnsi="Times New Roman" w:cs="Times New Roman"/>
          <w:sz w:val="28"/>
          <w:szCs w:val="28"/>
        </w:rPr>
        <w:t>The 50 µg/</w:t>
      </w:r>
      <w:r w:rsidR="0065497C">
        <w:rPr>
          <w:rFonts w:ascii="Times New Roman" w:hAnsi="Times New Roman" w:cs="Times New Roman"/>
          <w:sz w:val="28"/>
          <w:szCs w:val="28"/>
        </w:rPr>
        <w:t xml:space="preserve">mL dose achieved </w:t>
      </w:r>
      <w:bookmarkStart w:id="42" w:name="_Hlk170050473"/>
      <w:bookmarkEnd w:id="41"/>
      <w:r w:rsidR="00FC28C2">
        <w:rPr>
          <w:rFonts w:ascii="Times New Roman" w:hAnsi="Times New Roman" w:cs="Times New Roman"/>
          <w:sz w:val="28"/>
          <w:szCs w:val="28"/>
        </w:rPr>
        <w:t>90% cell viability</w:t>
      </w:r>
      <w:r w:rsidR="00DE63E2" w:rsidRPr="00326CAD">
        <w:rPr>
          <w:rFonts w:ascii="Times New Roman" w:hAnsi="Times New Roman" w:cs="Times New Roman"/>
          <w:sz w:val="28"/>
          <w:szCs w:val="28"/>
        </w:rPr>
        <w:t>. Tenvir also exhibits high toxicity</w:t>
      </w:r>
      <w:r w:rsidR="0065497C">
        <w:rPr>
          <w:rFonts w:ascii="Times New Roman" w:hAnsi="Times New Roman" w:cs="Times New Roman"/>
          <w:sz w:val="28"/>
          <w:szCs w:val="28"/>
        </w:rPr>
        <w:t xml:space="preserve">, as cell layers are torn even at the lowest recommended concentrations, because </w:t>
      </w:r>
      <w:r w:rsidR="0065497C">
        <w:rPr>
          <w:rFonts w:ascii="Times New Roman" w:hAnsi="Times New Roman" w:cs="Times New Roman"/>
          <w:sz w:val="28"/>
          <w:szCs w:val="28"/>
        </w:rPr>
        <w:lastRenderedPageBreak/>
        <w:t xml:space="preserve">only a </w:t>
      </w:r>
      <w:r w:rsidR="00DE63E2" w:rsidRPr="00326CAD">
        <w:rPr>
          <w:rFonts w:ascii="Times New Roman" w:hAnsi="Times New Roman" w:cs="Times New Roman"/>
          <w:sz w:val="28"/>
          <w:szCs w:val="28"/>
        </w:rPr>
        <w:t xml:space="preserve">few concentrations are recommended to achieve therapeutic effects. The subsequent CCK8 cell viability measures were obtained: 50 µg: 90-95%±0.03, 75 µg: 85-90%±0.03, 100 µg: 75-80%±0.03, 150 µg: 65-70% ±0.03, and 200 µg: 50-55% ±0.03. The destruction of cell monolayers, with apparent cellular necrosis, occurred even at the stock concentration (300 mg) of column A and after three times the concentration (900 mg) of column B. The CCs (cytotoxic concentrations) were too high for VeroE6 cells to survive </w:t>
      </w:r>
      <w:r w:rsidR="007C7692">
        <w:rPr>
          <w:rFonts w:ascii="Times New Roman" w:hAnsi="Times New Roman" w:cs="Times New Roman"/>
          <w:sz w:val="28"/>
          <w:szCs w:val="28"/>
        </w:rPr>
        <w:t>for 72 hours</w:t>
      </w:r>
      <w:r w:rsidR="00DE63E2" w:rsidRPr="00326CAD">
        <w:rPr>
          <w:rFonts w:ascii="Times New Roman" w:hAnsi="Times New Roman" w:cs="Times New Roman"/>
          <w:sz w:val="28"/>
          <w:szCs w:val="28"/>
        </w:rPr>
        <w:t xml:space="preserve">. </w:t>
      </w:r>
    </w:p>
    <w:p w14:paraId="34D140E0" w14:textId="29E60EC4" w:rsidR="00C43DB7" w:rsidRPr="00326CAD" w:rsidRDefault="00DE63E2" w:rsidP="00326CAD">
      <w:pPr>
        <w:spacing w:after="0" w:line="240" w:lineRule="auto"/>
        <w:ind w:firstLine="709"/>
        <w:jc w:val="both"/>
        <w:rPr>
          <w:rFonts w:ascii="Times New Roman" w:hAnsi="Times New Roman" w:cs="Times New Roman"/>
          <w:sz w:val="28"/>
          <w:szCs w:val="28"/>
        </w:rPr>
      </w:pPr>
      <w:r w:rsidRPr="00326CAD">
        <w:rPr>
          <w:rFonts w:ascii="Times New Roman" w:hAnsi="Times New Roman" w:cs="Times New Roman"/>
          <w:sz w:val="28"/>
          <w:szCs w:val="28"/>
        </w:rPr>
        <w:t xml:space="preserve">At higher doses (≥300 µg/mL), extensive </w:t>
      </w:r>
      <w:r w:rsidR="007C7692">
        <w:rPr>
          <w:rFonts w:ascii="Times New Roman" w:hAnsi="Times New Roman" w:cs="Times New Roman"/>
          <w:sz w:val="28"/>
          <w:szCs w:val="28"/>
        </w:rPr>
        <w:t xml:space="preserve">cell-layer destruction and necrosis were observed, resulting in a monolayer </w:t>
      </w:r>
      <w:r w:rsidRPr="00326CAD">
        <w:rPr>
          <w:rFonts w:ascii="Times New Roman" w:hAnsi="Times New Roman" w:cs="Times New Roman"/>
          <w:sz w:val="28"/>
          <w:szCs w:val="28"/>
        </w:rPr>
        <w:t>nearly devoid of viable cells. Even after a threefold increase (900 µg/mL), cytotoxicity plateaued, indicating that maximal cellular damage had been reached. These results suggest that Tenvir’s cytotoxic concentrations (CC values) for Vero E6 cells exceed tolerable limits under 72-hour incubation conditions.</w:t>
      </w:r>
      <w:r w:rsidR="007409E2" w:rsidRPr="00326CAD">
        <w:rPr>
          <w:rFonts w:ascii="Times New Roman" w:hAnsi="Times New Roman" w:cs="Times New Roman"/>
          <w:sz w:val="28"/>
          <w:szCs w:val="28"/>
        </w:rPr>
        <w:t xml:space="preserve"> </w:t>
      </w:r>
      <w:r w:rsidRPr="00326CAD">
        <w:rPr>
          <w:rFonts w:ascii="Times New Roman" w:hAnsi="Times New Roman" w:cs="Times New Roman"/>
          <w:sz w:val="28"/>
          <w:szCs w:val="28"/>
        </w:rPr>
        <w:t xml:space="preserve">Therefore, starting from 300mg of tenofovir, the wells were practically cell-free, and a 2-fold increase (600mg) did not differ significantly from the 3-fold increase.  The results showed that Tenvir at a dosage of 50 µg is non-toxic to cell culture and will be used to study its antiviral activity inhibition. Additionally, with </w:t>
      </w:r>
      <w:r w:rsidR="007C7692">
        <w:rPr>
          <w:rFonts w:ascii="Times New Roman" w:hAnsi="Times New Roman" w:cs="Times New Roman"/>
          <w:sz w:val="28"/>
          <w:szCs w:val="28"/>
        </w:rPr>
        <w:t>increased Tenvir dosage</w:t>
      </w:r>
      <w:r w:rsidRPr="00326CAD">
        <w:rPr>
          <w:rFonts w:ascii="Times New Roman" w:hAnsi="Times New Roman" w:cs="Times New Roman"/>
          <w:sz w:val="28"/>
          <w:szCs w:val="28"/>
        </w:rPr>
        <w:t xml:space="preserve">, </w:t>
      </w:r>
      <w:r w:rsidR="00056A15">
        <w:rPr>
          <w:rFonts w:ascii="Times New Roman" w:hAnsi="Times New Roman" w:cs="Times New Roman"/>
          <w:sz w:val="28"/>
          <w:szCs w:val="28"/>
        </w:rPr>
        <w:t xml:space="preserve">the medium becomes more alkaline and cells detach from the surface </w:t>
      </w:r>
      <w:r w:rsidRPr="00326CAD">
        <w:rPr>
          <w:rFonts w:ascii="Times New Roman" w:hAnsi="Times New Roman" w:cs="Times New Roman"/>
          <w:sz w:val="28"/>
          <w:szCs w:val="28"/>
        </w:rPr>
        <w:t xml:space="preserve">(Figure 29) [115]. </w:t>
      </w:r>
      <w:r w:rsidR="00853685" w:rsidRPr="00326CAD">
        <w:rPr>
          <w:rFonts w:ascii="Times New Roman" w:hAnsi="Times New Roman" w:cs="Times New Roman"/>
          <w:sz w:val="28"/>
          <w:szCs w:val="28"/>
        </w:rPr>
        <w:t xml:space="preserve"> </w:t>
      </w:r>
      <w:bookmarkEnd w:id="42"/>
    </w:p>
    <w:p w14:paraId="3BB97A27" w14:textId="25E9F0FA" w:rsidR="007409E2" w:rsidRPr="00326CAD" w:rsidRDefault="007409E2" w:rsidP="00326CAD">
      <w:pPr>
        <w:spacing w:after="0" w:line="240" w:lineRule="auto"/>
        <w:ind w:firstLine="709"/>
        <w:rPr>
          <w:rFonts w:ascii="Times New Roman" w:hAnsi="Times New Roman" w:cs="Times New Roman"/>
          <w:sz w:val="28"/>
          <w:szCs w:val="28"/>
        </w:rPr>
      </w:pPr>
      <w:r w:rsidRPr="00326CAD">
        <w:rPr>
          <w:rFonts w:ascii="Times New Roman" w:hAnsi="Times New Roman" w:cs="Times New Roman"/>
          <w:sz w:val="28"/>
          <w:szCs w:val="28"/>
        </w:rPr>
        <w:t xml:space="preserve">72-hour exposure, n = 3. Main Absorbance Wavelength: 450 nm. Next, studies were conducted to determine the cytotoxicity of the drug Fabiflu </w:t>
      </w:r>
      <w:r w:rsidR="007C7692">
        <w:rPr>
          <w:rFonts w:ascii="Times New Roman" w:hAnsi="Times New Roman" w:cs="Times New Roman"/>
          <w:sz w:val="28"/>
          <w:szCs w:val="28"/>
        </w:rPr>
        <w:t>at five dilutions (200 mg each)</w:t>
      </w:r>
      <w:r w:rsidRPr="00326CAD">
        <w:rPr>
          <w:rFonts w:ascii="Times New Roman" w:hAnsi="Times New Roman" w:cs="Times New Roman"/>
          <w:sz w:val="28"/>
          <w:szCs w:val="28"/>
        </w:rPr>
        <w:t xml:space="preserve"> at dosages of 200, 150, 100, 75, and 50 mg. The CCK8 cell viability measures were obtained: 50 µg: 70-80%±0,03, 75 µg: 65-70%±0,03, 100 µg: 35-40%±0,03, 150 µg: 25-30% ±0,03 and 200 µg: 20-25% ±0,03 (Figure 30). </w:t>
      </w:r>
    </w:p>
    <w:p w14:paraId="55901012" w14:textId="4784DF58" w:rsidR="007409E2" w:rsidRDefault="007409E2" w:rsidP="00326CAD">
      <w:pPr>
        <w:spacing w:after="0" w:line="240" w:lineRule="auto"/>
        <w:ind w:firstLine="709"/>
        <w:jc w:val="both"/>
        <w:rPr>
          <w:rFonts w:ascii="Times New Roman" w:hAnsi="Times New Roman" w:cs="Times New Roman"/>
          <w:sz w:val="28"/>
          <w:szCs w:val="28"/>
        </w:rPr>
      </w:pPr>
      <w:r w:rsidRPr="00326CAD">
        <w:rPr>
          <w:rFonts w:ascii="Times New Roman" w:hAnsi="Times New Roman" w:cs="Times New Roman"/>
          <w:sz w:val="28"/>
          <w:szCs w:val="28"/>
        </w:rPr>
        <w:t xml:space="preserve">The visual results are presented in Figure 33. The cytotoxic effect increases with the destruction of cell monolayers, even from the stock concentration (200mg) and after 2 (column B), 3 (column C), and 4 (column D) times, as the concentration rises from the stock concentration. </w:t>
      </w:r>
      <w:bookmarkStart w:id="43" w:name="_Hlk131068953"/>
      <w:r w:rsidRPr="00326CAD">
        <w:rPr>
          <w:rFonts w:ascii="Times New Roman" w:hAnsi="Times New Roman" w:cs="Times New Roman"/>
          <w:sz w:val="28"/>
          <w:szCs w:val="28"/>
        </w:rPr>
        <w:t xml:space="preserve">The CCs (cytotoxic concentrations) were too high for VeroE6 cells to survive </w:t>
      </w:r>
      <w:r w:rsidR="007C7692">
        <w:rPr>
          <w:rFonts w:ascii="Times New Roman" w:hAnsi="Times New Roman" w:cs="Times New Roman"/>
          <w:sz w:val="28"/>
          <w:szCs w:val="28"/>
        </w:rPr>
        <w:t>a 72-hour incubation; therefore, starting with a 2-fold</w:t>
      </w:r>
      <w:r w:rsidRPr="00326CAD">
        <w:rPr>
          <w:rFonts w:ascii="Times New Roman" w:hAnsi="Times New Roman" w:cs="Times New Roman"/>
          <w:sz w:val="28"/>
          <w:szCs w:val="28"/>
        </w:rPr>
        <w:t xml:space="preserve"> increase, the wells were essentially cell-free</w:t>
      </w:r>
      <w:bookmarkEnd w:id="43"/>
      <w:r w:rsidRPr="00326CAD">
        <w:rPr>
          <w:rFonts w:ascii="Times New Roman" w:hAnsi="Times New Roman" w:cs="Times New Roman"/>
          <w:sz w:val="28"/>
          <w:szCs w:val="28"/>
        </w:rPr>
        <w:t xml:space="preserve">. Fabiflu shows high toxicity </w:t>
      </w:r>
      <w:r w:rsidR="007C7692">
        <w:rPr>
          <w:rFonts w:ascii="Times New Roman" w:hAnsi="Times New Roman" w:cs="Times New Roman"/>
          <w:sz w:val="28"/>
          <w:szCs w:val="28"/>
        </w:rPr>
        <w:t>(cell layers are torn at higher concentrations); however, at the lowest concentration, cells were only dyed, and some cellular layers remained</w:t>
      </w:r>
      <w:r w:rsidRPr="00326CAD">
        <w:rPr>
          <w:rFonts w:ascii="Times New Roman" w:hAnsi="Times New Roman" w:cs="Times New Roman"/>
          <w:sz w:val="28"/>
          <w:szCs w:val="28"/>
        </w:rPr>
        <w:t xml:space="preserve"> visually intact. As a result, it was found that the drug Fabiflu, at a dosage of 50 mg, is non-toxic to cell culture and will be used to study its antiviral activity inhibition. Additionally, with an increase in the dosage of the drug Fabiflu, alkalisation of the medium and cell detachment from the surface is observed. The general cytotoxic assay revealed significant Vero cell survival under certain conditions. Apart from Dexamethasone, at the beginning of the stock concentration, all monolayered cells showed neither cell proliferation nor signs of visual cellular integrity until the concentration reached 50 µg/ml [126]. </w:t>
      </w:r>
    </w:p>
    <w:p w14:paraId="15A60BB4" w14:textId="77777777" w:rsidR="00326CAD" w:rsidRPr="00326CAD" w:rsidRDefault="00326CAD" w:rsidP="00326CAD">
      <w:pPr>
        <w:spacing w:after="0" w:line="240" w:lineRule="auto"/>
        <w:ind w:firstLine="709"/>
        <w:jc w:val="both"/>
        <w:rPr>
          <w:rFonts w:ascii="Times New Roman" w:hAnsi="Times New Roman" w:cs="Times New Roman"/>
          <w:sz w:val="28"/>
          <w:szCs w:val="28"/>
        </w:rPr>
      </w:pPr>
    </w:p>
    <w:p w14:paraId="385EE606" w14:textId="77777777" w:rsidR="00F9709F" w:rsidRPr="00326CAD" w:rsidRDefault="00F9709F" w:rsidP="00326CAD">
      <w:pPr>
        <w:spacing w:after="0" w:line="240" w:lineRule="auto"/>
        <w:ind w:firstLine="709"/>
        <w:jc w:val="both"/>
        <w:rPr>
          <w:rFonts w:ascii="Times New Roman" w:hAnsi="Times New Roman" w:cs="Times New Roman"/>
          <w:sz w:val="28"/>
          <w:szCs w:val="28"/>
        </w:rPr>
      </w:pPr>
    </w:p>
    <w:p w14:paraId="47E4DC32" w14:textId="77777777" w:rsidR="007409E2" w:rsidRDefault="007409E2" w:rsidP="007409E2">
      <w:pPr>
        <w:spacing w:after="0" w:line="360" w:lineRule="auto"/>
        <w:ind w:firstLine="708"/>
        <w:jc w:val="both"/>
        <w:rPr>
          <w:rFonts w:ascii="Times New Roman" w:hAnsi="Times New Roman" w:cs="Times New Roman"/>
          <w:sz w:val="24"/>
          <w:szCs w:val="24"/>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2"/>
        <w:gridCol w:w="3464"/>
        <w:gridCol w:w="2942"/>
      </w:tblGrid>
      <w:tr w:rsidR="00C43DB7" w:rsidRPr="006531C9" w14:paraId="3B2EE361" w14:textId="77777777">
        <w:trPr>
          <w:trHeight w:val="4212"/>
        </w:trPr>
        <w:tc>
          <w:tcPr>
            <w:tcW w:w="3337" w:type="dxa"/>
          </w:tcPr>
          <w:p w14:paraId="2115E75A" w14:textId="751693DB" w:rsidR="00226539" w:rsidRPr="006531C9" w:rsidRDefault="00852704" w:rsidP="00D450CB">
            <w:pPr>
              <w:widowControl w:val="0"/>
              <w:tabs>
                <w:tab w:val="left" w:pos="0"/>
              </w:tabs>
              <w:autoSpaceDE w:val="0"/>
              <w:autoSpaceDN w:val="0"/>
              <w:adjustRightInd w:val="0"/>
              <w:spacing w:after="0" w:line="360" w:lineRule="auto"/>
              <w:jc w:val="center"/>
              <w:rPr>
                <w:rFonts w:ascii="Times New Roman" w:eastAsia="Calibri" w:hAnsi="Times New Roman" w:cs="Times New Roman"/>
                <w:iCs/>
                <w:color w:val="00000A"/>
                <w:sz w:val="24"/>
                <w:szCs w:val="24"/>
              </w:rPr>
            </w:pPr>
            <w:r w:rsidRPr="006531C9">
              <w:rPr>
                <w:rFonts w:ascii="Times New Roman" w:hAnsi="Times New Roman" w:cs="Times New Roman"/>
                <w:noProof/>
                <w:sz w:val="24"/>
                <w:szCs w:val="24"/>
              </w:rPr>
              <w:lastRenderedPageBreak/>
              <mc:AlternateContent>
                <mc:Choice Requires="wps">
                  <w:drawing>
                    <wp:anchor distT="0" distB="0" distL="114300" distR="114300" simplePos="0" relativeHeight="251678208" behindDoc="0" locked="0" layoutInCell="1" allowOverlap="1" wp14:anchorId="48646B07" wp14:editId="4BD8CE08">
                      <wp:simplePos x="0" y="0"/>
                      <wp:positionH relativeFrom="margin">
                        <wp:posOffset>1162694</wp:posOffset>
                      </wp:positionH>
                      <wp:positionV relativeFrom="paragraph">
                        <wp:posOffset>1884860</wp:posOffset>
                      </wp:positionV>
                      <wp:extent cx="628650" cy="413385"/>
                      <wp:effectExtent l="0" t="0" r="19050" b="24765"/>
                      <wp:wrapNone/>
                      <wp:docPr id="1841257444" name="Надпись 52"/>
                      <wp:cNvGraphicFramePr/>
                      <a:graphic xmlns:a="http://schemas.openxmlformats.org/drawingml/2006/main">
                        <a:graphicData uri="http://schemas.microsoft.com/office/word/2010/wordprocessingShape">
                          <wps:wsp>
                            <wps:cNvSpPr txBox="1"/>
                            <wps:spPr>
                              <a:xfrm>
                                <a:off x="0" y="0"/>
                                <a:ext cx="628650" cy="413385"/>
                              </a:xfrm>
                              <a:prstGeom prst="rect">
                                <a:avLst/>
                              </a:prstGeom>
                              <a:solidFill>
                                <a:schemeClr val="lt1"/>
                              </a:solidFill>
                              <a:ln w="6350">
                                <a:solidFill>
                                  <a:prstClr val="black"/>
                                </a:solidFill>
                              </a:ln>
                            </wps:spPr>
                            <wps:txbx>
                              <w:txbxContent>
                                <w:p w14:paraId="65A528EE" w14:textId="77777777" w:rsidR="00852704" w:rsidRPr="006531C9" w:rsidRDefault="00852704" w:rsidP="00852704">
                                  <w:pPr>
                                    <w:rPr>
                                      <w:b/>
                                      <w:bCs/>
                                      <w:sz w:val="40"/>
                                      <w:szCs w:val="40"/>
                                    </w:rPr>
                                  </w:pPr>
                                  <w:r w:rsidRPr="006531C9">
                                    <w:rPr>
                                      <w:b/>
                                      <w:bCs/>
                                      <w:sz w:val="40"/>
                                      <w:szCs w:val="40"/>
                                    </w:rPr>
                                    <w:t>27X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46B07" id="_x0000_s1035" type="#_x0000_t202" style="position:absolute;left:0;text-align:left;margin-left:91.55pt;margin-top:148.4pt;width:49.5pt;height:32.55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" fillcolor="white [3201]" strokeweight=".5pt">
                      <v:textbox>
                        <w:txbxContent>
                          <w:p w14:paraId="65A528EE" w14:textId="77777777" w:rsidR="00852704" w:rsidRPr="006531C9" w:rsidRDefault="00852704" w:rsidP="00852704">
                            <w:pPr>
                              <w:rPr>
                                <w:b/>
                                <w:bCs/>
                                <w:sz w:val="40"/>
                                <w:szCs w:val="40"/>
                              </w:rPr>
                            </w:pPr>
                            <w:r w:rsidRPr="006531C9">
                              <w:rPr>
                                <w:b/>
                                <w:bCs/>
                                <w:sz w:val="40"/>
                                <w:szCs w:val="40"/>
                              </w:rPr>
                              <w:t>27X</w:t>
                            </w:r>
                          </w:p>
                        </w:txbxContent>
                      </v:textbox>
                      <w10:wrap anchorx="margin"/>
                    </v:shape>
                  </w:pict>
                </mc:Fallback>
              </mc:AlternateContent>
            </w:r>
            <w:r w:rsidR="00853685" w:rsidRPr="006531C9">
              <w:rPr>
                <w:rFonts w:ascii="Times New Roman" w:eastAsia="Calibri" w:hAnsi="Times New Roman" w:cs="Times New Roman"/>
                <w:iCs/>
                <w:noProof/>
                <w:color w:val="00000A"/>
                <w:sz w:val="24"/>
                <w:szCs w:val="24"/>
              </w:rPr>
              <w:drawing>
                <wp:inline distT="0" distB="0" distL="0" distR="0" wp14:anchorId="57D73DE5" wp14:editId="5B3F0BF9">
                  <wp:extent cx="2321360" cy="1812485"/>
                  <wp:effectExtent l="6668" t="0" r="0" b="0"/>
                  <wp:docPr id="26" name="Рисунок 26" descr="C:\Users\Yerbol\Desktop\New\Новая папка\Фабифлю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C:\Users\Yerbol\Desktop\New\Новая папка\Фабифлю 5.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rot="5400000">
                            <a:off x="0" y="0"/>
                            <a:ext cx="2324648" cy="1815052"/>
                          </a:xfrm>
                          <a:prstGeom prst="rect">
                            <a:avLst/>
                          </a:prstGeom>
                          <a:noFill/>
                          <a:ln>
                            <a:noFill/>
                          </a:ln>
                        </pic:spPr>
                      </pic:pic>
                    </a:graphicData>
                  </a:graphic>
                </wp:inline>
              </w:drawing>
            </w:r>
          </w:p>
          <w:p w14:paraId="60592D14" w14:textId="162252CC" w:rsidR="00226539" w:rsidRPr="006531C9" w:rsidRDefault="007951DB" w:rsidP="000B4B42">
            <w:pPr>
              <w:widowControl w:val="0"/>
              <w:autoSpaceDE w:val="0"/>
              <w:autoSpaceDN w:val="0"/>
              <w:adjustRightInd w:val="0"/>
              <w:spacing w:after="0" w:line="360" w:lineRule="auto"/>
              <w:ind w:firstLineChars="709" w:firstLine="1702"/>
              <w:jc w:val="center"/>
              <w:rPr>
                <w:rFonts w:ascii="Times New Roman" w:eastAsia="Calibri" w:hAnsi="Times New Roman" w:cs="Times New Roman"/>
                <w:iCs/>
                <w:color w:val="00000A"/>
                <w:sz w:val="24"/>
                <w:szCs w:val="24"/>
              </w:rPr>
            </w:pPr>
            <w:r w:rsidRPr="006531C9">
              <w:rPr>
                <w:rFonts w:ascii="Times New Roman" w:eastAsia="Calibri" w:hAnsi="Times New Roman" w:cs="Times New Roman"/>
                <w:iCs/>
                <w:color w:val="00000A"/>
                <w:sz w:val="24"/>
                <w:szCs w:val="24"/>
              </w:rPr>
              <w:t xml:space="preserve"> </w:t>
            </w:r>
            <w:r w:rsidR="00853685" w:rsidRPr="006531C9">
              <w:rPr>
                <w:rFonts w:ascii="Times New Roman" w:eastAsia="Calibri" w:hAnsi="Times New Roman" w:cs="Times New Roman"/>
                <w:iCs/>
                <w:color w:val="00000A"/>
                <w:sz w:val="24"/>
                <w:szCs w:val="24"/>
              </w:rPr>
              <w:t>А</w:t>
            </w:r>
            <w:r w:rsidRPr="006531C9">
              <w:rPr>
                <w:rFonts w:ascii="Times New Roman" w:eastAsia="Calibri" w:hAnsi="Times New Roman" w:cs="Times New Roman"/>
                <w:iCs/>
                <w:color w:val="00000A"/>
                <w:sz w:val="24"/>
                <w:szCs w:val="24"/>
              </w:rPr>
              <w:t xml:space="preserve">                                                      </w:t>
            </w:r>
          </w:p>
        </w:tc>
        <w:tc>
          <w:tcPr>
            <w:tcW w:w="3201" w:type="dxa"/>
          </w:tcPr>
          <w:p w14:paraId="5A6B3A4A" w14:textId="014D0D18" w:rsidR="00226539" w:rsidRPr="006531C9" w:rsidRDefault="007951DB" w:rsidP="00D450CB">
            <w:pPr>
              <w:widowControl w:val="0"/>
              <w:autoSpaceDE w:val="0"/>
              <w:autoSpaceDN w:val="0"/>
              <w:adjustRightInd w:val="0"/>
              <w:spacing w:after="0" w:line="360" w:lineRule="auto"/>
              <w:ind w:right="456" w:firstLineChars="23" w:firstLine="55"/>
              <w:jc w:val="center"/>
              <w:rPr>
                <w:rFonts w:ascii="Times New Roman" w:eastAsia="Calibri" w:hAnsi="Times New Roman" w:cs="Times New Roman"/>
                <w:iCs/>
                <w:color w:val="00000A"/>
                <w:sz w:val="24"/>
                <w:szCs w:val="24"/>
              </w:rPr>
            </w:pPr>
            <w:r w:rsidRPr="006531C9">
              <w:rPr>
                <w:rFonts w:ascii="Times New Roman" w:eastAsia="Calibri" w:hAnsi="Times New Roman" w:cs="Times New Roman"/>
                <w:iCs/>
                <w:noProof/>
                <w:color w:val="00000A"/>
                <w:sz w:val="24"/>
                <w:szCs w:val="24"/>
              </w:rPr>
              <mc:AlternateContent>
                <mc:Choice Requires="wps">
                  <w:drawing>
                    <wp:anchor distT="0" distB="0" distL="114300" distR="114300" simplePos="0" relativeHeight="251682304" behindDoc="0" locked="0" layoutInCell="1" allowOverlap="1" wp14:anchorId="616A8337" wp14:editId="778ECD1B">
                      <wp:simplePos x="0" y="0"/>
                      <wp:positionH relativeFrom="column">
                        <wp:posOffset>559416</wp:posOffset>
                      </wp:positionH>
                      <wp:positionV relativeFrom="paragraph">
                        <wp:posOffset>2292501</wp:posOffset>
                      </wp:positionV>
                      <wp:extent cx="584200" cy="292100"/>
                      <wp:effectExtent l="0" t="0" r="25400" b="12700"/>
                      <wp:wrapNone/>
                      <wp:docPr id="2122798905" name="Надпись 56"/>
                      <wp:cNvGraphicFramePr/>
                      <a:graphic xmlns:a="http://schemas.openxmlformats.org/drawingml/2006/main">
                        <a:graphicData uri="http://schemas.microsoft.com/office/word/2010/wordprocessingShape">
                          <wps:wsp>
                            <wps:cNvSpPr txBox="1"/>
                            <wps:spPr>
                              <a:xfrm>
                                <a:off x="0" y="0"/>
                                <a:ext cx="584200" cy="29210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46B43B66" w14:textId="26209166" w:rsidR="007951DB" w:rsidRPr="006531C9" w:rsidRDefault="007951DB" w:rsidP="007951DB">
                                  <w:pPr>
                                    <w:jc w:val="center"/>
                                  </w:pPr>
                                  <w:r w:rsidRPr="006531C9">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A8337" id="Надпись 56" o:spid="_x0000_s1036" type="#_x0000_t202" style="position:absolute;left:0;text-align:left;margin-left:44.05pt;margin-top:180.5pt;width:46pt;height:23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" fillcolor="white [3201]" strokecolor="#70ad47 [3209]" strokeweight="1pt">
                      <v:textbox>
                        <w:txbxContent>
                          <w:p w14:paraId="46B43B66" w14:textId="26209166" w:rsidR="007951DB" w:rsidRPr="006531C9" w:rsidRDefault="007951DB" w:rsidP="007951DB">
                            <w:pPr>
                              <w:jc w:val="center"/>
                            </w:pPr>
                            <w:r w:rsidRPr="006531C9">
                              <w:t>B</w:t>
                            </w:r>
                          </w:p>
                        </w:txbxContent>
                      </v:textbox>
                    </v:shape>
                  </w:pict>
                </mc:Fallback>
              </mc:AlternateContent>
            </w:r>
            <w:r w:rsidR="00853685" w:rsidRPr="006531C9">
              <w:rPr>
                <w:rFonts w:ascii="Times New Roman" w:eastAsia="Calibri" w:hAnsi="Times New Roman" w:cs="Times New Roman"/>
                <w:iCs/>
                <w:noProof/>
                <w:color w:val="00000A"/>
                <w:sz w:val="24"/>
                <w:szCs w:val="24"/>
              </w:rPr>
              <w:drawing>
                <wp:inline distT="0" distB="0" distL="0" distR="0" wp14:anchorId="6046D54F" wp14:editId="33B253A1">
                  <wp:extent cx="2312914" cy="1734686"/>
                  <wp:effectExtent l="3492" t="0" r="0" b="0"/>
                  <wp:docPr id="27" name="Рисунок 27" descr="C:\Users\Yerbol\Desktop\New\Новая папка\Фабифлю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C:\Users\Yerbol\Desktop\New\Новая папка\Фабифлю 4.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rot="5400000">
                            <a:off x="0" y="0"/>
                            <a:ext cx="2317377" cy="1738033"/>
                          </a:xfrm>
                          <a:prstGeom prst="rect">
                            <a:avLst/>
                          </a:prstGeom>
                          <a:noFill/>
                          <a:ln>
                            <a:noFill/>
                          </a:ln>
                        </pic:spPr>
                      </pic:pic>
                    </a:graphicData>
                  </a:graphic>
                </wp:inline>
              </w:drawing>
            </w:r>
          </w:p>
        </w:tc>
        <w:tc>
          <w:tcPr>
            <w:tcW w:w="3100" w:type="dxa"/>
          </w:tcPr>
          <w:p w14:paraId="5EA803EB" w14:textId="77777777" w:rsidR="00226539" w:rsidRPr="006531C9" w:rsidRDefault="00853685" w:rsidP="00C43DB7">
            <w:pPr>
              <w:widowControl w:val="0"/>
              <w:autoSpaceDE w:val="0"/>
              <w:autoSpaceDN w:val="0"/>
              <w:adjustRightInd w:val="0"/>
              <w:spacing w:after="0" w:line="360" w:lineRule="auto"/>
              <w:ind w:leftChars="-39" w:hangingChars="36" w:hanging="86"/>
              <w:jc w:val="center"/>
              <w:rPr>
                <w:rFonts w:ascii="Times New Roman" w:eastAsia="Calibri" w:hAnsi="Times New Roman" w:cs="Times New Roman"/>
                <w:iCs/>
                <w:color w:val="00000A"/>
                <w:sz w:val="24"/>
                <w:szCs w:val="24"/>
              </w:rPr>
            </w:pPr>
            <w:r w:rsidRPr="006531C9">
              <w:rPr>
                <w:rFonts w:ascii="Times New Roman" w:eastAsia="Calibri" w:hAnsi="Times New Roman" w:cs="Times New Roman"/>
                <w:iCs/>
                <w:noProof/>
                <w:color w:val="00000A"/>
                <w:sz w:val="24"/>
                <w:szCs w:val="24"/>
              </w:rPr>
              <w:drawing>
                <wp:inline distT="0" distB="0" distL="0" distR="0" wp14:anchorId="6B00ADD6" wp14:editId="4C354C06">
                  <wp:extent cx="2253712" cy="1636208"/>
                  <wp:effectExtent l="4128" t="0" r="0" b="0"/>
                  <wp:docPr id="28" name="Рисунок 28" descr="C:\Users\Yerbol\Desktop\New\Новая папка\Фабифлю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C:\Users\Yerbol\Desktop\New\Новая папка\Фабифлю 3.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rot="5400000">
                            <a:off x="0" y="0"/>
                            <a:ext cx="2260697" cy="1641279"/>
                          </a:xfrm>
                          <a:prstGeom prst="rect">
                            <a:avLst/>
                          </a:prstGeom>
                          <a:noFill/>
                          <a:ln>
                            <a:noFill/>
                          </a:ln>
                        </pic:spPr>
                      </pic:pic>
                    </a:graphicData>
                  </a:graphic>
                </wp:inline>
              </w:drawing>
            </w:r>
          </w:p>
          <w:p w14:paraId="6EAB42CF" w14:textId="77777777" w:rsidR="00226539" w:rsidRPr="006531C9" w:rsidRDefault="00853685" w:rsidP="00C43DB7">
            <w:pPr>
              <w:widowControl w:val="0"/>
              <w:autoSpaceDE w:val="0"/>
              <w:autoSpaceDN w:val="0"/>
              <w:adjustRightInd w:val="0"/>
              <w:spacing w:after="0" w:line="360" w:lineRule="auto"/>
              <w:ind w:firstLineChars="709" w:firstLine="1702"/>
              <w:rPr>
                <w:rFonts w:ascii="Times New Roman" w:eastAsia="Calibri" w:hAnsi="Times New Roman" w:cs="Times New Roman"/>
                <w:iCs/>
                <w:color w:val="00000A"/>
                <w:sz w:val="24"/>
                <w:szCs w:val="24"/>
              </w:rPr>
            </w:pPr>
            <w:r w:rsidRPr="006531C9">
              <w:rPr>
                <w:rFonts w:ascii="Times New Roman" w:eastAsia="Calibri" w:hAnsi="Times New Roman" w:cs="Times New Roman"/>
                <w:iCs/>
                <w:color w:val="00000A"/>
                <w:sz w:val="24"/>
                <w:szCs w:val="24"/>
              </w:rPr>
              <w:t>C</w:t>
            </w:r>
          </w:p>
        </w:tc>
      </w:tr>
      <w:tr w:rsidR="00C43DB7" w:rsidRPr="006531C9" w14:paraId="3D9C18B7" w14:textId="77777777">
        <w:trPr>
          <w:trHeight w:val="3984"/>
        </w:trPr>
        <w:tc>
          <w:tcPr>
            <w:tcW w:w="3337" w:type="dxa"/>
          </w:tcPr>
          <w:p w14:paraId="10D5D489" w14:textId="2A5AB72B" w:rsidR="00226539" w:rsidRPr="006531C9" w:rsidRDefault="00853685" w:rsidP="00C43DB7">
            <w:pPr>
              <w:widowControl w:val="0"/>
              <w:autoSpaceDE w:val="0"/>
              <w:autoSpaceDN w:val="0"/>
              <w:adjustRightInd w:val="0"/>
              <w:spacing w:after="0" w:line="360" w:lineRule="auto"/>
              <w:jc w:val="center"/>
              <w:rPr>
                <w:rFonts w:ascii="Times New Roman" w:eastAsia="Calibri" w:hAnsi="Times New Roman" w:cs="Times New Roman"/>
                <w:iCs/>
                <w:color w:val="00000A"/>
                <w:sz w:val="24"/>
                <w:szCs w:val="24"/>
              </w:rPr>
            </w:pPr>
            <w:r w:rsidRPr="006531C9">
              <w:rPr>
                <w:rFonts w:ascii="Times New Roman" w:eastAsia="Calibri" w:hAnsi="Times New Roman" w:cs="Times New Roman"/>
                <w:iCs/>
                <w:noProof/>
                <w:color w:val="00000A"/>
                <w:sz w:val="24"/>
                <w:szCs w:val="24"/>
              </w:rPr>
              <w:drawing>
                <wp:inline distT="0" distB="0" distL="0" distR="0" wp14:anchorId="4076E1C0" wp14:editId="6B603317">
                  <wp:extent cx="2136775" cy="1786431"/>
                  <wp:effectExtent l="3810" t="0" r="635" b="635"/>
                  <wp:docPr id="29" name="Рисунок 29" descr="C:\Users\Yerbol\Desktop\New\Новая папка\Фабифлю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C:\Users\Yerbol\Desktop\New\Новая папка\Фабифлю 2.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rot="5400000">
                            <a:off x="0" y="0"/>
                            <a:ext cx="2142421" cy="1791151"/>
                          </a:xfrm>
                          <a:prstGeom prst="rect">
                            <a:avLst/>
                          </a:prstGeom>
                          <a:noFill/>
                          <a:ln>
                            <a:noFill/>
                          </a:ln>
                        </pic:spPr>
                      </pic:pic>
                    </a:graphicData>
                  </a:graphic>
                </wp:inline>
              </w:drawing>
            </w:r>
          </w:p>
          <w:p w14:paraId="76474C81" w14:textId="795CA178" w:rsidR="00226539" w:rsidRPr="006531C9" w:rsidRDefault="00C43DB7" w:rsidP="00C43DB7">
            <w:pPr>
              <w:widowControl w:val="0"/>
              <w:autoSpaceDE w:val="0"/>
              <w:autoSpaceDN w:val="0"/>
              <w:adjustRightInd w:val="0"/>
              <w:spacing w:after="0" w:line="360" w:lineRule="auto"/>
              <w:ind w:firstLineChars="709" w:firstLine="1702"/>
              <w:rPr>
                <w:rFonts w:ascii="Times New Roman" w:eastAsia="Calibri" w:hAnsi="Times New Roman" w:cs="Times New Roman"/>
                <w:iCs/>
                <w:color w:val="00000A"/>
                <w:sz w:val="24"/>
                <w:szCs w:val="24"/>
              </w:rPr>
            </w:pPr>
            <w:r w:rsidRPr="006531C9">
              <w:rPr>
                <w:rFonts w:ascii="Times New Roman" w:eastAsia="Calibri" w:hAnsi="Times New Roman" w:cs="Times New Roman"/>
                <w:iCs/>
                <w:color w:val="00000A"/>
                <w:sz w:val="24"/>
                <w:szCs w:val="24"/>
              </w:rPr>
              <w:t xml:space="preserve">       </w:t>
            </w:r>
            <w:r w:rsidR="00853685" w:rsidRPr="006531C9">
              <w:rPr>
                <w:rFonts w:ascii="Times New Roman" w:eastAsia="Calibri" w:hAnsi="Times New Roman" w:cs="Times New Roman"/>
                <w:iCs/>
                <w:color w:val="00000A"/>
                <w:sz w:val="24"/>
                <w:szCs w:val="24"/>
              </w:rPr>
              <w:t>D</w:t>
            </w:r>
          </w:p>
        </w:tc>
        <w:tc>
          <w:tcPr>
            <w:tcW w:w="3201" w:type="dxa"/>
          </w:tcPr>
          <w:p w14:paraId="284EEEAB" w14:textId="77777777" w:rsidR="00226539" w:rsidRPr="006531C9" w:rsidRDefault="00853685" w:rsidP="00C43DB7">
            <w:pPr>
              <w:widowControl w:val="0"/>
              <w:autoSpaceDE w:val="0"/>
              <w:autoSpaceDN w:val="0"/>
              <w:adjustRightInd w:val="0"/>
              <w:spacing w:after="0" w:line="360" w:lineRule="auto"/>
              <w:jc w:val="center"/>
              <w:rPr>
                <w:rFonts w:ascii="Times New Roman" w:eastAsia="Calibri" w:hAnsi="Times New Roman" w:cs="Times New Roman"/>
                <w:iCs/>
                <w:color w:val="00000A"/>
                <w:sz w:val="24"/>
                <w:szCs w:val="24"/>
              </w:rPr>
            </w:pPr>
            <w:r w:rsidRPr="006531C9">
              <w:rPr>
                <w:rFonts w:ascii="Times New Roman" w:eastAsia="Calibri" w:hAnsi="Times New Roman" w:cs="Times New Roman"/>
                <w:iCs/>
                <w:noProof/>
                <w:color w:val="00000A"/>
                <w:sz w:val="24"/>
                <w:szCs w:val="24"/>
              </w:rPr>
              <w:drawing>
                <wp:inline distT="0" distB="0" distL="0" distR="0" wp14:anchorId="64B7DC66" wp14:editId="2519072F">
                  <wp:extent cx="2145455" cy="1672576"/>
                  <wp:effectExtent l="7937" t="0" r="0" b="0"/>
                  <wp:docPr id="30" name="Рисунок 30" descr="C:\Users\Yerbol\Desktop\New\Новая папка\Фабифлю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C:\Users\Yerbol\Desktop\New\Новая папка\Фабифлю 1.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rot="5400000">
                            <a:off x="0" y="0"/>
                            <a:ext cx="2153534" cy="1678874"/>
                          </a:xfrm>
                          <a:prstGeom prst="rect">
                            <a:avLst/>
                          </a:prstGeom>
                          <a:noFill/>
                          <a:ln>
                            <a:noFill/>
                          </a:ln>
                        </pic:spPr>
                      </pic:pic>
                    </a:graphicData>
                  </a:graphic>
                </wp:inline>
              </w:drawing>
            </w:r>
          </w:p>
          <w:p w14:paraId="7726EF0F" w14:textId="698A8A54" w:rsidR="00226539" w:rsidRPr="006531C9" w:rsidRDefault="00C43DB7" w:rsidP="00C43DB7">
            <w:pPr>
              <w:widowControl w:val="0"/>
              <w:autoSpaceDE w:val="0"/>
              <w:autoSpaceDN w:val="0"/>
              <w:adjustRightInd w:val="0"/>
              <w:spacing w:after="0" w:line="360" w:lineRule="auto"/>
              <w:rPr>
                <w:rFonts w:ascii="Times New Roman" w:eastAsia="Calibri" w:hAnsi="Times New Roman" w:cs="Times New Roman"/>
                <w:iCs/>
                <w:color w:val="00000A"/>
                <w:sz w:val="24"/>
                <w:szCs w:val="24"/>
              </w:rPr>
            </w:pPr>
            <w:r w:rsidRPr="006531C9">
              <w:rPr>
                <w:rFonts w:ascii="Times New Roman" w:eastAsia="Calibri" w:hAnsi="Times New Roman" w:cs="Times New Roman"/>
                <w:iCs/>
                <w:color w:val="000000" w:themeColor="text1"/>
                <w:sz w:val="24"/>
                <w:szCs w:val="24"/>
              </w:rPr>
              <w:t xml:space="preserve">                         </w:t>
            </w:r>
            <w:r w:rsidR="00853685" w:rsidRPr="006531C9">
              <w:rPr>
                <w:rFonts w:ascii="Times New Roman" w:eastAsia="Calibri" w:hAnsi="Times New Roman" w:cs="Times New Roman"/>
                <w:iCs/>
                <w:color w:val="000000" w:themeColor="text1"/>
                <w:sz w:val="24"/>
                <w:szCs w:val="24"/>
              </w:rPr>
              <w:t>E</w:t>
            </w:r>
          </w:p>
        </w:tc>
        <w:tc>
          <w:tcPr>
            <w:tcW w:w="3100" w:type="dxa"/>
          </w:tcPr>
          <w:p w14:paraId="2BAE0398" w14:textId="77777777" w:rsidR="00226539" w:rsidRPr="006531C9" w:rsidRDefault="00853685" w:rsidP="00C43DB7">
            <w:pPr>
              <w:widowControl w:val="0"/>
              <w:autoSpaceDE w:val="0"/>
              <w:autoSpaceDN w:val="0"/>
              <w:adjustRightInd w:val="0"/>
              <w:spacing w:after="0" w:line="360" w:lineRule="auto"/>
              <w:ind w:firstLineChars="2" w:firstLine="5"/>
              <w:jc w:val="center"/>
              <w:rPr>
                <w:rFonts w:ascii="Times New Roman" w:eastAsia="Calibri" w:hAnsi="Times New Roman" w:cs="Times New Roman"/>
                <w:iCs/>
                <w:color w:val="00000A"/>
                <w:sz w:val="24"/>
                <w:szCs w:val="24"/>
              </w:rPr>
            </w:pPr>
            <w:r w:rsidRPr="006531C9">
              <w:rPr>
                <w:rFonts w:ascii="Times New Roman" w:eastAsia="Calibri" w:hAnsi="Times New Roman" w:cs="Times New Roman"/>
                <w:iCs/>
                <w:noProof/>
                <w:color w:val="00000A"/>
                <w:sz w:val="24"/>
                <w:szCs w:val="24"/>
              </w:rPr>
              <w:drawing>
                <wp:inline distT="0" distB="0" distL="0" distR="0" wp14:anchorId="1BD8A3B6" wp14:editId="308623D2">
                  <wp:extent cx="2108027" cy="1581025"/>
                  <wp:effectExtent l="0" t="3175" r="3810" b="3810"/>
                  <wp:docPr id="31" name="Рисунок 31" descr="C:\Users\Yerbol\Desktop\New\Новая папка\КК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C:\Users\Yerbol\Desktop\New\Новая папка\КК 5.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rot="5400000">
                            <a:off x="0" y="0"/>
                            <a:ext cx="2113001" cy="1584755"/>
                          </a:xfrm>
                          <a:prstGeom prst="rect">
                            <a:avLst/>
                          </a:prstGeom>
                          <a:noFill/>
                          <a:ln>
                            <a:noFill/>
                          </a:ln>
                        </pic:spPr>
                      </pic:pic>
                    </a:graphicData>
                  </a:graphic>
                </wp:inline>
              </w:drawing>
            </w:r>
          </w:p>
          <w:p w14:paraId="4DCC9C7C" w14:textId="23435FF6" w:rsidR="00226539" w:rsidRPr="006531C9" w:rsidRDefault="00C43DB7" w:rsidP="00C43DB7">
            <w:pPr>
              <w:widowControl w:val="0"/>
              <w:autoSpaceDE w:val="0"/>
              <w:autoSpaceDN w:val="0"/>
              <w:adjustRightInd w:val="0"/>
              <w:spacing w:after="0" w:line="360" w:lineRule="auto"/>
              <w:rPr>
                <w:rFonts w:ascii="Times New Roman" w:eastAsia="Calibri" w:hAnsi="Times New Roman" w:cs="Times New Roman"/>
                <w:iCs/>
                <w:color w:val="00000A"/>
                <w:sz w:val="24"/>
                <w:szCs w:val="24"/>
              </w:rPr>
            </w:pPr>
            <w:r w:rsidRPr="006531C9">
              <w:rPr>
                <w:rFonts w:ascii="Times New Roman" w:eastAsia="Calibri" w:hAnsi="Times New Roman" w:cs="Times New Roman"/>
                <w:iCs/>
                <w:color w:val="00000A"/>
                <w:sz w:val="24"/>
                <w:szCs w:val="24"/>
              </w:rPr>
              <w:t xml:space="preserve">                                </w:t>
            </w:r>
            <w:r w:rsidR="00853685" w:rsidRPr="006531C9">
              <w:rPr>
                <w:rFonts w:ascii="Times New Roman" w:eastAsia="Calibri" w:hAnsi="Times New Roman" w:cs="Times New Roman"/>
                <w:iCs/>
                <w:color w:val="00000A"/>
                <w:sz w:val="24"/>
                <w:szCs w:val="24"/>
              </w:rPr>
              <w:t>F</w:t>
            </w:r>
          </w:p>
        </w:tc>
      </w:tr>
    </w:tbl>
    <w:p w14:paraId="52F1FCDE" w14:textId="22025D19" w:rsidR="007409E2" w:rsidRPr="00326CAD" w:rsidRDefault="00853685" w:rsidP="00326CAD">
      <w:pPr>
        <w:spacing w:after="0" w:line="240" w:lineRule="auto"/>
        <w:jc w:val="center"/>
        <w:rPr>
          <w:rFonts w:ascii="Times New Roman" w:hAnsi="Times New Roman" w:cs="Times New Roman"/>
          <w:sz w:val="28"/>
          <w:szCs w:val="28"/>
        </w:rPr>
      </w:pPr>
      <w:r w:rsidRPr="00326CAD">
        <w:rPr>
          <w:rFonts w:ascii="Times New Roman" w:hAnsi="Times New Roman" w:cs="Times New Roman"/>
          <w:sz w:val="28"/>
          <w:szCs w:val="28"/>
        </w:rPr>
        <w:t xml:space="preserve">Figure </w:t>
      </w:r>
      <w:r w:rsidR="00A5707A" w:rsidRPr="00326CAD">
        <w:rPr>
          <w:rFonts w:ascii="Times New Roman" w:hAnsi="Times New Roman" w:cs="Times New Roman"/>
          <w:sz w:val="28"/>
          <w:szCs w:val="28"/>
        </w:rPr>
        <w:t>3</w:t>
      </w:r>
      <w:r w:rsidR="007409E2" w:rsidRPr="00326CAD">
        <w:rPr>
          <w:rFonts w:ascii="Times New Roman" w:hAnsi="Times New Roman" w:cs="Times New Roman"/>
          <w:sz w:val="28"/>
          <w:szCs w:val="28"/>
        </w:rPr>
        <w:t>0</w:t>
      </w:r>
      <w:r w:rsidRPr="00326CAD">
        <w:rPr>
          <w:rFonts w:ascii="Times New Roman" w:hAnsi="Times New Roman" w:cs="Times New Roman"/>
          <w:sz w:val="28"/>
          <w:szCs w:val="28"/>
        </w:rPr>
        <w:t xml:space="preserve"> </w:t>
      </w:r>
      <w:r w:rsidR="004B3B45" w:rsidRPr="00326CAD">
        <w:rPr>
          <w:rFonts w:ascii="Times New Roman" w:hAnsi="Times New Roman" w:cs="Times New Roman"/>
          <w:b/>
          <w:bCs/>
          <w:sz w:val="28"/>
          <w:szCs w:val="28"/>
        </w:rPr>
        <w:t xml:space="preserve">– </w:t>
      </w:r>
      <w:r w:rsidRPr="00326CAD">
        <w:rPr>
          <w:rFonts w:ascii="Times New Roman" w:hAnsi="Times New Roman" w:cs="Times New Roman"/>
          <w:sz w:val="28"/>
          <w:szCs w:val="28"/>
        </w:rPr>
        <w:t>Determination of cytotoxicity of Fabiflu</w:t>
      </w:r>
      <w:r w:rsidR="00AE7300" w:rsidRPr="00326CAD">
        <w:rPr>
          <w:rFonts w:ascii="Times New Roman" w:hAnsi="Times New Roman" w:cs="Times New Roman"/>
          <w:sz w:val="28"/>
          <w:szCs w:val="28"/>
        </w:rPr>
        <w:t xml:space="preserve"> (Favipiravir) in</w:t>
      </w:r>
      <w:r w:rsidRPr="00326CAD">
        <w:rPr>
          <w:rFonts w:ascii="Times New Roman" w:hAnsi="Times New Roman" w:cs="Times New Roman"/>
          <w:sz w:val="28"/>
          <w:szCs w:val="28"/>
        </w:rPr>
        <w:t xml:space="preserve"> Vero cell culture</w:t>
      </w:r>
      <w:r w:rsidR="00F10A45" w:rsidRPr="00326CAD">
        <w:rPr>
          <w:rFonts w:ascii="Times New Roman" w:hAnsi="Times New Roman" w:cs="Times New Roman"/>
          <w:sz w:val="28"/>
          <w:szCs w:val="28"/>
        </w:rPr>
        <w:t>.</w:t>
      </w:r>
      <w:r w:rsidR="00326CAD">
        <w:rPr>
          <w:rFonts w:ascii="Times New Roman" w:hAnsi="Times New Roman" w:cs="Times New Roman"/>
          <w:sz w:val="28"/>
          <w:szCs w:val="28"/>
        </w:rPr>
        <w:t xml:space="preserve"> </w:t>
      </w:r>
      <w:r w:rsidRPr="00326CAD">
        <w:rPr>
          <w:rFonts w:ascii="Times New Roman" w:hAnsi="Times New Roman" w:cs="Times New Roman"/>
          <w:sz w:val="28"/>
          <w:szCs w:val="28"/>
        </w:rPr>
        <w:t>A – 200 µg, B – 150 µg, C – 100 µg, D – 75 µg, E – 50 µg, F – Control Vero</w:t>
      </w:r>
      <w:r w:rsidR="00456E5E" w:rsidRPr="00326CAD">
        <w:rPr>
          <w:rFonts w:ascii="Times New Roman" w:hAnsi="Times New Roman" w:cs="Times New Roman"/>
          <w:sz w:val="28"/>
          <w:szCs w:val="28"/>
        </w:rPr>
        <w:t xml:space="preserve"> (untreated)</w:t>
      </w:r>
    </w:p>
    <w:p w14:paraId="45F8537A" w14:textId="77777777" w:rsidR="007409E2" w:rsidRPr="00326CAD" w:rsidRDefault="007409E2" w:rsidP="00326CAD">
      <w:pPr>
        <w:spacing w:after="0" w:line="240" w:lineRule="auto"/>
        <w:jc w:val="center"/>
        <w:rPr>
          <w:rFonts w:ascii="Times New Roman" w:hAnsi="Times New Roman" w:cs="Times New Roman"/>
          <w:sz w:val="28"/>
          <w:szCs w:val="28"/>
        </w:rPr>
      </w:pPr>
      <w:bookmarkStart w:id="44" w:name="_Hlk169689979"/>
    </w:p>
    <w:p w14:paraId="0E4F0939" w14:textId="0AB9918B" w:rsidR="00EB5CBC" w:rsidRPr="00326CAD" w:rsidRDefault="00CF433F" w:rsidP="00326CAD">
      <w:pPr>
        <w:spacing w:after="0" w:line="240" w:lineRule="auto"/>
        <w:ind w:firstLine="709"/>
        <w:jc w:val="both"/>
        <w:rPr>
          <w:rFonts w:ascii="Times New Roman" w:hAnsi="Times New Roman" w:cs="Times New Roman"/>
          <w:sz w:val="28"/>
          <w:szCs w:val="28"/>
        </w:rPr>
      </w:pPr>
      <w:r w:rsidRPr="00326CAD">
        <w:rPr>
          <w:rFonts w:ascii="Times New Roman" w:hAnsi="Times New Roman" w:cs="Times New Roman"/>
          <w:sz w:val="28"/>
          <w:szCs w:val="28"/>
        </w:rPr>
        <w:t xml:space="preserve">In conclusion, 72 hours of exposure to four drugs demonstrated the full viability potential of VeroE6 cells and their ability to sustain SARS-CoV-2 replication during viral </w:t>
      </w:r>
      <w:r w:rsidR="00B12306" w:rsidRPr="00326CAD">
        <w:rPr>
          <w:rFonts w:ascii="Times New Roman" w:hAnsi="Times New Roman" w:cs="Times New Roman"/>
          <w:sz w:val="28"/>
          <w:szCs w:val="28"/>
        </w:rPr>
        <w:t>titer</w:t>
      </w:r>
      <w:r w:rsidRPr="00326CAD">
        <w:rPr>
          <w:rFonts w:ascii="Times New Roman" w:hAnsi="Times New Roman" w:cs="Times New Roman"/>
          <w:sz w:val="28"/>
          <w:szCs w:val="28"/>
        </w:rPr>
        <w:t xml:space="preserve"> production from supernatants obtained from biosamples.  </w:t>
      </w:r>
      <w:r w:rsidR="004D0AC1" w:rsidRPr="00326CAD">
        <w:rPr>
          <w:rFonts w:ascii="Times New Roman" w:hAnsi="Times New Roman" w:cs="Times New Roman"/>
          <w:sz w:val="28"/>
          <w:szCs w:val="28"/>
        </w:rPr>
        <w:t xml:space="preserve">Dexamethasone's </w:t>
      </w:r>
      <w:r w:rsidR="007C7692">
        <w:rPr>
          <w:rFonts w:ascii="Times New Roman" w:hAnsi="Times New Roman" w:cs="Times New Roman"/>
          <w:sz w:val="28"/>
          <w:szCs w:val="28"/>
        </w:rPr>
        <w:t>effect on Vero cell viability appears to be context-dependent, primarily depending on</w:t>
      </w:r>
      <w:r w:rsidR="004D0AC1" w:rsidRPr="00326CAD">
        <w:rPr>
          <w:rFonts w:ascii="Times New Roman" w:hAnsi="Times New Roman" w:cs="Times New Roman"/>
          <w:sz w:val="28"/>
          <w:szCs w:val="28"/>
        </w:rPr>
        <w:t xml:space="preserve"> concentration and exposure duration. Here is a </w:t>
      </w:r>
      <w:r w:rsidR="00BD5961" w:rsidRPr="00326CAD">
        <w:rPr>
          <w:rFonts w:ascii="Times New Roman" w:hAnsi="Times New Roman" w:cs="Times New Roman"/>
          <w:sz w:val="28"/>
          <w:szCs w:val="28"/>
        </w:rPr>
        <w:t>synthesised</w:t>
      </w:r>
      <w:r w:rsidR="004D0AC1" w:rsidRPr="00326CAD">
        <w:rPr>
          <w:rFonts w:ascii="Times New Roman" w:hAnsi="Times New Roman" w:cs="Times New Roman"/>
          <w:sz w:val="28"/>
          <w:szCs w:val="28"/>
        </w:rPr>
        <w:t xml:space="preserve"> summary based on available data: Standard Concentrations (e.g., 100 nM to 1 µM): Studies indicate that dexamethasone, at concentrations commonly used in cell culture (e.g., 100 nM to 1 µM), does not significantly impair the viability of Vero cells. For example, experiments using MTT assays or similar viability tests showed no adverse effects after 48 hours of treatment. This aligns with its frequent use in virology and cell culture to modulate gene expression or enhance viral yield without harming cells. High Concentrations or Prolonged Exposure: At higher doses (e.g., 10 µM or greater), dexamethasone may exhibit cytotoxic effects, potentially reducing viability through mechanisms such as apoptosis. Such effects are consistent with glucocorticoid behaviour in some cell types, although epithelial cells, such as Vero</w:t>
      </w:r>
      <w:r w:rsidR="007C7692">
        <w:rPr>
          <w:rFonts w:ascii="Times New Roman" w:hAnsi="Times New Roman" w:cs="Times New Roman"/>
          <w:sz w:val="28"/>
          <w:szCs w:val="28"/>
        </w:rPr>
        <w:t xml:space="preserve"> cells, may be less sensitive than</w:t>
      </w:r>
      <w:r w:rsidR="004D0AC1" w:rsidRPr="00326CAD">
        <w:rPr>
          <w:rFonts w:ascii="Times New Roman" w:hAnsi="Times New Roman" w:cs="Times New Roman"/>
          <w:sz w:val="28"/>
          <w:szCs w:val="28"/>
        </w:rPr>
        <w:t xml:space="preserve"> immune cells. </w:t>
      </w:r>
      <w:r w:rsidR="004D0AC1" w:rsidRPr="00326CAD">
        <w:rPr>
          <w:rFonts w:ascii="Times New Roman" w:hAnsi="Times New Roman" w:cs="Times New Roman"/>
          <w:sz w:val="28"/>
          <w:szCs w:val="28"/>
        </w:rPr>
        <w:lastRenderedPageBreak/>
        <w:t>Contextual Effects: Dexamethasone may enhance cell survival under stress (e.g., serum starvation) by mitigating stress responses. However, under normal conditions, its primary role in Vero cultures is often supportive rather than detrimental. Dexamethasone generally does not compromise Vero cell viability at standard experimental concentrations. However, researchers should optimi</w:t>
      </w:r>
      <w:r w:rsidR="00D81DD8" w:rsidRPr="00326CAD">
        <w:rPr>
          <w:rFonts w:ascii="Times New Roman" w:hAnsi="Times New Roman" w:cs="Times New Roman"/>
          <w:sz w:val="28"/>
          <w:szCs w:val="28"/>
        </w:rPr>
        <w:t>s</w:t>
      </w:r>
      <w:r w:rsidR="004D0AC1" w:rsidRPr="00326CAD">
        <w:rPr>
          <w:rFonts w:ascii="Times New Roman" w:hAnsi="Times New Roman" w:cs="Times New Roman"/>
          <w:sz w:val="28"/>
          <w:szCs w:val="28"/>
        </w:rPr>
        <w:t>e doses and monitor exposure times to avoid potential toxicity at higher levels</w:t>
      </w:r>
      <w:r w:rsidR="00BD5961" w:rsidRPr="00326CAD">
        <w:rPr>
          <w:rFonts w:ascii="Times New Roman" w:hAnsi="Times New Roman" w:cs="Times New Roman"/>
          <w:sz w:val="28"/>
          <w:szCs w:val="28"/>
        </w:rPr>
        <w:t>.</w:t>
      </w:r>
    </w:p>
    <w:p w14:paraId="54043EDC" w14:textId="722C07D6" w:rsidR="001D288B" w:rsidRDefault="00DE63E2" w:rsidP="00326CAD">
      <w:pPr>
        <w:spacing w:after="0" w:line="240" w:lineRule="auto"/>
        <w:ind w:firstLine="709"/>
        <w:jc w:val="both"/>
        <w:rPr>
          <w:rFonts w:ascii="Times New Roman" w:hAnsi="Times New Roman" w:cs="Times New Roman"/>
          <w:sz w:val="28"/>
          <w:szCs w:val="28"/>
        </w:rPr>
      </w:pPr>
      <w:r w:rsidRPr="00326CAD">
        <w:rPr>
          <w:rFonts w:ascii="Times New Roman" w:hAnsi="Times New Roman" w:cs="Times New Roman"/>
          <w:sz w:val="28"/>
          <w:szCs w:val="28"/>
        </w:rPr>
        <w:t xml:space="preserve">A drug viability concentration assay is an experimental procedure used to evaluate the effect of various drug concentrations on cells' viability (or survival). This </w:t>
      </w:r>
      <w:r w:rsidR="007C7692">
        <w:rPr>
          <w:rFonts w:ascii="Times New Roman" w:hAnsi="Times New Roman" w:cs="Times New Roman"/>
          <w:sz w:val="28"/>
          <w:szCs w:val="28"/>
        </w:rPr>
        <w:t>assay type</w:t>
      </w:r>
      <w:r w:rsidRPr="00326CAD">
        <w:rPr>
          <w:rFonts w:ascii="Times New Roman" w:hAnsi="Times New Roman" w:cs="Times New Roman"/>
          <w:sz w:val="28"/>
          <w:szCs w:val="28"/>
        </w:rPr>
        <w:t xml:space="preserve"> is commonly used in drug development and pharmacological research to determine a compound's cytotoxicity or therapeutic efficacy. Here is an overview of what it involves: Cell Seeding: preparation: Cells are plated in multi-well plates (e.g., 96-well plates) at an appropriate density to ensure exponential growth during the assay. Objective: This setup </w:t>
      </w:r>
      <w:r w:rsidR="007C7692">
        <w:rPr>
          <w:rFonts w:ascii="Times New Roman" w:hAnsi="Times New Roman" w:cs="Times New Roman"/>
          <w:sz w:val="28"/>
          <w:szCs w:val="28"/>
        </w:rPr>
        <w:t>enables consistent,</w:t>
      </w:r>
      <w:r w:rsidRPr="00326CAD">
        <w:rPr>
          <w:rFonts w:ascii="Times New Roman" w:hAnsi="Times New Roman" w:cs="Times New Roman"/>
          <w:sz w:val="28"/>
          <w:szCs w:val="28"/>
        </w:rPr>
        <w:t xml:space="preserve"> reproducible results across multiple conditions. Drug Treatment: Concentration Gradient - Cells are treated with a range of drug concentrations, often in a serial dilution format, to capture the entire dose-response curve. Incubation: The cells are incubated for a set period (</w:t>
      </w:r>
      <w:r w:rsidR="007C7692">
        <w:rPr>
          <w:rFonts w:ascii="Times New Roman" w:hAnsi="Times New Roman" w:cs="Times New Roman"/>
          <w:sz w:val="28"/>
          <w:szCs w:val="28"/>
        </w:rPr>
        <w:t>typically 24–72 hours), during which the drug exerts</w:t>
      </w:r>
      <w:r w:rsidRPr="00326CAD">
        <w:rPr>
          <w:rFonts w:ascii="Times New Roman" w:hAnsi="Times New Roman" w:cs="Times New Roman"/>
          <w:sz w:val="28"/>
          <w:szCs w:val="28"/>
        </w:rPr>
        <w:t xml:space="preserve"> its effect. </w:t>
      </w:r>
    </w:p>
    <w:p w14:paraId="4AA98301" w14:textId="1E1984B1" w:rsidR="00F9709F" w:rsidRPr="00326CAD" w:rsidRDefault="00DE63E2" w:rsidP="00326CAD">
      <w:pPr>
        <w:spacing w:after="0" w:line="240" w:lineRule="auto"/>
        <w:ind w:firstLine="709"/>
        <w:jc w:val="both"/>
        <w:rPr>
          <w:rFonts w:ascii="Times New Roman" w:hAnsi="Times New Roman" w:cs="Times New Roman"/>
          <w:sz w:val="28"/>
          <w:szCs w:val="28"/>
        </w:rPr>
      </w:pPr>
      <w:r w:rsidRPr="00326CAD">
        <w:rPr>
          <w:rFonts w:ascii="Times New Roman" w:hAnsi="Times New Roman" w:cs="Times New Roman"/>
          <w:sz w:val="28"/>
          <w:szCs w:val="28"/>
        </w:rPr>
        <w:t xml:space="preserve">Viability Assessment: Assays Used: Several assays can be employed to measure cell viability, including the MTT/MTS Assay, which measures metabolic activity by reducing tetrazolium salts to formazan. Measurement: The output is typically quantified by measuring absorbance, fluorescence, or luminescence, which correlates with the number of viable cells. Data Analysis: Dose-Response Curve: Viability data is plotted against drug concentration to generate a dose-response curve. IC₅₀ Determination: The IC₅₀ (the concentration at which the drug reduces cell viability by 50%) can be calculated from the curve. </w:t>
      </w:r>
    </w:p>
    <w:p w14:paraId="16390920" w14:textId="38D2ED21" w:rsidR="00DE63E2" w:rsidRPr="00326CAD" w:rsidRDefault="00DE63E2" w:rsidP="00326CAD">
      <w:pPr>
        <w:spacing w:after="0" w:line="240" w:lineRule="auto"/>
        <w:ind w:firstLine="709"/>
        <w:jc w:val="both"/>
        <w:rPr>
          <w:rFonts w:ascii="Times New Roman" w:hAnsi="Times New Roman" w:cs="Times New Roman"/>
          <w:sz w:val="28"/>
          <w:szCs w:val="28"/>
        </w:rPr>
      </w:pPr>
      <w:r w:rsidRPr="00326CAD">
        <w:rPr>
          <w:rFonts w:ascii="Times New Roman" w:hAnsi="Times New Roman" w:cs="Times New Roman"/>
          <w:sz w:val="28"/>
          <w:szCs w:val="28"/>
        </w:rPr>
        <w:t xml:space="preserve">This is a key parameter for comparing </w:t>
      </w:r>
      <w:r w:rsidR="007C7692">
        <w:rPr>
          <w:rFonts w:ascii="Times New Roman" w:hAnsi="Times New Roman" w:cs="Times New Roman"/>
          <w:sz w:val="28"/>
          <w:szCs w:val="28"/>
        </w:rPr>
        <w:t>drug potencies</w:t>
      </w:r>
      <w:r w:rsidRPr="00326CAD">
        <w:rPr>
          <w:rFonts w:ascii="Times New Roman" w:hAnsi="Times New Roman" w:cs="Times New Roman"/>
          <w:sz w:val="28"/>
          <w:szCs w:val="28"/>
        </w:rPr>
        <w:t>. Statistical Analysis: Replicates and proper controls (</w:t>
      </w:r>
      <w:r w:rsidR="0065497C">
        <w:rPr>
          <w:rFonts w:ascii="Times New Roman" w:hAnsi="Times New Roman" w:cs="Times New Roman"/>
          <w:sz w:val="28"/>
          <w:szCs w:val="28"/>
        </w:rPr>
        <w:t>e.g., untreated cells and vehicle controls) are crucial for obtaining reliable,</w:t>
      </w:r>
      <w:r w:rsidRPr="00326CAD">
        <w:rPr>
          <w:rFonts w:ascii="Times New Roman" w:hAnsi="Times New Roman" w:cs="Times New Roman"/>
          <w:sz w:val="28"/>
          <w:szCs w:val="28"/>
        </w:rPr>
        <w:t xml:space="preserve"> interpretable results. The drug viability concentration assay is a fundamental tool in biomedical research that provides quantitative insights into a drug's cytotoxic or cytoprotective effects. It helps researchers optimise dosing and identify promising therapeutic candidates.</w:t>
      </w:r>
    </w:p>
    <w:p w14:paraId="4CCE9345" w14:textId="77777777" w:rsidR="00F9709F" w:rsidRPr="00326CAD" w:rsidRDefault="00F9709F" w:rsidP="00326CAD">
      <w:pPr>
        <w:spacing w:after="0" w:line="240" w:lineRule="auto"/>
        <w:jc w:val="both"/>
        <w:rPr>
          <w:rFonts w:ascii="Times New Roman" w:hAnsi="Times New Roman" w:cs="Times New Roman"/>
          <w:sz w:val="28"/>
          <w:szCs w:val="28"/>
        </w:rPr>
      </w:pPr>
    </w:p>
    <w:p w14:paraId="56A65FB6" w14:textId="59E4D8A5" w:rsidR="0021417E" w:rsidRPr="00326CAD" w:rsidRDefault="00853685" w:rsidP="00326CAD">
      <w:pPr>
        <w:spacing w:after="0" w:line="240" w:lineRule="auto"/>
        <w:ind w:left="709"/>
        <w:jc w:val="both"/>
        <w:rPr>
          <w:rFonts w:ascii="Times New Roman" w:hAnsi="Times New Roman" w:cs="Times New Roman"/>
          <w:b/>
          <w:bCs/>
          <w:sz w:val="28"/>
          <w:szCs w:val="28"/>
        </w:rPr>
      </w:pPr>
      <w:bookmarkStart w:id="45" w:name="_Hlk170066582"/>
      <w:r w:rsidRPr="00326CAD">
        <w:rPr>
          <w:rFonts w:ascii="Times New Roman" w:hAnsi="Times New Roman" w:cs="Times New Roman"/>
          <w:b/>
          <w:bCs/>
          <w:sz w:val="28"/>
          <w:szCs w:val="28"/>
        </w:rPr>
        <w:t>3.</w:t>
      </w:r>
      <w:r w:rsidR="00121285" w:rsidRPr="00326CAD">
        <w:rPr>
          <w:rFonts w:ascii="Times New Roman" w:hAnsi="Times New Roman" w:cs="Times New Roman"/>
          <w:b/>
          <w:bCs/>
          <w:sz w:val="28"/>
          <w:szCs w:val="28"/>
        </w:rPr>
        <w:t>3</w:t>
      </w:r>
      <w:r w:rsidRPr="00326CAD">
        <w:rPr>
          <w:rFonts w:ascii="Times New Roman" w:hAnsi="Times New Roman" w:cs="Times New Roman"/>
          <w:b/>
          <w:bCs/>
          <w:sz w:val="28"/>
          <w:szCs w:val="28"/>
        </w:rPr>
        <w:t xml:space="preserve">.2 CCK8 test for </w:t>
      </w:r>
      <w:r w:rsidR="00EB5CBC" w:rsidRPr="00326CAD">
        <w:rPr>
          <w:rFonts w:ascii="Times New Roman" w:hAnsi="Times New Roman" w:cs="Times New Roman"/>
          <w:b/>
          <w:bCs/>
          <w:sz w:val="28"/>
          <w:szCs w:val="28"/>
        </w:rPr>
        <w:t>cell viability</w:t>
      </w:r>
      <w:r w:rsidRPr="00326CAD">
        <w:rPr>
          <w:rFonts w:ascii="Times New Roman" w:hAnsi="Times New Roman" w:cs="Times New Roman"/>
          <w:b/>
          <w:bCs/>
          <w:sz w:val="28"/>
          <w:szCs w:val="28"/>
        </w:rPr>
        <w:t xml:space="preserve"> in four drugs </w:t>
      </w:r>
      <w:r w:rsidR="00EB5CBC" w:rsidRPr="00326CAD">
        <w:rPr>
          <w:rFonts w:ascii="Times New Roman" w:hAnsi="Times New Roman" w:cs="Times New Roman"/>
          <w:b/>
          <w:bCs/>
          <w:sz w:val="28"/>
          <w:szCs w:val="28"/>
        </w:rPr>
        <w:t>at varying concentrations against SARS-CoV-2 Titters</w:t>
      </w:r>
      <w:r w:rsidR="008028E2" w:rsidRPr="00326CAD">
        <w:rPr>
          <w:rFonts w:ascii="Times New Roman" w:hAnsi="Times New Roman" w:cs="Times New Roman"/>
          <w:b/>
          <w:bCs/>
          <w:sz w:val="28"/>
          <w:szCs w:val="28"/>
        </w:rPr>
        <w:t xml:space="preserve"> </w:t>
      </w:r>
    </w:p>
    <w:p w14:paraId="4776B610" w14:textId="04CAABCE" w:rsidR="00226539" w:rsidRPr="00326CAD" w:rsidRDefault="00A5707A" w:rsidP="00326CAD">
      <w:pPr>
        <w:spacing w:after="0" w:line="240" w:lineRule="auto"/>
        <w:ind w:firstLine="708"/>
        <w:jc w:val="both"/>
        <w:rPr>
          <w:rFonts w:ascii="Times New Roman" w:hAnsi="Times New Roman" w:cs="Times New Roman"/>
          <w:sz w:val="28"/>
          <w:szCs w:val="28"/>
        </w:rPr>
      </w:pPr>
      <w:r w:rsidRPr="00326CAD">
        <w:rPr>
          <w:rFonts w:ascii="Times New Roman" w:hAnsi="Times New Roman" w:cs="Times New Roman"/>
          <w:sz w:val="28"/>
          <w:szCs w:val="28"/>
        </w:rPr>
        <w:t xml:space="preserve">The combined data in </w:t>
      </w:r>
      <w:r w:rsidR="00853685" w:rsidRPr="00326CAD">
        <w:rPr>
          <w:rFonts w:ascii="Times New Roman" w:hAnsi="Times New Roman" w:cs="Times New Roman"/>
          <w:sz w:val="28"/>
          <w:szCs w:val="28"/>
        </w:rPr>
        <w:t xml:space="preserve">Figure </w:t>
      </w:r>
      <w:r w:rsidRPr="00326CAD">
        <w:rPr>
          <w:rFonts w:ascii="Times New Roman" w:hAnsi="Times New Roman" w:cs="Times New Roman"/>
          <w:sz w:val="28"/>
          <w:szCs w:val="28"/>
        </w:rPr>
        <w:t>3</w:t>
      </w:r>
      <w:r w:rsidR="007926F2" w:rsidRPr="00326CAD">
        <w:rPr>
          <w:rFonts w:ascii="Times New Roman" w:hAnsi="Times New Roman" w:cs="Times New Roman"/>
          <w:sz w:val="28"/>
          <w:szCs w:val="28"/>
        </w:rPr>
        <w:t>4</w:t>
      </w:r>
      <w:r w:rsidR="00853685" w:rsidRPr="00326CAD">
        <w:rPr>
          <w:rFonts w:ascii="Times New Roman" w:hAnsi="Times New Roman" w:cs="Times New Roman"/>
          <w:sz w:val="28"/>
          <w:szCs w:val="28"/>
        </w:rPr>
        <w:t xml:space="preserve"> </w:t>
      </w:r>
      <w:r w:rsidR="007C7692">
        <w:rPr>
          <w:rFonts w:ascii="Times New Roman" w:hAnsi="Times New Roman" w:cs="Times New Roman"/>
          <w:sz w:val="28"/>
          <w:szCs w:val="28"/>
        </w:rPr>
        <w:t>show the antiviral drugs in DMEM at relatively safe concentrations</w:t>
      </w:r>
      <w:r w:rsidR="00A6478D" w:rsidRPr="00326CAD">
        <w:rPr>
          <w:rFonts w:ascii="Times New Roman" w:hAnsi="Times New Roman" w:cs="Times New Roman"/>
          <w:sz w:val="28"/>
          <w:szCs w:val="28"/>
        </w:rPr>
        <w:t xml:space="preserve">. The experiment was repeated five times in the </w:t>
      </w:r>
      <w:r w:rsidR="00611BE3" w:rsidRPr="00326CAD">
        <w:rPr>
          <w:rFonts w:ascii="Times New Roman" w:hAnsi="Times New Roman" w:cs="Times New Roman"/>
          <w:sz w:val="28"/>
          <w:szCs w:val="28"/>
        </w:rPr>
        <w:t>colourimetric</w:t>
      </w:r>
      <w:r w:rsidR="006276F2" w:rsidRPr="00326CAD">
        <w:rPr>
          <w:rFonts w:ascii="Times New Roman" w:hAnsi="Times New Roman" w:cs="Times New Roman"/>
          <w:sz w:val="28"/>
          <w:szCs w:val="28"/>
        </w:rPr>
        <w:t xml:space="preserve"> assay using the </w:t>
      </w:r>
      <w:r w:rsidR="00A6478D" w:rsidRPr="00326CAD">
        <w:rPr>
          <w:rFonts w:ascii="Times New Roman" w:hAnsi="Times New Roman" w:cs="Times New Roman"/>
          <w:sz w:val="28"/>
          <w:szCs w:val="28"/>
        </w:rPr>
        <w:t>CCK8 tablet,</w:t>
      </w:r>
      <w:r w:rsidR="00853685" w:rsidRPr="00326CAD">
        <w:rPr>
          <w:rFonts w:ascii="Times New Roman" w:hAnsi="Times New Roman" w:cs="Times New Roman"/>
          <w:sz w:val="28"/>
          <w:szCs w:val="28"/>
        </w:rPr>
        <w:t xml:space="preserve"> </w:t>
      </w:r>
      <w:r w:rsidR="007C7692">
        <w:rPr>
          <w:rFonts w:ascii="Times New Roman" w:hAnsi="Times New Roman" w:cs="Times New Roman"/>
          <w:sz w:val="28"/>
          <w:szCs w:val="28"/>
        </w:rPr>
        <w:t>which measures WST-8 formazan absorbance</w:t>
      </w:r>
      <w:r w:rsidR="00853685" w:rsidRPr="00326CAD">
        <w:rPr>
          <w:rFonts w:ascii="Times New Roman" w:hAnsi="Times New Roman" w:cs="Times New Roman"/>
          <w:sz w:val="28"/>
          <w:szCs w:val="28"/>
        </w:rPr>
        <w:t>. The absorbance at 450 nm is proportional to cell viability</w:t>
      </w:r>
      <w:r w:rsidR="00B974CD" w:rsidRPr="00326CAD">
        <w:rPr>
          <w:rFonts w:ascii="Times New Roman" w:hAnsi="Times New Roman" w:cs="Times New Roman"/>
          <w:sz w:val="28"/>
          <w:szCs w:val="28"/>
        </w:rPr>
        <w:t xml:space="preserve">. </w:t>
      </w:r>
      <w:r w:rsidR="0065497C">
        <w:rPr>
          <w:rFonts w:ascii="Times New Roman" w:hAnsi="Times New Roman" w:cs="Times New Roman"/>
          <w:sz w:val="28"/>
          <w:szCs w:val="28"/>
        </w:rPr>
        <w:t>Figure 31 presents the results</w:t>
      </w:r>
      <w:r w:rsidR="00853685" w:rsidRPr="00326CAD">
        <w:rPr>
          <w:rFonts w:ascii="Times New Roman" w:hAnsi="Times New Roman" w:cs="Times New Roman"/>
          <w:sz w:val="28"/>
          <w:szCs w:val="28"/>
        </w:rPr>
        <w:t>.</w:t>
      </w:r>
    </w:p>
    <w:bookmarkEnd w:id="45"/>
    <w:p w14:paraId="30334FDE" w14:textId="77777777" w:rsidR="00226539" w:rsidRPr="00326CAD" w:rsidRDefault="00853685" w:rsidP="00326CAD">
      <w:pPr>
        <w:spacing w:after="0" w:line="240" w:lineRule="auto"/>
        <w:ind w:firstLineChars="709" w:firstLine="1993"/>
        <w:jc w:val="both"/>
        <w:rPr>
          <w:rFonts w:ascii="Times New Roman" w:hAnsi="Times New Roman" w:cs="Times New Roman"/>
          <w:b/>
          <w:bCs/>
          <w:sz w:val="28"/>
          <w:szCs w:val="28"/>
        </w:rPr>
      </w:pPr>
      <w:r w:rsidRPr="00326CAD">
        <w:rPr>
          <w:rFonts w:ascii="Times New Roman" w:hAnsi="Times New Roman" w:cs="Times New Roman"/>
          <w:b/>
          <w:bCs/>
          <w:sz w:val="28"/>
          <w:szCs w:val="28"/>
        </w:rPr>
        <w:t xml:space="preserve"> </w:t>
      </w:r>
    </w:p>
    <w:bookmarkEnd w:id="44"/>
    <w:p w14:paraId="04988448" w14:textId="343AA4AE" w:rsidR="00A34631" w:rsidRPr="006531C9" w:rsidRDefault="00735755" w:rsidP="00735755">
      <w:pPr>
        <w:spacing w:after="0" w:line="360" w:lineRule="auto"/>
        <w:jc w:val="center"/>
        <w:rPr>
          <w:rFonts w:ascii="Times New Roman" w:hAnsi="Times New Roman" w:cs="Times New Roman"/>
          <w:b/>
          <w:bCs/>
          <w:sz w:val="24"/>
          <w:szCs w:val="24"/>
        </w:rPr>
      </w:pPr>
      <w:r w:rsidRPr="006531C9">
        <w:rPr>
          <w:rFonts w:ascii="Times New Roman" w:hAnsi="Times New Roman" w:cs="Times New Roman"/>
          <w:b/>
          <w:bCs/>
          <w:noProof/>
          <w:sz w:val="24"/>
          <w:szCs w:val="24"/>
        </w:rPr>
        <w:lastRenderedPageBreak/>
        <w:drawing>
          <wp:inline distT="0" distB="0" distL="0" distR="0" wp14:anchorId="4DEFDE68" wp14:editId="669D5789">
            <wp:extent cx="6084277" cy="3728524"/>
            <wp:effectExtent l="0" t="0" r="0" b="5715"/>
            <wp:docPr id="2095569650"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 t="5357" r="-2432"/>
                    <a:stretch>
                      <a:fillRect/>
                    </a:stretch>
                  </pic:blipFill>
                  <pic:spPr bwMode="auto">
                    <a:xfrm>
                      <a:off x="0" y="0"/>
                      <a:ext cx="6084277" cy="3728524"/>
                    </a:xfrm>
                    <a:prstGeom prst="rect">
                      <a:avLst/>
                    </a:prstGeom>
                    <a:noFill/>
                    <a:ln>
                      <a:noFill/>
                    </a:ln>
                    <a:extLst>
                      <a:ext uri="{53640926-AAD7-44D8-BBD7-CCE9431645EC}">
                        <a14:shadowObscured xmlns:a14="http://schemas.microsoft.com/office/drawing/2010/main"/>
                      </a:ext>
                    </a:extLst>
                  </pic:spPr>
                </pic:pic>
              </a:graphicData>
            </a:graphic>
          </wp:inline>
        </w:drawing>
      </w:r>
    </w:p>
    <w:p w14:paraId="62D17548" w14:textId="056B99AB" w:rsidR="00F9709F" w:rsidRPr="007C7692" w:rsidRDefault="00853685" w:rsidP="00B974CD">
      <w:pPr>
        <w:spacing w:after="0" w:line="240" w:lineRule="auto"/>
        <w:jc w:val="center"/>
        <w:rPr>
          <w:rFonts w:ascii="Times New Roman" w:hAnsi="Times New Roman" w:cs="Times New Roman"/>
          <w:sz w:val="28"/>
          <w:szCs w:val="28"/>
        </w:rPr>
      </w:pPr>
      <w:r w:rsidRPr="007C7692">
        <w:rPr>
          <w:rFonts w:ascii="Times New Roman" w:hAnsi="Times New Roman" w:cs="Times New Roman"/>
          <w:sz w:val="28"/>
          <w:szCs w:val="28"/>
        </w:rPr>
        <w:t xml:space="preserve">Figure </w:t>
      </w:r>
      <w:r w:rsidR="00A5707A" w:rsidRPr="007C7692">
        <w:rPr>
          <w:rFonts w:ascii="Times New Roman" w:hAnsi="Times New Roman" w:cs="Times New Roman"/>
          <w:sz w:val="28"/>
          <w:szCs w:val="28"/>
        </w:rPr>
        <w:t>3</w:t>
      </w:r>
      <w:r w:rsidR="00B974CD" w:rsidRPr="007C7692">
        <w:rPr>
          <w:rFonts w:ascii="Times New Roman" w:hAnsi="Times New Roman" w:cs="Times New Roman"/>
          <w:sz w:val="28"/>
          <w:szCs w:val="28"/>
        </w:rPr>
        <w:t>1</w:t>
      </w:r>
      <w:r w:rsidRPr="007C7692">
        <w:rPr>
          <w:rFonts w:ascii="Times New Roman" w:hAnsi="Times New Roman" w:cs="Times New Roman"/>
          <w:sz w:val="28"/>
          <w:szCs w:val="28"/>
        </w:rPr>
        <w:t xml:space="preserve"> – </w:t>
      </w:r>
      <w:r w:rsidR="00735755" w:rsidRPr="007C7692">
        <w:rPr>
          <w:rFonts w:ascii="Times New Roman" w:hAnsi="Times New Roman" w:cs="Times New Roman"/>
          <w:sz w:val="28"/>
          <w:szCs w:val="28"/>
        </w:rPr>
        <w:t xml:space="preserve">The effect of three antiviral agents — Ribavirin, Favipiravir, and Tenofovir — on cell viability across five test </w:t>
      </w:r>
      <w:r w:rsidR="00B974CD" w:rsidRPr="007C7692">
        <w:rPr>
          <w:rFonts w:ascii="Times New Roman" w:hAnsi="Times New Roman" w:cs="Times New Roman"/>
          <w:sz w:val="28"/>
          <w:szCs w:val="28"/>
        </w:rPr>
        <w:t>samples</w:t>
      </w:r>
    </w:p>
    <w:p w14:paraId="7ACE10ED" w14:textId="77777777" w:rsidR="00F9709F" w:rsidRPr="007C7692" w:rsidRDefault="00F9709F" w:rsidP="00F9709F">
      <w:pPr>
        <w:spacing w:after="0" w:line="240" w:lineRule="auto"/>
        <w:rPr>
          <w:rFonts w:ascii="Times New Roman" w:hAnsi="Times New Roman" w:cs="Times New Roman"/>
          <w:sz w:val="28"/>
          <w:szCs w:val="28"/>
        </w:rPr>
      </w:pPr>
    </w:p>
    <w:p w14:paraId="75C32860" w14:textId="08F895E1" w:rsidR="00152AB8" w:rsidRPr="00326CAD" w:rsidRDefault="00B974CD" w:rsidP="00143124">
      <w:pPr>
        <w:spacing w:after="0" w:line="240" w:lineRule="auto"/>
        <w:ind w:firstLine="709"/>
        <w:jc w:val="both"/>
        <w:rPr>
          <w:rFonts w:ascii="Times New Roman" w:hAnsi="Times New Roman" w:cs="Times New Roman"/>
          <w:sz w:val="28"/>
          <w:szCs w:val="28"/>
        </w:rPr>
      </w:pPr>
      <w:r w:rsidRPr="00326CAD">
        <w:rPr>
          <w:rFonts w:ascii="Times New Roman" w:hAnsi="Times New Roman" w:cs="Times New Roman"/>
          <w:sz w:val="28"/>
          <w:szCs w:val="28"/>
        </w:rPr>
        <w:t>Survival</w:t>
      </w:r>
      <w:r w:rsidR="005D1CC3" w:rsidRPr="00326CAD">
        <w:rPr>
          <w:rFonts w:ascii="Times New Roman" w:hAnsi="Times New Roman" w:cs="Times New Roman"/>
          <w:sz w:val="28"/>
          <w:szCs w:val="28"/>
        </w:rPr>
        <w:t xml:space="preserve"> rates of VeroE6 cells in percentage in the presence of 5 drug concentrations of Ribavirin, Favipiravir, and Tenofovir, ranging from 50</w:t>
      </w:r>
      <w:r w:rsidR="009921E9" w:rsidRPr="00326CAD">
        <w:rPr>
          <w:rFonts w:ascii="Times New Roman" w:hAnsi="Times New Roman" w:cs="Times New Roman"/>
          <w:sz w:val="28"/>
          <w:szCs w:val="28"/>
        </w:rPr>
        <w:t>±0.5</w:t>
      </w:r>
      <w:r w:rsidR="005D1CC3" w:rsidRPr="00326CAD">
        <w:rPr>
          <w:rFonts w:ascii="Times New Roman" w:hAnsi="Times New Roman" w:cs="Times New Roman"/>
          <w:sz w:val="28"/>
          <w:szCs w:val="28"/>
        </w:rPr>
        <w:t xml:space="preserve"> µg/ml to 200 µg/ml viral load or MOI 2, after 24 hours of </w:t>
      </w:r>
      <w:r w:rsidR="00A96ECA" w:rsidRPr="00326CAD">
        <w:rPr>
          <w:rFonts w:ascii="Times New Roman" w:hAnsi="Times New Roman" w:cs="Times New Roman"/>
          <w:sz w:val="28"/>
          <w:szCs w:val="28"/>
        </w:rPr>
        <w:t>exposure</w:t>
      </w:r>
      <w:r w:rsidR="009921E9" w:rsidRPr="00326CAD">
        <w:rPr>
          <w:rFonts w:ascii="Times New Roman" w:hAnsi="Times New Roman" w:cs="Times New Roman"/>
          <w:sz w:val="28"/>
          <w:szCs w:val="28"/>
        </w:rPr>
        <w:t>, CC50% % %</w:t>
      </w:r>
      <w:r w:rsidR="00085A7D" w:rsidRPr="00326CAD">
        <w:rPr>
          <w:rFonts w:ascii="Times New Roman" w:hAnsi="Times New Roman" w:cs="Times New Roman"/>
          <w:sz w:val="28"/>
          <w:szCs w:val="28"/>
        </w:rPr>
        <w:t xml:space="preserve"> [115]</w:t>
      </w:r>
      <w:r w:rsidR="009921E9" w:rsidRPr="00326CAD">
        <w:rPr>
          <w:rFonts w:ascii="Times New Roman" w:hAnsi="Times New Roman" w:cs="Times New Roman"/>
          <w:sz w:val="28"/>
          <w:szCs w:val="28"/>
        </w:rPr>
        <w:t xml:space="preserve"> n=3</w:t>
      </w:r>
      <w:r w:rsidR="007715D6" w:rsidRPr="00326CAD">
        <w:rPr>
          <w:rFonts w:ascii="Times New Roman" w:hAnsi="Times New Roman" w:cs="Times New Roman"/>
          <w:sz w:val="28"/>
          <w:szCs w:val="28"/>
        </w:rPr>
        <w:t>. P-value: 0.0001; SD±0.01. The data were analysed using an ANOVA test.  Survival rate decreases as concentration increases: 50µg/ml (98.33%) → 75µg/ml (78.67%) → 100µg/ml (60.33%) → 150µg/ml (40.00%) → 200µg/ml (18.00%)</w:t>
      </w:r>
      <w:r w:rsidR="00782D24">
        <w:rPr>
          <w:rFonts w:ascii="Times New Roman" w:hAnsi="Times New Roman" w:cs="Times New Roman"/>
          <w:sz w:val="28"/>
          <w:szCs w:val="28"/>
        </w:rPr>
        <w:t xml:space="preserve"> (concentration increase: sample 1-5)</w:t>
      </w:r>
      <w:r w:rsidR="007715D6" w:rsidRPr="00326CAD">
        <w:rPr>
          <w:rFonts w:ascii="Times New Roman" w:hAnsi="Times New Roman" w:cs="Times New Roman"/>
          <w:sz w:val="28"/>
          <w:szCs w:val="28"/>
        </w:rPr>
        <w:t>. The effect is dose-dependent, with higher concentrations leading to lower survival rates</w:t>
      </w:r>
      <w:r w:rsidR="00F9709F" w:rsidRPr="00326CAD">
        <w:rPr>
          <w:rFonts w:ascii="Times New Roman" w:hAnsi="Times New Roman" w:cs="Times New Roman"/>
          <w:sz w:val="28"/>
          <w:szCs w:val="28"/>
        </w:rPr>
        <w:t xml:space="preserve">. </w:t>
      </w:r>
      <w:r w:rsidR="00853685" w:rsidRPr="00326CAD">
        <w:rPr>
          <w:rFonts w:ascii="Times New Roman" w:hAnsi="Times New Roman" w:cs="Times New Roman"/>
          <w:sz w:val="28"/>
          <w:szCs w:val="28"/>
        </w:rPr>
        <w:t xml:space="preserve">These experiments were repeated three times, and each drug had five concentration samples to </w:t>
      </w:r>
      <w:r w:rsidR="005D1CC3" w:rsidRPr="00326CAD">
        <w:rPr>
          <w:rFonts w:ascii="Times New Roman" w:hAnsi="Times New Roman" w:cs="Times New Roman"/>
          <w:sz w:val="28"/>
          <w:szCs w:val="28"/>
        </w:rPr>
        <w:t xml:space="preserve">determine the correlation between IC and CC values at </w:t>
      </w:r>
      <w:r w:rsidR="00280765" w:rsidRPr="00326CAD">
        <w:rPr>
          <w:rFonts w:ascii="Times New Roman" w:hAnsi="Times New Roman" w:cs="Times New Roman"/>
          <w:sz w:val="28"/>
          <w:szCs w:val="28"/>
        </w:rPr>
        <w:t>450 nm</w:t>
      </w:r>
      <w:r w:rsidR="00853685" w:rsidRPr="00326CAD">
        <w:rPr>
          <w:rFonts w:ascii="Times New Roman" w:hAnsi="Times New Roman" w:cs="Times New Roman"/>
          <w:sz w:val="28"/>
          <w:szCs w:val="28"/>
        </w:rPr>
        <w:t xml:space="preserve">. The experiment was </w:t>
      </w:r>
      <w:r w:rsidR="008D0933" w:rsidRPr="00326CAD">
        <w:rPr>
          <w:rFonts w:ascii="Times New Roman" w:hAnsi="Times New Roman" w:cs="Times New Roman"/>
          <w:sz w:val="28"/>
          <w:szCs w:val="28"/>
        </w:rPr>
        <w:t>conducted within a single</w:t>
      </w:r>
      <w:r w:rsidR="00853685" w:rsidRPr="00326CAD">
        <w:rPr>
          <w:rFonts w:ascii="Times New Roman" w:hAnsi="Times New Roman" w:cs="Times New Roman"/>
          <w:sz w:val="28"/>
          <w:szCs w:val="28"/>
        </w:rPr>
        <w:t xml:space="preserve"> day. The results are shown in </w:t>
      </w:r>
      <w:r w:rsidR="0033012F">
        <w:rPr>
          <w:rFonts w:ascii="Times New Roman" w:hAnsi="Times New Roman" w:cs="Times New Roman"/>
          <w:sz w:val="28"/>
          <w:szCs w:val="28"/>
        </w:rPr>
        <w:t>Table</w:t>
      </w:r>
      <w:r w:rsidR="00853685" w:rsidRPr="00326CAD">
        <w:rPr>
          <w:rFonts w:ascii="Times New Roman" w:hAnsi="Times New Roman" w:cs="Times New Roman"/>
          <w:sz w:val="28"/>
          <w:szCs w:val="28"/>
        </w:rPr>
        <w:t xml:space="preserve"> </w:t>
      </w:r>
      <w:r w:rsidR="0033012F">
        <w:rPr>
          <w:rFonts w:ascii="Times New Roman" w:hAnsi="Times New Roman" w:cs="Times New Roman"/>
          <w:sz w:val="28"/>
          <w:szCs w:val="28"/>
        </w:rPr>
        <w:t xml:space="preserve">8. </w:t>
      </w:r>
      <w:r w:rsidR="00853685" w:rsidRPr="00326CAD">
        <w:rPr>
          <w:rFonts w:ascii="Times New Roman" w:hAnsi="Times New Roman" w:cs="Times New Roman"/>
          <w:sz w:val="28"/>
          <w:szCs w:val="28"/>
        </w:rPr>
        <w:t xml:space="preserve">Sample 1 has the highest survival rate.  </w:t>
      </w:r>
      <w:r w:rsidR="007715D6" w:rsidRPr="00326CAD">
        <w:rPr>
          <w:rFonts w:ascii="Times New Roman" w:hAnsi="Times New Roman" w:cs="Times New Roman"/>
          <w:sz w:val="28"/>
          <w:szCs w:val="28"/>
        </w:rPr>
        <w:t xml:space="preserve"> There is a statistically significant difference in mean cell survival rates across different drug concentrations. This suggests that </w:t>
      </w:r>
      <w:r w:rsidR="00782D24">
        <w:rPr>
          <w:rFonts w:ascii="Times New Roman" w:hAnsi="Times New Roman" w:cs="Times New Roman"/>
          <w:sz w:val="28"/>
          <w:szCs w:val="28"/>
        </w:rPr>
        <w:t xml:space="preserve">a substantial increase in drug concentration </w:t>
      </w:r>
      <w:r w:rsidR="007C7692">
        <w:rPr>
          <w:rFonts w:ascii="Times New Roman" w:hAnsi="Times New Roman" w:cs="Times New Roman"/>
          <w:sz w:val="28"/>
          <w:szCs w:val="28"/>
        </w:rPr>
        <w:t>affects</w:t>
      </w:r>
      <w:r w:rsidR="007715D6" w:rsidRPr="00326CAD">
        <w:rPr>
          <w:rFonts w:ascii="Times New Roman" w:hAnsi="Times New Roman" w:cs="Times New Roman"/>
          <w:sz w:val="28"/>
          <w:szCs w:val="28"/>
        </w:rPr>
        <w:t xml:space="preserve"> cell viability.</w:t>
      </w:r>
    </w:p>
    <w:p w14:paraId="40856ECE" w14:textId="0C338B9B" w:rsidR="00735755" w:rsidRPr="00326CAD" w:rsidRDefault="00853685" w:rsidP="00EB371D">
      <w:pPr>
        <w:spacing w:after="0" w:line="240" w:lineRule="auto"/>
        <w:ind w:firstLine="709"/>
        <w:jc w:val="both"/>
        <w:rPr>
          <w:rFonts w:ascii="Times New Roman" w:hAnsi="Times New Roman" w:cs="Times New Roman"/>
          <w:sz w:val="28"/>
          <w:szCs w:val="28"/>
        </w:rPr>
      </w:pPr>
      <w:r w:rsidRPr="00326CAD">
        <w:rPr>
          <w:rFonts w:ascii="Times New Roman" w:hAnsi="Times New Roman" w:cs="Times New Roman"/>
          <w:sz w:val="28"/>
          <w:szCs w:val="28"/>
        </w:rPr>
        <w:t xml:space="preserve">The 96-well colour was brownish yellow, </w:t>
      </w:r>
      <w:r w:rsidR="005A53D0" w:rsidRPr="00326CAD">
        <w:rPr>
          <w:rFonts w:ascii="Times New Roman" w:hAnsi="Times New Roman" w:cs="Times New Roman"/>
          <w:sz w:val="28"/>
          <w:szCs w:val="28"/>
        </w:rPr>
        <w:t xml:space="preserve">visually indicating that the </w:t>
      </w:r>
      <w:r w:rsidR="00670CBA" w:rsidRPr="00326CAD">
        <w:rPr>
          <w:rFonts w:ascii="Times New Roman" w:hAnsi="Times New Roman" w:cs="Times New Roman"/>
          <w:sz w:val="28"/>
          <w:szCs w:val="28"/>
        </w:rPr>
        <w:t>cultured</w:t>
      </w:r>
      <w:r w:rsidR="005A53D0" w:rsidRPr="00326CAD">
        <w:rPr>
          <w:rFonts w:ascii="Times New Roman" w:hAnsi="Times New Roman" w:cs="Times New Roman"/>
          <w:sz w:val="28"/>
          <w:szCs w:val="28"/>
        </w:rPr>
        <w:t xml:space="preserve"> cells were viable </w:t>
      </w:r>
      <w:r w:rsidR="007C7692">
        <w:rPr>
          <w:rFonts w:ascii="Times New Roman" w:hAnsi="Times New Roman" w:cs="Times New Roman"/>
          <w:sz w:val="28"/>
          <w:szCs w:val="28"/>
        </w:rPr>
        <w:t>from 50 µg/mL onward and became</w:t>
      </w:r>
      <w:r w:rsidR="00EB5CBC" w:rsidRPr="00326CAD">
        <w:rPr>
          <w:rFonts w:ascii="Times New Roman" w:hAnsi="Times New Roman" w:cs="Times New Roman"/>
          <w:sz w:val="28"/>
          <w:szCs w:val="28"/>
        </w:rPr>
        <w:t xml:space="preserve"> increasingly</w:t>
      </w:r>
      <w:r w:rsidR="005A53D0" w:rsidRPr="00326CAD">
        <w:rPr>
          <w:rFonts w:ascii="Times New Roman" w:hAnsi="Times New Roman" w:cs="Times New Roman"/>
          <w:sz w:val="28"/>
          <w:szCs w:val="28"/>
        </w:rPr>
        <w:t xml:space="preserve"> paler (beginning to fade) with increasing concentration</w:t>
      </w:r>
      <w:r w:rsidRPr="00326CAD">
        <w:rPr>
          <w:rFonts w:ascii="Times New Roman" w:hAnsi="Times New Roman" w:cs="Times New Roman"/>
          <w:sz w:val="28"/>
          <w:szCs w:val="28"/>
        </w:rPr>
        <w:t xml:space="preserve">.  </w:t>
      </w:r>
      <w:r w:rsidR="00735755" w:rsidRPr="00326CAD">
        <w:rPr>
          <w:rFonts w:ascii="Times New Roman" w:hAnsi="Times New Roman" w:cs="Times New Roman"/>
          <w:sz w:val="28"/>
          <w:szCs w:val="28"/>
        </w:rPr>
        <w:t xml:space="preserve">The data reveal a progressive decline in cell viability with increasing drug concentrations, demonstrating a dose-dependent cytotoxic effect for all three antivirals. Among the tested compounds, Ribavirin maintained the highest average cell viability at lower concentrations, suggesting relatively lower cytotoxicity within the examined range. Favipiravir displayed a moderate decline in cell survival, while Tenofovir (Tenvir) showed the most pronounced cytotoxic effect, consistent with previous findings indicating its limited tolerance in Vero E6 cell lines. At concentrations corresponding to Sample 1 (50 </w:t>
      </w:r>
      <w:r w:rsidR="00735755" w:rsidRPr="00326CAD">
        <w:rPr>
          <w:rFonts w:ascii="Times New Roman" w:hAnsi="Times New Roman" w:cs="Times New Roman"/>
          <w:sz w:val="28"/>
          <w:szCs w:val="28"/>
        </w:rPr>
        <w:lastRenderedPageBreak/>
        <w:t>µg/mL), cell viability remained relatively high (75–80%), indicating biocompatibility across all drugs. However, at 200 µg/mL (Sample 4–5), cell survival rates dropped dramatically (≤20%), reflecting significant cytotoxic stress and cellular detachment. This pattern underscores the narrow therapeutic margin of Tenofovir compared to the other two antivirals.</w:t>
      </w:r>
    </w:p>
    <w:p w14:paraId="215EF10F" w14:textId="77777777" w:rsidR="00AC75DE" w:rsidRPr="00326CAD" w:rsidRDefault="00735755" w:rsidP="00EB371D">
      <w:pPr>
        <w:spacing w:after="0" w:line="240" w:lineRule="auto"/>
        <w:ind w:firstLine="709"/>
        <w:jc w:val="both"/>
        <w:rPr>
          <w:rFonts w:ascii="Times New Roman" w:hAnsi="Times New Roman" w:cs="Times New Roman"/>
          <w:sz w:val="28"/>
          <w:szCs w:val="28"/>
        </w:rPr>
      </w:pPr>
      <w:r w:rsidRPr="00326CAD">
        <w:rPr>
          <w:rFonts w:ascii="Times New Roman" w:hAnsi="Times New Roman" w:cs="Times New Roman"/>
          <w:sz w:val="28"/>
          <w:szCs w:val="28"/>
        </w:rPr>
        <w:t xml:space="preserve">Overall, the results emphasise that Ribavirin and Favipiravir are more </w:t>
      </w:r>
      <w:r w:rsidR="00B974CD" w:rsidRPr="00326CAD">
        <w:rPr>
          <w:rFonts w:ascii="Times New Roman" w:hAnsi="Times New Roman" w:cs="Times New Roman"/>
          <w:sz w:val="28"/>
          <w:szCs w:val="28"/>
        </w:rPr>
        <w:t>cytocompatible</w:t>
      </w:r>
      <w:r w:rsidRPr="00326CAD">
        <w:rPr>
          <w:rFonts w:ascii="Times New Roman" w:hAnsi="Times New Roman" w:cs="Times New Roman"/>
          <w:sz w:val="28"/>
          <w:szCs w:val="28"/>
        </w:rPr>
        <w:t xml:space="preserve"> at experimental concentrations suitable for antiviral assays. At the same time, Tenofovir exhibits substantial cytotoxicity </w:t>
      </w:r>
      <w:r w:rsidR="00642495" w:rsidRPr="00326CAD">
        <w:rPr>
          <w:rFonts w:ascii="Times New Roman" w:hAnsi="Times New Roman" w:cs="Times New Roman"/>
          <w:sz w:val="28"/>
          <w:szCs w:val="28"/>
        </w:rPr>
        <w:t>at concentrations exceeding</w:t>
      </w:r>
      <w:r w:rsidRPr="00326CAD">
        <w:rPr>
          <w:rFonts w:ascii="Times New Roman" w:hAnsi="Times New Roman" w:cs="Times New Roman"/>
          <w:sz w:val="28"/>
          <w:szCs w:val="28"/>
        </w:rPr>
        <w:t xml:space="preserve"> 50 µg/mL, confirming that higher doses are unsuitable for prolonged in vitro testing.</w:t>
      </w:r>
    </w:p>
    <w:p w14:paraId="67C9E964" w14:textId="68A10BB5" w:rsidR="00CF0A00" w:rsidRPr="00326CAD" w:rsidRDefault="00CF0A00" w:rsidP="00782D24">
      <w:pPr>
        <w:spacing w:after="0" w:line="240" w:lineRule="auto"/>
        <w:ind w:firstLine="709"/>
        <w:jc w:val="both"/>
        <w:rPr>
          <w:rFonts w:ascii="Times New Roman" w:hAnsi="Times New Roman" w:cs="Times New Roman"/>
          <w:sz w:val="28"/>
          <w:szCs w:val="28"/>
        </w:rPr>
      </w:pPr>
      <w:r w:rsidRPr="00326CAD">
        <w:rPr>
          <w:rFonts w:ascii="Times New Roman" w:hAnsi="Times New Roman" w:cs="Times New Roman"/>
          <w:sz w:val="28"/>
          <w:szCs w:val="28"/>
        </w:rPr>
        <w:t>The data (Figure 3</w:t>
      </w:r>
      <w:r w:rsidR="00B974CD" w:rsidRPr="00326CAD">
        <w:rPr>
          <w:rFonts w:ascii="Times New Roman" w:hAnsi="Times New Roman" w:cs="Times New Roman"/>
          <w:sz w:val="28"/>
          <w:szCs w:val="28"/>
        </w:rPr>
        <w:t>2</w:t>
      </w:r>
      <w:r w:rsidRPr="00326CAD">
        <w:rPr>
          <w:rFonts w:ascii="Times New Roman" w:hAnsi="Times New Roman" w:cs="Times New Roman"/>
          <w:sz w:val="28"/>
          <w:szCs w:val="28"/>
        </w:rPr>
        <w:t>) demonstrate that Dexamethasone exhibits no measurable cytotoxicity within the tested concentration range (50–200 µg/mL). Across all samples, cell viability remains consistently high</w:t>
      </w:r>
      <w:r w:rsidR="000105D4">
        <w:rPr>
          <w:rFonts w:ascii="Times New Roman" w:hAnsi="Times New Roman" w:cs="Times New Roman"/>
          <w:sz w:val="28"/>
          <w:szCs w:val="28"/>
        </w:rPr>
        <w:t>—near 100%</w:t>
      </w:r>
      <w:r w:rsidR="0065497C">
        <w:rPr>
          <w:rFonts w:ascii="Times New Roman" w:hAnsi="Times New Roman" w:cs="Times New Roman"/>
          <w:sz w:val="28"/>
          <w:szCs w:val="28"/>
        </w:rPr>
        <w:t>—with</w:t>
      </w:r>
      <w:r w:rsidRPr="00326CAD">
        <w:rPr>
          <w:rFonts w:ascii="Times New Roman" w:hAnsi="Times New Roman" w:cs="Times New Roman"/>
          <w:sz w:val="28"/>
          <w:szCs w:val="28"/>
        </w:rPr>
        <w:t xml:space="preserve"> increasing dosage. This stability suggests that Dexamethasone maintains excellent biocompatibility and does not adversely affect cell proliferation or metabolic activity under standard assay conditions.</w:t>
      </w:r>
    </w:p>
    <w:p w14:paraId="61C7C122" w14:textId="77777777" w:rsidR="00226539" w:rsidRPr="00326CAD" w:rsidRDefault="00226539" w:rsidP="00EB371D">
      <w:pPr>
        <w:spacing w:after="0" w:line="240" w:lineRule="auto"/>
        <w:rPr>
          <w:rFonts w:ascii="Times New Roman" w:hAnsi="Times New Roman" w:cs="Times New Roman"/>
          <w:sz w:val="28"/>
          <w:szCs w:val="28"/>
        </w:rPr>
      </w:pPr>
    </w:p>
    <w:p w14:paraId="5D09DEAB" w14:textId="15BB56B0" w:rsidR="000A7190" w:rsidRPr="006531C9" w:rsidRDefault="000A7190" w:rsidP="000A7190">
      <w:pPr>
        <w:spacing w:after="0" w:line="360" w:lineRule="auto"/>
        <w:jc w:val="center"/>
        <w:rPr>
          <w:rFonts w:ascii="Times New Roman" w:hAnsi="Times New Roman" w:cs="Times New Roman"/>
          <w:b/>
          <w:bCs/>
          <w:sz w:val="24"/>
          <w:szCs w:val="24"/>
        </w:rPr>
      </w:pPr>
      <w:r w:rsidRPr="006531C9">
        <w:rPr>
          <w:rFonts w:ascii="Times New Roman" w:hAnsi="Times New Roman" w:cs="Times New Roman"/>
          <w:b/>
          <w:bCs/>
          <w:noProof/>
          <w:sz w:val="24"/>
          <w:szCs w:val="24"/>
        </w:rPr>
        <w:drawing>
          <wp:inline distT="0" distB="0" distL="0" distR="0" wp14:anchorId="05DF27E3" wp14:editId="55B7A135">
            <wp:extent cx="4835769" cy="3486541"/>
            <wp:effectExtent l="0" t="0" r="3175" b="0"/>
            <wp:docPr id="193353066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4110" r="672"/>
                    <a:stretch>
                      <a:fillRect/>
                    </a:stretch>
                  </pic:blipFill>
                  <pic:spPr bwMode="auto">
                    <a:xfrm>
                      <a:off x="0" y="0"/>
                      <a:ext cx="4850508" cy="3497167"/>
                    </a:xfrm>
                    <a:prstGeom prst="rect">
                      <a:avLst/>
                    </a:prstGeom>
                    <a:noFill/>
                    <a:ln>
                      <a:noFill/>
                    </a:ln>
                    <a:extLst>
                      <a:ext uri="{53640926-AAD7-44D8-BBD7-CCE9431645EC}">
                        <a14:shadowObscured xmlns:a14="http://schemas.microsoft.com/office/drawing/2010/main"/>
                      </a:ext>
                    </a:extLst>
                  </pic:spPr>
                </pic:pic>
              </a:graphicData>
            </a:graphic>
          </wp:inline>
        </w:drawing>
      </w:r>
    </w:p>
    <w:p w14:paraId="2CA1FDAE" w14:textId="210E5AC0" w:rsidR="00782D24" w:rsidRDefault="00CF0A00" w:rsidP="00EB371D">
      <w:pPr>
        <w:spacing w:after="0" w:line="240" w:lineRule="auto"/>
        <w:jc w:val="center"/>
        <w:rPr>
          <w:rFonts w:ascii="Times New Roman" w:hAnsi="Times New Roman" w:cs="Times New Roman"/>
          <w:sz w:val="28"/>
          <w:szCs w:val="28"/>
        </w:rPr>
      </w:pPr>
      <w:r w:rsidRPr="00EB371D">
        <w:rPr>
          <w:rFonts w:ascii="Times New Roman" w:hAnsi="Times New Roman" w:cs="Times New Roman"/>
          <w:sz w:val="28"/>
          <w:szCs w:val="28"/>
        </w:rPr>
        <w:t>Figure</w:t>
      </w:r>
      <w:r w:rsidRPr="00EB371D">
        <w:rPr>
          <w:rFonts w:ascii="Times New Roman" w:hAnsi="Times New Roman" w:cs="Times New Roman"/>
          <w:sz w:val="28"/>
          <w:szCs w:val="28"/>
          <w:lang w:val="en-US"/>
        </w:rPr>
        <w:t xml:space="preserve"> </w:t>
      </w:r>
      <w:r w:rsidRPr="00EB371D">
        <w:rPr>
          <w:rFonts w:ascii="Times New Roman" w:hAnsi="Times New Roman" w:cs="Times New Roman"/>
          <w:sz w:val="28"/>
          <w:szCs w:val="28"/>
        </w:rPr>
        <w:t>3</w:t>
      </w:r>
      <w:r w:rsidR="00B974CD" w:rsidRPr="00EB371D">
        <w:rPr>
          <w:rFonts w:ascii="Times New Roman" w:hAnsi="Times New Roman" w:cs="Times New Roman"/>
          <w:sz w:val="28"/>
          <w:szCs w:val="28"/>
        </w:rPr>
        <w:t>2</w:t>
      </w:r>
      <w:r w:rsidR="00853685" w:rsidRPr="00EB371D">
        <w:rPr>
          <w:rFonts w:ascii="Times New Roman" w:hAnsi="Times New Roman" w:cs="Times New Roman"/>
          <w:sz w:val="28"/>
          <w:szCs w:val="28"/>
        </w:rPr>
        <w:t xml:space="preserve"> – </w:t>
      </w:r>
      <w:r w:rsidR="00F32D74" w:rsidRPr="00EB371D">
        <w:rPr>
          <w:rFonts w:ascii="Times New Roman" w:hAnsi="Times New Roman" w:cs="Times New Roman"/>
          <w:sz w:val="28"/>
          <w:szCs w:val="28"/>
        </w:rPr>
        <w:t>Survival rates of VeroE6 cells in percentage in the presence of five dexamethasone concentrations, starting from 20 mg/ml, 16 mg/ml, 12 mg/ml, 8 mg/ml, and 4 mg/ml, at a viral load or MOI of 2. n = 3</w:t>
      </w:r>
    </w:p>
    <w:p w14:paraId="6509A7BD" w14:textId="77777777" w:rsidR="00782D24" w:rsidRDefault="00782D24" w:rsidP="00EB371D">
      <w:pPr>
        <w:spacing w:after="0" w:line="240" w:lineRule="auto"/>
        <w:jc w:val="center"/>
        <w:rPr>
          <w:rFonts w:ascii="Times New Roman" w:hAnsi="Times New Roman" w:cs="Times New Roman"/>
          <w:sz w:val="28"/>
          <w:szCs w:val="28"/>
        </w:rPr>
      </w:pPr>
    </w:p>
    <w:p w14:paraId="3A4BD777" w14:textId="45320C67" w:rsidR="00A34631" w:rsidRPr="00EB371D" w:rsidRDefault="00F32D74" w:rsidP="00782D24">
      <w:pPr>
        <w:spacing w:after="0" w:line="240" w:lineRule="auto"/>
        <w:ind w:firstLine="708"/>
        <w:jc w:val="both"/>
        <w:rPr>
          <w:rFonts w:ascii="Times New Roman" w:hAnsi="Times New Roman" w:cs="Times New Roman"/>
          <w:sz w:val="28"/>
          <w:szCs w:val="28"/>
        </w:rPr>
      </w:pPr>
      <w:r w:rsidRPr="00EB371D">
        <w:rPr>
          <w:rFonts w:ascii="Times New Roman" w:hAnsi="Times New Roman" w:cs="Times New Roman"/>
          <w:sz w:val="28"/>
          <w:szCs w:val="28"/>
        </w:rPr>
        <w:t xml:space="preserve">Each drug had five concentration samples to investigate the correlation between IC and CC values at </w:t>
      </w:r>
      <w:r w:rsidR="00280765" w:rsidRPr="00EB371D">
        <w:rPr>
          <w:rFonts w:ascii="Times New Roman" w:hAnsi="Times New Roman" w:cs="Times New Roman"/>
          <w:sz w:val="28"/>
          <w:szCs w:val="28"/>
        </w:rPr>
        <w:t>450 nm</w:t>
      </w:r>
      <w:r w:rsidR="00782D24">
        <w:rPr>
          <w:rFonts w:ascii="Times New Roman" w:hAnsi="Times New Roman" w:cs="Times New Roman"/>
          <w:sz w:val="28"/>
          <w:szCs w:val="28"/>
        </w:rPr>
        <w:t xml:space="preserve">. </w:t>
      </w:r>
      <w:r w:rsidR="00853685" w:rsidRPr="00EB371D">
        <w:rPr>
          <w:rFonts w:ascii="Times New Roman" w:hAnsi="Times New Roman" w:cs="Times New Roman"/>
          <w:sz w:val="28"/>
          <w:szCs w:val="28"/>
        </w:rPr>
        <w:t xml:space="preserve">The results are </w:t>
      </w:r>
      <w:r w:rsidR="00BD5961" w:rsidRPr="00EB371D">
        <w:rPr>
          <w:rFonts w:ascii="Times New Roman" w:hAnsi="Times New Roman" w:cs="Times New Roman"/>
          <w:sz w:val="28"/>
          <w:szCs w:val="28"/>
        </w:rPr>
        <w:t xml:space="preserve">presented in Table </w:t>
      </w:r>
      <w:r w:rsidR="00782D24">
        <w:rPr>
          <w:rFonts w:ascii="Times New Roman" w:hAnsi="Times New Roman" w:cs="Times New Roman"/>
          <w:sz w:val="28"/>
          <w:szCs w:val="28"/>
        </w:rPr>
        <w:t>8</w:t>
      </w:r>
      <w:r w:rsidR="00BD5961" w:rsidRPr="00EB371D">
        <w:rPr>
          <w:rFonts w:ascii="Times New Roman" w:hAnsi="Times New Roman" w:cs="Times New Roman"/>
          <w:sz w:val="28"/>
          <w:szCs w:val="28"/>
        </w:rPr>
        <w:t xml:space="preserve">, with n = 3. </w:t>
      </w:r>
      <w:r w:rsidR="00C558C9" w:rsidRPr="00EB371D">
        <w:rPr>
          <w:rFonts w:ascii="Times New Roman" w:hAnsi="Times New Roman" w:cs="Times New Roman"/>
          <w:sz w:val="28"/>
          <w:szCs w:val="28"/>
        </w:rPr>
        <w:t xml:space="preserve">P-value: 0.01; SD±0.01. The data were analysed using an ANOVA test. After visual confirmation that Dexamethasone did not pose a toxic burden to culture cells, the CCK8 data supported this </w:t>
      </w:r>
      <w:r w:rsidR="00AC75DE" w:rsidRPr="00EB371D">
        <w:rPr>
          <w:rFonts w:ascii="Times New Roman" w:hAnsi="Times New Roman" w:cs="Times New Roman"/>
          <w:sz w:val="28"/>
          <w:szCs w:val="28"/>
        </w:rPr>
        <w:t>claim. Unlike</w:t>
      </w:r>
      <w:r w:rsidR="000A7190" w:rsidRPr="00EB371D">
        <w:rPr>
          <w:rFonts w:ascii="Times New Roman" w:hAnsi="Times New Roman" w:cs="Times New Roman"/>
          <w:sz w:val="28"/>
          <w:szCs w:val="28"/>
        </w:rPr>
        <w:t xml:space="preserve"> other antivirals</w:t>
      </w:r>
      <w:r w:rsidR="007C7692">
        <w:rPr>
          <w:rFonts w:ascii="Times New Roman" w:hAnsi="Times New Roman" w:cs="Times New Roman"/>
          <w:sz w:val="28"/>
          <w:szCs w:val="28"/>
        </w:rPr>
        <w:t>, such as Tenofovir or Favipiravir, which showed dose-dependent cytotoxicity</w:t>
      </w:r>
      <w:r w:rsidR="000A7190" w:rsidRPr="00EB371D">
        <w:rPr>
          <w:rFonts w:ascii="Times New Roman" w:hAnsi="Times New Roman" w:cs="Times New Roman"/>
          <w:sz w:val="28"/>
          <w:szCs w:val="28"/>
        </w:rPr>
        <w:t xml:space="preserve">, Dexamethasone’s consistent survival rates confirm its non-toxic profile in vitro. The minimal variability across </w:t>
      </w:r>
      <w:r w:rsidR="000A7190" w:rsidRPr="00EB371D">
        <w:rPr>
          <w:rFonts w:ascii="Times New Roman" w:hAnsi="Times New Roman" w:cs="Times New Roman"/>
          <w:sz w:val="28"/>
          <w:szCs w:val="28"/>
        </w:rPr>
        <w:lastRenderedPageBreak/>
        <w:t>replicates further supports high experimental reproducibility and indicates robust assay performance.</w:t>
      </w:r>
      <w:r w:rsidR="00B974CD" w:rsidRPr="00EB371D">
        <w:rPr>
          <w:rFonts w:ascii="Times New Roman" w:hAnsi="Times New Roman" w:cs="Times New Roman"/>
          <w:sz w:val="28"/>
          <w:szCs w:val="28"/>
        </w:rPr>
        <w:t xml:space="preserve"> </w:t>
      </w:r>
      <w:r w:rsidR="000A7190" w:rsidRPr="00EB371D">
        <w:rPr>
          <w:rFonts w:ascii="Times New Roman" w:hAnsi="Times New Roman" w:cs="Times New Roman"/>
          <w:sz w:val="28"/>
          <w:szCs w:val="28"/>
        </w:rPr>
        <w:t>In summary, Dexamethasone demonstrates complete cellular tolerance even at high experimental doses, validating its suitability for combination testing in antiviral or anti-inflammatory assays without risk of compromising cellular integrity.</w:t>
      </w:r>
      <w:r w:rsidR="00C663E6" w:rsidRPr="00EB371D">
        <w:rPr>
          <w:rFonts w:ascii="Times New Roman" w:hAnsi="Times New Roman" w:cs="Times New Roman"/>
          <w:sz w:val="28"/>
          <w:szCs w:val="28"/>
        </w:rPr>
        <w:t xml:space="preserve"> </w:t>
      </w:r>
    </w:p>
    <w:p w14:paraId="412C57D9" w14:textId="2E02060B" w:rsidR="00C558C9" w:rsidRPr="00EB371D" w:rsidRDefault="00C558C9" w:rsidP="00EB371D">
      <w:pPr>
        <w:spacing w:after="0" w:line="240" w:lineRule="auto"/>
        <w:ind w:firstLine="708"/>
        <w:jc w:val="both"/>
        <w:rPr>
          <w:rFonts w:ascii="Times New Roman" w:hAnsi="Times New Roman" w:cs="Times New Roman"/>
          <w:sz w:val="28"/>
          <w:szCs w:val="28"/>
        </w:rPr>
      </w:pPr>
      <w:r w:rsidRPr="00EB371D">
        <w:rPr>
          <w:rFonts w:ascii="Times New Roman" w:hAnsi="Times New Roman" w:cs="Times New Roman"/>
          <w:sz w:val="28"/>
          <w:szCs w:val="28"/>
        </w:rPr>
        <w:t xml:space="preserve">All concentrations show high survival rates (95–99%), indicating minimal toxicity. </w:t>
      </w:r>
      <w:r w:rsidR="00853685" w:rsidRPr="00EB371D">
        <w:rPr>
          <w:rFonts w:ascii="Times New Roman" w:hAnsi="Times New Roman" w:cs="Times New Roman"/>
          <w:sz w:val="28"/>
          <w:szCs w:val="28"/>
        </w:rPr>
        <w:t>T</w:t>
      </w:r>
      <w:r w:rsidR="004D0AC1" w:rsidRPr="00EB371D">
        <w:rPr>
          <w:rFonts w:ascii="Times New Roman" w:hAnsi="Times New Roman" w:cs="Times New Roman"/>
          <w:sz w:val="28"/>
          <w:szCs w:val="28"/>
        </w:rPr>
        <w:t xml:space="preserve">o </w:t>
      </w:r>
      <w:r w:rsidR="00BD5961" w:rsidRPr="00EB371D">
        <w:rPr>
          <w:rFonts w:ascii="Times New Roman" w:hAnsi="Times New Roman" w:cs="Times New Roman"/>
          <w:sz w:val="28"/>
          <w:szCs w:val="28"/>
        </w:rPr>
        <w:t>conclude, the</w:t>
      </w:r>
      <w:r w:rsidR="00853685" w:rsidRPr="00EB371D">
        <w:rPr>
          <w:rFonts w:ascii="Times New Roman" w:hAnsi="Times New Roman" w:cs="Times New Roman"/>
          <w:sz w:val="28"/>
          <w:szCs w:val="28"/>
        </w:rPr>
        <w:t xml:space="preserve"> survival rates are equal </w:t>
      </w:r>
      <w:r w:rsidR="007C7692">
        <w:rPr>
          <w:rFonts w:ascii="Times New Roman" w:hAnsi="Times New Roman" w:cs="Times New Roman"/>
          <w:sz w:val="28"/>
          <w:szCs w:val="28"/>
        </w:rPr>
        <w:t>across samples 1-</w:t>
      </w:r>
      <w:r w:rsidR="00853685" w:rsidRPr="00EB371D">
        <w:rPr>
          <w:rFonts w:ascii="Times New Roman" w:hAnsi="Times New Roman" w:cs="Times New Roman"/>
          <w:sz w:val="28"/>
          <w:szCs w:val="28"/>
        </w:rPr>
        <w:t xml:space="preserve">5. This experiment was repeated </w:t>
      </w:r>
      <w:r w:rsidR="005A53D0" w:rsidRPr="00EB371D">
        <w:rPr>
          <w:rFonts w:ascii="Times New Roman" w:hAnsi="Times New Roman" w:cs="Times New Roman"/>
          <w:sz w:val="28"/>
          <w:szCs w:val="28"/>
        </w:rPr>
        <w:t xml:space="preserve">three times at </w:t>
      </w:r>
      <w:r w:rsidR="008D0933" w:rsidRPr="00EB371D">
        <w:rPr>
          <w:rFonts w:ascii="Times New Roman" w:hAnsi="Times New Roman" w:cs="Times New Roman"/>
          <w:sz w:val="28"/>
          <w:szCs w:val="28"/>
        </w:rPr>
        <w:t>450 nm using a CCK-8</w:t>
      </w:r>
      <w:r w:rsidR="005A53D0" w:rsidRPr="00EB371D">
        <w:rPr>
          <w:rFonts w:ascii="Times New Roman" w:hAnsi="Times New Roman" w:cs="Times New Roman"/>
          <w:sz w:val="28"/>
          <w:szCs w:val="28"/>
        </w:rPr>
        <w:t xml:space="preserve"> kit</w:t>
      </w:r>
      <w:r w:rsidR="00853685" w:rsidRPr="00EB371D">
        <w:rPr>
          <w:rFonts w:ascii="Times New Roman" w:hAnsi="Times New Roman" w:cs="Times New Roman"/>
          <w:sz w:val="28"/>
          <w:szCs w:val="28"/>
        </w:rPr>
        <w:t xml:space="preserve">. The amount of </w:t>
      </w:r>
      <w:r w:rsidR="007C7692">
        <w:rPr>
          <w:rFonts w:ascii="Times New Roman" w:hAnsi="Times New Roman" w:cs="Times New Roman"/>
          <w:sz w:val="28"/>
          <w:szCs w:val="28"/>
        </w:rPr>
        <w:t>formazan dye generated by dehydrogenase activity</w:t>
      </w:r>
      <w:r w:rsidR="00853685" w:rsidRPr="00EB371D">
        <w:rPr>
          <w:rFonts w:ascii="Times New Roman" w:hAnsi="Times New Roman" w:cs="Times New Roman"/>
          <w:sz w:val="28"/>
          <w:szCs w:val="28"/>
        </w:rPr>
        <w:t xml:space="preserve"> in cells is directly proportional to the number of living cells. The </w:t>
      </w:r>
      <w:r w:rsidR="005A53D0" w:rsidRPr="00EB371D">
        <w:rPr>
          <w:rFonts w:ascii="Times New Roman" w:hAnsi="Times New Roman" w:cs="Times New Roman"/>
          <w:sz w:val="28"/>
          <w:szCs w:val="28"/>
        </w:rPr>
        <w:t>blooming colour did not change with increased dexamethasone concentration, as</w:t>
      </w:r>
      <w:r w:rsidR="00853685" w:rsidRPr="00EB371D">
        <w:rPr>
          <w:rFonts w:ascii="Times New Roman" w:hAnsi="Times New Roman" w:cs="Times New Roman"/>
          <w:sz w:val="28"/>
          <w:szCs w:val="28"/>
        </w:rPr>
        <w:t xml:space="preserve"> this corticosteroid fosters cell growth. The viability could not be </w:t>
      </w:r>
      <w:r w:rsidR="005A53D0" w:rsidRPr="00EB371D">
        <w:rPr>
          <w:rFonts w:ascii="Times New Roman" w:hAnsi="Times New Roman" w:cs="Times New Roman"/>
          <w:sz w:val="28"/>
          <w:szCs w:val="28"/>
        </w:rPr>
        <w:t xml:space="preserve">determined </w:t>
      </w:r>
      <w:r w:rsidR="00FC053B">
        <w:rPr>
          <w:rFonts w:ascii="Times New Roman" w:hAnsi="Times New Roman" w:cs="Times New Roman"/>
          <w:sz w:val="28"/>
          <w:szCs w:val="28"/>
        </w:rPr>
        <w:t>because Vero cells developed during the increase in dexamethasone concentration, and subsequent light reflection was not possible; therefore,</w:t>
      </w:r>
      <w:r w:rsidR="007C7692">
        <w:rPr>
          <w:rFonts w:ascii="Times New Roman" w:hAnsi="Times New Roman" w:cs="Times New Roman"/>
          <w:sz w:val="28"/>
          <w:szCs w:val="28"/>
        </w:rPr>
        <w:t xml:space="preserve"> the cells were considered</w:t>
      </w:r>
      <w:r w:rsidR="00853685" w:rsidRPr="00EB371D">
        <w:rPr>
          <w:rFonts w:ascii="Times New Roman" w:hAnsi="Times New Roman" w:cs="Times New Roman"/>
          <w:sz w:val="28"/>
          <w:szCs w:val="28"/>
        </w:rPr>
        <w:t xml:space="preserve"> mesoblastic inactive</w:t>
      </w:r>
      <w:bookmarkStart w:id="46" w:name="_Hlk193308997"/>
      <w:r w:rsidRPr="00EB371D">
        <w:rPr>
          <w:rFonts w:ascii="Times New Roman" w:hAnsi="Times New Roman" w:cs="Times New Roman"/>
          <w:sz w:val="28"/>
          <w:szCs w:val="28"/>
        </w:rPr>
        <w:t xml:space="preserve">. </w:t>
      </w:r>
    </w:p>
    <w:p w14:paraId="3A8F48AF" w14:textId="77777777" w:rsidR="00B974CD" w:rsidRPr="006531C9" w:rsidRDefault="00B974CD" w:rsidP="00D81DD8">
      <w:pPr>
        <w:spacing w:after="0" w:line="360" w:lineRule="auto"/>
        <w:ind w:firstLine="708"/>
        <w:jc w:val="both"/>
        <w:rPr>
          <w:rFonts w:ascii="Times New Roman" w:hAnsi="Times New Roman" w:cs="Times New Roman"/>
          <w:sz w:val="24"/>
          <w:szCs w:val="24"/>
        </w:rPr>
      </w:pPr>
    </w:p>
    <w:bookmarkEnd w:id="46"/>
    <w:p w14:paraId="3F40F944" w14:textId="5646D40A" w:rsidR="009921E9" w:rsidRPr="006531C9" w:rsidRDefault="00816C05" w:rsidP="00B974CD">
      <w:pPr>
        <w:spacing w:after="0" w:line="360" w:lineRule="auto"/>
        <w:jc w:val="center"/>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010CC0D5" wp14:editId="6F1E9609">
            <wp:extent cx="4739054" cy="2813978"/>
            <wp:effectExtent l="0" t="0" r="4445" b="5715"/>
            <wp:docPr id="1417393513"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5881" r="1801"/>
                    <a:stretch>
                      <a:fillRect/>
                    </a:stretch>
                  </pic:blipFill>
                  <pic:spPr bwMode="auto">
                    <a:xfrm>
                      <a:off x="0" y="0"/>
                      <a:ext cx="4749517" cy="2820191"/>
                    </a:xfrm>
                    <a:prstGeom prst="rect">
                      <a:avLst/>
                    </a:prstGeom>
                    <a:noFill/>
                    <a:ln>
                      <a:noFill/>
                    </a:ln>
                    <a:extLst>
                      <a:ext uri="{53640926-AAD7-44D8-BBD7-CCE9431645EC}">
                        <a14:shadowObscured xmlns:a14="http://schemas.microsoft.com/office/drawing/2010/main"/>
                      </a:ext>
                    </a:extLst>
                  </pic:spPr>
                </pic:pic>
              </a:graphicData>
            </a:graphic>
          </wp:inline>
        </w:drawing>
      </w:r>
    </w:p>
    <w:p w14:paraId="116A2994" w14:textId="58DAE7CE" w:rsidR="007365A2" w:rsidRPr="00EB371D" w:rsidRDefault="009921E9" w:rsidP="007365A2">
      <w:pPr>
        <w:spacing w:after="0" w:line="240" w:lineRule="auto"/>
        <w:jc w:val="center"/>
        <w:rPr>
          <w:rFonts w:ascii="Times New Roman" w:hAnsi="Times New Roman" w:cs="Times New Roman"/>
          <w:sz w:val="28"/>
          <w:szCs w:val="28"/>
        </w:rPr>
      </w:pPr>
      <w:r w:rsidRPr="00EB371D">
        <w:rPr>
          <w:rFonts w:ascii="Times New Roman" w:hAnsi="Times New Roman" w:cs="Times New Roman"/>
          <w:sz w:val="28"/>
          <w:szCs w:val="28"/>
        </w:rPr>
        <w:t>Figure 3</w:t>
      </w:r>
      <w:r w:rsidR="00B974CD" w:rsidRPr="00EB371D">
        <w:rPr>
          <w:rFonts w:ascii="Times New Roman" w:hAnsi="Times New Roman" w:cs="Times New Roman"/>
          <w:sz w:val="28"/>
          <w:szCs w:val="28"/>
        </w:rPr>
        <w:t>3</w:t>
      </w:r>
      <w:r w:rsidRPr="00EB371D">
        <w:rPr>
          <w:rFonts w:ascii="Times New Roman" w:hAnsi="Times New Roman" w:cs="Times New Roman"/>
          <w:sz w:val="28"/>
          <w:szCs w:val="28"/>
        </w:rPr>
        <w:t xml:space="preserve"> – </w:t>
      </w:r>
      <w:r w:rsidR="00E4154D" w:rsidRPr="00EB371D">
        <w:rPr>
          <w:rFonts w:ascii="Times New Roman" w:hAnsi="Times New Roman" w:cs="Times New Roman"/>
          <w:sz w:val="28"/>
          <w:szCs w:val="28"/>
        </w:rPr>
        <w:t>The OD-values of 4 drugs at 5</w:t>
      </w:r>
      <w:r w:rsidR="003E3CED" w:rsidRPr="00EB371D">
        <w:rPr>
          <w:rFonts w:ascii="Times New Roman" w:hAnsi="Times New Roman" w:cs="Times New Roman"/>
          <w:sz w:val="28"/>
          <w:szCs w:val="28"/>
        </w:rPr>
        <w:t>2, 49,47,50</w:t>
      </w:r>
      <w:r w:rsidR="00E4154D" w:rsidRPr="00EB371D">
        <w:rPr>
          <w:rFonts w:ascii="Times New Roman" w:hAnsi="Times New Roman" w:cs="Times New Roman"/>
          <w:sz w:val="28"/>
          <w:szCs w:val="28"/>
        </w:rPr>
        <w:t>±0.</w:t>
      </w:r>
      <w:r w:rsidR="002F13B0" w:rsidRPr="00EB371D">
        <w:rPr>
          <w:rFonts w:ascii="Times New Roman" w:hAnsi="Times New Roman" w:cs="Times New Roman"/>
          <w:sz w:val="28"/>
          <w:szCs w:val="28"/>
        </w:rPr>
        <w:t>1</w:t>
      </w:r>
      <w:r w:rsidR="00E4154D" w:rsidRPr="00EB371D">
        <w:rPr>
          <w:rFonts w:ascii="Times New Roman" w:hAnsi="Times New Roman" w:cs="Times New Roman"/>
          <w:sz w:val="28"/>
          <w:szCs w:val="28"/>
        </w:rPr>
        <w:t xml:space="preserve">0 µg/ml in a 96-well reader at 450 nm: 1, 2, 1, 0.8, 0.7, and 0.6±0.1. </w:t>
      </w:r>
      <w:r w:rsidR="007365A2" w:rsidRPr="00EB371D">
        <w:rPr>
          <w:rFonts w:ascii="Times New Roman" w:hAnsi="Times New Roman" w:cs="Times New Roman"/>
          <w:sz w:val="28"/>
          <w:szCs w:val="28"/>
        </w:rPr>
        <w:t>The incubation time was 24 hours, with a sample size of n = 3</w:t>
      </w:r>
    </w:p>
    <w:p w14:paraId="7C40A241" w14:textId="30C9BC21" w:rsidR="007365A2" w:rsidRDefault="007365A2" w:rsidP="00EB371D">
      <w:pPr>
        <w:spacing w:after="0" w:line="240" w:lineRule="auto"/>
        <w:jc w:val="center"/>
        <w:rPr>
          <w:rFonts w:ascii="Times New Roman" w:hAnsi="Times New Roman" w:cs="Times New Roman"/>
          <w:sz w:val="28"/>
          <w:szCs w:val="28"/>
        </w:rPr>
      </w:pPr>
    </w:p>
    <w:p w14:paraId="77072E36" w14:textId="37521FDF" w:rsidR="00E92CAE" w:rsidRPr="007365A2" w:rsidRDefault="00E4154D" w:rsidP="007365A2">
      <w:pPr>
        <w:spacing w:after="0" w:line="240" w:lineRule="auto"/>
        <w:ind w:firstLine="709"/>
        <w:jc w:val="both"/>
        <w:rPr>
          <w:rFonts w:ascii="Times New Roman" w:hAnsi="Times New Roman" w:cs="Times New Roman"/>
          <w:sz w:val="24"/>
          <w:szCs w:val="24"/>
        </w:rPr>
      </w:pPr>
      <w:r w:rsidRPr="00EB371D">
        <w:rPr>
          <w:rFonts w:ascii="Times New Roman" w:hAnsi="Times New Roman" w:cs="Times New Roman"/>
          <w:sz w:val="28"/>
          <w:szCs w:val="28"/>
        </w:rPr>
        <w:t xml:space="preserve">The Control OD of healthy cells was 1.2, indicating that the CC-value (cell viability) exceeded 50% in all medicines using CCK8 on VeroE6 cells. </w:t>
      </w:r>
      <w:r w:rsidR="007365A2">
        <w:rPr>
          <w:rFonts w:ascii="Times New Roman" w:hAnsi="Times New Roman" w:cs="Times New Roman"/>
          <w:sz w:val="24"/>
          <w:szCs w:val="24"/>
        </w:rPr>
        <w:t xml:space="preserve"> </w:t>
      </w:r>
      <w:r w:rsidR="003E3CED" w:rsidRPr="00EB371D">
        <w:rPr>
          <w:rFonts w:ascii="Times New Roman" w:hAnsi="Times New Roman" w:cs="Times New Roman"/>
          <w:sz w:val="28"/>
          <w:szCs w:val="28"/>
        </w:rPr>
        <w:t>According to visual evaluation, the 24-hour drug exposure was enough</w:t>
      </w:r>
      <w:r w:rsidR="00160522" w:rsidRPr="00EB371D">
        <w:rPr>
          <w:rFonts w:ascii="Times New Roman" w:hAnsi="Times New Roman" w:cs="Times New Roman"/>
          <w:sz w:val="28"/>
          <w:szCs w:val="28"/>
        </w:rPr>
        <w:t>. P-value &lt; 0.01; the data were run through an ANOVA test</w:t>
      </w:r>
      <w:r w:rsidR="00AC75DE" w:rsidRPr="00EB371D">
        <w:rPr>
          <w:rFonts w:ascii="Times New Roman" w:hAnsi="Times New Roman" w:cs="Times New Roman"/>
          <w:sz w:val="28"/>
          <w:szCs w:val="28"/>
        </w:rPr>
        <w:t>—Main</w:t>
      </w:r>
      <w:r w:rsidR="001A1A4B" w:rsidRPr="00EB371D">
        <w:rPr>
          <w:rFonts w:ascii="Times New Roman" w:hAnsi="Times New Roman" w:cs="Times New Roman"/>
          <w:sz w:val="28"/>
          <w:szCs w:val="28"/>
        </w:rPr>
        <w:t xml:space="preserve"> Absorbance Wavelength: 450 nm. The data suggest that drug concentration does not</w:t>
      </w:r>
      <w:r w:rsidR="00B974CD" w:rsidRPr="00EB371D">
        <w:rPr>
          <w:rFonts w:ascii="Times New Roman" w:hAnsi="Times New Roman" w:cs="Times New Roman"/>
          <w:sz w:val="28"/>
          <w:szCs w:val="28"/>
        </w:rPr>
        <w:t xml:space="preserve"> </w:t>
      </w:r>
      <w:r w:rsidR="001A1A4B" w:rsidRPr="00EB371D">
        <w:rPr>
          <w:rFonts w:ascii="Times New Roman" w:hAnsi="Times New Roman" w:cs="Times New Roman"/>
          <w:sz w:val="28"/>
          <w:szCs w:val="28"/>
        </w:rPr>
        <w:t>significantly impact cell survival under the tested conditions. Further experiments with wider concentration ranges or sensitive assays may be needed to detect potential effects</w:t>
      </w:r>
      <w:r w:rsidR="00AC75DE" w:rsidRPr="00EB371D">
        <w:rPr>
          <w:rFonts w:ascii="Times New Roman" w:hAnsi="Times New Roman" w:cs="Times New Roman"/>
          <w:sz w:val="28"/>
          <w:szCs w:val="28"/>
        </w:rPr>
        <w:t xml:space="preserve">. </w:t>
      </w:r>
      <w:r w:rsidR="00E92CAE" w:rsidRPr="00EB371D">
        <w:rPr>
          <w:rFonts w:ascii="Times New Roman" w:hAnsi="Times New Roman" w:cs="Times New Roman"/>
          <w:sz w:val="28"/>
          <w:szCs w:val="28"/>
        </w:rPr>
        <w:t>The results (Figure 3</w:t>
      </w:r>
      <w:r w:rsidR="00B974CD" w:rsidRPr="00EB371D">
        <w:rPr>
          <w:rFonts w:ascii="Times New Roman" w:hAnsi="Times New Roman" w:cs="Times New Roman"/>
          <w:sz w:val="28"/>
          <w:szCs w:val="28"/>
        </w:rPr>
        <w:t>3</w:t>
      </w:r>
      <w:r w:rsidR="00E92CAE" w:rsidRPr="00EB371D">
        <w:rPr>
          <w:rFonts w:ascii="Times New Roman" w:hAnsi="Times New Roman" w:cs="Times New Roman"/>
          <w:sz w:val="28"/>
          <w:szCs w:val="28"/>
        </w:rPr>
        <w:t>) show a gradual decrease in optical density across the experimental groups compared with the untreated control, reflecting reduced metabolic activity and potential cytotoxic effects of the tested drugs</w:t>
      </w:r>
      <w:r w:rsidR="00625D5C">
        <w:rPr>
          <w:rFonts w:ascii="Times New Roman" w:hAnsi="Times New Roman" w:cs="Times New Roman"/>
          <w:sz w:val="28"/>
          <w:szCs w:val="28"/>
        </w:rPr>
        <w:t>:</w:t>
      </w:r>
    </w:p>
    <w:p w14:paraId="6984B6F7" w14:textId="340E14AE" w:rsidR="00E92CAE" w:rsidRPr="00EB371D" w:rsidRDefault="00E92CAE" w:rsidP="00615880">
      <w:pPr>
        <w:spacing w:after="0" w:line="240" w:lineRule="auto"/>
        <w:ind w:firstLine="709"/>
        <w:jc w:val="both"/>
        <w:rPr>
          <w:rFonts w:ascii="Times New Roman" w:hAnsi="Times New Roman" w:cs="Times New Roman"/>
          <w:sz w:val="28"/>
          <w:szCs w:val="28"/>
        </w:rPr>
      </w:pPr>
      <w:r w:rsidRPr="00EB371D">
        <w:rPr>
          <w:rFonts w:ascii="Times New Roman" w:hAnsi="Times New Roman" w:cs="Times New Roman"/>
          <w:sz w:val="28"/>
          <w:szCs w:val="28"/>
        </w:rPr>
        <w:t>The Control group exhibits the highest OD₄₅₀ value (≈1.2), corresponding to regular metabolic activity in untreated cells.</w:t>
      </w:r>
    </w:p>
    <w:p w14:paraId="236C0A8F" w14:textId="77777777" w:rsidR="00E92CAE" w:rsidRPr="00EB371D" w:rsidRDefault="00E92CAE" w:rsidP="00625D5C">
      <w:pPr>
        <w:spacing w:after="0" w:line="240" w:lineRule="auto"/>
        <w:ind w:left="851"/>
        <w:jc w:val="both"/>
        <w:rPr>
          <w:rFonts w:ascii="Times New Roman" w:hAnsi="Times New Roman" w:cs="Times New Roman"/>
          <w:sz w:val="28"/>
          <w:szCs w:val="28"/>
        </w:rPr>
      </w:pPr>
      <w:r w:rsidRPr="00EB371D">
        <w:rPr>
          <w:rFonts w:ascii="Times New Roman" w:hAnsi="Times New Roman" w:cs="Times New Roman"/>
          <w:sz w:val="28"/>
          <w:szCs w:val="28"/>
        </w:rPr>
        <w:lastRenderedPageBreak/>
        <w:t>Dexamethasone (DEX) maintains a high OD (≈1.0), indicating negligible cytotoxicity and confirming its compatibility with the cell line.</w:t>
      </w:r>
    </w:p>
    <w:p w14:paraId="02DDC7DA" w14:textId="1D3DD7B0" w:rsidR="00E92CAE" w:rsidRPr="00EB371D" w:rsidRDefault="00E92CAE" w:rsidP="00625D5C">
      <w:pPr>
        <w:spacing w:after="0" w:line="240" w:lineRule="auto"/>
        <w:ind w:left="851"/>
        <w:jc w:val="both"/>
        <w:rPr>
          <w:rFonts w:ascii="Times New Roman" w:hAnsi="Times New Roman" w:cs="Times New Roman"/>
          <w:sz w:val="28"/>
          <w:szCs w:val="28"/>
        </w:rPr>
      </w:pPr>
      <w:r w:rsidRPr="00EB371D">
        <w:rPr>
          <w:rFonts w:ascii="Times New Roman" w:hAnsi="Times New Roman" w:cs="Times New Roman"/>
          <w:sz w:val="28"/>
          <w:szCs w:val="28"/>
        </w:rPr>
        <w:t xml:space="preserve">Tenofovir (TDF) and Favipiravir (T-705) </w:t>
      </w:r>
      <w:r w:rsidR="00625D5C">
        <w:rPr>
          <w:rFonts w:ascii="Times New Roman" w:hAnsi="Times New Roman" w:cs="Times New Roman"/>
          <w:sz w:val="28"/>
          <w:szCs w:val="28"/>
        </w:rPr>
        <w:t>exhibit moderate reductions in OD ≈ (</w:t>
      </w:r>
      <w:r w:rsidRPr="00EB371D">
        <w:rPr>
          <w:rFonts w:ascii="Times New Roman" w:hAnsi="Times New Roman" w:cs="Times New Roman"/>
          <w:sz w:val="28"/>
          <w:szCs w:val="28"/>
        </w:rPr>
        <w:t>0.8 and 0.7), suggesting partial suppression of metabolic function.</w:t>
      </w:r>
    </w:p>
    <w:p w14:paraId="114896A4" w14:textId="77777777" w:rsidR="00E92CAE" w:rsidRPr="00EB371D" w:rsidRDefault="00E92CAE" w:rsidP="00625D5C">
      <w:pPr>
        <w:spacing w:after="0" w:line="240" w:lineRule="auto"/>
        <w:ind w:left="851"/>
        <w:jc w:val="both"/>
        <w:rPr>
          <w:rFonts w:ascii="Times New Roman" w:hAnsi="Times New Roman" w:cs="Times New Roman"/>
          <w:sz w:val="28"/>
          <w:szCs w:val="28"/>
        </w:rPr>
      </w:pPr>
      <w:r w:rsidRPr="00EB371D">
        <w:rPr>
          <w:rFonts w:ascii="Times New Roman" w:hAnsi="Times New Roman" w:cs="Times New Roman"/>
          <w:sz w:val="28"/>
          <w:szCs w:val="28"/>
        </w:rPr>
        <w:t>Ribavirin (RIB) produces the lowest OD (≈ 0.6), consistent with notable cytotoxic or growth-inhibitory effects at the tested concentration.</w:t>
      </w:r>
    </w:p>
    <w:p w14:paraId="0D5CC060" w14:textId="77777777" w:rsidR="009A0769" w:rsidRPr="00EB371D" w:rsidRDefault="009A0769" w:rsidP="00625D5C">
      <w:pPr>
        <w:spacing w:after="0" w:line="240" w:lineRule="auto"/>
        <w:ind w:left="851"/>
        <w:jc w:val="both"/>
        <w:rPr>
          <w:rFonts w:ascii="Times New Roman" w:hAnsi="Times New Roman" w:cs="Times New Roman"/>
          <w:sz w:val="28"/>
          <w:szCs w:val="28"/>
        </w:rPr>
      </w:pPr>
      <w:r w:rsidRPr="00EB371D">
        <w:rPr>
          <w:rFonts w:ascii="Times New Roman" w:hAnsi="Times New Roman" w:cs="Times New Roman"/>
          <w:sz w:val="28"/>
          <w:szCs w:val="28"/>
        </w:rPr>
        <w:t>An OD of 2.0 yields an anomalously high viability (166.7%), suggesting possible overgrowth, contamination, or assay artefact, since metabolic readings above control levels are biologically implausible.</w:t>
      </w:r>
    </w:p>
    <w:p w14:paraId="3A4CED6E" w14:textId="77777777" w:rsidR="009A0769" w:rsidRPr="00EB371D" w:rsidRDefault="009A0769" w:rsidP="00625D5C">
      <w:pPr>
        <w:spacing w:after="0" w:line="240" w:lineRule="auto"/>
        <w:ind w:left="851"/>
        <w:jc w:val="both"/>
        <w:rPr>
          <w:rFonts w:ascii="Times New Roman" w:hAnsi="Times New Roman" w:cs="Times New Roman"/>
          <w:sz w:val="28"/>
          <w:szCs w:val="28"/>
        </w:rPr>
      </w:pPr>
      <w:r w:rsidRPr="00EB371D">
        <w:rPr>
          <w:rFonts w:ascii="Times New Roman" w:hAnsi="Times New Roman" w:cs="Times New Roman"/>
          <w:sz w:val="28"/>
          <w:szCs w:val="28"/>
        </w:rPr>
        <w:t>OD = 1.0 corresponds to 83.3% viability, indicating mild suppression of metabolic activity.</w:t>
      </w:r>
    </w:p>
    <w:p w14:paraId="343D6489" w14:textId="64C43C7D" w:rsidR="009A0769" w:rsidRPr="00EB371D" w:rsidRDefault="009A0769" w:rsidP="00625D5C">
      <w:pPr>
        <w:spacing w:after="0" w:line="240" w:lineRule="auto"/>
        <w:ind w:left="851"/>
        <w:jc w:val="both"/>
        <w:rPr>
          <w:rFonts w:ascii="Times New Roman" w:hAnsi="Times New Roman" w:cs="Times New Roman"/>
          <w:sz w:val="28"/>
          <w:szCs w:val="28"/>
        </w:rPr>
      </w:pPr>
      <w:r w:rsidRPr="00EB371D">
        <w:rPr>
          <w:rFonts w:ascii="Times New Roman" w:hAnsi="Times New Roman" w:cs="Times New Roman"/>
          <w:sz w:val="28"/>
          <w:szCs w:val="28"/>
        </w:rPr>
        <w:t xml:space="preserve">OD </w:t>
      </w:r>
      <w:r w:rsidR="00625D5C">
        <w:rPr>
          <w:rFonts w:ascii="Times New Roman" w:hAnsi="Times New Roman" w:cs="Times New Roman"/>
          <w:sz w:val="28"/>
          <w:szCs w:val="28"/>
        </w:rPr>
        <w:t>values of 0.8 and 0.7 correspond to 66.7% and 58.3% viability, respectively, indicating</w:t>
      </w:r>
      <w:r w:rsidRPr="00EB371D">
        <w:rPr>
          <w:rFonts w:ascii="Times New Roman" w:hAnsi="Times New Roman" w:cs="Times New Roman"/>
          <w:sz w:val="28"/>
          <w:szCs w:val="28"/>
        </w:rPr>
        <w:t xml:space="preserve"> moderate cytotoxicity or growth inhibition.</w:t>
      </w:r>
    </w:p>
    <w:p w14:paraId="5D547D6E" w14:textId="3BF08AC3" w:rsidR="009A0769" w:rsidRPr="00EB371D" w:rsidRDefault="009A0769" w:rsidP="00625D5C">
      <w:pPr>
        <w:spacing w:after="0" w:line="240" w:lineRule="auto"/>
        <w:ind w:left="851"/>
        <w:jc w:val="both"/>
        <w:rPr>
          <w:rFonts w:ascii="Times New Roman" w:hAnsi="Times New Roman" w:cs="Times New Roman"/>
          <w:sz w:val="28"/>
          <w:szCs w:val="28"/>
        </w:rPr>
      </w:pPr>
      <w:r w:rsidRPr="00EB371D">
        <w:rPr>
          <w:rFonts w:ascii="Times New Roman" w:hAnsi="Times New Roman" w:cs="Times New Roman"/>
          <w:sz w:val="28"/>
          <w:szCs w:val="28"/>
        </w:rPr>
        <w:t>OD = 0.6 produces 50% viability, a commonly used cytotoxicity threshold (CC₅₀), marking the concentration</w:t>
      </w:r>
      <w:r w:rsidR="00AC75DE" w:rsidRPr="00EB371D">
        <w:rPr>
          <w:rFonts w:ascii="Times New Roman" w:hAnsi="Times New Roman" w:cs="Times New Roman"/>
          <w:sz w:val="28"/>
          <w:szCs w:val="28"/>
        </w:rPr>
        <w:t xml:space="preserve"> calculation and processing</w:t>
      </w:r>
      <w:r w:rsidRPr="00EB371D">
        <w:rPr>
          <w:rFonts w:ascii="Times New Roman" w:hAnsi="Times New Roman" w:cs="Times New Roman"/>
          <w:sz w:val="28"/>
          <w:szCs w:val="28"/>
        </w:rPr>
        <w:t xml:space="preserve"> at which cell survival is reduced by half</w:t>
      </w:r>
      <w:r w:rsidR="00AC75DE" w:rsidRPr="00EB371D">
        <w:rPr>
          <w:rFonts w:ascii="Times New Roman" w:hAnsi="Times New Roman" w:cs="Times New Roman"/>
          <w:sz w:val="28"/>
          <w:szCs w:val="28"/>
        </w:rPr>
        <w:t>,</w:t>
      </w:r>
      <w:r w:rsidRPr="00EB371D">
        <w:rPr>
          <w:rFonts w:ascii="Times New Roman" w:hAnsi="Times New Roman" w:cs="Times New Roman"/>
          <w:sz w:val="28"/>
          <w:szCs w:val="28"/>
        </w:rPr>
        <w:t xml:space="preserve"> </w:t>
      </w:r>
      <w:r w:rsidR="00615880">
        <w:rPr>
          <w:rFonts w:ascii="Times New Roman" w:hAnsi="Times New Roman" w:cs="Times New Roman"/>
          <w:sz w:val="28"/>
          <w:szCs w:val="28"/>
        </w:rPr>
        <w:t>as shown</w:t>
      </w:r>
      <w:r w:rsidRPr="00EB371D">
        <w:rPr>
          <w:rFonts w:ascii="Times New Roman" w:hAnsi="Times New Roman" w:cs="Times New Roman"/>
          <w:sz w:val="28"/>
          <w:szCs w:val="28"/>
        </w:rPr>
        <w:t xml:space="preserve"> in Figure 34</w:t>
      </w:r>
    </w:p>
    <w:p w14:paraId="3CED7A16" w14:textId="5ECC43DE" w:rsidR="00F171C9" w:rsidRPr="00EB371D" w:rsidRDefault="00E92CAE" w:rsidP="00EB371D">
      <w:pPr>
        <w:spacing w:after="0" w:line="240" w:lineRule="auto"/>
        <w:ind w:firstLine="708"/>
        <w:jc w:val="both"/>
        <w:rPr>
          <w:rFonts w:ascii="Times New Roman" w:hAnsi="Times New Roman" w:cs="Times New Roman"/>
          <w:sz w:val="28"/>
          <w:szCs w:val="28"/>
        </w:rPr>
      </w:pPr>
      <w:r w:rsidRPr="00EB371D">
        <w:rPr>
          <w:rFonts w:ascii="Times New Roman" w:hAnsi="Times New Roman" w:cs="Times New Roman"/>
          <w:sz w:val="28"/>
          <w:szCs w:val="28"/>
        </w:rPr>
        <w:t>The linear decline across treatments demonstrates a dose-independent but compound-specific reduction in cell viability. These data align with previous cytotoxicity observations, confirming that Dexamethasone is the least toxic, whereas Ribavirin exerts the most pronounced inhibitory effect on cell metabolism.</w:t>
      </w:r>
    </w:p>
    <w:p w14:paraId="0795FAFB" w14:textId="77777777" w:rsidR="009A0769" w:rsidRPr="00EB371D" w:rsidRDefault="009A0769" w:rsidP="00EB371D">
      <w:pPr>
        <w:spacing w:after="0" w:line="240" w:lineRule="auto"/>
        <w:ind w:firstLine="708"/>
        <w:jc w:val="both"/>
        <w:rPr>
          <w:rFonts w:ascii="Times New Roman" w:hAnsi="Times New Roman" w:cs="Times New Roman"/>
          <w:sz w:val="28"/>
          <w:szCs w:val="28"/>
        </w:rPr>
      </w:pPr>
    </w:p>
    <w:p w14:paraId="49549C3B" w14:textId="1507A05D" w:rsidR="006D3B8F" w:rsidRPr="006531C9" w:rsidRDefault="00F171C9" w:rsidP="00984754">
      <w:pPr>
        <w:spacing w:after="0" w:line="360" w:lineRule="auto"/>
        <w:jc w:val="center"/>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0334B41A" wp14:editId="0325A17F">
            <wp:extent cx="5076825" cy="2918044"/>
            <wp:effectExtent l="0" t="0" r="0" b="0"/>
            <wp:docPr id="2476413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641397" name=""/>
                    <pic:cNvPicPr/>
                  </pic:nvPicPr>
                  <pic:blipFill rotWithShape="1">
                    <a:blip r:embed="rId82"/>
                    <a:srcRect l="21944" t="33908" r="18264" b="22219"/>
                    <a:stretch>
                      <a:fillRect/>
                    </a:stretch>
                  </pic:blipFill>
                  <pic:spPr bwMode="auto">
                    <a:xfrm>
                      <a:off x="0" y="0"/>
                      <a:ext cx="5167994" cy="2970446"/>
                    </a:xfrm>
                    <a:prstGeom prst="rect">
                      <a:avLst/>
                    </a:prstGeom>
                    <a:ln>
                      <a:noFill/>
                    </a:ln>
                    <a:extLst>
                      <a:ext uri="{53640926-AAD7-44D8-BBD7-CCE9431645EC}">
                        <a14:shadowObscured xmlns:a14="http://schemas.microsoft.com/office/drawing/2010/main"/>
                      </a:ext>
                    </a:extLst>
                  </pic:spPr>
                </pic:pic>
              </a:graphicData>
            </a:graphic>
          </wp:inline>
        </w:drawing>
      </w:r>
    </w:p>
    <w:p w14:paraId="2ADC8555" w14:textId="47E5E463" w:rsidR="009A0769" w:rsidRDefault="008A545B" w:rsidP="00EB371D">
      <w:pPr>
        <w:spacing w:after="0" w:line="240" w:lineRule="auto"/>
        <w:jc w:val="center"/>
        <w:rPr>
          <w:rFonts w:ascii="Times New Roman" w:hAnsi="Times New Roman" w:cs="Times New Roman"/>
          <w:sz w:val="28"/>
          <w:szCs w:val="28"/>
        </w:rPr>
      </w:pPr>
      <w:r w:rsidRPr="00EB371D">
        <w:rPr>
          <w:rFonts w:ascii="Times New Roman" w:hAnsi="Times New Roman" w:cs="Times New Roman"/>
          <w:sz w:val="28"/>
          <w:szCs w:val="28"/>
        </w:rPr>
        <w:t>Figure 3</w:t>
      </w:r>
      <w:r w:rsidR="009A0769" w:rsidRPr="00EB371D">
        <w:rPr>
          <w:rFonts w:ascii="Times New Roman" w:hAnsi="Times New Roman" w:cs="Times New Roman"/>
          <w:sz w:val="28"/>
          <w:szCs w:val="28"/>
        </w:rPr>
        <w:t>4</w:t>
      </w:r>
      <w:r w:rsidRPr="00EB371D">
        <w:rPr>
          <w:rFonts w:ascii="Times New Roman" w:hAnsi="Times New Roman" w:cs="Times New Roman"/>
          <w:sz w:val="28"/>
          <w:szCs w:val="28"/>
        </w:rPr>
        <w:t xml:space="preserve"> – The OD-value interpretation of the CCK-8 assay, optical density (OD) at 450 nm is proportional to viable cell count</w:t>
      </w:r>
    </w:p>
    <w:p w14:paraId="4D906EE3" w14:textId="77777777" w:rsidR="00B82B8B" w:rsidRPr="00EB371D" w:rsidRDefault="00B82B8B" w:rsidP="00EB371D">
      <w:pPr>
        <w:spacing w:after="0" w:line="240" w:lineRule="auto"/>
        <w:jc w:val="center"/>
        <w:rPr>
          <w:rFonts w:ascii="Times New Roman" w:hAnsi="Times New Roman" w:cs="Times New Roman"/>
          <w:sz w:val="28"/>
          <w:szCs w:val="28"/>
        </w:rPr>
      </w:pPr>
    </w:p>
    <w:p w14:paraId="33D8A9B7" w14:textId="100FDF6A" w:rsidR="00984754" w:rsidRPr="00EB371D" w:rsidRDefault="00E92CAE" w:rsidP="00EB371D">
      <w:pPr>
        <w:spacing w:after="0" w:line="240" w:lineRule="auto"/>
        <w:ind w:firstLine="360"/>
        <w:jc w:val="both"/>
        <w:rPr>
          <w:rFonts w:ascii="Times New Roman" w:hAnsi="Times New Roman" w:cs="Times New Roman"/>
          <w:sz w:val="28"/>
          <w:szCs w:val="28"/>
        </w:rPr>
      </w:pPr>
      <w:r w:rsidRPr="00EB371D">
        <w:rPr>
          <w:rFonts w:ascii="Times New Roman" w:hAnsi="Times New Roman" w:cs="Times New Roman"/>
          <w:sz w:val="28"/>
          <w:szCs w:val="28"/>
        </w:rPr>
        <w:t>Overall, the calculations demonstrate a direct, proportional relationship between OD values and viable cell percentage, where lower OD readings correspond to reduced cell metabolic activity. This analysis provides a quantitative foundation for identifying safe and toxic concentration ranges in drug screening or antiviral cytotoxicity studies.</w:t>
      </w:r>
    </w:p>
    <w:p w14:paraId="54E81B3A" w14:textId="77777777" w:rsidR="00AC75DE" w:rsidRPr="00EB371D" w:rsidRDefault="00AC75DE" w:rsidP="00EB371D">
      <w:pPr>
        <w:spacing w:after="0" w:line="240" w:lineRule="auto"/>
        <w:jc w:val="both"/>
        <w:rPr>
          <w:rFonts w:ascii="Times New Roman" w:hAnsi="Times New Roman" w:cs="Times New Roman"/>
          <w:sz w:val="28"/>
          <w:szCs w:val="28"/>
        </w:rPr>
      </w:pPr>
    </w:p>
    <w:p w14:paraId="5777B476" w14:textId="59777DA9" w:rsidR="00984754" w:rsidRPr="00EB371D" w:rsidRDefault="00853685" w:rsidP="00615880">
      <w:pPr>
        <w:spacing w:after="0" w:line="240" w:lineRule="auto"/>
        <w:ind w:firstLine="709"/>
        <w:jc w:val="both"/>
        <w:rPr>
          <w:rFonts w:ascii="Times New Roman" w:hAnsi="Times New Roman" w:cs="Times New Roman"/>
          <w:b/>
          <w:bCs/>
          <w:sz w:val="28"/>
          <w:szCs w:val="28"/>
        </w:rPr>
      </w:pPr>
      <w:r w:rsidRPr="00EB371D">
        <w:rPr>
          <w:rFonts w:ascii="Times New Roman" w:hAnsi="Times New Roman" w:cs="Times New Roman"/>
          <w:b/>
          <w:bCs/>
          <w:sz w:val="28"/>
          <w:szCs w:val="28"/>
        </w:rPr>
        <w:lastRenderedPageBreak/>
        <w:t>3.</w:t>
      </w:r>
      <w:r w:rsidR="00121285" w:rsidRPr="00EB371D">
        <w:rPr>
          <w:rFonts w:ascii="Times New Roman" w:hAnsi="Times New Roman" w:cs="Times New Roman"/>
          <w:b/>
          <w:bCs/>
          <w:sz w:val="28"/>
          <w:szCs w:val="28"/>
        </w:rPr>
        <w:t>3</w:t>
      </w:r>
      <w:r w:rsidRPr="00EB371D">
        <w:rPr>
          <w:rFonts w:ascii="Times New Roman" w:hAnsi="Times New Roman" w:cs="Times New Roman"/>
          <w:b/>
          <w:bCs/>
          <w:sz w:val="28"/>
          <w:szCs w:val="28"/>
        </w:rPr>
        <w:t>.3 MTT</w:t>
      </w:r>
      <w:r w:rsidR="008D2DE5" w:rsidRPr="00EB371D">
        <w:rPr>
          <w:rFonts w:ascii="Times New Roman" w:hAnsi="Times New Roman" w:cs="Times New Roman"/>
          <w:b/>
          <w:bCs/>
          <w:sz w:val="28"/>
          <w:szCs w:val="28"/>
        </w:rPr>
        <w:t xml:space="preserve"> assay for cell viability in </w:t>
      </w:r>
      <w:r w:rsidR="00CA7244" w:rsidRPr="00EB371D">
        <w:rPr>
          <w:rFonts w:ascii="Times New Roman" w:hAnsi="Times New Roman" w:cs="Times New Roman"/>
          <w:b/>
          <w:bCs/>
          <w:sz w:val="28"/>
          <w:szCs w:val="28"/>
        </w:rPr>
        <w:t xml:space="preserve">response to four drugs at varying concentrations against the </w:t>
      </w:r>
      <w:r w:rsidR="008D2DE5" w:rsidRPr="00EB371D">
        <w:rPr>
          <w:rFonts w:ascii="Times New Roman" w:hAnsi="Times New Roman" w:cs="Times New Roman"/>
          <w:b/>
          <w:bCs/>
          <w:sz w:val="28"/>
          <w:szCs w:val="28"/>
        </w:rPr>
        <w:t xml:space="preserve">SARS-CoV-2 </w:t>
      </w:r>
      <w:r w:rsidR="00B517DE" w:rsidRPr="00EB371D">
        <w:rPr>
          <w:rFonts w:ascii="Times New Roman" w:hAnsi="Times New Roman" w:cs="Times New Roman"/>
          <w:b/>
          <w:bCs/>
          <w:sz w:val="28"/>
          <w:szCs w:val="28"/>
        </w:rPr>
        <w:t>Titters-Wuhan strain</w:t>
      </w:r>
    </w:p>
    <w:p w14:paraId="6E083F6B" w14:textId="423777A7" w:rsidR="00226539" w:rsidRPr="00EB371D" w:rsidRDefault="00085A7D" w:rsidP="00615880">
      <w:pPr>
        <w:spacing w:after="0" w:line="240" w:lineRule="auto"/>
        <w:ind w:firstLine="708"/>
        <w:jc w:val="both"/>
        <w:rPr>
          <w:rFonts w:ascii="Times New Roman" w:hAnsi="Times New Roman" w:cs="Times New Roman"/>
          <w:b/>
          <w:bCs/>
          <w:sz w:val="28"/>
          <w:szCs w:val="28"/>
        </w:rPr>
      </w:pPr>
      <w:r w:rsidRPr="00EB371D">
        <w:rPr>
          <w:rFonts w:ascii="Times New Roman" w:hAnsi="Times New Roman" w:cs="Times New Roman"/>
          <w:sz w:val="28"/>
          <w:szCs w:val="28"/>
        </w:rPr>
        <w:t>Figure 3</w:t>
      </w:r>
      <w:r w:rsidR="00884ED2" w:rsidRPr="00EB371D">
        <w:rPr>
          <w:rFonts w:ascii="Times New Roman" w:hAnsi="Times New Roman" w:cs="Times New Roman"/>
          <w:sz w:val="28"/>
          <w:szCs w:val="28"/>
        </w:rPr>
        <w:t>4</w:t>
      </w:r>
      <w:r w:rsidRPr="00EB371D">
        <w:rPr>
          <w:rFonts w:ascii="Times New Roman" w:hAnsi="Times New Roman" w:cs="Times New Roman"/>
          <w:sz w:val="28"/>
          <w:szCs w:val="28"/>
        </w:rPr>
        <w:t xml:space="preserve"> also shows the MTT data</w:t>
      </w:r>
      <w:r w:rsidR="005A53D0" w:rsidRPr="00EB371D">
        <w:rPr>
          <w:rFonts w:ascii="Times New Roman" w:hAnsi="Times New Roman" w:cs="Times New Roman"/>
          <w:sz w:val="28"/>
          <w:szCs w:val="28"/>
        </w:rPr>
        <w:t xml:space="preserve">, which </w:t>
      </w:r>
      <w:r w:rsidR="006951BA">
        <w:rPr>
          <w:rFonts w:ascii="Times New Roman" w:hAnsi="Times New Roman" w:cs="Times New Roman"/>
          <w:sz w:val="28"/>
          <w:szCs w:val="28"/>
        </w:rPr>
        <w:t>illustrates</w:t>
      </w:r>
      <w:r w:rsidR="00FC053B">
        <w:rPr>
          <w:rFonts w:ascii="Times New Roman" w:hAnsi="Times New Roman" w:cs="Times New Roman"/>
          <w:sz w:val="28"/>
          <w:szCs w:val="28"/>
        </w:rPr>
        <w:t xml:space="preserve"> the antiviral drugs in DMEM at relatively safe concentrations</w:t>
      </w:r>
      <w:r w:rsidR="00853685" w:rsidRPr="00EB371D">
        <w:rPr>
          <w:rFonts w:ascii="Times New Roman" w:hAnsi="Times New Roman" w:cs="Times New Roman"/>
          <w:sz w:val="28"/>
          <w:szCs w:val="28"/>
        </w:rPr>
        <w:t xml:space="preserve">. </w:t>
      </w:r>
      <w:r w:rsidR="00EB5CBC" w:rsidRPr="00EB371D">
        <w:rPr>
          <w:rFonts w:ascii="Times New Roman" w:hAnsi="Times New Roman" w:cs="Times New Roman"/>
          <w:sz w:val="28"/>
          <w:szCs w:val="28"/>
        </w:rPr>
        <w:t xml:space="preserve">n = 5 using the </w:t>
      </w:r>
      <w:r w:rsidR="008A545B" w:rsidRPr="00EB371D">
        <w:rPr>
          <w:rFonts w:ascii="Times New Roman" w:hAnsi="Times New Roman" w:cs="Times New Roman"/>
          <w:sz w:val="28"/>
          <w:szCs w:val="28"/>
        </w:rPr>
        <w:t>colourimetric</w:t>
      </w:r>
      <w:r w:rsidR="00853685" w:rsidRPr="00EB371D">
        <w:rPr>
          <w:rFonts w:ascii="Times New Roman" w:hAnsi="Times New Roman" w:cs="Times New Roman"/>
          <w:sz w:val="28"/>
          <w:szCs w:val="28"/>
        </w:rPr>
        <w:t xml:space="preserve"> assay MTT tablet. Reference Wavelength (Optional): 600–650 nm. This can be used to correct for background absorbance due to media, plastic plates, or other factors.</w:t>
      </w:r>
    </w:p>
    <w:p w14:paraId="4D75D359" w14:textId="77777777" w:rsidR="00226539" w:rsidRPr="006531C9" w:rsidRDefault="00226539" w:rsidP="000B4B42">
      <w:pPr>
        <w:spacing w:after="0" w:line="360" w:lineRule="auto"/>
        <w:ind w:firstLineChars="709" w:firstLine="1708"/>
        <w:jc w:val="both"/>
        <w:rPr>
          <w:rFonts w:ascii="Times New Roman" w:hAnsi="Times New Roman" w:cs="Times New Roman"/>
          <w:b/>
          <w:bCs/>
          <w:sz w:val="24"/>
          <w:szCs w:val="24"/>
        </w:rPr>
      </w:pPr>
    </w:p>
    <w:p w14:paraId="1E1ADE02" w14:textId="33EBC498" w:rsidR="00F57FEE" w:rsidRPr="00692FBD" w:rsidRDefault="0003067F" w:rsidP="00692FBD">
      <w:pPr>
        <w:spacing w:after="0" w:line="360" w:lineRule="auto"/>
        <w:ind w:right="992"/>
        <w:jc w:val="center"/>
        <w:rPr>
          <w:rFonts w:ascii="Times New Roman" w:hAnsi="Times New Roman" w:cs="Times New Roman"/>
          <w:b/>
          <w:bCs/>
          <w:sz w:val="24"/>
          <w:szCs w:val="24"/>
          <w:lang w:val="en-US"/>
        </w:rPr>
      </w:pPr>
      <w:r w:rsidRPr="0003067F">
        <w:rPr>
          <w:rFonts w:ascii="Times New Roman" w:hAnsi="Times New Roman" w:cs="Times New Roman"/>
          <w:b/>
          <w:bCs/>
          <w:noProof/>
          <w:sz w:val="24"/>
          <w:szCs w:val="24"/>
          <w:lang w:val="ru-RU"/>
        </w:rPr>
        <w:drawing>
          <wp:inline distT="0" distB="0" distL="0" distR="0" wp14:anchorId="5553ECF0" wp14:editId="7359E7E5">
            <wp:extent cx="6040315" cy="3420598"/>
            <wp:effectExtent l="0" t="0" r="0" b="8890"/>
            <wp:docPr id="85051627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7380" r="1304"/>
                    <a:stretch>
                      <a:fillRect/>
                    </a:stretch>
                  </pic:blipFill>
                  <pic:spPr bwMode="auto">
                    <a:xfrm>
                      <a:off x="0" y="0"/>
                      <a:ext cx="6040315" cy="3420598"/>
                    </a:xfrm>
                    <a:prstGeom prst="rect">
                      <a:avLst/>
                    </a:prstGeom>
                    <a:noFill/>
                    <a:ln>
                      <a:noFill/>
                    </a:ln>
                    <a:extLst>
                      <a:ext uri="{53640926-AAD7-44D8-BBD7-CCE9431645EC}">
                        <a14:shadowObscured xmlns:a14="http://schemas.microsoft.com/office/drawing/2010/main"/>
                      </a:ext>
                    </a:extLst>
                  </pic:spPr>
                </pic:pic>
              </a:graphicData>
            </a:graphic>
          </wp:inline>
        </w:drawing>
      </w:r>
    </w:p>
    <w:p w14:paraId="0FCBC92F" w14:textId="3F058AA9" w:rsidR="00FC053B" w:rsidRDefault="00853685" w:rsidP="00EB371D">
      <w:pPr>
        <w:spacing w:after="0" w:line="240" w:lineRule="auto"/>
        <w:jc w:val="center"/>
        <w:rPr>
          <w:rFonts w:ascii="Times New Roman" w:hAnsi="Times New Roman" w:cs="Times New Roman"/>
          <w:sz w:val="28"/>
          <w:szCs w:val="28"/>
        </w:rPr>
      </w:pPr>
      <w:r w:rsidRPr="00EB371D">
        <w:rPr>
          <w:rFonts w:ascii="Times New Roman" w:hAnsi="Times New Roman" w:cs="Times New Roman"/>
          <w:sz w:val="28"/>
          <w:szCs w:val="28"/>
        </w:rPr>
        <w:t>Figure 3</w:t>
      </w:r>
      <w:r w:rsidR="00884ED2" w:rsidRPr="00EB371D">
        <w:rPr>
          <w:rFonts w:ascii="Times New Roman" w:hAnsi="Times New Roman" w:cs="Times New Roman"/>
          <w:sz w:val="28"/>
          <w:szCs w:val="28"/>
        </w:rPr>
        <w:t>4</w:t>
      </w:r>
      <w:r w:rsidRPr="00EB371D">
        <w:rPr>
          <w:rFonts w:ascii="Times New Roman" w:hAnsi="Times New Roman" w:cs="Times New Roman"/>
          <w:sz w:val="28"/>
          <w:szCs w:val="28"/>
        </w:rPr>
        <w:t xml:space="preserve"> – VeroE6 cells survival rates in percentage in the presence of 5 drug concentrations of Ribavirin, Favipiravir, and Tenofovir (</w:t>
      </w:r>
      <w:r w:rsidR="00CA2643">
        <w:rPr>
          <w:rFonts w:ascii="Times New Roman" w:hAnsi="Times New Roman" w:cs="Times New Roman"/>
          <w:sz w:val="28"/>
          <w:szCs w:val="28"/>
        </w:rPr>
        <w:t>TDF/</w:t>
      </w:r>
      <w:r w:rsidRPr="00EB371D">
        <w:rPr>
          <w:rFonts w:ascii="Times New Roman" w:hAnsi="Times New Roman" w:cs="Times New Roman"/>
          <w:sz w:val="28"/>
          <w:szCs w:val="28"/>
        </w:rPr>
        <w:t xml:space="preserve">TAF) </w:t>
      </w:r>
    </w:p>
    <w:p w14:paraId="339C8ABA" w14:textId="77777777" w:rsidR="00FC053B" w:rsidRDefault="00FC053B" w:rsidP="00EB371D">
      <w:pPr>
        <w:spacing w:after="0" w:line="240" w:lineRule="auto"/>
        <w:jc w:val="center"/>
        <w:rPr>
          <w:rFonts w:ascii="Times New Roman" w:hAnsi="Times New Roman" w:cs="Times New Roman"/>
          <w:sz w:val="28"/>
          <w:szCs w:val="28"/>
        </w:rPr>
      </w:pPr>
    </w:p>
    <w:p w14:paraId="06ED2FB5" w14:textId="12BAB639" w:rsidR="00007CE4" w:rsidRPr="00EB371D" w:rsidRDefault="00FC053B" w:rsidP="00FC053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Starting</w:t>
      </w:r>
      <w:r w:rsidR="00853685" w:rsidRPr="00EB371D">
        <w:rPr>
          <w:rFonts w:ascii="Times New Roman" w:hAnsi="Times New Roman" w:cs="Times New Roman"/>
          <w:sz w:val="28"/>
          <w:szCs w:val="28"/>
        </w:rPr>
        <w:t xml:space="preserve"> </w:t>
      </w:r>
      <w:r w:rsidR="00084898" w:rsidRPr="00EB371D">
        <w:rPr>
          <w:rFonts w:ascii="Times New Roman" w:hAnsi="Times New Roman" w:cs="Times New Roman"/>
          <w:sz w:val="28"/>
          <w:szCs w:val="28"/>
        </w:rPr>
        <w:t>from the antiviral drug concentration of</w:t>
      </w:r>
      <w:r w:rsidR="00EB5CBC" w:rsidRPr="00EB371D">
        <w:rPr>
          <w:rFonts w:ascii="Times New Roman" w:hAnsi="Times New Roman" w:cs="Times New Roman"/>
          <w:sz w:val="28"/>
          <w:szCs w:val="28"/>
        </w:rPr>
        <w:t xml:space="preserve"> 50 µg/ml</w:t>
      </w:r>
      <w:r w:rsidR="00084898" w:rsidRPr="00EB371D">
        <w:rPr>
          <w:rFonts w:ascii="Times New Roman" w:hAnsi="Times New Roman" w:cs="Times New Roman"/>
          <w:sz w:val="28"/>
          <w:szCs w:val="28"/>
        </w:rPr>
        <w:t>. The</w:t>
      </w:r>
      <w:r w:rsidR="00EB5CBC" w:rsidRPr="00EB371D">
        <w:rPr>
          <w:rFonts w:ascii="Times New Roman" w:hAnsi="Times New Roman" w:cs="Times New Roman"/>
          <w:sz w:val="28"/>
          <w:szCs w:val="28"/>
        </w:rPr>
        <w:t xml:space="preserve"> viral </w:t>
      </w:r>
      <w:r w:rsidR="00085A7D" w:rsidRPr="00EB371D">
        <w:rPr>
          <w:rFonts w:ascii="Times New Roman" w:hAnsi="Times New Roman" w:cs="Times New Roman"/>
          <w:sz w:val="28"/>
          <w:szCs w:val="28"/>
        </w:rPr>
        <w:t>titer</w:t>
      </w:r>
      <w:r w:rsidR="00EB5CBC" w:rsidRPr="00EB371D">
        <w:rPr>
          <w:rFonts w:ascii="Times New Roman" w:hAnsi="Times New Roman" w:cs="Times New Roman"/>
          <w:sz w:val="28"/>
          <w:szCs w:val="28"/>
        </w:rPr>
        <w:t xml:space="preserve"> is 200 µg/ml</w:t>
      </w:r>
      <w:r w:rsidR="000A0ADC" w:rsidRPr="00EB371D">
        <w:rPr>
          <w:rFonts w:ascii="Times New Roman" w:hAnsi="Times New Roman" w:cs="Times New Roman"/>
          <w:sz w:val="28"/>
          <w:szCs w:val="28"/>
        </w:rPr>
        <w:t>, corresponding to</w:t>
      </w:r>
      <w:r w:rsidR="00EB5CBC" w:rsidRPr="00EB371D">
        <w:rPr>
          <w:rFonts w:ascii="Times New Roman" w:hAnsi="Times New Roman" w:cs="Times New Roman"/>
          <w:sz w:val="28"/>
          <w:szCs w:val="28"/>
        </w:rPr>
        <w:t xml:space="preserve"> </w:t>
      </w:r>
      <w:r w:rsidR="004C7727" w:rsidRPr="00EB371D">
        <w:rPr>
          <w:rFonts w:ascii="Times New Roman" w:hAnsi="Times New Roman" w:cs="Times New Roman"/>
          <w:sz w:val="28"/>
          <w:szCs w:val="28"/>
        </w:rPr>
        <w:t>a multiplicity of infection (MOI) of</w:t>
      </w:r>
      <w:r w:rsidR="00EB5CBC" w:rsidRPr="00EB371D">
        <w:rPr>
          <w:rFonts w:ascii="Times New Roman" w:hAnsi="Times New Roman" w:cs="Times New Roman"/>
          <w:sz w:val="28"/>
          <w:szCs w:val="28"/>
        </w:rPr>
        <w:t xml:space="preserve"> 2, with a 24-hour</w:t>
      </w:r>
      <w:r w:rsidR="00A96ECA" w:rsidRPr="00EB371D">
        <w:rPr>
          <w:rFonts w:ascii="Times New Roman" w:hAnsi="Times New Roman" w:cs="Times New Roman"/>
          <w:sz w:val="28"/>
          <w:szCs w:val="28"/>
        </w:rPr>
        <w:t xml:space="preserve"> exposure</w:t>
      </w:r>
      <w:bookmarkStart w:id="47" w:name="_Hlk200178620"/>
      <w:r w:rsidR="00886124" w:rsidRPr="00EB371D">
        <w:rPr>
          <w:rFonts w:ascii="Times New Roman" w:hAnsi="Times New Roman" w:cs="Times New Roman"/>
          <w:sz w:val="28"/>
          <w:szCs w:val="28"/>
        </w:rPr>
        <w:t>.</w:t>
      </w:r>
      <w:r w:rsidR="00A96ECA" w:rsidRPr="00EB371D">
        <w:rPr>
          <w:rFonts w:ascii="Times New Roman" w:hAnsi="Times New Roman" w:cs="Times New Roman"/>
          <w:sz w:val="28"/>
          <w:szCs w:val="28"/>
        </w:rPr>
        <w:t xml:space="preserve"> </w:t>
      </w:r>
      <w:r w:rsidR="00084898" w:rsidRPr="00EB371D">
        <w:rPr>
          <w:rFonts w:ascii="Times New Roman" w:hAnsi="Times New Roman" w:cs="Times New Roman"/>
          <w:sz w:val="28"/>
          <w:szCs w:val="28"/>
        </w:rPr>
        <w:t>P-value</w:t>
      </w:r>
      <w:r w:rsidR="00796589" w:rsidRPr="00EB371D">
        <w:rPr>
          <w:rFonts w:ascii="Times New Roman" w:hAnsi="Times New Roman" w:cs="Times New Roman"/>
          <w:sz w:val="28"/>
          <w:szCs w:val="28"/>
        </w:rPr>
        <w:t xml:space="preserve">: </w:t>
      </w:r>
      <w:r w:rsidR="00084898" w:rsidRPr="00EB371D">
        <w:rPr>
          <w:rFonts w:ascii="Times New Roman" w:hAnsi="Times New Roman" w:cs="Times New Roman"/>
          <w:sz w:val="28"/>
          <w:szCs w:val="28"/>
        </w:rPr>
        <w:t xml:space="preserve">0.0001; SD±0.01. The data were analysed using an ANOVA test. </w:t>
      </w:r>
      <w:r w:rsidR="00A06267" w:rsidRPr="00EB371D">
        <w:rPr>
          <w:rFonts w:ascii="Times New Roman" w:hAnsi="Times New Roman" w:cs="Times New Roman"/>
          <w:sz w:val="28"/>
          <w:szCs w:val="28"/>
        </w:rPr>
        <w:t xml:space="preserve">n=5, Survival rate decreases as concentration increases: 50 µg/ml: 99.00% → 200 µg/ml: 20.33%. </w:t>
      </w:r>
      <w:r w:rsidR="004D4A87" w:rsidRPr="00EB371D">
        <w:rPr>
          <w:rFonts w:ascii="Times New Roman" w:hAnsi="Times New Roman" w:cs="Times New Roman"/>
          <w:sz w:val="28"/>
          <w:szCs w:val="28"/>
        </w:rPr>
        <w:t> Survival rates are highly dependent on drug concentration (p&lt;0.0001</w:t>
      </w:r>
      <w:r w:rsidR="004D4A87" w:rsidRPr="00EB371D">
        <w:rPr>
          <w:rFonts w:ascii="Times New Roman" w:hAnsi="Times New Roman" w:cs="Times New Roman"/>
          <w:i/>
          <w:iCs/>
          <w:sz w:val="28"/>
          <w:szCs w:val="28"/>
        </w:rPr>
        <w:t>p</w:t>
      </w:r>
      <w:r w:rsidR="004D4A87" w:rsidRPr="00EB371D">
        <w:rPr>
          <w:rFonts w:ascii="Times New Roman" w:hAnsi="Times New Roman" w:cs="Times New Roman"/>
          <w:sz w:val="28"/>
          <w:szCs w:val="28"/>
        </w:rPr>
        <w:t xml:space="preserve">&lt;0.0001), showing substantial dose-dependent toxicity. Measurements are consistent across days (p = 0.677), indicating experimental </w:t>
      </w:r>
      <w:bookmarkEnd w:id="47"/>
      <w:r w:rsidR="00F57FEE" w:rsidRPr="00EB371D">
        <w:rPr>
          <w:rFonts w:ascii="Times New Roman" w:hAnsi="Times New Roman" w:cs="Times New Roman"/>
          <w:sz w:val="28"/>
          <w:szCs w:val="28"/>
        </w:rPr>
        <w:t>reliability</w:t>
      </w:r>
    </w:p>
    <w:p w14:paraId="1B6C5FA5" w14:textId="7115B011" w:rsidR="00226539" w:rsidRPr="006531C9" w:rsidRDefault="00853685" w:rsidP="00FC053B">
      <w:pPr>
        <w:spacing w:after="0" w:line="240" w:lineRule="auto"/>
        <w:ind w:firstLine="709"/>
        <w:jc w:val="both"/>
        <w:rPr>
          <w:rFonts w:ascii="Times New Roman" w:hAnsi="Times New Roman" w:cs="Times New Roman"/>
          <w:sz w:val="24"/>
          <w:szCs w:val="24"/>
        </w:rPr>
      </w:pPr>
      <w:r w:rsidRPr="00EB371D">
        <w:rPr>
          <w:rFonts w:ascii="Times New Roman" w:hAnsi="Times New Roman" w:cs="Times New Roman"/>
          <w:sz w:val="28"/>
          <w:szCs w:val="28"/>
        </w:rPr>
        <w:t xml:space="preserve">These experiments were repeated three times, </w:t>
      </w:r>
      <w:r w:rsidR="009A0769" w:rsidRPr="00EB371D">
        <w:rPr>
          <w:rFonts w:ascii="Times New Roman" w:hAnsi="Times New Roman" w:cs="Times New Roman"/>
          <w:sz w:val="28"/>
          <w:szCs w:val="28"/>
        </w:rPr>
        <w:t>with each drug having five concentration samples to examine</w:t>
      </w:r>
      <w:r w:rsidRPr="00EB371D">
        <w:rPr>
          <w:rFonts w:ascii="Times New Roman" w:hAnsi="Times New Roman" w:cs="Times New Roman"/>
          <w:sz w:val="28"/>
          <w:szCs w:val="28"/>
        </w:rPr>
        <w:t xml:space="preserve"> the correlation between IC and CC values. </w:t>
      </w:r>
      <w:r w:rsidR="004C2A64" w:rsidRPr="00EB371D">
        <w:rPr>
          <w:rFonts w:ascii="Times New Roman" w:hAnsi="Times New Roman" w:cs="Times New Roman"/>
          <w:sz w:val="28"/>
          <w:szCs w:val="28"/>
        </w:rPr>
        <w:t xml:space="preserve">The viability test was conducted in China using the MTT assay protocol and in Kazakhstan using the CCK-8 Kit protocol. The CCK8 ingredients are a water-soluble tetrazolium salt, WST-8, which is reduced by cell dehydrogenase activities to form a yellow-coloured formazan dye soluble in tissue culture media. </w:t>
      </w:r>
      <w:r w:rsidR="00084898" w:rsidRPr="00EB371D">
        <w:rPr>
          <w:rFonts w:ascii="Times New Roman" w:hAnsi="Times New Roman" w:cs="Times New Roman"/>
          <w:sz w:val="28"/>
          <w:szCs w:val="28"/>
        </w:rPr>
        <w:t xml:space="preserve">The drug concentration significantly influences cell viability, but the day of measurement does not. This suggests </w:t>
      </w:r>
      <w:r w:rsidR="003A4C24">
        <w:rPr>
          <w:rFonts w:ascii="Times New Roman" w:hAnsi="Times New Roman" w:cs="Times New Roman"/>
          <w:sz w:val="28"/>
          <w:szCs w:val="28"/>
        </w:rPr>
        <w:t xml:space="preserve">that the experiment is reproducible over time and that </w:t>
      </w:r>
      <w:r w:rsidR="00084898" w:rsidRPr="00EB371D">
        <w:rPr>
          <w:rFonts w:ascii="Times New Roman" w:hAnsi="Times New Roman" w:cs="Times New Roman"/>
          <w:sz w:val="28"/>
          <w:szCs w:val="28"/>
        </w:rPr>
        <w:t>concentration is the key factor driving changes in survival rates.</w:t>
      </w:r>
      <w:r w:rsidR="00642495" w:rsidRPr="00EB371D">
        <w:rPr>
          <w:rFonts w:ascii="Times New Roman" w:hAnsi="Times New Roman" w:cs="Times New Roman"/>
          <w:sz w:val="28"/>
          <w:szCs w:val="28"/>
        </w:rPr>
        <w:t xml:space="preserve"> </w:t>
      </w:r>
      <w:r w:rsidRPr="00EB371D">
        <w:rPr>
          <w:rFonts w:ascii="Times New Roman" w:hAnsi="Times New Roman" w:cs="Times New Roman"/>
          <w:sz w:val="28"/>
          <w:szCs w:val="28"/>
        </w:rPr>
        <w:t xml:space="preserve">The results are </w:t>
      </w:r>
      <w:r w:rsidR="004C7727" w:rsidRPr="00EB371D">
        <w:rPr>
          <w:rFonts w:ascii="Times New Roman" w:hAnsi="Times New Roman" w:cs="Times New Roman"/>
          <w:sz w:val="28"/>
          <w:szCs w:val="28"/>
        </w:rPr>
        <w:t xml:space="preserve">presented in Table </w:t>
      </w:r>
      <w:r w:rsidR="00F454BA" w:rsidRPr="00EB371D">
        <w:rPr>
          <w:rFonts w:ascii="Times New Roman" w:hAnsi="Times New Roman" w:cs="Times New Roman"/>
          <w:sz w:val="28"/>
          <w:szCs w:val="28"/>
        </w:rPr>
        <w:t>10</w:t>
      </w:r>
      <w:r w:rsidR="004C7727" w:rsidRPr="00EB371D">
        <w:rPr>
          <w:rFonts w:ascii="Times New Roman" w:hAnsi="Times New Roman" w:cs="Times New Roman"/>
          <w:sz w:val="28"/>
          <w:szCs w:val="28"/>
        </w:rPr>
        <w:t xml:space="preserve">, and Vero </w:t>
      </w:r>
      <w:r w:rsidR="004C7727" w:rsidRPr="00EB371D">
        <w:rPr>
          <w:rFonts w:ascii="Times New Roman" w:hAnsi="Times New Roman" w:cs="Times New Roman"/>
          <w:sz w:val="28"/>
          <w:szCs w:val="28"/>
        </w:rPr>
        <w:lastRenderedPageBreak/>
        <w:t>cell viability is illustrated in Figure 3</w:t>
      </w:r>
      <w:r w:rsidR="00884ED2" w:rsidRPr="00EB371D">
        <w:rPr>
          <w:rFonts w:ascii="Times New Roman" w:hAnsi="Times New Roman" w:cs="Times New Roman"/>
          <w:sz w:val="28"/>
          <w:szCs w:val="28"/>
        </w:rPr>
        <w:t>5</w:t>
      </w:r>
      <w:r w:rsidR="004C7727" w:rsidRPr="00EB371D">
        <w:rPr>
          <w:rFonts w:ascii="Times New Roman" w:hAnsi="Times New Roman" w:cs="Times New Roman"/>
          <w:sz w:val="28"/>
          <w:szCs w:val="28"/>
        </w:rPr>
        <w:t>. The cell viability values were reliable on days 4 and 5; however,</w:t>
      </w:r>
      <w:r w:rsidR="00007CE4" w:rsidRPr="00EB371D">
        <w:rPr>
          <w:rFonts w:ascii="Times New Roman" w:hAnsi="Times New Roman" w:cs="Times New Roman"/>
          <w:sz w:val="28"/>
          <w:szCs w:val="28"/>
        </w:rPr>
        <w:t xml:space="preserve"> the Margin of error was too high.</w:t>
      </w:r>
      <w:r w:rsidR="00007CE4" w:rsidRPr="006531C9">
        <w:rPr>
          <w:rFonts w:ascii="Times New Roman" w:hAnsi="Times New Roman" w:cs="Times New Roman"/>
          <w:sz w:val="24"/>
          <w:szCs w:val="24"/>
        </w:rPr>
        <w:t xml:space="preserve"> </w:t>
      </w:r>
    </w:p>
    <w:p w14:paraId="760A9019" w14:textId="77777777" w:rsidR="00561427" w:rsidRPr="006531C9" w:rsidRDefault="00561427" w:rsidP="000B4B42">
      <w:pPr>
        <w:spacing w:after="0" w:line="360" w:lineRule="auto"/>
        <w:ind w:firstLineChars="709" w:firstLine="1702"/>
        <w:jc w:val="both"/>
        <w:rPr>
          <w:rFonts w:ascii="Times New Roman" w:hAnsi="Times New Roman" w:cs="Times New Roman"/>
          <w:sz w:val="24"/>
          <w:szCs w:val="24"/>
        </w:rPr>
      </w:pPr>
    </w:p>
    <w:p w14:paraId="279E0ED7" w14:textId="77777777" w:rsidR="00226539" w:rsidRPr="006531C9" w:rsidRDefault="00853685" w:rsidP="009A0769">
      <w:pPr>
        <w:spacing w:after="0" w:line="360" w:lineRule="auto"/>
        <w:jc w:val="center"/>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1A5886D0" wp14:editId="7485D87A">
            <wp:extent cx="5376905" cy="4808669"/>
            <wp:effectExtent l="0" t="0" r="0" b="0"/>
            <wp:docPr id="425885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8558" name="Рисунок 1"/>
                    <pic:cNvPicPr>
                      <a:picLocks noChangeAspect="1"/>
                    </pic:cNvPicPr>
                  </pic:nvPicPr>
                  <pic:blipFill>
                    <a:blip r:embed="rId84"/>
                    <a:srcRect l="23410" t="11211" r="23382" b="4187"/>
                    <a:stretch>
                      <a:fillRect/>
                    </a:stretch>
                  </pic:blipFill>
                  <pic:spPr>
                    <a:xfrm>
                      <a:off x="0" y="0"/>
                      <a:ext cx="5419841" cy="4847068"/>
                    </a:xfrm>
                    <a:prstGeom prst="rect">
                      <a:avLst/>
                    </a:prstGeom>
                    <a:ln>
                      <a:noFill/>
                    </a:ln>
                  </pic:spPr>
                </pic:pic>
              </a:graphicData>
            </a:graphic>
          </wp:inline>
        </w:drawing>
      </w:r>
    </w:p>
    <w:p w14:paraId="451CFDDD" w14:textId="77777777" w:rsidR="007477C8" w:rsidRPr="006531C9" w:rsidRDefault="007477C8" w:rsidP="000B4B42">
      <w:pPr>
        <w:spacing w:after="0" w:line="360" w:lineRule="auto"/>
        <w:ind w:firstLineChars="709" w:firstLine="1702"/>
        <w:jc w:val="both"/>
        <w:rPr>
          <w:rFonts w:ascii="Times New Roman" w:hAnsi="Times New Roman" w:cs="Times New Roman"/>
          <w:sz w:val="24"/>
          <w:szCs w:val="24"/>
        </w:rPr>
      </w:pPr>
    </w:p>
    <w:p w14:paraId="3D778354" w14:textId="77777777" w:rsidR="00FC053B" w:rsidRDefault="00853685" w:rsidP="00EB371D">
      <w:pPr>
        <w:spacing w:after="0" w:line="240" w:lineRule="auto"/>
        <w:jc w:val="center"/>
        <w:rPr>
          <w:rFonts w:ascii="Times New Roman" w:hAnsi="Times New Roman" w:cs="Times New Roman"/>
          <w:sz w:val="28"/>
          <w:szCs w:val="28"/>
        </w:rPr>
      </w:pPr>
      <w:r w:rsidRPr="00EB371D">
        <w:rPr>
          <w:rFonts w:ascii="Times New Roman" w:hAnsi="Times New Roman" w:cs="Times New Roman"/>
          <w:sz w:val="28"/>
          <w:szCs w:val="28"/>
        </w:rPr>
        <w:t>Figure 3</w:t>
      </w:r>
      <w:r w:rsidR="00884ED2" w:rsidRPr="00EB371D">
        <w:rPr>
          <w:rFonts w:ascii="Times New Roman" w:hAnsi="Times New Roman" w:cs="Times New Roman"/>
          <w:sz w:val="28"/>
          <w:szCs w:val="28"/>
        </w:rPr>
        <w:t>5</w:t>
      </w:r>
      <w:r w:rsidRPr="00EB371D">
        <w:rPr>
          <w:rFonts w:ascii="Times New Roman" w:hAnsi="Times New Roman" w:cs="Times New Roman"/>
          <w:sz w:val="28"/>
          <w:szCs w:val="28"/>
        </w:rPr>
        <w:t xml:space="preserve"> – </w:t>
      </w:r>
      <w:r w:rsidR="00AF3AA2" w:rsidRPr="00EB371D">
        <w:rPr>
          <w:rFonts w:ascii="Times New Roman" w:hAnsi="Times New Roman" w:cs="Times New Roman"/>
          <w:sz w:val="28"/>
          <w:szCs w:val="28"/>
        </w:rPr>
        <w:t>The</w:t>
      </w:r>
      <w:r w:rsidR="00462D2D" w:rsidRPr="00EB371D">
        <w:rPr>
          <w:rFonts w:ascii="Times New Roman" w:hAnsi="Times New Roman" w:cs="Times New Roman"/>
          <w:sz w:val="28"/>
          <w:szCs w:val="28"/>
        </w:rPr>
        <w:t xml:space="preserve"> TAF</w:t>
      </w:r>
      <w:r w:rsidR="00AF3AA2" w:rsidRPr="00EB371D">
        <w:rPr>
          <w:rFonts w:ascii="Times New Roman" w:hAnsi="Times New Roman" w:cs="Times New Roman"/>
          <w:sz w:val="28"/>
          <w:szCs w:val="28"/>
        </w:rPr>
        <w:t xml:space="preserve"> visual evaluation. </w:t>
      </w:r>
      <w:r w:rsidRPr="00EB371D">
        <w:rPr>
          <w:rFonts w:ascii="Times New Roman" w:hAnsi="Times New Roman" w:cs="Times New Roman"/>
          <w:sz w:val="28"/>
          <w:szCs w:val="28"/>
        </w:rPr>
        <w:t xml:space="preserve">The Vero cell passage antiviral screening </w:t>
      </w:r>
      <w:r w:rsidR="00AF3AA2" w:rsidRPr="00EB371D">
        <w:rPr>
          <w:rFonts w:ascii="Times New Roman" w:hAnsi="Times New Roman" w:cs="Times New Roman"/>
          <w:sz w:val="28"/>
          <w:szCs w:val="28"/>
        </w:rPr>
        <w:t xml:space="preserve">was performed </w:t>
      </w:r>
      <w:r w:rsidRPr="00EB371D">
        <w:rPr>
          <w:rFonts w:ascii="Times New Roman" w:hAnsi="Times New Roman" w:cs="Times New Roman"/>
          <w:sz w:val="28"/>
          <w:szCs w:val="28"/>
        </w:rPr>
        <w:t xml:space="preserve">on day </w:t>
      </w:r>
      <w:r w:rsidR="004C2A64" w:rsidRPr="00EB371D">
        <w:rPr>
          <w:rFonts w:ascii="Times New Roman" w:hAnsi="Times New Roman" w:cs="Times New Roman"/>
          <w:sz w:val="28"/>
          <w:szCs w:val="28"/>
        </w:rPr>
        <w:t>4</w:t>
      </w:r>
      <w:r w:rsidRPr="00EB371D">
        <w:rPr>
          <w:rFonts w:ascii="Times New Roman" w:hAnsi="Times New Roman" w:cs="Times New Roman"/>
          <w:sz w:val="28"/>
          <w:szCs w:val="28"/>
        </w:rPr>
        <w:t xml:space="preserve"> post-infection </w:t>
      </w:r>
      <w:r w:rsidR="00AF3AA2" w:rsidRPr="00EB371D">
        <w:rPr>
          <w:rFonts w:ascii="Times New Roman" w:hAnsi="Times New Roman" w:cs="Times New Roman"/>
          <w:sz w:val="28"/>
          <w:szCs w:val="28"/>
        </w:rPr>
        <w:t>at</w:t>
      </w:r>
      <w:r w:rsidRPr="00EB371D">
        <w:rPr>
          <w:rFonts w:ascii="Times New Roman" w:hAnsi="Times New Roman" w:cs="Times New Roman"/>
          <w:sz w:val="28"/>
          <w:szCs w:val="28"/>
        </w:rPr>
        <w:t xml:space="preserve"> different passage levels. a — </w:t>
      </w:r>
      <w:r w:rsidR="00AF3AA2" w:rsidRPr="00EB371D">
        <w:rPr>
          <w:rFonts w:ascii="Times New Roman" w:hAnsi="Times New Roman" w:cs="Times New Roman"/>
          <w:sz w:val="28"/>
          <w:szCs w:val="28"/>
        </w:rPr>
        <w:t>1</w:t>
      </w:r>
      <w:r w:rsidR="00AF3AA2" w:rsidRPr="00EB371D">
        <w:rPr>
          <w:rFonts w:ascii="Times New Roman" w:hAnsi="Times New Roman" w:cs="Times New Roman"/>
          <w:sz w:val="28"/>
          <w:szCs w:val="28"/>
          <w:vertAlign w:val="superscript"/>
        </w:rPr>
        <w:t>st</w:t>
      </w:r>
      <w:r w:rsidR="00AF3AA2" w:rsidRPr="00EB371D">
        <w:rPr>
          <w:rFonts w:ascii="Times New Roman" w:hAnsi="Times New Roman" w:cs="Times New Roman"/>
          <w:sz w:val="28"/>
          <w:szCs w:val="28"/>
        </w:rPr>
        <w:t xml:space="preserve"> passage 24h</w:t>
      </w:r>
      <w:r w:rsidRPr="00EB371D">
        <w:rPr>
          <w:rFonts w:ascii="Times New Roman" w:hAnsi="Times New Roman" w:cs="Times New Roman"/>
          <w:sz w:val="28"/>
          <w:szCs w:val="28"/>
        </w:rPr>
        <w:t xml:space="preserve">; b — </w:t>
      </w:r>
      <w:r w:rsidR="00AF3AA2" w:rsidRPr="00EB371D">
        <w:rPr>
          <w:rFonts w:ascii="Times New Roman" w:hAnsi="Times New Roman" w:cs="Times New Roman"/>
          <w:sz w:val="28"/>
          <w:szCs w:val="28"/>
        </w:rPr>
        <w:t>2</w:t>
      </w:r>
      <w:r w:rsidR="00AF3AA2" w:rsidRPr="00EB371D">
        <w:rPr>
          <w:rFonts w:ascii="Times New Roman" w:hAnsi="Times New Roman" w:cs="Times New Roman"/>
          <w:sz w:val="28"/>
          <w:szCs w:val="28"/>
          <w:vertAlign w:val="superscript"/>
        </w:rPr>
        <w:t>nd</w:t>
      </w:r>
      <w:r w:rsidR="00AF3AA2" w:rsidRPr="00EB371D">
        <w:rPr>
          <w:rFonts w:ascii="Times New Roman" w:hAnsi="Times New Roman" w:cs="Times New Roman"/>
          <w:sz w:val="28"/>
          <w:szCs w:val="28"/>
        </w:rPr>
        <w:t xml:space="preserve"> passage 48h</w:t>
      </w:r>
      <w:r w:rsidRPr="00EB371D">
        <w:rPr>
          <w:rFonts w:ascii="Times New Roman" w:hAnsi="Times New Roman" w:cs="Times New Roman"/>
          <w:sz w:val="28"/>
          <w:szCs w:val="28"/>
        </w:rPr>
        <w:t xml:space="preserve">; c — </w:t>
      </w:r>
      <w:r w:rsidR="00AF3AA2" w:rsidRPr="00EB371D">
        <w:rPr>
          <w:rFonts w:ascii="Times New Roman" w:hAnsi="Times New Roman" w:cs="Times New Roman"/>
          <w:sz w:val="28"/>
          <w:szCs w:val="28"/>
        </w:rPr>
        <w:t>3</w:t>
      </w:r>
      <w:r w:rsidR="00AF3AA2" w:rsidRPr="00EB371D">
        <w:rPr>
          <w:rFonts w:ascii="Times New Roman" w:hAnsi="Times New Roman" w:cs="Times New Roman"/>
          <w:sz w:val="28"/>
          <w:szCs w:val="28"/>
          <w:vertAlign w:val="superscript"/>
        </w:rPr>
        <w:t>r</w:t>
      </w:r>
      <w:r w:rsidRPr="00EB371D">
        <w:rPr>
          <w:rFonts w:ascii="Times New Roman" w:hAnsi="Times New Roman" w:cs="Times New Roman"/>
          <w:sz w:val="28"/>
          <w:szCs w:val="28"/>
          <w:vertAlign w:val="superscript"/>
        </w:rPr>
        <w:t>d</w:t>
      </w:r>
      <w:r w:rsidRPr="00EB371D">
        <w:rPr>
          <w:rFonts w:ascii="Times New Roman" w:hAnsi="Times New Roman" w:cs="Times New Roman"/>
          <w:sz w:val="28"/>
          <w:szCs w:val="28"/>
        </w:rPr>
        <w:t xml:space="preserve"> passage</w:t>
      </w:r>
      <w:r w:rsidR="00AF3AA2" w:rsidRPr="00EB371D">
        <w:rPr>
          <w:rFonts w:ascii="Times New Roman" w:hAnsi="Times New Roman" w:cs="Times New Roman"/>
          <w:sz w:val="28"/>
          <w:szCs w:val="28"/>
        </w:rPr>
        <w:t xml:space="preserve"> 72h</w:t>
      </w:r>
      <w:r w:rsidRPr="00EB371D">
        <w:rPr>
          <w:rFonts w:ascii="Times New Roman" w:hAnsi="Times New Roman" w:cs="Times New Roman"/>
          <w:sz w:val="28"/>
          <w:szCs w:val="28"/>
        </w:rPr>
        <w:t xml:space="preserve">; d — </w:t>
      </w:r>
      <w:r w:rsidR="00AF3AA2" w:rsidRPr="00EB371D">
        <w:rPr>
          <w:rFonts w:ascii="Times New Roman" w:hAnsi="Times New Roman" w:cs="Times New Roman"/>
          <w:sz w:val="28"/>
          <w:szCs w:val="28"/>
        </w:rPr>
        <w:t>4</w:t>
      </w:r>
      <w:r w:rsidR="00AF3AA2" w:rsidRPr="00EB371D">
        <w:rPr>
          <w:rFonts w:ascii="Times New Roman" w:hAnsi="Times New Roman" w:cs="Times New Roman"/>
          <w:sz w:val="28"/>
          <w:szCs w:val="28"/>
          <w:vertAlign w:val="superscript"/>
        </w:rPr>
        <w:t>th</w:t>
      </w:r>
      <w:r w:rsidRPr="00EB371D">
        <w:rPr>
          <w:rFonts w:ascii="Times New Roman" w:hAnsi="Times New Roman" w:cs="Times New Roman"/>
          <w:sz w:val="28"/>
          <w:szCs w:val="28"/>
        </w:rPr>
        <w:t xml:space="preserve"> passage</w:t>
      </w:r>
      <w:r w:rsidR="00AF3AA2" w:rsidRPr="00EB371D">
        <w:rPr>
          <w:rFonts w:ascii="Times New Roman" w:hAnsi="Times New Roman" w:cs="Times New Roman"/>
          <w:sz w:val="28"/>
          <w:szCs w:val="28"/>
        </w:rPr>
        <w:t xml:space="preserve"> 96h</w:t>
      </w:r>
    </w:p>
    <w:p w14:paraId="5A7DC23E" w14:textId="77777777" w:rsidR="00FC053B" w:rsidRDefault="00FC053B" w:rsidP="00EB371D">
      <w:pPr>
        <w:spacing w:after="0" w:line="240" w:lineRule="auto"/>
        <w:jc w:val="center"/>
        <w:rPr>
          <w:rFonts w:ascii="Times New Roman" w:hAnsi="Times New Roman" w:cs="Times New Roman"/>
          <w:sz w:val="28"/>
          <w:szCs w:val="28"/>
        </w:rPr>
      </w:pPr>
    </w:p>
    <w:p w14:paraId="18CFEC72" w14:textId="52B40102" w:rsidR="009A0769" w:rsidRPr="00EB371D" w:rsidRDefault="00853685" w:rsidP="001A3921">
      <w:pPr>
        <w:spacing w:after="0" w:line="240" w:lineRule="auto"/>
        <w:ind w:firstLine="708"/>
        <w:jc w:val="both"/>
        <w:rPr>
          <w:rFonts w:ascii="Times New Roman" w:hAnsi="Times New Roman" w:cs="Times New Roman"/>
          <w:sz w:val="28"/>
          <w:szCs w:val="28"/>
        </w:rPr>
      </w:pPr>
      <w:r w:rsidRPr="00EB371D">
        <w:rPr>
          <w:rFonts w:ascii="Times New Roman" w:hAnsi="Times New Roman" w:cs="Times New Roman"/>
          <w:sz w:val="28"/>
          <w:szCs w:val="28"/>
        </w:rPr>
        <w:t xml:space="preserve"> </w:t>
      </w:r>
      <w:r w:rsidR="00FC053B">
        <w:rPr>
          <w:rFonts w:ascii="Times New Roman" w:hAnsi="Times New Roman" w:cs="Times New Roman"/>
          <w:sz w:val="28"/>
          <w:szCs w:val="28"/>
        </w:rPr>
        <w:t>A</w:t>
      </w:r>
      <w:r w:rsidRPr="00EB371D">
        <w:rPr>
          <w:rFonts w:ascii="Times New Roman" w:hAnsi="Times New Roman" w:cs="Times New Roman"/>
          <w:sz w:val="28"/>
          <w:szCs w:val="28"/>
        </w:rPr>
        <w:t>t the drug concentration</w:t>
      </w:r>
      <w:r w:rsidR="00AF3AA2" w:rsidRPr="00EB371D">
        <w:rPr>
          <w:rFonts w:ascii="Times New Roman" w:hAnsi="Times New Roman" w:cs="Times New Roman"/>
          <w:sz w:val="28"/>
          <w:szCs w:val="28"/>
        </w:rPr>
        <w:t>s</w:t>
      </w:r>
      <w:r w:rsidRPr="00EB371D">
        <w:rPr>
          <w:rFonts w:ascii="Times New Roman" w:hAnsi="Times New Roman" w:cs="Times New Roman"/>
          <w:sz w:val="28"/>
          <w:szCs w:val="28"/>
        </w:rPr>
        <w:t xml:space="preserve"> 50ug/ml</w:t>
      </w:r>
      <w:r w:rsidR="00AF3AA2" w:rsidRPr="00EB371D">
        <w:rPr>
          <w:rFonts w:ascii="Times New Roman" w:hAnsi="Times New Roman" w:cs="Times New Roman"/>
          <w:sz w:val="28"/>
          <w:szCs w:val="28"/>
        </w:rPr>
        <w:t xml:space="preserve"> of TAF</w:t>
      </w:r>
      <w:r w:rsidRPr="00EB371D">
        <w:rPr>
          <w:rFonts w:ascii="Times New Roman" w:hAnsi="Times New Roman" w:cs="Times New Roman"/>
          <w:sz w:val="28"/>
          <w:szCs w:val="28"/>
        </w:rPr>
        <w:t xml:space="preserve"> and viral load of MOI 2. </w:t>
      </w:r>
      <w:r w:rsidR="008D0933" w:rsidRPr="00EB371D">
        <w:rPr>
          <w:rFonts w:ascii="Times New Roman" w:hAnsi="Times New Roman" w:cs="Times New Roman"/>
          <w:sz w:val="28"/>
          <w:szCs w:val="28"/>
        </w:rPr>
        <w:t xml:space="preserve">The MTT kit was used to assess cell viability in a </w:t>
      </w:r>
      <w:r w:rsidR="004D4A87" w:rsidRPr="00EB371D">
        <w:rPr>
          <w:rFonts w:ascii="Times New Roman" w:hAnsi="Times New Roman" w:cs="Times New Roman"/>
          <w:sz w:val="28"/>
          <w:szCs w:val="28"/>
        </w:rPr>
        <w:t>4</w:t>
      </w:r>
      <w:r w:rsidR="008D0933" w:rsidRPr="00EB371D">
        <w:rPr>
          <w:rFonts w:ascii="Times New Roman" w:hAnsi="Times New Roman" w:cs="Times New Roman"/>
          <w:sz w:val="28"/>
          <w:szCs w:val="28"/>
        </w:rPr>
        <w:t>-day experiment conducted in the BSL</w:t>
      </w:r>
      <w:r w:rsidR="00AF3AA2" w:rsidRPr="00EB371D">
        <w:rPr>
          <w:rFonts w:ascii="Times New Roman" w:hAnsi="Times New Roman" w:cs="Times New Roman"/>
          <w:sz w:val="28"/>
          <w:szCs w:val="28"/>
        </w:rPr>
        <w:t>3</w:t>
      </w:r>
      <w:r w:rsidR="008D0933" w:rsidRPr="00EB371D">
        <w:rPr>
          <w:rFonts w:ascii="Times New Roman" w:hAnsi="Times New Roman" w:cs="Times New Roman"/>
          <w:sz w:val="28"/>
          <w:szCs w:val="28"/>
        </w:rPr>
        <w:t xml:space="preserve"> lab</w:t>
      </w:r>
      <w:r w:rsidRPr="00EB371D">
        <w:rPr>
          <w:rFonts w:ascii="Times New Roman" w:hAnsi="Times New Roman" w:cs="Times New Roman"/>
          <w:sz w:val="28"/>
          <w:szCs w:val="28"/>
        </w:rPr>
        <w:t xml:space="preserve">. The longer </w:t>
      </w:r>
      <w:r w:rsidR="00EB5CBC" w:rsidRPr="00EB371D">
        <w:rPr>
          <w:rFonts w:ascii="Times New Roman" w:hAnsi="Times New Roman" w:cs="Times New Roman"/>
          <w:sz w:val="28"/>
          <w:szCs w:val="28"/>
        </w:rPr>
        <w:t>the passages lasted, the fewer surviving</w:t>
      </w:r>
      <w:r w:rsidRPr="00EB371D">
        <w:rPr>
          <w:rFonts w:ascii="Times New Roman" w:hAnsi="Times New Roman" w:cs="Times New Roman"/>
          <w:sz w:val="28"/>
          <w:szCs w:val="28"/>
        </w:rPr>
        <w:t xml:space="preserve"> cells could be detected. MTT absorbance measurements at 590 and 690 nm are commonly used in cell viability assays to assess metabolic activity</w:t>
      </w:r>
      <w:r w:rsidR="004B542C">
        <w:rPr>
          <w:rFonts w:ascii="Times New Roman" w:hAnsi="Times New Roman" w:cs="Times New Roman"/>
          <w:sz w:val="28"/>
          <w:szCs w:val="28"/>
        </w:rPr>
        <w:t>.</w:t>
      </w:r>
    </w:p>
    <w:p w14:paraId="172FE235" w14:textId="4614C819" w:rsidR="00F57FEE" w:rsidRPr="00EB371D" w:rsidRDefault="00F57FEE" w:rsidP="00EB371D">
      <w:pPr>
        <w:spacing w:after="0" w:line="240" w:lineRule="auto"/>
        <w:ind w:firstLine="708"/>
        <w:jc w:val="both"/>
        <w:rPr>
          <w:rFonts w:ascii="Times New Roman" w:hAnsi="Times New Roman" w:cs="Times New Roman"/>
          <w:sz w:val="28"/>
          <w:szCs w:val="28"/>
        </w:rPr>
      </w:pPr>
      <w:r w:rsidRPr="00EB371D">
        <w:rPr>
          <w:rFonts w:ascii="Times New Roman" w:hAnsi="Times New Roman" w:cs="Times New Roman"/>
          <w:sz w:val="28"/>
          <w:szCs w:val="28"/>
        </w:rPr>
        <w:t xml:space="preserve">The MTT staining intensity decreases progressively from (a) to (d), corresponding to the time-dependent reduction in cell viability. This visual pattern supports quantitative spectrophotometric results, confirming a correlation between prolonged exposure and cytotoxic response. </w:t>
      </w:r>
      <w:r w:rsidR="009A0769" w:rsidRPr="00EB371D">
        <w:rPr>
          <w:rFonts w:ascii="Times New Roman" w:hAnsi="Times New Roman" w:cs="Times New Roman"/>
          <w:sz w:val="28"/>
          <w:szCs w:val="28"/>
        </w:rPr>
        <w:t xml:space="preserve"> </w:t>
      </w:r>
      <w:r w:rsidRPr="00EB371D">
        <w:rPr>
          <w:rFonts w:ascii="Times New Roman" w:hAnsi="Times New Roman" w:cs="Times New Roman"/>
          <w:sz w:val="28"/>
          <w:szCs w:val="28"/>
        </w:rPr>
        <w:t xml:space="preserve">The images collectively demonstrate that the tested compound induces a gradual but significant decline in metabolic activity, reaching maximal cytotoxicity at 96 hours. Such morphological evidence reinforces </w:t>
      </w:r>
      <w:r w:rsidRPr="00EB371D">
        <w:rPr>
          <w:rFonts w:ascii="Times New Roman" w:hAnsi="Times New Roman" w:cs="Times New Roman"/>
          <w:sz w:val="28"/>
          <w:szCs w:val="28"/>
        </w:rPr>
        <w:lastRenderedPageBreak/>
        <w:t>the interpretation of MTT assay outcomes and underscores the importance of temporal monitoring in evaluating compound-induced cytotoxicity</w:t>
      </w:r>
      <w:r w:rsidR="007C6AD6" w:rsidRPr="00EB371D">
        <w:rPr>
          <w:rFonts w:ascii="Times New Roman" w:hAnsi="Times New Roman" w:cs="Times New Roman"/>
          <w:sz w:val="28"/>
          <w:szCs w:val="28"/>
        </w:rPr>
        <w:t>, as shown in Figure 3</w:t>
      </w:r>
      <w:r w:rsidR="00884ED2" w:rsidRPr="00EB371D">
        <w:rPr>
          <w:rFonts w:ascii="Times New Roman" w:hAnsi="Times New Roman" w:cs="Times New Roman"/>
          <w:sz w:val="28"/>
          <w:szCs w:val="28"/>
        </w:rPr>
        <w:t>6</w:t>
      </w:r>
      <w:r w:rsidRPr="00EB371D">
        <w:rPr>
          <w:rFonts w:ascii="Times New Roman" w:hAnsi="Times New Roman" w:cs="Times New Roman"/>
          <w:sz w:val="28"/>
          <w:szCs w:val="28"/>
        </w:rPr>
        <w:t>.</w:t>
      </w:r>
    </w:p>
    <w:p w14:paraId="0CB9D00A" w14:textId="77777777" w:rsidR="00EB371D" w:rsidRPr="006531C9" w:rsidRDefault="00EB371D" w:rsidP="009A0769">
      <w:pPr>
        <w:spacing w:after="0" w:line="360" w:lineRule="auto"/>
        <w:ind w:firstLine="708"/>
        <w:jc w:val="both"/>
        <w:rPr>
          <w:rFonts w:ascii="Times New Roman" w:hAnsi="Times New Roman" w:cs="Times New Roman"/>
          <w:sz w:val="24"/>
          <w:szCs w:val="24"/>
        </w:rPr>
      </w:pPr>
    </w:p>
    <w:p w14:paraId="7DA6016C" w14:textId="192E2E6C" w:rsidR="00E92262" w:rsidRPr="006531C9" w:rsidRDefault="00644ACA" w:rsidP="00E92CAE">
      <w:pPr>
        <w:spacing w:after="0" w:line="360" w:lineRule="auto"/>
        <w:jc w:val="center"/>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1BB7A992" wp14:editId="58332242">
            <wp:extent cx="3507475" cy="2081283"/>
            <wp:effectExtent l="0" t="0" r="17145" b="14605"/>
            <wp:docPr id="807580724" name="Диаграмма 1">
              <a:extLst xmlns:a="http://schemas.openxmlformats.org/drawingml/2006/main">
                <a:ext uri="{FF2B5EF4-FFF2-40B4-BE49-F238E27FC236}">
                  <a16:creationId xmlns:a16="http://schemas.microsoft.com/office/drawing/2014/main" id="{D14A3344-1950-C876-1FEE-A92A32356D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2805A9C5" w14:textId="77777777" w:rsidR="00E92262" w:rsidRPr="006531C9" w:rsidRDefault="00E92262" w:rsidP="000B4B42">
      <w:pPr>
        <w:spacing w:after="0" w:line="360" w:lineRule="auto"/>
        <w:ind w:firstLineChars="709" w:firstLine="1702"/>
        <w:jc w:val="both"/>
        <w:rPr>
          <w:rFonts w:ascii="Times New Roman" w:hAnsi="Times New Roman" w:cs="Times New Roman"/>
          <w:sz w:val="24"/>
          <w:szCs w:val="24"/>
        </w:rPr>
      </w:pPr>
    </w:p>
    <w:p w14:paraId="0F9E6B5D" w14:textId="2D4655AF" w:rsidR="002F13B0" w:rsidRPr="006531C9" w:rsidRDefault="003E3CED" w:rsidP="00E92CAE">
      <w:pPr>
        <w:spacing w:after="0" w:line="360" w:lineRule="auto"/>
        <w:jc w:val="both"/>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7E51DB75" wp14:editId="2DCF793A">
            <wp:extent cx="2715895" cy="2101054"/>
            <wp:effectExtent l="0" t="0" r="8255" b="13970"/>
            <wp:docPr id="705344832" name="Диаграмма 1">
              <a:extLst xmlns:a="http://schemas.openxmlformats.org/drawingml/2006/main">
                <a:ext uri="{FF2B5EF4-FFF2-40B4-BE49-F238E27FC236}">
                  <a16:creationId xmlns:a16="http://schemas.microsoft.com/office/drawing/2014/main" id="{340094A5-CFCD-FA15-6C12-0D1C853858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r w:rsidR="00274236" w:rsidRPr="006531C9">
        <w:rPr>
          <w:rFonts w:ascii="Times New Roman" w:hAnsi="Times New Roman" w:cs="Times New Roman"/>
          <w:noProof/>
          <w:sz w:val="24"/>
          <w:szCs w:val="24"/>
        </w:rPr>
        <w:drawing>
          <wp:inline distT="0" distB="0" distL="0" distR="0" wp14:anchorId="09EC2A2A" wp14:editId="3698AF02">
            <wp:extent cx="2756535" cy="2124075"/>
            <wp:effectExtent l="0" t="0" r="5715" b="9525"/>
            <wp:docPr id="1303471449" name="Диаграмма 1">
              <a:extLst xmlns:a="http://schemas.openxmlformats.org/drawingml/2006/main">
                <a:ext uri="{FF2B5EF4-FFF2-40B4-BE49-F238E27FC236}">
                  <a16:creationId xmlns:a16="http://schemas.microsoft.com/office/drawing/2014/main" id="{8B4EECF2-1850-69C0-D2AC-3DB2B2A742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6045DDA" w14:textId="0C39DA54" w:rsidR="00E92262" w:rsidRPr="006531C9" w:rsidRDefault="0086223D" w:rsidP="00E92CAE">
      <w:pPr>
        <w:spacing w:after="0" w:line="360" w:lineRule="auto"/>
        <w:jc w:val="center"/>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04068F11" wp14:editId="1FDB5BC4">
            <wp:extent cx="4362450" cy="1781175"/>
            <wp:effectExtent l="0" t="0" r="0" b="9525"/>
            <wp:docPr id="311464496" name="Диаграмма 1">
              <a:extLst xmlns:a="http://schemas.openxmlformats.org/drawingml/2006/main">
                <a:ext uri="{FF2B5EF4-FFF2-40B4-BE49-F238E27FC236}">
                  <a16:creationId xmlns:a16="http://schemas.microsoft.com/office/drawing/2014/main" id="{A63A8D6D-91CB-EAE2-42AE-27557CA8F9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7A486A51" w14:textId="77777777" w:rsidR="002468F1" w:rsidRPr="006531C9" w:rsidRDefault="002468F1" w:rsidP="000B4B42">
      <w:pPr>
        <w:spacing w:after="0" w:line="360" w:lineRule="auto"/>
        <w:ind w:firstLineChars="709" w:firstLine="1702"/>
        <w:jc w:val="both"/>
        <w:rPr>
          <w:rFonts w:ascii="Times New Roman" w:hAnsi="Times New Roman" w:cs="Times New Roman"/>
          <w:sz w:val="24"/>
          <w:szCs w:val="24"/>
        </w:rPr>
      </w:pPr>
    </w:p>
    <w:p w14:paraId="5C1FAEBC" w14:textId="1A7EB73F" w:rsidR="009A0769" w:rsidRDefault="0029397E" w:rsidP="00EB371D">
      <w:pPr>
        <w:spacing w:after="0" w:line="240" w:lineRule="auto"/>
        <w:jc w:val="center"/>
        <w:rPr>
          <w:rFonts w:ascii="Times New Roman" w:hAnsi="Times New Roman" w:cs="Times New Roman"/>
          <w:sz w:val="28"/>
          <w:szCs w:val="28"/>
        </w:rPr>
      </w:pPr>
      <w:r w:rsidRPr="00EB371D">
        <w:rPr>
          <w:rFonts w:ascii="Times New Roman" w:hAnsi="Times New Roman" w:cs="Times New Roman"/>
          <w:sz w:val="28"/>
          <w:szCs w:val="28"/>
        </w:rPr>
        <w:t>Figure 3</w:t>
      </w:r>
      <w:r w:rsidR="00884ED2" w:rsidRPr="00EB371D">
        <w:rPr>
          <w:rFonts w:ascii="Times New Roman" w:hAnsi="Times New Roman" w:cs="Times New Roman"/>
          <w:sz w:val="28"/>
          <w:szCs w:val="28"/>
        </w:rPr>
        <w:t>6</w:t>
      </w:r>
      <w:r w:rsidRPr="00EB371D">
        <w:rPr>
          <w:rFonts w:ascii="Times New Roman" w:hAnsi="Times New Roman" w:cs="Times New Roman"/>
          <w:sz w:val="28"/>
          <w:szCs w:val="28"/>
        </w:rPr>
        <w:t xml:space="preserve"> – The OD-values of 4 concentrations of one Tenofovir (TAF) at 50, 25, 12.5 and 6.25 ±0.25 µg/ml in a 96-well reader at 570 nm</w:t>
      </w:r>
    </w:p>
    <w:p w14:paraId="0927B8ED" w14:textId="77777777" w:rsidR="00BD2B22" w:rsidRPr="00EB371D" w:rsidRDefault="00BD2B22" w:rsidP="00EB371D">
      <w:pPr>
        <w:spacing w:after="0" w:line="240" w:lineRule="auto"/>
        <w:jc w:val="center"/>
        <w:rPr>
          <w:rFonts w:ascii="Times New Roman" w:hAnsi="Times New Roman" w:cs="Times New Roman"/>
          <w:sz w:val="28"/>
          <w:szCs w:val="28"/>
        </w:rPr>
      </w:pPr>
    </w:p>
    <w:p w14:paraId="44249346" w14:textId="3E910AF1" w:rsidR="0029397E" w:rsidRPr="00EB371D" w:rsidRDefault="0029397E" w:rsidP="00EB371D">
      <w:pPr>
        <w:spacing w:after="0" w:line="240" w:lineRule="auto"/>
        <w:ind w:firstLine="709"/>
        <w:jc w:val="both"/>
        <w:rPr>
          <w:rFonts w:ascii="Times New Roman" w:hAnsi="Times New Roman" w:cs="Times New Roman"/>
          <w:b/>
          <w:bCs/>
          <w:sz w:val="28"/>
          <w:szCs w:val="28"/>
        </w:rPr>
      </w:pPr>
      <w:r w:rsidRPr="00EB371D">
        <w:rPr>
          <w:rFonts w:ascii="Times New Roman" w:hAnsi="Times New Roman" w:cs="Times New Roman"/>
          <w:sz w:val="28"/>
          <w:szCs w:val="28"/>
        </w:rPr>
        <w:t xml:space="preserve"> A. Day one: 1.2, 1.1, 1.1, 1.1, and 1.1±0.1. The Control OD of healthy cells was 1.2, indicating that the CC-value (cell viability) exceeded 50% in all medicines using MTT on VeroE6 cells. The incubation time was 24 hours, n = 5. B. Day two: 1.2, </w:t>
      </w:r>
      <w:r w:rsidR="0086223D" w:rsidRPr="00EB371D">
        <w:rPr>
          <w:rFonts w:ascii="Times New Roman" w:hAnsi="Times New Roman" w:cs="Times New Roman"/>
          <w:sz w:val="28"/>
          <w:szCs w:val="28"/>
        </w:rPr>
        <w:t>1.0</w:t>
      </w:r>
      <w:r w:rsidRPr="00EB371D">
        <w:rPr>
          <w:rFonts w:ascii="Times New Roman" w:hAnsi="Times New Roman" w:cs="Times New Roman"/>
          <w:sz w:val="28"/>
          <w:szCs w:val="28"/>
        </w:rPr>
        <w:t xml:space="preserve">, </w:t>
      </w:r>
      <w:r w:rsidR="00DB5D2B" w:rsidRPr="00EB371D">
        <w:rPr>
          <w:rFonts w:ascii="Times New Roman" w:hAnsi="Times New Roman" w:cs="Times New Roman"/>
          <w:sz w:val="28"/>
          <w:szCs w:val="28"/>
        </w:rPr>
        <w:t>0.</w:t>
      </w:r>
      <w:r w:rsidR="0086223D" w:rsidRPr="00EB371D">
        <w:rPr>
          <w:rFonts w:ascii="Times New Roman" w:hAnsi="Times New Roman" w:cs="Times New Roman"/>
          <w:sz w:val="28"/>
          <w:szCs w:val="28"/>
        </w:rPr>
        <w:t>9</w:t>
      </w:r>
      <w:r w:rsidR="00DB5D2B" w:rsidRPr="00EB371D">
        <w:rPr>
          <w:rFonts w:ascii="Times New Roman" w:hAnsi="Times New Roman" w:cs="Times New Roman"/>
          <w:sz w:val="28"/>
          <w:szCs w:val="28"/>
        </w:rPr>
        <w:t>, 0</w:t>
      </w:r>
      <w:r w:rsidR="0086223D" w:rsidRPr="00EB371D">
        <w:rPr>
          <w:rFonts w:ascii="Times New Roman" w:hAnsi="Times New Roman" w:cs="Times New Roman"/>
          <w:sz w:val="28"/>
          <w:szCs w:val="28"/>
        </w:rPr>
        <w:t>8</w:t>
      </w:r>
      <w:r w:rsidRPr="00EB371D">
        <w:rPr>
          <w:rFonts w:ascii="Times New Roman" w:hAnsi="Times New Roman" w:cs="Times New Roman"/>
          <w:sz w:val="28"/>
          <w:szCs w:val="28"/>
        </w:rPr>
        <w:t xml:space="preserve">, and </w:t>
      </w:r>
      <w:r w:rsidR="00DB5D2B" w:rsidRPr="00EB371D">
        <w:rPr>
          <w:rFonts w:ascii="Times New Roman" w:hAnsi="Times New Roman" w:cs="Times New Roman"/>
          <w:sz w:val="28"/>
          <w:szCs w:val="28"/>
        </w:rPr>
        <w:t>0.</w:t>
      </w:r>
      <w:r w:rsidR="0086223D" w:rsidRPr="00EB371D">
        <w:rPr>
          <w:rFonts w:ascii="Times New Roman" w:hAnsi="Times New Roman" w:cs="Times New Roman"/>
          <w:sz w:val="28"/>
          <w:szCs w:val="28"/>
        </w:rPr>
        <w:t>7</w:t>
      </w:r>
      <w:r w:rsidRPr="00EB371D">
        <w:rPr>
          <w:rFonts w:ascii="Times New Roman" w:hAnsi="Times New Roman" w:cs="Times New Roman"/>
          <w:sz w:val="28"/>
          <w:szCs w:val="28"/>
        </w:rPr>
        <w:t xml:space="preserve">±0.1. The Control OD of healthy cells was 1.2, indicating that the CC-value (cell viability) exceeded 50% in all medicines using MTT on VeroE6 cells. The </w:t>
      </w:r>
      <w:r w:rsidRPr="00EB371D">
        <w:rPr>
          <w:rFonts w:ascii="Times New Roman" w:hAnsi="Times New Roman" w:cs="Times New Roman"/>
          <w:sz w:val="28"/>
          <w:szCs w:val="28"/>
        </w:rPr>
        <w:lastRenderedPageBreak/>
        <w:t xml:space="preserve">incubation time was 48 hours, n = 5. </w:t>
      </w:r>
      <w:r w:rsidR="002468F1" w:rsidRPr="00EB371D">
        <w:rPr>
          <w:rFonts w:ascii="Times New Roman" w:hAnsi="Times New Roman" w:cs="Times New Roman"/>
          <w:sz w:val="28"/>
          <w:szCs w:val="28"/>
        </w:rPr>
        <w:t xml:space="preserve">C. </w:t>
      </w:r>
      <w:r w:rsidR="0086223D" w:rsidRPr="00EB371D">
        <w:rPr>
          <w:rFonts w:ascii="Times New Roman" w:hAnsi="Times New Roman" w:cs="Times New Roman"/>
          <w:sz w:val="28"/>
          <w:szCs w:val="28"/>
        </w:rPr>
        <w:t xml:space="preserve">Day three: 1.2, 0.9, 0.8, 07, and 0.6±0.1. The Control OD of healthy cells was 1.2, indicating that the CC-value (cell viability) exceeded 50% in all medicines using MTT on VeroE6 cells. The incubation time was 72 hours, n = 5. </w:t>
      </w:r>
      <w:r w:rsidR="002468F1" w:rsidRPr="00EB371D">
        <w:rPr>
          <w:rFonts w:ascii="Times New Roman" w:hAnsi="Times New Roman" w:cs="Times New Roman"/>
          <w:sz w:val="28"/>
          <w:szCs w:val="28"/>
        </w:rPr>
        <w:t xml:space="preserve">D. Day four: 1.2, 0.8, 0.7, 06, and 0.5±0.1. The Control OD of healthy cells was 1.2, indicating that the CC-value (cell viability) exceeded 50% in all medicines using MTT on VeroE6 cells. The incubation time was 96 hours, n = 5. </w:t>
      </w:r>
      <w:r w:rsidR="00642495" w:rsidRPr="00EB371D">
        <w:rPr>
          <w:rFonts w:ascii="Times New Roman" w:hAnsi="Times New Roman" w:cs="Times New Roman"/>
          <w:sz w:val="28"/>
          <w:szCs w:val="28"/>
        </w:rPr>
        <w:t>P-value &lt; 0.0001; the data were analysed using</w:t>
      </w:r>
      <w:r w:rsidR="00160522" w:rsidRPr="00EB371D">
        <w:rPr>
          <w:rFonts w:ascii="Times New Roman" w:hAnsi="Times New Roman" w:cs="Times New Roman"/>
          <w:sz w:val="28"/>
          <w:szCs w:val="28"/>
        </w:rPr>
        <w:t xml:space="preserve"> an ANOVA test</w:t>
      </w:r>
      <w:r w:rsidR="00B9506E" w:rsidRPr="00EB371D">
        <w:rPr>
          <w:rFonts w:ascii="Times New Roman" w:hAnsi="Times New Roman" w:cs="Times New Roman"/>
          <w:sz w:val="28"/>
          <w:szCs w:val="28"/>
        </w:rPr>
        <w:t xml:space="preserve"> [126</w:t>
      </w:r>
      <w:r w:rsidR="00DE4801" w:rsidRPr="00EB371D">
        <w:rPr>
          <w:rFonts w:ascii="Times New Roman" w:hAnsi="Times New Roman" w:cs="Times New Roman"/>
          <w:sz w:val="28"/>
          <w:szCs w:val="28"/>
        </w:rPr>
        <w:t>]</w:t>
      </w:r>
      <w:r w:rsidR="00160522" w:rsidRPr="00EB371D">
        <w:rPr>
          <w:rFonts w:ascii="Times New Roman" w:hAnsi="Times New Roman" w:cs="Times New Roman"/>
          <w:sz w:val="28"/>
          <w:szCs w:val="28"/>
        </w:rPr>
        <w:t xml:space="preserve">. </w:t>
      </w:r>
    </w:p>
    <w:p w14:paraId="20A25FD7" w14:textId="73F8811B" w:rsidR="006B6BD1" w:rsidRDefault="004C2A64" w:rsidP="001D09BD">
      <w:pPr>
        <w:spacing w:after="0" w:line="240" w:lineRule="auto"/>
        <w:ind w:firstLine="709"/>
        <w:jc w:val="both"/>
        <w:rPr>
          <w:rFonts w:ascii="Times New Roman" w:hAnsi="Times New Roman" w:cs="Times New Roman"/>
          <w:iCs/>
          <w:sz w:val="28"/>
          <w:szCs w:val="28"/>
        </w:rPr>
      </w:pPr>
      <w:r w:rsidRPr="00EB371D">
        <w:rPr>
          <w:rFonts w:ascii="Times New Roman" w:hAnsi="Times New Roman" w:cs="Times New Roman"/>
          <w:sz w:val="28"/>
          <w:szCs w:val="28"/>
        </w:rPr>
        <w:t xml:space="preserve">ANOVA confirms significant time and concentration effects, but the claim of &gt;50% viability is invalid at 96h. TAF cytotoxicity is time-dependent and measurable </w:t>
      </w:r>
      <w:r w:rsidR="001A3921">
        <w:rPr>
          <w:rFonts w:ascii="Times New Roman" w:hAnsi="Times New Roman" w:cs="Times New Roman"/>
          <w:sz w:val="28"/>
          <w:szCs w:val="28"/>
        </w:rPr>
        <w:t>as early as</w:t>
      </w:r>
      <w:r w:rsidRPr="00EB371D">
        <w:rPr>
          <w:rFonts w:ascii="Times New Roman" w:hAnsi="Times New Roman" w:cs="Times New Roman"/>
          <w:sz w:val="28"/>
          <w:szCs w:val="28"/>
        </w:rPr>
        <w:t xml:space="preserve"> 48h.</w:t>
      </w:r>
      <w:r w:rsidR="00EB371D">
        <w:rPr>
          <w:rFonts w:ascii="Times New Roman" w:hAnsi="Times New Roman" w:cs="Times New Roman"/>
          <w:sz w:val="28"/>
          <w:szCs w:val="28"/>
        </w:rPr>
        <w:t xml:space="preserve"> </w:t>
      </w:r>
      <w:r w:rsidR="009A0769" w:rsidRPr="00EB371D">
        <w:rPr>
          <w:rFonts w:ascii="Times New Roman" w:hAnsi="Times New Roman" w:cs="Times New Roman"/>
          <w:iCs/>
          <w:sz w:val="28"/>
          <w:szCs w:val="28"/>
        </w:rPr>
        <w:t xml:space="preserve">The data </w:t>
      </w:r>
      <w:r w:rsidR="00FC053B">
        <w:rPr>
          <w:rFonts w:ascii="Times New Roman" w:hAnsi="Times New Roman" w:cs="Times New Roman"/>
          <w:iCs/>
          <w:sz w:val="28"/>
          <w:szCs w:val="28"/>
        </w:rPr>
        <w:t>differ significantly from</w:t>
      </w:r>
      <w:r w:rsidR="009A0769" w:rsidRPr="00EB371D">
        <w:rPr>
          <w:rFonts w:ascii="Times New Roman" w:hAnsi="Times New Roman" w:cs="Times New Roman"/>
          <w:iCs/>
          <w:sz w:val="28"/>
          <w:szCs w:val="28"/>
        </w:rPr>
        <w:t xml:space="preserve"> the control (p ≤ 0.05). The Wilcoxon test for related samples was used. The “Table 8” presents viral titer data (log₁₀ scale) for four drug candidates across three cell passages, with CoV2-test results indicating antiviral activity against SARS-CoV-2. Standard deviations (±) reflect measurement variability.</w:t>
      </w:r>
    </w:p>
    <w:p w14:paraId="0A963E2E" w14:textId="77777777" w:rsidR="001A3921" w:rsidRPr="00EB371D" w:rsidRDefault="001A3921" w:rsidP="001D09BD">
      <w:pPr>
        <w:spacing w:after="0" w:line="240" w:lineRule="auto"/>
        <w:ind w:firstLine="709"/>
        <w:jc w:val="both"/>
        <w:rPr>
          <w:rFonts w:ascii="Times New Roman" w:hAnsi="Times New Roman" w:cs="Times New Roman"/>
          <w:sz w:val="28"/>
          <w:szCs w:val="28"/>
        </w:rPr>
      </w:pPr>
    </w:p>
    <w:p w14:paraId="3AA74D24" w14:textId="3E54E0EF" w:rsidR="00226539" w:rsidRDefault="00853685" w:rsidP="001D09BD">
      <w:pPr>
        <w:spacing w:after="0" w:line="240" w:lineRule="auto"/>
        <w:ind w:firstLine="708"/>
        <w:jc w:val="both"/>
        <w:rPr>
          <w:rFonts w:ascii="Times New Roman" w:hAnsi="Times New Roman" w:cs="Times New Roman"/>
          <w:iCs/>
          <w:sz w:val="28"/>
          <w:szCs w:val="28"/>
        </w:rPr>
      </w:pPr>
      <w:r w:rsidRPr="00EB371D">
        <w:rPr>
          <w:rFonts w:ascii="Times New Roman" w:hAnsi="Times New Roman" w:cs="Times New Roman"/>
          <w:sz w:val="28"/>
          <w:szCs w:val="28"/>
        </w:rPr>
        <w:t xml:space="preserve">Table </w:t>
      </w:r>
      <w:r w:rsidR="009A0769" w:rsidRPr="00EB371D">
        <w:rPr>
          <w:rFonts w:ascii="Times New Roman" w:hAnsi="Times New Roman" w:cs="Times New Roman"/>
          <w:sz w:val="28"/>
          <w:szCs w:val="28"/>
        </w:rPr>
        <w:t>8</w:t>
      </w:r>
      <w:r w:rsidR="00642495" w:rsidRPr="00EB371D">
        <w:rPr>
          <w:rFonts w:ascii="Times New Roman" w:hAnsi="Times New Roman" w:cs="Times New Roman"/>
          <w:sz w:val="28"/>
          <w:szCs w:val="28"/>
        </w:rPr>
        <w:t xml:space="preserve">– </w:t>
      </w:r>
      <w:r w:rsidRPr="00EB371D">
        <w:rPr>
          <w:rFonts w:ascii="Times New Roman" w:hAnsi="Times New Roman" w:cs="Times New Roman"/>
          <w:sz w:val="28"/>
          <w:szCs w:val="28"/>
        </w:rPr>
        <w:t xml:space="preserve">Virus accumulation </w:t>
      </w:r>
      <w:r w:rsidR="008D0933" w:rsidRPr="00EB371D">
        <w:rPr>
          <w:rFonts w:ascii="Times New Roman" w:hAnsi="Times New Roman" w:cs="Times New Roman"/>
          <w:sz w:val="28"/>
          <w:szCs w:val="28"/>
        </w:rPr>
        <w:t>(log) and plaque-forming units (PFU/</w:t>
      </w:r>
      <w:r w:rsidR="00EC7518" w:rsidRPr="00EB371D">
        <w:rPr>
          <w:rFonts w:ascii="Times New Roman" w:hAnsi="Times New Roman" w:cs="Times New Roman"/>
          <w:sz w:val="28"/>
          <w:szCs w:val="28"/>
        </w:rPr>
        <w:t>mL)</w:t>
      </w:r>
      <w:r w:rsidR="00B5077C">
        <w:rPr>
          <w:rFonts w:ascii="Times New Roman" w:hAnsi="Times New Roman" w:cs="Times New Roman"/>
          <w:sz w:val="28"/>
          <w:szCs w:val="28"/>
        </w:rPr>
        <w:t xml:space="preserve">. </w:t>
      </w:r>
      <w:r w:rsidR="00B5077C" w:rsidRPr="00B5077C">
        <w:rPr>
          <w:rFonts w:ascii="Times New Roman" w:hAnsi="Times New Roman" w:cs="Times New Roman"/>
          <w:iCs/>
          <w:sz w:val="28"/>
          <w:szCs w:val="28"/>
        </w:rPr>
        <w:t xml:space="preserve">The CCK8 results of assessing the antiviral activity of drugs against the SARS-CoV-2 virus, variant (Alpha) B, in Vero cell culture </w:t>
      </w:r>
    </w:p>
    <w:p w14:paraId="6CC987CF" w14:textId="77777777" w:rsidR="00B5077C" w:rsidRPr="00B5077C" w:rsidRDefault="00B5077C" w:rsidP="00B5077C">
      <w:pPr>
        <w:spacing w:after="0" w:line="240" w:lineRule="auto"/>
        <w:ind w:firstLine="708"/>
        <w:jc w:val="both"/>
        <w:rPr>
          <w:rFonts w:ascii="Times New Roman" w:hAnsi="Times New Roman" w:cs="Times New Roman"/>
          <w:iCs/>
          <w:sz w:val="28"/>
          <w:szCs w:val="28"/>
        </w:rPr>
      </w:pPr>
    </w:p>
    <w:tbl>
      <w:tblPr>
        <w:tblStyle w:val="af0"/>
        <w:tblW w:w="0" w:type="auto"/>
        <w:jc w:val="center"/>
        <w:tblLook w:val="04A0" w:firstRow="1" w:lastRow="0" w:firstColumn="1" w:lastColumn="0" w:noHBand="0" w:noVBand="1"/>
      </w:tblPr>
      <w:tblGrid>
        <w:gridCol w:w="1749"/>
        <w:gridCol w:w="2107"/>
        <w:gridCol w:w="2107"/>
        <w:gridCol w:w="2107"/>
      </w:tblGrid>
      <w:tr w:rsidR="00AC75DE" w:rsidRPr="00AC75DE" w14:paraId="24232AEC" w14:textId="77777777" w:rsidTr="00AC75DE">
        <w:trPr>
          <w:trHeight w:val="252"/>
          <w:jc w:val="center"/>
        </w:trPr>
        <w:tc>
          <w:tcPr>
            <w:tcW w:w="1395" w:type="dxa"/>
          </w:tcPr>
          <w:p w14:paraId="3F47306D" w14:textId="77777777" w:rsidR="00AC75DE" w:rsidRPr="00AC75DE" w:rsidRDefault="00AC75DE" w:rsidP="000105D4">
            <w:pPr>
              <w:spacing w:after="0" w:line="240" w:lineRule="auto"/>
              <w:jc w:val="both"/>
              <w:rPr>
                <w:rFonts w:ascii="Times New Roman" w:hAnsi="Times New Roman" w:cs="Times New Roman"/>
                <w:sz w:val="24"/>
                <w:szCs w:val="24"/>
              </w:rPr>
            </w:pPr>
            <w:r w:rsidRPr="00AC75DE">
              <w:rPr>
                <w:rFonts w:ascii="Times New Roman" w:hAnsi="Times New Roman" w:cs="Times New Roman"/>
                <w:sz w:val="24"/>
                <w:szCs w:val="24"/>
              </w:rPr>
              <w:t>Drug sample</w:t>
            </w:r>
          </w:p>
        </w:tc>
        <w:tc>
          <w:tcPr>
            <w:tcW w:w="2107" w:type="dxa"/>
          </w:tcPr>
          <w:p w14:paraId="291990FA" w14:textId="77777777" w:rsidR="00AC75DE" w:rsidRPr="00AC75DE" w:rsidRDefault="00AC75DE" w:rsidP="000105D4">
            <w:pPr>
              <w:spacing w:after="0" w:line="240" w:lineRule="auto"/>
              <w:jc w:val="both"/>
              <w:rPr>
                <w:rFonts w:ascii="Times New Roman" w:hAnsi="Times New Roman" w:cs="Times New Roman"/>
                <w:sz w:val="24"/>
                <w:szCs w:val="24"/>
              </w:rPr>
            </w:pPr>
            <w:r w:rsidRPr="00AC75DE">
              <w:rPr>
                <w:rFonts w:ascii="Times New Roman" w:hAnsi="Times New Roman" w:cs="Times New Roman"/>
                <w:sz w:val="24"/>
                <w:szCs w:val="24"/>
              </w:rPr>
              <w:t>Passage 1</w:t>
            </w:r>
          </w:p>
        </w:tc>
        <w:tc>
          <w:tcPr>
            <w:tcW w:w="2107" w:type="dxa"/>
          </w:tcPr>
          <w:p w14:paraId="54DB9651" w14:textId="77777777" w:rsidR="00AC75DE" w:rsidRPr="00AC75DE" w:rsidRDefault="00AC75DE" w:rsidP="000105D4">
            <w:pPr>
              <w:spacing w:after="0" w:line="240" w:lineRule="auto"/>
              <w:jc w:val="both"/>
              <w:rPr>
                <w:rFonts w:ascii="Times New Roman" w:hAnsi="Times New Roman" w:cs="Times New Roman"/>
                <w:sz w:val="24"/>
                <w:szCs w:val="24"/>
              </w:rPr>
            </w:pPr>
            <w:r w:rsidRPr="00AC75DE">
              <w:rPr>
                <w:rFonts w:ascii="Times New Roman" w:hAnsi="Times New Roman" w:cs="Times New Roman"/>
                <w:sz w:val="24"/>
                <w:szCs w:val="24"/>
              </w:rPr>
              <w:t xml:space="preserve">Passage 2 </w:t>
            </w:r>
          </w:p>
        </w:tc>
        <w:tc>
          <w:tcPr>
            <w:tcW w:w="2107" w:type="dxa"/>
          </w:tcPr>
          <w:p w14:paraId="072296EB" w14:textId="77777777" w:rsidR="00AC75DE" w:rsidRPr="00AC75DE" w:rsidRDefault="00AC75DE" w:rsidP="000105D4">
            <w:pPr>
              <w:spacing w:after="0" w:line="240" w:lineRule="auto"/>
              <w:jc w:val="both"/>
              <w:rPr>
                <w:rFonts w:ascii="Times New Roman" w:hAnsi="Times New Roman" w:cs="Times New Roman"/>
                <w:sz w:val="24"/>
                <w:szCs w:val="24"/>
              </w:rPr>
            </w:pPr>
            <w:r w:rsidRPr="00AC75DE">
              <w:rPr>
                <w:rFonts w:ascii="Times New Roman" w:hAnsi="Times New Roman" w:cs="Times New Roman"/>
                <w:sz w:val="24"/>
                <w:szCs w:val="24"/>
              </w:rPr>
              <w:t xml:space="preserve">Passage 3 </w:t>
            </w:r>
          </w:p>
        </w:tc>
      </w:tr>
      <w:tr w:rsidR="00AC75DE" w:rsidRPr="00AC75DE" w14:paraId="3746E597" w14:textId="77777777" w:rsidTr="00AC75DE">
        <w:trPr>
          <w:trHeight w:val="243"/>
          <w:jc w:val="center"/>
        </w:trPr>
        <w:tc>
          <w:tcPr>
            <w:tcW w:w="1395" w:type="dxa"/>
          </w:tcPr>
          <w:p w14:paraId="74325EBF" w14:textId="77777777" w:rsidR="00AC75DE" w:rsidRPr="00AC75DE" w:rsidRDefault="00AC75DE" w:rsidP="000105D4">
            <w:pPr>
              <w:spacing w:after="0" w:line="240" w:lineRule="auto"/>
              <w:jc w:val="both"/>
              <w:rPr>
                <w:rFonts w:ascii="Times New Roman" w:hAnsi="Times New Roman" w:cs="Times New Roman"/>
                <w:sz w:val="24"/>
                <w:szCs w:val="24"/>
              </w:rPr>
            </w:pPr>
            <w:r w:rsidRPr="00AC75DE">
              <w:rPr>
                <w:rFonts w:ascii="Times New Roman" w:hAnsi="Times New Roman" w:cs="Times New Roman"/>
                <w:sz w:val="24"/>
                <w:szCs w:val="24"/>
              </w:rPr>
              <w:t>Dexamethasone (5wells-1control)</w:t>
            </w:r>
          </w:p>
        </w:tc>
        <w:tc>
          <w:tcPr>
            <w:tcW w:w="2107" w:type="dxa"/>
          </w:tcPr>
          <w:p w14:paraId="4B69BC5F" w14:textId="77777777" w:rsidR="00AC75DE" w:rsidRPr="00AC75DE" w:rsidRDefault="00AC75DE" w:rsidP="000105D4">
            <w:pPr>
              <w:spacing w:after="0" w:line="240" w:lineRule="auto"/>
              <w:jc w:val="both"/>
              <w:rPr>
                <w:rFonts w:ascii="Times New Roman" w:hAnsi="Times New Roman" w:cs="Times New Roman"/>
                <w:sz w:val="24"/>
                <w:szCs w:val="24"/>
              </w:rPr>
            </w:pPr>
            <w:r w:rsidRPr="00AC75DE">
              <w:rPr>
                <w:rFonts w:ascii="Times New Roman" w:hAnsi="Times New Roman" w:cs="Times New Roman"/>
                <w:iCs/>
                <w:color w:val="00000A"/>
                <w:sz w:val="24"/>
                <w:szCs w:val="24"/>
              </w:rPr>
              <w:t>7,20±0,04</w:t>
            </w:r>
          </w:p>
        </w:tc>
        <w:tc>
          <w:tcPr>
            <w:tcW w:w="2107" w:type="dxa"/>
          </w:tcPr>
          <w:p w14:paraId="326C736F" w14:textId="77777777" w:rsidR="00AC75DE" w:rsidRPr="00AC75DE" w:rsidRDefault="00AC75DE" w:rsidP="000105D4">
            <w:pPr>
              <w:spacing w:after="0" w:line="240" w:lineRule="auto"/>
              <w:jc w:val="both"/>
              <w:rPr>
                <w:rFonts w:ascii="Times New Roman" w:hAnsi="Times New Roman" w:cs="Times New Roman"/>
                <w:sz w:val="24"/>
                <w:szCs w:val="24"/>
              </w:rPr>
            </w:pPr>
            <w:r w:rsidRPr="00AC75DE">
              <w:rPr>
                <w:rFonts w:ascii="Times New Roman" w:hAnsi="Times New Roman" w:cs="Times New Roman"/>
                <w:iCs/>
                <w:color w:val="00000A"/>
                <w:sz w:val="24"/>
                <w:szCs w:val="24"/>
              </w:rPr>
              <w:t>7,18±0,04</w:t>
            </w:r>
          </w:p>
        </w:tc>
        <w:tc>
          <w:tcPr>
            <w:tcW w:w="2107" w:type="dxa"/>
          </w:tcPr>
          <w:p w14:paraId="05954AE2" w14:textId="77777777" w:rsidR="00AC75DE" w:rsidRPr="00AC75DE" w:rsidRDefault="00AC75DE" w:rsidP="000105D4">
            <w:pPr>
              <w:spacing w:after="0" w:line="240" w:lineRule="auto"/>
              <w:jc w:val="both"/>
              <w:rPr>
                <w:rFonts w:ascii="Times New Roman" w:hAnsi="Times New Roman" w:cs="Times New Roman"/>
                <w:sz w:val="24"/>
                <w:szCs w:val="24"/>
              </w:rPr>
            </w:pPr>
            <w:r w:rsidRPr="00AC75DE">
              <w:rPr>
                <w:rFonts w:ascii="Times New Roman" w:hAnsi="Times New Roman" w:cs="Times New Roman"/>
                <w:iCs/>
                <w:color w:val="00000A"/>
                <w:sz w:val="24"/>
                <w:szCs w:val="24"/>
              </w:rPr>
              <w:t>7,23±0,04</w:t>
            </w:r>
          </w:p>
        </w:tc>
      </w:tr>
      <w:tr w:rsidR="00AC75DE" w:rsidRPr="00AC75DE" w14:paraId="1E8FE704" w14:textId="77777777" w:rsidTr="00AC75DE">
        <w:trPr>
          <w:trHeight w:val="252"/>
          <w:jc w:val="center"/>
        </w:trPr>
        <w:tc>
          <w:tcPr>
            <w:tcW w:w="1395" w:type="dxa"/>
          </w:tcPr>
          <w:p w14:paraId="35E2A04E" w14:textId="77777777" w:rsidR="00AC75DE" w:rsidRPr="00AC75DE" w:rsidRDefault="00AC75DE" w:rsidP="000105D4">
            <w:pPr>
              <w:spacing w:after="0" w:line="240" w:lineRule="auto"/>
              <w:jc w:val="both"/>
              <w:rPr>
                <w:rFonts w:ascii="Times New Roman" w:hAnsi="Times New Roman" w:cs="Times New Roman"/>
                <w:sz w:val="24"/>
                <w:szCs w:val="24"/>
              </w:rPr>
            </w:pPr>
            <w:r w:rsidRPr="00AC75DE">
              <w:rPr>
                <w:rFonts w:ascii="Times New Roman" w:hAnsi="Times New Roman" w:cs="Times New Roman"/>
                <w:sz w:val="24"/>
                <w:szCs w:val="24"/>
              </w:rPr>
              <w:t>Ribavirin 50ug/l (5wells-1control)</w:t>
            </w:r>
          </w:p>
        </w:tc>
        <w:tc>
          <w:tcPr>
            <w:tcW w:w="2107" w:type="dxa"/>
          </w:tcPr>
          <w:p w14:paraId="522CB0FE" w14:textId="77777777" w:rsidR="00AC75DE" w:rsidRPr="00AC75DE" w:rsidRDefault="00AC75DE" w:rsidP="000105D4">
            <w:pPr>
              <w:spacing w:after="0" w:line="240" w:lineRule="auto"/>
              <w:jc w:val="both"/>
              <w:rPr>
                <w:rFonts w:ascii="Times New Roman" w:hAnsi="Times New Roman" w:cs="Times New Roman"/>
                <w:sz w:val="24"/>
                <w:szCs w:val="24"/>
              </w:rPr>
            </w:pPr>
            <w:r w:rsidRPr="00AC75DE">
              <w:rPr>
                <w:rFonts w:ascii="Times New Roman" w:hAnsi="Times New Roman" w:cs="Times New Roman"/>
                <w:color w:val="00000A"/>
                <w:sz w:val="24"/>
                <w:szCs w:val="24"/>
              </w:rPr>
              <w:t>6,30±0,15</w:t>
            </w:r>
          </w:p>
        </w:tc>
        <w:tc>
          <w:tcPr>
            <w:tcW w:w="2107" w:type="dxa"/>
          </w:tcPr>
          <w:p w14:paraId="178EE641" w14:textId="77777777" w:rsidR="00AC75DE" w:rsidRPr="00AC75DE" w:rsidRDefault="00AC75DE" w:rsidP="000105D4">
            <w:pPr>
              <w:spacing w:after="0" w:line="240" w:lineRule="auto"/>
              <w:jc w:val="both"/>
              <w:rPr>
                <w:rFonts w:ascii="Times New Roman" w:hAnsi="Times New Roman" w:cs="Times New Roman"/>
                <w:sz w:val="24"/>
                <w:szCs w:val="24"/>
              </w:rPr>
            </w:pPr>
            <w:r w:rsidRPr="00AC75DE">
              <w:rPr>
                <w:rFonts w:ascii="Times New Roman" w:hAnsi="Times New Roman" w:cs="Times New Roman"/>
                <w:color w:val="00000A"/>
                <w:sz w:val="24"/>
                <w:szCs w:val="24"/>
              </w:rPr>
              <w:t>6,42±0,15</w:t>
            </w:r>
          </w:p>
        </w:tc>
        <w:tc>
          <w:tcPr>
            <w:tcW w:w="2107" w:type="dxa"/>
          </w:tcPr>
          <w:p w14:paraId="60240741" w14:textId="77777777" w:rsidR="00AC75DE" w:rsidRPr="00AC75DE" w:rsidRDefault="00AC75DE" w:rsidP="000105D4">
            <w:pPr>
              <w:spacing w:after="0" w:line="240" w:lineRule="auto"/>
              <w:jc w:val="both"/>
              <w:rPr>
                <w:rFonts w:ascii="Times New Roman" w:hAnsi="Times New Roman" w:cs="Times New Roman"/>
                <w:sz w:val="24"/>
                <w:szCs w:val="24"/>
              </w:rPr>
            </w:pPr>
            <w:r w:rsidRPr="00AC75DE">
              <w:rPr>
                <w:rFonts w:ascii="Times New Roman" w:hAnsi="Times New Roman" w:cs="Times New Roman"/>
                <w:color w:val="00000A"/>
                <w:sz w:val="24"/>
                <w:szCs w:val="24"/>
              </w:rPr>
              <w:t>6,38±0,15</w:t>
            </w:r>
          </w:p>
        </w:tc>
      </w:tr>
      <w:tr w:rsidR="00AC75DE" w:rsidRPr="00AC75DE" w14:paraId="1EE8EA27" w14:textId="77777777" w:rsidTr="00AC75DE">
        <w:trPr>
          <w:trHeight w:val="243"/>
          <w:jc w:val="center"/>
        </w:trPr>
        <w:tc>
          <w:tcPr>
            <w:tcW w:w="1395" w:type="dxa"/>
          </w:tcPr>
          <w:p w14:paraId="119E5527" w14:textId="77777777" w:rsidR="00AC75DE" w:rsidRPr="00AC75DE" w:rsidRDefault="00AC75DE" w:rsidP="0042437E">
            <w:pPr>
              <w:spacing w:after="0" w:line="240" w:lineRule="auto"/>
              <w:jc w:val="both"/>
              <w:rPr>
                <w:rFonts w:ascii="Times New Roman" w:hAnsi="Times New Roman" w:cs="Times New Roman"/>
                <w:sz w:val="24"/>
                <w:szCs w:val="24"/>
              </w:rPr>
            </w:pPr>
            <w:r w:rsidRPr="00AC75DE">
              <w:rPr>
                <w:rFonts w:ascii="Times New Roman" w:hAnsi="Times New Roman" w:cs="Times New Roman"/>
                <w:sz w:val="24"/>
                <w:szCs w:val="24"/>
              </w:rPr>
              <w:t>Favipiravir/T-705 50ug/l (5wells-1control)</w:t>
            </w:r>
          </w:p>
        </w:tc>
        <w:tc>
          <w:tcPr>
            <w:tcW w:w="2107" w:type="dxa"/>
          </w:tcPr>
          <w:p w14:paraId="023584B3" w14:textId="77777777" w:rsidR="00AC75DE" w:rsidRPr="00AC75DE" w:rsidRDefault="00AC75DE" w:rsidP="0042437E">
            <w:pPr>
              <w:spacing w:after="0" w:line="240" w:lineRule="auto"/>
              <w:jc w:val="both"/>
              <w:rPr>
                <w:rFonts w:ascii="Times New Roman" w:hAnsi="Times New Roman" w:cs="Times New Roman"/>
                <w:sz w:val="24"/>
                <w:szCs w:val="24"/>
              </w:rPr>
            </w:pPr>
            <w:r w:rsidRPr="00AC75DE">
              <w:rPr>
                <w:rFonts w:ascii="Times New Roman" w:hAnsi="Times New Roman" w:cs="Times New Roman"/>
                <w:sz w:val="24"/>
                <w:szCs w:val="24"/>
              </w:rPr>
              <w:t>6,99±0,05</w:t>
            </w:r>
          </w:p>
        </w:tc>
        <w:tc>
          <w:tcPr>
            <w:tcW w:w="2107" w:type="dxa"/>
          </w:tcPr>
          <w:p w14:paraId="5A307E19" w14:textId="77777777" w:rsidR="00AC75DE" w:rsidRPr="00AC75DE" w:rsidRDefault="00AC75DE" w:rsidP="0042437E">
            <w:pPr>
              <w:spacing w:after="0" w:line="240" w:lineRule="auto"/>
              <w:jc w:val="both"/>
              <w:rPr>
                <w:rFonts w:ascii="Times New Roman" w:hAnsi="Times New Roman" w:cs="Times New Roman"/>
                <w:sz w:val="24"/>
                <w:szCs w:val="24"/>
              </w:rPr>
            </w:pPr>
            <w:r w:rsidRPr="00AC75DE">
              <w:rPr>
                <w:rFonts w:ascii="Times New Roman" w:hAnsi="Times New Roman" w:cs="Times New Roman"/>
                <w:sz w:val="24"/>
                <w:szCs w:val="24"/>
              </w:rPr>
              <w:t>6,93±0,05</w:t>
            </w:r>
          </w:p>
        </w:tc>
        <w:tc>
          <w:tcPr>
            <w:tcW w:w="2107" w:type="dxa"/>
          </w:tcPr>
          <w:p w14:paraId="11627255" w14:textId="77777777" w:rsidR="00AC75DE" w:rsidRPr="00AC75DE" w:rsidRDefault="00AC75DE" w:rsidP="0042437E">
            <w:pPr>
              <w:spacing w:after="0" w:line="240" w:lineRule="auto"/>
              <w:jc w:val="both"/>
              <w:rPr>
                <w:rFonts w:ascii="Times New Roman" w:hAnsi="Times New Roman" w:cs="Times New Roman"/>
                <w:sz w:val="24"/>
                <w:szCs w:val="24"/>
              </w:rPr>
            </w:pPr>
            <w:r w:rsidRPr="00AC75DE">
              <w:rPr>
                <w:rFonts w:ascii="Times New Roman" w:hAnsi="Times New Roman" w:cs="Times New Roman"/>
                <w:sz w:val="24"/>
                <w:szCs w:val="24"/>
              </w:rPr>
              <w:t>6,97±0,05</w:t>
            </w:r>
          </w:p>
        </w:tc>
      </w:tr>
      <w:tr w:rsidR="00AC75DE" w:rsidRPr="00AC75DE" w14:paraId="0C43AE6E" w14:textId="77777777" w:rsidTr="00AC75DE">
        <w:trPr>
          <w:trHeight w:val="506"/>
          <w:jc w:val="center"/>
        </w:trPr>
        <w:tc>
          <w:tcPr>
            <w:tcW w:w="1395" w:type="dxa"/>
          </w:tcPr>
          <w:p w14:paraId="686B9728" w14:textId="3DA35A6C" w:rsidR="00AC75DE" w:rsidRPr="00AC75DE" w:rsidRDefault="00AC75DE" w:rsidP="0042437E">
            <w:pPr>
              <w:spacing w:after="0" w:line="240" w:lineRule="auto"/>
              <w:jc w:val="both"/>
              <w:rPr>
                <w:rFonts w:ascii="Times New Roman" w:hAnsi="Times New Roman" w:cs="Times New Roman"/>
                <w:sz w:val="24"/>
                <w:szCs w:val="24"/>
              </w:rPr>
            </w:pPr>
            <w:r w:rsidRPr="00AC75DE">
              <w:rPr>
                <w:rFonts w:ascii="Times New Roman" w:hAnsi="Times New Roman" w:cs="Times New Roman"/>
                <w:sz w:val="24"/>
                <w:szCs w:val="24"/>
              </w:rPr>
              <w:t xml:space="preserve">Tenofovir (TDF) 50ug/l (5wells-1control)/ </w:t>
            </w:r>
          </w:p>
        </w:tc>
        <w:tc>
          <w:tcPr>
            <w:tcW w:w="2107" w:type="dxa"/>
          </w:tcPr>
          <w:p w14:paraId="0292D431" w14:textId="747F27F4" w:rsidR="00AC75DE" w:rsidRPr="00AC75DE" w:rsidRDefault="00AC75DE" w:rsidP="0042437E">
            <w:pPr>
              <w:spacing w:after="0" w:line="240" w:lineRule="auto"/>
              <w:jc w:val="both"/>
              <w:rPr>
                <w:rFonts w:ascii="Times New Roman" w:hAnsi="Times New Roman" w:cs="Times New Roman"/>
                <w:sz w:val="24"/>
                <w:szCs w:val="24"/>
              </w:rPr>
            </w:pPr>
            <w:r w:rsidRPr="00AC75DE">
              <w:rPr>
                <w:rFonts w:ascii="Times New Roman" w:hAnsi="Times New Roman" w:cs="Times New Roman"/>
                <w:iCs/>
                <w:color w:val="00000A"/>
                <w:sz w:val="24"/>
                <w:szCs w:val="24"/>
              </w:rPr>
              <w:t>5,03±0,15</w:t>
            </w:r>
          </w:p>
        </w:tc>
        <w:tc>
          <w:tcPr>
            <w:tcW w:w="2107" w:type="dxa"/>
          </w:tcPr>
          <w:p w14:paraId="55E31C8A" w14:textId="77777777" w:rsidR="00AC75DE" w:rsidRPr="00AC75DE" w:rsidRDefault="00AC75DE" w:rsidP="0042437E">
            <w:pPr>
              <w:spacing w:after="0" w:line="240" w:lineRule="auto"/>
              <w:jc w:val="both"/>
              <w:rPr>
                <w:rFonts w:ascii="Times New Roman" w:hAnsi="Times New Roman" w:cs="Times New Roman"/>
                <w:iCs/>
                <w:color w:val="00000A"/>
                <w:sz w:val="24"/>
                <w:szCs w:val="24"/>
              </w:rPr>
            </w:pPr>
            <w:r w:rsidRPr="00AC75DE">
              <w:rPr>
                <w:rFonts w:ascii="Times New Roman" w:hAnsi="Times New Roman" w:cs="Times New Roman"/>
                <w:iCs/>
                <w:color w:val="00000A"/>
                <w:sz w:val="24"/>
                <w:szCs w:val="24"/>
              </w:rPr>
              <w:t>5,03±0,15/</w:t>
            </w:r>
          </w:p>
          <w:p w14:paraId="04CAB195" w14:textId="4D2CA7E9" w:rsidR="00AC75DE" w:rsidRPr="00AC75DE" w:rsidRDefault="00AC75DE" w:rsidP="0042437E">
            <w:pPr>
              <w:spacing w:after="0" w:line="240" w:lineRule="auto"/>
              <w:jc w:val="both"/>
              <w:rPr>
                <w:rFonts w:ascii="Times New Roman" w:hAnsi="Times New Roman" w:cs="Times New Roman"/>
                <w:sz w:val="24"/>
                <w:szCs w:val="24"/>
              </w:rPr>
            </w:pPr>
          </w:p>
        </w:tc>
        <w:tc>
          <w:tcPr>
            <w:tcW w:w="2107" w:type="dxa"/>
          </w:tcPr>
          <w:p w14:paraId="6F0B4445" w14:textId="77777777" w:rsidR="00AC75DE" w:rsidRPr="00AC75DE" w:rsidRDefault="00AC75DE" w:rsidP="0042437E">
            <w:pPr>
              <w:spacing w:after="0" w:line="240" w:lineRule="auto"/>
              <w:jc w:val="both"/>
              <w:rPr>
                <w:rFonts w:ascii="Times New Roman" w:hAnsi="Times New Roman" w:cs="Times New Roman"/>
                <w:iCs/>
                <w:color w:val="00000A"/>
                <w:sz w:val="24"/>
                <w:szCs w:val="24"/>
              </w:rPr>
            </w:pPr>
            <w:r w:rsidRPr="00AC75DE">
              <w:rPr>
                <w:rFonts w:ascii="Times New Roman" w:hAnsi="Times New Roman" w:cs="Times New Roman"/>
                <w:iCs/>
                <w:color w:val="00000A"/>
                <w:sz w:val="24"/>
                <w:szCs w:val="24"/>
              </w:rPr>
              <w:t>5,03±0,15/</w:t>
            </w:r>
          </w:p>
          <w:p w14:paraId="1E46EC2D" w14:textId="4532819E" w:rsidR="00AC75DE" w:rsidRPr="00AC75DE" w:rsidRDefault="00AC75DE" w:rsidP="0042437E">
            <w:pPr>
              <w:spacing w:after="0" w:line="240" w:lineRule="auto"/>
              <w:rPr>
                <w:rFonts w:ascii="Times New Roman" w:hAnsi="Times New Roman" w:cs="Times New Roman"/>
                <w:sz w:val="24"/>
                <w:szCs w:val="24"/>
              </w:rPr>
            </w:pPr>
          </w:p>
        </w:tc>
      </w:tr>
    </w:tbl>
    <w:p w14:paraId="1B8757CD" w14:textId="77777777" w:rsidR="00226539" w:rsidRPr="006531C9" w:rsidRDefault="00226539" w:rsidP="000B4B42">
      <w:pPr>
        <w:spacing w:after="0" w:line="360" w:lineRule="auto"/>
        <w:ind w:firstLineChars="709" w:firstLine="1702"/>
        <w:rPr>
          <w:rFonts w:ascii="Times New Roman" w:hAnsi="Times New Roman" w:cs="Times New Roman"/>
          <w:sz w:val="24"/>
          <w:szCs w:val="24"/>
        </w:rPr>
      </w:pPr>
    </w:p>
    <w:p w14:paraId="536C0EBA" w14:textId="017CB720" w:rsidR="0042437E" w:rsidRPr="00EB371D" w:rsidRDefault="000E1A43" w:rsidP="00EB371D">
      <w:pPr>
        <w:spacing w:after="0" w:line="240" w:lineRule="auto"/>
        <w:ind w:firstLine="708"/>
        <w:jc w:val="both"/>
        <w:rPr>
          <w:rFonts w:ascii="Times New Roman" w:hAnsi="Times New Roman" w:cs="Times New Roman"/>
          <w:sz w:val="28"/>
          <w:szCs w:val="28"/>
        </w:rPr>
      </w:pPr>
      <w:r w:rsidRPr="00EB371D">
        <w:rPr>
          <w:rFonts w:ascii="Times New Roman" w:hAnsi="Times New Roman" w:cs="Times New Roman"/>
          <w:sz w:val="28"/>
          <w:szCs w:val="28"/>
        </w:rPr>
        <w:t xml:space="preserve">Dexamethasone treatment resulted in a consistently high viral titer (~7.2 log₁₀, SD = 0.04) and a positive </w:t>
      </w:r>
      <w:r w:rsidR="00121285" w:rsidRPr="00EB371D">
        <w:rPr>
          <w:rFonts w:ascii="Times New Roman" w:hAnsi="Times New Roman" w:cs="Times New Roman"/>
          <w:sz w:val="28"/>
          <w:szCs w:val="28"/>
        </w:rPr>
        <w:t>CoV-2 test</w:t>
      </w:r>
      <w:r w:rsidRPr="00EB371D">
        <w:rPr>
          <w:rFonts w:ascii="Times New Roman" w:hAnsi="Times New Roman" w:cs="Times New Roman"/>
          <w:sz w:val="28"/>
          <w:szCs w:val="28"/>
        </w:rPr>
        <w:t xml:space="preserve"> despite the elevated viral load, indicating that while it may reduce inflammation (consistent with its known clinical use in COVID-19), it exerts little to no direct antiviral effect. Ribavirin produced a moderate viral titer (~6.3–6.4 log₁₀, SD = 0.15) with greater variability and a negative </w:t>
      </w:r>
      <w:r w:rsidR="00121285" w:rsidRPr="00EB371D">
        <w:rPr>
          <w:rFonts w:ascii="Times New Roman" w:hAnsi="Times New Roman" w:cs="Times New Roman"/>
          <w:sz w:val="28"/>
          <w:szCs w:val="28"/>
        </w:rPr>
        <w:t>CoV-2 test</w:t>
      </w:r>
      <w:r w:rsidRPr="00EB371D">
        <w:rPr>
          <w:rFonts w:ascii="Times New Roman" w:hAnsi="Times New Roman" w:cs="Times New Roman"/>
          <w:sz w:val="28"/>
          <w:szCs w:val="28"/>
        </w:rPr>
        <w:t xml:space="preserve">, reflecting weak and inconsistent antiviral activity, in agreement with its limited efficacy against SARS-CoV-2. Favipiravir (T-705) showed a high viral titer (~6.95–7.0 log₁₀, SD = 0.05) and a positive </w:t>
      </w:r>
      <w:r w:rsidR="007C7692">
        <w:rPr>
          <w:rFonts w:ascii="Times New Roman" w:hAnsi="Times New Roman" w:cs="Times New Roman"/>
          <w:sz w:val="28"/>
          <w:szCs w:val="28"/>
        </w:rPr>
        <w:t>CoV2 Test, suggesting conflicting outcomes that may result from assay-specific artefacts or subthreshold antiviral activity</w:t>
      </w:r>
      <w:r w:rsidRPr="00EB371D">
        <w:rPr>
          <w:rFonts w:ascii="Times New Roman" w:hAnsi="Times New Roman" w:cs="Times New Roman"/>
          <w:sz w:val="28"/>
          <w:szCs w:val="28"/>
        </w:rPr>
        <w:t xml:space="preserve">. In contrast, tenofovir formulations demonstrated the </w:t>
      </w:r>
      <w:r w:rsidR="00121285" w:rsidRPr="00EB371D">
        <w:rPr>
          <w:rFonts w:ascii="Times New Roman" w:hAnsi="Times New Roman" w:cs="Times New Roman"/>
          <w:sz w:val="28"/>
          <w:szCs w:val="28"/>
        </w:rPr>
        <w:t>most potent</w:t>
      </w:r>
      <w:r w:rsidRPr="00EB371D">
        <w:rPr>
          <w:rFonts w:ascii="Times New Roman" w:hAnsi="Times New Roman" w:cs="Times New Roman"/>
          <w:sz w:val="28"/>
          <w:szCs w:val="28"/>
        </w:rPr>
        <w:t xml:space="preserve"> viral suppression: TDF yielded a low viral titer (5.03 log₁₀, SD = 0.15), while TAF produced an even lower titer (~4.83–</w:t>
      </w:r>
      <w:r w:rsidRPr="00EB371D">
        <w:rPr>
          <w:rFonts w:ascii="Times New Roman" w:hAnsi="Times New Roman" w:cs="Times New Roman"/>
          <w:sz w:val="28"/>
          <w:szCs w:val="28"/>
        </w:rPr>
        <w:lastRenderedPageBreak/>
        <w:t>4.89 log₁₀, SD = 0.15) with a slight upward trend; both showed negative CoV2-tests, indicating reliable and consistent antiviral inhibition despite limited clinical translation.</w:t>
      </w:r>
      <w:r w:rsidR="00121285" w:rsidRPr="00EB371D">
        <w:rPr>
          <w:rFonts w:ascii="Times New Roman" w:hAnsi="Times New Roman" w:cs="Times New Roman"/>
          <w:sz w:val="28"/>
          <w:szCs w:val="28"/>
        </w:rPr>
        <w:t xml:space="preserve"> </w:t>
      </w:r>
      <w:r w:rsidR="00C4177C" w:rsidRPr="00EB371D">
        <w:rPr>
          <w:rFonts w:ascii="Times New Roman" w:hAnsi="Times New Roman" w:cs="Times New Roman"/>
          <w:sz w:val="28"/>
          <w:szCs w:val="28"/>
        </w:rPr>
        <w:t>Vero E6 cells maintained &gt;90% viability at tenofovir concentrations up to 50 µM, as determined by MTT assays after 48-hour exposure.  </w:t>
      </w:r>
    </w:p>
    <w:p w14:paraId="618799B5" w14:textId="1ACEF0B0" w:rsidR="00226539" w:rsidRPr="00EB371D" w:rsidRDefault="00C4177C" w:rsidP="00EB371D">
      <w:pPr>
        <w:spacing w:after="0" w:line="240" w:lineRule="auto"/>
        <w:ind w:firstLine="708"/>
        <w:jc w:val="both"/>
        <w:rPr>
          <w:rFonts w:ascii="Times New Roman" w:hAnsi="Times New Roman" w:cs="Times New Roman"/>
          <w:sz w:val="28"/>
          <w:szCs w:val="28"/>
        </w:rPr>
      </w:pPr>
      <w:r w:rsidRPr="00EB371D">
        <w:rPr>
          <w:rFonts w:ascii="Times New Roman" w:hAnsi="Times New Roman" w:cs="Times New Roman"/>
          <w:sz w:val="28"/>
          <w:szCs w:val="28"/>
        </w:rPr>
        <w:t xml:space="preserve">Higher concentrations showed increased cytotoxicity, though specific viability percentages above 50 µM were not detailed in the provided studies [110]. </w:t>
      </w:r>
      <w:r w:rsidR="00853685" w:rsidRPr="00EB371D">
        <w:rPr>
          <w:rFonts w:ascii="Times New Roman" w:hAnsi="Times New Roman" w:cs="Times New Roman"/>
          <w:sz w:val="28"/>
          <w:szCs w:val="28"/>
        </w:rPr>
        <w:t xml:space="preserve">The amount of </w:t>
      </w:r>
      <w:r w:rsidR="007C7692">
        <w:rPr>
          <w:rFonts w:ascii="Times New Roman" w:hAnsi="Times New Roman" w:cs="Times New Roman"/>
          <w:sz w:val="28"/>
          <w:szCs w:val="28"/>
        </w:rPr>
        <w:t>formazan dye generated by dehydrogenase activity</w:t>
      </w:r>
      <w:r w:rsidR="00853685" w:rsidRPr="00EB371D">
        <w:rPr>
          <w:rFonts w:ascii="Times New Roman" w:hAnsi="Times New Roman" w:cs="Times New Roman"/>
          <w:sz w:val="28"/>
          <w:szCs w:val="28"/>
        </w:rPr>
        <w:t xml:space="preserve"> in cells is directly proportional to the number of living cells. Since dexamethasone demonstrated almost no </w:t>
      </w:r>
      <w:r w:rsidR="007C7692">
        <w:rPr>
          <w:rFonts w:ascii="Times New Roman" w:hAnsi="Times New Roman" w:cs="Times New Roman"/>
          <w:sz w:val="28"/>
          <w:szCs w:val="28"/>
        </w:rPr>
        <w:t>cytotoxicity</w:t>
      </w:r>
      <w:r w:rsidR="00853685" w:rsidRPr="00EB371D">
        <w:rPr>
          <w:rFonts w:ascii="Times New Roman" w:hAnsi="Times New Roman" w:cs="Times New Roman"/>
          <w:sz w:val="28"/>
          <w:szCs w:val="28"/>
        </w:rPr>
        <w:t xml:space="preserve"> in Kazakhstan, there was no need to repeat the dexamethasone antiviral screening during my PhD internship in China. Figure 3</w:t>
      </w:r>
      <w:r w:rsidRPr="00EB371D">
        <w:rPr>
          <w:rFonts w:ascii="Times New Roman" w:hAnsi="Times New Roman" w:cs="Times New Roman"/>
          <w:sz w:val="28"/>
          <w:szCs w:val="28"/>
        </w:rPr>
        <w:t>7</w:t>
      </w:r>
      <w:r w:rsidR="00853685" w:rsidRPr="00EB371D">
        <w:rPr>
          <w:rFonts w:ascii="Times New Roman" w:hAnsi="Times New Roman" w:cs="Times New Roman"/>
          <w:sz w:val="28"/>
          <w:szCs w:val="28"/>
        </w:rPr>
        <w:t xml:space="preserve"> </w:t>
      </w:r>
      <w:r w:rsidR="008D0933" w:rsidRPr="00EB371D">
        <w:rPr>
          <w:rFonts w:ascii="Times New Roman" w:hAnsi="Times New Roman" w:cs="Times New Roman"/>
          <w:sz w:val="28"/>
          <w:szCs w:val="28"/>
        </w:rPr>
        <w:t>illustrates the advantages</w:t>
      </w:r>
      <w:r w:rsidR="00853685" w:rsidRPr="00EB371D">
        <w:rPr>
          <w:rFonts w:ascii="Times New Roman" w:hAnsi="Times New Roman" w:cs="Times New Roman"/>
          <w:sz w:val="28"/>
          <w:szCs w:val="28"/>
        </w:rPr>
        <w:t xml:space="preserve"> of the CCK8 kit over the MTT technique. </w:t>
      </w:r>
    </w:p>
    <w:p w14:paraId="5453693F" w14:textId="586A79E1" w:rsidR="00F86583" w:rsidRPr="00EB371D" w:rsidRDefault="00231162" w:rsidP="000105D4">
      <w:pPr>
        <w:spacing w:after="0" w:line="240" w:lineRule="auto"/>
        <w:ind w:firstLine="708"/>
        <w:jc w:val="both"/>
        <w:rPr>
          <w:rFonts w:ascii="Times New Roman" w:hAnsi="Times New Roman" w:cs="Times New Roman"/>
          <w:sz w:val="28"/>
          <w:szCs w:val="28"/>
          <w:lang w:val="en-US"/>
        </w:rPr>
      </w:pPr>
      <w:r w:rsidRPr="00EB371D">
        <w:rPr>
          <w:rFonts w:ascii="Times New Roman" w:hAnsi="Times New Roman" w:cs="Times New Roman"/>
          <w:sz w:val="28"/>
          <w:szCs w:val="28"/>
        </w:rPr>
        <w:t xml:space="preserve">To conclude, </w:t>
      </w:r>
      <w:r w:rsidR="007C7692">
        <w:rPr>
          <w:rFonts w:ascii="Times New Roman" w:hAnsi="Times New Roman" w:cs="Times New Roman"/>
          <w:sz w:val="28"/>
          <w:szCs w:val="28"/>
        </w:rPr>
        <w:t>plaque-forming units (PFU/mL) quantify infectious viral particles in a sample and reflect</w:t>
      </w:r>
      <w:r w:rsidR="00331FFB" w:rsidRPr="00EB371D">
        <w:rPr>
          <w:rFonts w:ascii="Times New Roman" w:hAnsi="Times New Roman" w:cs="Times New Roman"/>
          <w:sz w:val="28"/>
          <w:szCs w:val="28"/>
        </w:rPr>
        <w:t xml:space="preserve"> the concentration of replication-competent SARS-CoV-2 virions capable of forming plaques</w:t>
      </w:r>
      <w:r w:rsidR="0048643A" w:rsidRPr="00EB371D">
        <w:rPr>
          <w:rFonts w:ascii="Times New Roman" w:hAnsi="Times New Roman" w:cs="Times New Roman"/>
          <w:sz w:val="28"/>
          <w:szCs w:val="28"/>
        </w:rPr>
        <w:t>, or zones of cell death,</w:t>
      </w:r>
      <w:r w:rsidR="00331FFB" w:rsidRPr="00EB371D">
        <w:rPr>
          <w:rFonts w:ascii="Times New Roman" w:hAnsi="Times New Roman" w:cs="Times New Roman"/>
          <w:sz w:val="28"/>
          <w:szCs w:val="28"/>
        </w:rPr>
        <w:t xml:space="preserve"> in a cell monolayer. Unlike RNA-based methods (e.g., RT-qPCR) or electron microscopy (EM), PFU/mL directly measures</w:t>
      </w:r>
      <w:r w:rsidR="008D0933" w:rsidRPr="00EB371D">
        <w:rPr>
          <w:rFonts w:ascii="Times New Roman" w:hAnsi="Times New Roman" w:cs="Times New Roman"/>
          <w:sz w:val="28"/>
          <w:szCs w:val="28"/>
        </w:rPr>
        <w:t xml:space="preserve"> viable viruses, making it crucial</w:t>
      </w:r>
      <w:r w:rsidR="00331FFB" w:rsidRPr="00EB371D">
        <w:rPr>
          <w:rFonts w:ascii="Times New Roman" w:hAnsi="Times New Roman" w:cs="Times New Roman"/>
          <w:sz w:val="28"/>
          <w:szCs w:val="28"/>
        </w:rPr>
        <w:t xml:space="preserve"> for studying infectivity, antiviral efficacy, and vaccine development. </w:t>
      </w:r>
      <w:r w:rsidR="007926F2" w:rsidRPr="00EB371D">
        <w:rPr>
          <w:rFonts w:ascii="Times New Roman" w:hAnsi="Times New Roman" w:cs="Times New Roman"/>
          <w:sz w:val="28"/>
          <w:szCs w:val="28"/>
        </w:rPr>
        <w:t>FU/mL remains the</w:t>
      </w:r>
      <w:r w:rsidR="008D0933" w:rsidRPr="00EB371D">
        <w:rPr>
          <w:rFonts w:ascii="Times New Roman" w:hAnsi="Times New Roman" w:cs="Times New Roman"/>
          <w:sz w:val="28"/>
          <w:szCs w:val="28"/>
        </w:rPr>
        <w:t xml:space="preserve"> gold standard for quantifying infectious SARS-CoV-2 despite its labour-intensive</w:t>
      </w:r>
      <w:r w:rsidR="007926F2" w:rsidRPr="00EB371D">
        <w:rPr>
          <w:rFonts w:ascii="Times New Roman" w:hAnsi="Times New Roman" w:cs="Times New Roman"/>
          <w:sz w:val="28"/>
          <w:szCs w:val="28"/>
        </w:rPr>
        <w:t xml:space="preserve"> nature</w:t>
      </w:r>
      <w:r w:rsidR="00331FFB" w:rsidRPr="00EB371D">
        <w:rPr>
          <w:rFonts w:ascii="Times New Roman" w:hAnsi="Times New Roman" w:cs="Times New Roman"/>
          <w:sz w:val="28"/>
          <w:szCs w:val="28"/>
        </w:rPr>
        <w:t xml:space="preserve">. It is indispensable for research requiring functional viruses (e.g., </w:t>
      </w:r>
      <w:r w:rsidR="0048643A" w:rsidRPr="00EB371D">
        <w:rPr>
          <w:rFonts w:ascii="Times New Roman" w:hAnsi="Times New Roman" w:cs="Times New Roman"/>
          <w:sz w:val="28"/>
          <w:szCs w:val="28"/>
        </w:rPr>
        <w:t>neutralisation</w:t>
      </w:r>
      <w:r w:rsidR="00331FFB" w:rsidRPr="00EB371D">
        <w:rPr>
          <w:rFonts w:ascii="Times New Roman" w:hAnsi="Times New Roman" w:cs="Times New Roman"/>
          <w:sz w:val="28"/>
          <w:szCs w:val="28"/>
        </w:rPr>
        <w:t xml:space="preserve"> assays and pathogenesis studies). For clinical diagnostics, RT-qPCR dominates due to speed, but PFU/mL provides critical insights into viral infectivity and transmission dynamics.</w:t>
      </w:r>
      <w:r w:rsidR="00126B7C" w:rsidRPr="00EB371D">
        <w:rPr>
          <w:rFonts w:ascii="Times New Roman" w:hAnsi="Times New Roman" w:cs="Times New Roman"/>
          <w:sz w:val="28"/>
          <w:szCs w:val="28"/>
        </w:rPr>
        <w:tab/>
      </w:r>
    </w:p>
    <w:p w14:paraId="507794CD" w14:textId="77777777" w:rsidR="0061332E" w:rsidRPr="00EB371D" w:rsidRDefault="0061332E" w:rsidP="000105D4">
      <w:pPr>
        <w:spacing w:after="0" w:line="240" w:lineRule="auto"/>
        <w:jc w:val="both"/>
        <w:rPr>
          <w:rFonts w:ascii="Times New Roman" w:hAnsi="Times New Roman" w:cs="Times New Roman"/>
          <w:sz w:val="28"/>
          <w:szCs w:val="28"/>
          <w:lang w:val="en-US"/>
        </w:rPr>
      </w:pPr>
    </w:p>
    <w:p w14:paraId="2BD1E074" w14:textId="3F3BF6C5" w:rsidR="0042437E" w:rsidRPr="00EB371D" w:rsidRDefault="00853685" w:rsidP="000105D4">
      <w:pPr>
        <w:spacing w:after="0" w:line="240" w:lineRule="auto"/>
        <w:ind w:left="709"/>
        <w:jc w:val="both"/>
        <w:rPr>
          <w:rFonts w:ascii="Times New Roman" w:hAnsi="Times New Roman" w:cs="Times New Roman"/>
          <w:b/>
          <w:bCs/>
          <w:iCs/>
          <w:sz w:val="28"/>
          <w:szCs w:val="28"/>
          <w:lang w:val="en-US"/>
        </w:rPr>
      </w:pPr>
      <w:bookmarkStart w:id="48" w:name="_Hlk170066847"/>
      <w:r w:rsidRPr="00EB371D">
        <w:rPr>
          <w:rFonts w:ascii="Times New Roman" w:hAnsi="Times New Roman" w:cs="Times New Roman"/>
          <w:b/>
          <w:bCs/>
          <w:iCs/>
          <w:sz w:val="28"/>
          <w:szCs w:val="28"/>
        </w:rPr>
        <w:t>3.</w:t>
      </w:r>
      <w:r w:rsidR="00121285" w:rsidRPr="00EB371D">
        <w:rPr>
          <w:rFonts w:ascii="Times New Roman" w:hAnsi="Times New Roman" w:cs="Times New Roman"/>
          <w:b/>
          <w:bCs/>
          <w:iCs/>
          <w:sz w:val="28"/>
          <w:szCs w:val="28"/>
        </w:rPr>
        <w:t>4</w:t>
      </w:r>
      <w:r w:rsidR="004245F5" w:rsidRPr="00EB371D">
        <w:rPr>
          <w:rFonts w:ascii="Times New Roman" w:hAnsi="Times New Roman" w:cs="Times New Roman"/>
          <w:b/>
          <w:bCs/>
          <w:iCs/>
          <w:sz w:val="28"/>
          <w:szCs w:val="28"/>
        </w:rPr>
        <w:t xml:space="preserve"> </w:t>
      </w:r>
      <w:r w:rsidRPr="00EB371D">
        <w:rPr>
          <w:rFonts w:ascii="Times New Roman" w:hAnsi="Times New Roman" w:cs="Times New Roman"/>
          <w:b/>
          <w:bCs/>
          <w:iCs/>
          <w:sz w:val="28"/>
          <w:szCs w:val="28"/>
        </w:rPr>
        <w:t>Antiviral activity count after</w:t>
      </w:r>
      <w:r w:rsidR="008E3ABB" w:rsidRPr="00EB371D">
        <w:rPr>
          <w:rFonts w:ascii="Times New Roman" w:hAnsi="Times New Roman" w:cs="Times New Roman"/>
          <w:b/>
          <w:bCs/>
          <w:iCs/>
          <w:sz w:val="28"/>
          <w:szCs w:val="28"/>
        </w:rPr>
        <w:t xml:space="preserve"> </w:t>
      </w:r>
      <w:bookmarkEnd w:id="48"/>
      <w:r w:rsidR="004C7727" w:rsidRPr="00EB371D">
        <w:rPr>
          <w:rFonts w:ascii="Times New Roman" w:hAnsi="Times New Roman" w:cs="Times New Roman"/>
          <w:b/>
          <w:bCs/>
          <w:iCs/>
          <w:sz w:val="28"/>
          <w:szCs w:val="28"/>
        </w:rPr>
        <w:t>adding four drugs</w:t>
      </w:r>
      <w:r w:rsidR="00A75C84" w:rsidRPr="00EB371D">
        <w:rPr>
          <w:rFonts w:ascii="Times New Roman" w:hAnsi="Times New Roman" w:cs="Times New Roman"/>
          <w:b/>
          <w:bCs/>
          <w:iCs/>
          <w:sz w:val="28"/>
          <w:szCs w:val="28"/>
        </w:rPr>
        <w:t xml:space="preserve"> (in Kazakhstan) </w:t>
      </w:r>
    </w:p>
    <w:p w14:paraId="184CE144" w14:textId="2E2E8591" w:rsidR="00121285" w:rsidRPr="00EB371D" w:rsidRDefault="00853685" w:rsidP="000105D4">
      <w:pPr>
        <w:spacing w:after="0" w:line="240" w:lineRule="auto"/>
        <w:ind w:firstLine="709"/>
        <w:jc w:val="both"/>
        <w:rPr>
          <w:rFonts w:ascii="Times New Roman" w:hAnsi="Times New Roman" w:cs="Times New Roman"/>
          <w:iCs/>
          <w:sz w:val="28"/>
          <w:szCs w:val="28"/>
        </w:rPr>
      </w:pPr>
      <w:r w:rsidRPr="00EB371D">
        <w:rPr>
          <w:rFonts w:ascii="Times New Roman" w:hAnsi="Times New Roman" w:cs="Times New Roman"/>
          <w:iCs/>
          <w:sz w:val="28"/>
          <w:szCs w:val="28"/>
        </w:rPr>
        <w:t xml:space="preserve">The study of the antiviral activity of the drugs was </w:t>
      </w:r>
      <w:r w:rsidR="004A782A" w:rsidRPr="00EB371D">
        <w:rPr>
          <w:rFonts w:ascii="Times New Roman" w:hAnsi="Times New Roman" w:cs="Times New Roman"/>
          <w:iCs/>
          <w:sz w:val="28"/>
          <w:szCs w:val="28"/>
        </w:rPr>
        <w:t>conducted in a culture of Vero cells infected with the SARS-CoV-2 virus</w:t>
      </w:r>
      <w:r w:rsidR="007C7692">
        <w:rPr>
          <w:rFonts w:ascii="Times New Roman" w:hAnsi="Times New Roman" w:cs="Times New Roman"/>
          <w:iCs/>
          <w:sz w:val="28"/>
          <w:szCs w:val="28"/>
        </w:rPr>
        <w:t xml:space="preserve"> variant B, using the coefficient of inhibition of cytopathic activity and viral</w:t>
      </w:r>
      <w:r w:rsidR="004A782A" w:rsidRPr="00EB371D">
        <w:rPr>
          <w:rFonts w:ascii="Times New Roman" w:hAnsi="Times New Roman" w:cs="Times New Roman"/>
          <w:iCs/>
          <w:sz w:val="28"/>
          <w:szCs w:val="28"/>
        </w:rPr>
        <w:t xml:space="preserve"> replication</w:t>
      </w:r>
      <w:r w:rsidRPr="00EB371D">
        <w:rPr>
          <w:rFonts w:ascii="Times New Roman" w:hAnsi="Times New Roman" w:cs="Times New Roman"/>
          <w:iCs/>
          <w:sz w:val="28"/>
          <w:szCs w:val="28"/>
        </w:rPr>
        <w:t xml:space="preserve">. After 24 hours of incubation </w:t>
      </w:r>
      <w:r w:rsidR="004A782A" w:rsidRPr="00EB371D">
        <w:rPr>
          <w:rFonts w:ascii="Times New Roman" w:hAnsi="Times New Roman" w:cs="Times New Roman"/>
          <w:iCs/>
          <w:sz w:val="28"/>
          <w:szCs w:val="28"/>
        </w:rPr>
        <w:t xml:space="preserve">following cell infection at a dose of 10 TCID50 (viral </w:t>
      </w:r>
      <w:r w:rsidR="008B7C25" w:rsidRPr="00EB371D">
        <w:rPr>
          <w:rFonts w:ascii="Times New Roman" w:hAnsi="Times New Roman" w:cs="Times New Roman"/>
          <w:iCs/>
          <w:sz w:val="28"/>
          <w:szCs w:val="28"/>
        </w:rPr>
        <w:t>titer</w:t>
      </w:r>
      <w:r w:rsidR="004A782A" w:rsidRPr="00EB371D">
        <w:rPr>
          <w:rFonts w:ascii="Times New Roman" w:hAnsi="Times New Roman" w:cs="Times New Roman"/>
          <w:iCs/>
          <w:sz w:val="28"/>
          <w:szCs w:val="28"/>
        </w:rPr>
        <w:t>), when drugs were added at</w:t>
      </w:r>
      <w:r w:rsidRPr="00EB371D">
        <w:rPr>
          <w:rFonts w:ascii="Times New Roman" w:hAnsi="Times New Roman" w:cs="Times New Roman"/>
          <w:iCs/>
          <w:sz w:val="28"/>
          <w:szCs w:val="28"/>
        </w:rPr>
        <w:t xml:space="preserve"> a concentration range of 50 μg/ml, the </w:t>
      </w:r>
      <w:r w:rsidR="007C7692">
        <w:rPr>
          <w:rFonts w:ascii="Times New Roman" w:hAnsi="Times New Roman" w:cs="Times New Roman"/>
          <w:iCs/>
          <w:sz w:val="28"/>
          <w:szCs w:val="28"/>
        </w:rPr>
        <w:t xml:space="preserve">virus-induced cytopathic effect </w:t>
      </w:r>
      <w:r w:rsidRPr="00EB371D">
        <w:rPr>
          <w:rFonts w:ascii="Times New Roman" w:hAnsi="Times New Roman" w:cs="Times New Roman"/>
          <w:iCs/>
          <w:sz w:val="28"/>
          <w:szCs w:val="28"/>
        </w:rPr>
        <w:t xml:space="preserve">was detected to varying degrees. As a result of a study </w:t>
      </w:r>
      <w:r w:rsidR="004A782A" w:rsidRPr="00EB371D">
        <w:rPr>
          <w:rFonts w:ascii="Times New Roman" w:hAnsi="Times New Roman" w:cs="Times New Roman"/>
          <w:iCs/>
          <w:sz w:val="28"/>
          <w:szCs w:val="28"/>
        </w:rPr>
        <w:t>on the antiviral activity of the drugs Dexamethasone, Ribavirin, Tenofovir, and Favipiravir, the inhibition rates were</w:t>
      </w:r>
      <w:r w:rsidRPr="00EB371D">
        <w:rPr>
          <w:rFonts w:ascii="Times New Roman" w:hAnsi="Times New Roman" w:cs="Times New Roman"/>
          <w:iCs/>
          <w:sz w:val="28"/>
          <w:szCs w:val="28"/>
        </w:rPr>
        <w:t xml:space="preserve"> 0%, 80%, 99.31%, and 37.37%, respectively. Tenvir showed the highest degree of inhibition and is one of the most effective drugs for treating viral infections.</w:t>
      </w:r>
    </w:p>
    <w:p w14:paraId="19DD77B3" w14:textId="2012DD8D" w:rsidR="007C6AD6" w:rsidRDefault="007C6AD6" w:rsidP="00EB371D">
      <w:pPr>
        <w:spacing w:after="0" w:line="240" w:lineRule="auto"/>
        <w:ind w:firstLine="709"/>
        <w:jc w:val="both"/>
        <w:rPr>
          <w:rFonts w:ascii="Times New Roman" w:hAnsi="Times New Roman" w:cs="Times New Roman"/>
          <w:iCs/>
          <w:sz w:val="28"/>
          <w:szCs w:val="28"/>
          <w:lang w:val="en-US"/>
        </w:rPr>
      </w:pPr>
      <w:r w:rsidRPr="00EB371D">
        <w:rPr>
          <w:rFonts w:ascii="Times New Roman" w:hAnsi="Times New Roman" w:cs="Times New Roman"/>
          <w:iCs/>
          <w:sz w:val="28"/>
          <w:szCs w:val="28"/>
        </w:rPr>
        <w:t>“</w:t>
      </w:r>
      <w:r w:rsidRPr="00EB371D">
        <w:rPr>
          <w:rFonts w:ascii="Times New Roman" w:hAnsi="Times New Roman" w:cs="Times New Roman"/>
          <w:iCs/>
          <w:sz w:val="28"/>
          <w:szCs w:val="28"/>
          <w:lang w:val="en-US"/>
        </w:rPr>
        <w:t>Table 9” summarises the comparative antiviral efficacy of Dexamethasone, Ribavirin, Favipiravir (T-705), and two tenofovir prodrugs—Tenofovir disoproxil fumarate (TDF) and Tenofovir alafenamide (TAF)—against SARS-CoV-2, expressed as viral titer reductions (log₁₀ PFU/mL) and corresponding percentage inhibition values. The untreated control exhibited a mean viral titer of 7.20 ± 0.04 log₁₀ PFU/mL, providing the baseline for evaluating drug efficacy. Dexamethasone, tested at 4 µg/mL (10.2 µM), showed no measurable antiviral activity, with a 0.00 log₁₀ reduction and 0% inhibition, confirming its known anti-inflammatory mechanism of action rather than an antiviral one. Ribavirin at 50 µg/mL (~205 µM) produced a moderate antiviral effect, achieving a 0.80 log₁₀ reduction</w:t>
      </w:r>
      <w:r w:rsidR="007C7692">
        <w:rPr>
          <w:rFonts w:ascii="Times New Roman" w:hAnsi="Times New Roman" w:cs="Times New Roman"/>
          <w:iCs/>
          <w:sz w:val="28"/>
          <w:szCs w:val="28"/>
          <w:lang w:val="en-US"/>
        </w:rPr>
        <w:t>, corresponding to 84.2% inhibition, consistent with its recognised broad-spectrum activity but with relatively high cytotoxicity</w:t>
      </w:r>
      <w:r w:rsidRPr="00EB371D">
        <w:rPr>
          <w:rFonts w:ascii="Times New Roman" w:hAnsi="Times New Roman" w:cs="Times New Roman"/>
          <w:iCs/>
          <w:sz w:val="28"/>
          <w:szCs w:val="28"/>
          <w:lang w:val="en-US"/>
        </w:rPr>
        <w:t xml:space="preserve">. Favipiravir (50 µg/mL, ~318 µM) yielded a minimal reduction of 0.21 log₁₀, equating </w:t>
      </w:r>
      <w:r w:rsidRPr="00EB371D">
        <w:rPr>
          <w:rFonts w:ascii="Times New Roman" w:hAnsi="Times New Roman" w:cs="Times New Roman"/>
          <w:iCs/>
          <w:sz w:val="28"/>
          <w:szCs w:val="28"/>
          <w:lang w:val="en-US"/>
        </w:rPr>
        <w:lastRenderedPageBreak/>
        <w:t xml:space="preserve">to 38.3% inhibition, indicating limited antiviral potency likely due to inefficient intracellular conversion to its active ribonucleotide form in Vero E6 cells. In contrast, both tenofovir derivatives demonstrated potent antiviral responses: TDF at 50 µg/mL (~78.7 µM) reduced the viral titer by 2.17 log₁₀ (99.32% inhibition). In comparison, TAF at 50 µg/mL (~104.9 µM) produced a slightly greater reduction of 2.37 log₁₀ (99.57% inhibition). These findings highlight tenofovir-based compounds as the most effective agents tested, with TAF showing the highest inhibitory efficiency, likely reflecting its superior cellular uptake and conversion to the pharmacologically active diphosphate form. The overall efficacy ranking was: TAF (2.37 log₁₀) &gt; TDF (2.17 log₁₀) &gt;&gt; Ribavirin (0.80 log₁₀) &gt; Favipiravir (0.21 log₁₀) &gt; Dexamethasone (0.00 log₁₀). Collectively, these results indicate that TDF and TAF exert vigorous dose-dependent antiviral activity, achieving near-complete viral inhibition at moderate concentrations, whereas Ribavirin and Favipiravir exhibit weaker effects. Dexamethasone, consistent with its clinical role, provides no direct antiviral action but remains therapeutically relevant for inflammation modulation. The observed </w:t>
      </w:r>
      <w:r w:rsidR="007C7692">
        <w:rPr>
          <w:rFonts w:ascii="Times New Roman" w:hAnsi="Times New Roman" w:cs="Times New Roman"/>
          <w:iCs/>
          <w:sz w:val="28"/>
          <w:szCs w:val="28"/>
          <w:lang w:val="en-US"/>
        </w:rPr>
        <w:t>reductions in viral titer confirm the assay's reliability</w:t>
      </w:r>
      <w:r w:rsidRPr="00EB371D">
        <w:rPr>
          <w:rFonts w:ascii="Times New Roman" w:hAnsi="Times New Roman" w:cs="Times New Roman"/>
          <w:iCs/>
          <w:sz w:val="28"/>
          <w:szCs w:val="28"/>
          <w:lang w:val="en-US"/>
        </w:rPr>
        <w:t xml:space="preserve"> and reinforce tenofovir derivatives as promising candidates for repurposing in antiviral therapy targeting SARS-CoV-2 replication.</w:t>
      </w:r>
    </w:p>
    <w:p w14:paraId="44CD0026" w14:textId="77777777" w:rsidR="007C7692" w:rsidRPr="00EB371D" w:rsidRDefault="007C7692" w:rsidP="00EB371D">
      <w:pPr>
        <w:spacing w:after="0" w:line="240" w:lineRule="auto"/>
        <w:ind w:firstLine="709"/>
        <w:jc w:val="both"/>
        <w:rPr>
          <w:rFonts w:ascii="Times New Roman" w:hAnsi="Times New Roman" w:cs="Times New Roman"/>
          <w:iCs/>
          <w:sz w:val="28"/>
          <w:szCs w:val="28"/>
          <w:lang w:val="en-US"/>
        </w:rPr>
      </w:pPr>
    </w:p>
    <w:p w14:paraId="681F6F18" w14:textId="57BC9B92" w:rsidR="00EB371D" w:rsidRDefault="008B7C25" w:rsidP="001D09BD">
      <w:pPr>
        <w:spacing w:after="0" w:line="240" w:lineRule="auto"/>
        <w:ind w:firstLine="709"/>
        <w:jc w:val="both"/>
        <w:rPr>
          <w:rFonts w:ascii="Times New Roman" w:hAnsi="Times New Roman" w:cs="Times New Roman"/>
          <w:iCs/>
          <w:sz w:val="28"/>
          <w:szCs w:val="28"/>
        </w:rPr>
      </w:pPr>
      <w:r w:rsidRPr="00EB371D">
        <w:rPr>
          <w:rFonts w:ascii="Times New Roman" w:hAnsi="Times New Roman" w:cs="Times New Roman"/>
          <w:iCs/>
          <w:sz w:val="28"/>
          <w:szCs w:val="28"/>
        </w:rPr>
        <w:t xml:space="preserve">Table </w:t>
      </w:r>
      <w:r w:rsidR="00121285" w:rsidRPr="00EB371D">
        <w:rPr>
          <w:rFonts w:ascii="Times New Roman" w:hAnsi="Times New Roman" w:cs="Times New Roman"/>
          <w:iCs/>
          <w:sz w:val="28"/>
          <w:szCs w:val="28"/>
        </w:rPr>
        <w:t>9</w:t>
      </w:r>
      <w:r w:rsidRPr="00EB371D">
        <w:rPr>
          <w:rFonts w:ascii="Times New Roman" w:hAnsi="Times New Roman" w:cs="Times New Roman"/>
          <w:iCs/>
          <w:sz w:val="28"/>
          <w:szCs w:val="28"/>
        </w:rPr>
        <w:t xml:space="preserve"> – The </w:t>
      </w:r>
      <w:r w:rsidR="00B5077C">
        <w:rPr>
          <w:rFonts w:ascii="Times New Roman" w:hAnsi="Times New Roman" w:cs="Times New Roman"/>
          <w:iCs/>
          <w:sz w:val="28"/>
          <w:szCs w:val="28"/>
        </w:rPr>
        <w:t>MTT results</w:t>
      </w:r>
      <w:r w:rsidRPr="00EB371D">
        <w:rPr>
          <w:rFonts w:ascii="Times New Roman" w:hAnsi="Times New Roman" w:cs="Times New Roman"/>
          <w:iCs/>
          <w:sz w:val="28"/>
          <w:szCs w:val="28"/>
        </w:rPr>
        <w:t xml:space="preserve"> of assessing the antiviral activity of drugs against the SARS-CoV-2 virus, </w:t>
      </w:r>
      <w:r w:rsidR="00B5077C">
        <w:rPr>
          <w:rFonts w:ascii="Times New Roman" w:hAnsi="Times New Roman" w:cs="Times New Roman"/>
          <w:iCs/>
          <w:sz w:val="28"/>
          <w:szCs w:val="28"/>
        </w:rPr>
        <w:t>Wuhan-reference strain</w:t>
      </w:r>
      <w:r w:rsidRPr="00EB371D">
        <w:rPr>
          <w:rFonts w:ascii="Times New Roman" w:hAnsi="Times New Roman" w:cs="Times New Roman"/>
          <w:iCs/>
          <w:sz w:val="28"/>
          <w:szCs w:val="28"/>
        </w:rPr>
        <w:t xml:space="preserve">, in Vero cell culture </w:t>
      </w:r>
    </w:p>
    <w:p w14:paraId="5947F48C" w14:textId="77777777" w:rsidR="001A3921" w:rsidRPr="00EB371D" w:rsidRDefault="001A3921" w:rsidP="001D09BD">
      <w:pPr>
        <w:spacing w:after="0" w:line="240" w:lineRule="auto"/>
        <w:ind w:firstLine="709"/>
        <w:jc w:val="both"/>
        <w:rPr>
          <w:rFonts w:ascii="Times New Roman" w:hAnsi="Times New Roman" w:cs="Times New Roman"/>
          <w:iCs/>
          <w:sz w:val="28"/>
          <w:szCs w:val="28"/>
        </w:rPr>
      </w:pPr>
    </w:p>
    <w:tbl>
      <w:tblPr>
        <w:tblW w:w="0" w:type="auto"/>
        <w:tblCellSpacing w:w="1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007"/>
        <w:gridCol w:w="1641"/>
        <w:gridCol w:w="2256"/>
        <w:gridCol w:w="1723"/>
        <w:gridCol w:w="1148"/>
      </w:tblGrid>
      <w:tr w:rsidR="006D63D0" w:rsidRPr="00121285" w14:paraId="25845CC4" w14:textId="77777777" w:rsidTr="006D63D0">
        <w:trPr>
          <w:tblHeader/>
          <w:tblCellSpacing w:w="15" w:type="dxa"/>
        </w:trPr>
        <w:tc>
          <w:tcPr>
            <w:tcW w:w="2962" w:type="dxa"/>
            <w:vAlign w:val="center"/>
            <w:hideMark/>
          </w:tcPr>
          <w:p w14:paraId="1D488F3C" w14:textId="102C8E20" w:rsidR="006D63D0" w:rsidRPr="00C27436" w:rsidRDefault="006D63D0" w:rsidP="001D09BD">
            <w:pPr>
              <w:spacing w:after="0" w:line="240" w:lineRule="auto"/>
              <w:jc w:val="both"/>
              <w:rPr>
                <w:rFonts w:ascii="Times New Roman" w:hAnsi="Times New Roman" w:cs="Times New Roman"/>
                <w:iCs/>
                <w:sz w:val="24"/>
                <w:szCs w:val="24"/>
              </w:rPr>
            </w:pPr>
            <w:r w:rsidRPr="00C27436">
              <w:rPr>
                <w:rFonts w:ascii="Times New Roman" w:hAnsi="Times New Roman" w:cs="Times New Roman"/>
                <w:iCs/>
                <w:sz w:val="24"/>
                <w:szCs w:val="24"/>
              </w:rPr>
              <w:t>Drug (MW, g·mol⁻¹)</w:t>
            </w:r>
          </w:p>
        </w:tc>
        <w:tc>
          <w:tcPr>
            <w:tcW w:w="0" w:type="auto"/>
            <w:vAlign w:val="center"/>
            <w:hideMark/>
          </w:tcPr>
          <w:p w14:paraId="03ABA09B" w14:textId="77777777" w:rsidR="006D63D0" w:rsidRPr="00C27436" w:rsidRDefault="006D63D0" w:rsidP="001D09BD">
            <w:pPr>
              <w:spacing w:after="0" w:line="240" w:lineRule="auto"/>
              <w:jc w:val="both"/>
              <w:rPr>
                <w:rFonts w:ascii="Times New Roman" w:hAnsi="Times New Roman" w:cs="Times New Roman"/>
                <w:iCs/>
                <w:sz w:val="24"/>
                <w:szCs w:val="24"/>
              </w:rPr>
            </w:pPr>
            <w:r w:rsidRPr="00C27436">
              <w:rPr>
                <w:rFonts w:ascii="Times New Roman" w:hAnsi="Times New Roman" w:cs="Times New Roman"/>
                <w:iCs/>
                <w:sz w:val="24"/>
                <w:szCs w:val="24"/>
              </w:rPr>
              <w:t>Test conc. (µM) (µg/mL)</w:t>
            </w:r>
          </w:p>
        </w:tc>
        <w:tc>
          <w:tcPr>
            <w:tcW w:w="0" w:type="auto"/>
            <w:vAlign w:val="center"/>
            <w:hideMark/>
          </w:tcPr>
          <w:p w14:paraId="6A3D0970" w14:textId="77777777" w:rsidR="006D63D0" w:rsidRPr="00C27436" w:rsidRDefault="006D63D0" w:rsidP="001D09BD">
            <w:pPr>
              <w:spacing w:after="0" w:line="240" w:lineRule="auto"/>
              <w:jc w:val="both"/>
              <w:rPr>
                <w:rFonts w:ascii="Times New Roman" w:hAnsi="Times New Roman" w:cs="Times New Roman"/>
                <w:iCs/>
                <w:sz w:val="24"/>
                <w:szCs w:val="24"/>
              </w:rPr>
            </w:pPr>
            <w:r w:rsidRPr="00C27436">
              <w:rPr>
                <w:rFonts w:ascii="Times New Roman" w:hAnsi="Times New Roman" w:cs="Times New Roman"/>
                <w:iCs/>
                <w:sz w:val="24"/>
                <w:szCs w:val="24"/>
              </w:rPr>
              <w:t>Virus titer, log₁₀ PFU/mL (mean ± SD)</w:t>
            </w:r>
          </w:p>
        </w:tc>
        <w:tc>
          <w:tcPr>
            <w:tcW w:w="0" w:type="auto"/>
            <w:vAlign w:val="center"/>
            <w:hideMark/>
          </w:tcPr>
          <w:p w14:paraId="429FF131" w14:textId="77777777" w:rsidR="006D63D0" w:rsidRPr="00C27436" w:rsidRDefault="006D63D0" w:rsidP="001D09BD">
            <w:pPr>
              <w:spacing w:after="0" w:line="240" w:lineRule="auto"/>
              <w:jc w:val="both"/>
              <w:rPr>
                <w:rFonts w:ascii="Times New Roman" w:hAnsi="Times New Roman" w:cs="Times New Roman"/>
                <w:iCs/>
                <w:sz w:val="24"/>
                <w:szCs w:val="24"/>
              </w:rPr>
            </w:pPr>
            <w:r w:rsidRPr="00C27436">
              <w:rPr>
                <w:rFonts w:ascii="Times New Roman" w:hAnsi="Times New Roman" w:cs="Times New Roman"/>
                <w:iCs/>
                <w:sz w:val="24"/>
                <w:szCs w:val="24"/>
              </w:rPr>
              <w:t>Log₁₀ reduction vs control</w:t>
            </w:r>
          </w:p>
        </w:tc>
        <w:tc>
          <w:tcPr>
            <w:tcW w:w="0" w:type="auto"/>
            <w:vAlign w:val="center"/>
            <w:hideMark/>
          </w:tcPr>
          <w:p w14:paraId="0CF4C709" w14:textId="3790C8FA" w:rsidR="006D63D0" w:rsidRPr="00C27436" w:rsidRDefault="006D63D0" w:rsidP="001D09BD">
            <w:pPr>
              <w:spacing w:after="0" w:line="240" w:lineRule="auto"/>
              <w:jc w:val="both"/>
              <w:rPr>
                <w:rFonts w:ascii="Times New Roman" w:hAnsi="Times New Roman" w:cs="Times New Roman"/>
                <w:iCs/>
                <w:sz w:val="24"/>
                <w:szCs w:val="24"/>
              </w:rPr>
            </w:pPr>
            <w:r w:rsidRPr="00C27436">
              <w:rPr>
                <w:rFonts w:ascii="Times New Roman" w:hAnsi="Times New Roman" w:cs="Times New Roman"/>
                <w:iCs/>
                <w:sz w:val="24"/>
                <w:szCs w:val="24"/>
              </w:rPr>
              <w:t>% inhibition</w:t>
            </w:r>
          </w:p>
        </w:tc>
      </w:tr>
      <w:tr w:rsidR="006D63D0" w:rsidRPr="00121285" w14:paraId="5DB41452" w14:textId="77777777" w:rsidTr="006D63D0">
        <w:trPr>
          <w:tblCellSpacing w:w="15" w:type="dxa"/>
        </w:trPr>
        <w:tc>
          <w:tcPr>
            <w:tcW w:w="2962" w:type="dxa"/>
            <w:vAlign w:val="center"/>
            <w:hideMark/>
          </w:tcPr>
          <w:p w14:paraId="61E7A364" w14:textId="77777777" w:rsidR="006D63D0" w:rsidRPr="00121285" w:rsidRDefault="006D63D0" w:rsidP="00121285">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Control (vehicle)</w:t>
            </w:r>
          </w:p>
        </w:tc>
        <w:tc>
          <w:tcPr>
            <w:tcW w:w="0" w:type="auto"/>
            <w:vAlign w:val="center"/>
            <w:hideMark/>
          </w:tcPr>
          <w:p w14:paraId="0E742B84" w14:textId="77777777" w:rsidR="006D63D0" w:rsidRPr="00121285" w:rsidRDefault="006D63D0" w:rsidP="00121285">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w:t>
            </w:r>
          </w:p>
        </w:tc>
        <w:tc>
          <w:tcPr>
            <w:tcW w:w="0" w:type="auto"/>
            <w:vAlign w:val="center"/>
            <w:hideMark/>
          </w:tcPr>
          <w:p w14:paraId="19B627EB" w14:textId="77777777" w:rsidR="006D63D0" w:rsidRPr="00121285" w:rsidRDefault="006D63D0" w:rsidP="00121285">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7.20 ± 0.04</w:t>
            </w:r>
          </w:p>
        </w:tc>
        <w:tc>
          <w:tcPr>
            <w:tcW w:w="0" w:type="auto"/>
            <w:vAlign w:val="center"/>
            <w:hideMark/>
          </w:tcPr>
          <w:p w14:paraId="7C26285A" w14:textId="77777777" w:rsidR="006D63D0" w:rsidRPr="00121285" w:rsidRDefault="006D63D0" w:rsidP="00121285">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w:t>
            </w:r>
          </w:p>
        </w:tc>
        <w:tc>
          <w:tcPr>
            <w:tcW w:w="0" w:type="auto"/>
            <w:vAlign w:val="center"/>
            <w:hideMark/>
          </w:tcPr>
          <w:p w14:paraId="5EE6F78F" w14:textId="77777777" w:rsidR="006D63D0" w:rsidRPr="00121285" w:rsidRDefault="006D63D0" w:rsidP="00121285">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w:t>
            </w:r>
          </w:p>
        </w:tc>
      </w:tr>
      <w:tr w:rsidR="006D63D0" w:rsidRPr="00121285" w14:paraId="0095121F" w14:textId="77777777" w:rsidTr="006D63D0">
        <w:trPr>
          <w:tblCellSpacing w:w="15" w:type="dxa"/>
        </w:trPr>
        <w:tc>
          <w:tcPr>
            <w:tcW w:w="2962" w:type="dxa"/>
            <w:vAlign w:val="center"/>
            <w:hideMark/>
          </w:tcPr>
          <w:p w14:paraId="607C72CA" w14:textId="77777777" w:rsidR="006D63D0" w:rsidRPr="00121285" w:rsidRDefault="006D63D0" w:rsidP="00121285">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Dexamethasone (392.464)</w:t>
            </w:r>
          </w:p>
        </w:tc>
        <w:tc>
          <w:tcPr>
            <w:tcW w:w="0" w:type="auto"/>
            <w:vAlign w:val="center"/>
            <w:hideMark/>
          </w:tcPr>
          <w:p w14:paraId="214CA9E5" w14:textId="77777777" w:rsidR="006D63D0" w:rsidRPr="00121285" w:rsidRDefault="006D63D0" w:rsidP="00121285">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10.2 (4)</w:t>
            </w:r>
          </w:p>
        </w:tc>
        <w:tc>
          <w:tcPr>
            <w:tcW w:w="0" w:type="auto"/>
            <w:vAlign w:val="center"/>
            <w:hideMark/>
          </w:tcPr>
          <w:p w14:paraId="151E68FF" w14:textId="77777777" w:rsidR="006D63D0" w:rsidRPr="00121285" w:rsidRDefault="006D63D0" w:rsidP="00121285">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7.20 ± 0.04</w:t>
            </w:r>
          </w:p>
        </w:tc>
        <w:tc>
          <w:tcPr>
            <w:tcW w:w="0" w:type="auto"/>
            <w:vAlign w:val="center"/>
            <w:hideMark/>
          </w:tcPr>
          <w:p w14:paraId="4AAEB7F5" w14:textId="77777777" w:rsidR="006D63D0" w:rsidRPr="00121285" w:rsidRDefault="006D63D0" w:rsidP="00121285">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0.00</w:t>
            </w:r>
          </w:p>
        </w:tc>
        <w:tc>
          <w:tcPr>
            <w:tcW w:w="0" w:type="auto"/>
            <w:vAlign w:val="center"/>
            <w:hideMark/>
          </w:tcPr>
          <w:p w14:paraId="2BD40A1F" w14:textId="77777777" w:rsidR="006D63D0" w:rsidRPr="00121285" w:rsidRDefault="006D63D0" w:rsidP="00121285">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0.0%</w:t>
            </w:r>
          </w:p>
        </w:tc>
      </w:tr>
      <w:tr w:rsidR="006D63D0" w:rsidRPr="00121285" w14:paraId="150F3E37" w14:textId="77777777" w:rsidTr="006D63D0">
        <w:trPr>
          <w:tblCellSpacing w:w="15" w:type="dxa"/>
        </w:trPr>
        <w:tc>
          <w:tcPr>
            <w:tcW w:w="2962" w:type="dxa"/>
            <w:vAlign w:val="center"/>
            <w:hideMark/>
          </w:tcPr>
          <w:p w14:paraId="71E4CDFB" w14:textId="77777777" w:rsidR="006D63D0" w:rsidRPr="00121285" w:rsidRDefault="006D63D0" w:rsidP="00121285">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Ribavirin (244.206)</w:t>
            </w:r>
          </w:p>
        </w:tc>
        <w:tc>
          <w:tcPr>
            <w:tcW w:w="0" w:type="auto"/>
            <w:vAlign w:val="center"/>
            <w:hideMark/>
          </w:tcPr>
          <w:p w14:paraId="71BF0227" w14:textId="77777777" w:rsidR="006D63D0" w:rsidRPr="00121285" w:rsidRDefault="006D63D0" w:rsidP="00121285">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~205 (50)</w:t>
            </w:r>
          </w:p>
        </w:tc>
        <w:tc>
          <w:tcPr>
            <w:tcW w:w="0" w:type="auto"/>
            <w:vAlign w:val="center"/>
            <w:hideMark/>
          </w:tcPr>
          <w:p w14:paraId="47C2942B" w14:textId="77777777" w:rsidR="006D63D0" w:rsidRPr="00121285" w:rsidRDefault="006D63D0" w:rsidP="00121285">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6.40 ± 0.15</w:t>
            </w:r>
          </w:p>
        </w:tc>
        <w:tc>
          <w:tcPr>
            <w:tcW w:w="0" w:type="auto"/>
            <w:vAlign w:val="center"/>
            <w:hideMark/>
          </w:tcPr>
          <w:p w14:paraId="0EBB1528" w14:textId="77777777" w:rsidR="006D63D0" w:rsidRPr="00121285" w:rsidRDefault="006D63D0" w:rsidP="00121285">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0.80</w:t>
            </w:r>
          </w:p>
        </w:tc>
        <w:tc>
          <w:tcPr>
            <w:tcW w:w="0" w:type="auto"/>
            <w:vAlign w:val="center"/>
            <w:hideMark/>
          </w:tcPr>
          <w:p w14:paraId="3A2769B6" w14:textId="77777777" w:rsidR="006D63D0" w:rsidRPr="00121285" w:rsidRDefault="006D63D0" w:rsidP="00121285">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84.2%</w:t>
            </w:r>
          </w:p>
        </w:tc>
      </w:tr>
      <w:tr w:rsidR="006D63D0" w:rsidRPr="00121285" w14:paraId="6C554645" w14:textId="77777777" w:rsidTr="006D63D0">
        <w:trPr>
          <w:tblCellSpacing w:w="15" w:type="dxa"/>
        </w:trPr>
        <w:tc>
          <w:tcPr>
            <w:tcW w:w="2962" w:type="dxa"/>
            <w:vAlign w:val="center"/>
            <w:hideMark/>
          </w:tcPr>
          <w:p w14:paraId="04D28852" w14:textId="77777777" w:rsidR="006D63D0" w:rsidRPr="00121285" w:rsidRDefault="006D63D0" w:rsidP="00121285">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TDF — tenofovir disoproxil fumarate (635.52)</w:t>
            </w:r>
          </w:p>
        </w:tc>
        <w:tc>
          <w:tcPr>
            <w:tcW w:w="0" w:type="auto"/>
            <w:vAlign w:val="center"/>
            <w:hideMark/>
          </w:tcPr>
          <w:p w14:paraId="1BC45814" w14:textId="77777777" w:rsidR="006D63D0" w:rsidRPr="00121285" w:rsidRDefault="006D63D0" w:rsidP="00121285">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~78.7 (50)</w:t>
            </w:r>
          </w:p>
        </w:tc>
        <w:tc>
          <w:tcPr>
            <w:tcW w:w="0" w:type="auto"/>
            <w:vAlign w:val="center"/>
            <w:hideMark/>
          </w:tcPr>
          <w:p w14:paraId="5673CA23" w14:textId="77777777" w:rsidR="006D63D0" w:rsidRPr="00121285" w:rsidRDefault="006D63D0" w:rsidP="00121285">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5.03 ± 0.15</w:t>
            </w:r>
          </w:p>
        </w:tc>
        <w:tc>
          <w:tcPr>
            <w:tcW w:w="0" w:type="auto"/>
            <w:vAlign w:val="center"/>
            <w:hideMark/>
          </w:tcPr>
          <w:p w14:paraId="331E7682" w14:textId="77777777" w:rsidR="006D63D0" w:rsidRPr="00121285" w:rsidRDefault="006D63D0" w:rsidP="00121285">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2.17</w:t>
            </w:r>
          </w:p>
        </w:tc>
        <w:tc>
          <w:tcPr>
            <w:tcW w:w="0" w:type="auto"/>
            <w:vAlign w:val="center"/>
            <w:hideMark/>
          </w:tcPr>
          <w:p w14:paraId="32B5323E" w14:textId="77777777" w:rsidR="006D63D0" w:rsidRPr="00121285" w:rsidRDefault="006D63D0" w:rsidP="00121285">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99.32%</w:t>
            </w:r>
          </w:p>
        </w:tc>
      </w:tr>
      <w:tr w:rsidR="006D63D0" w:rsidRPr="00121285" w14:paraId="02A4DD63" w14:textId="77777777" w:rsidTr="006D63D0">
        <w:trPr>
          <w:tblCellSpacing w:w="15" w:type="dxa"/>
        </w:trPr>
        <w:tc>
          <w:tcPr>
            <w:tcW w:w="2962" w:type="dxa"/>
            <w:vAlign w:val="center"/>
            <w:hideMark/>
          </w:tcPr>
          <w:p w14:paraId="1E75A56D" w14:textId="77777777" w:rsidR="006D63D0" w:rsidRPr="00121285" w:rsidRDefault="006D63D0" w:rsidP="001D09BD">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TAF — tenofovir alafenamide (476.47)</w:t>
            </w:r>
          </w:p>
        </w:tc>
        <w:tc>
          <w:tcPr>
            <w:tcW w:w="0" w:type="auto"/>
            <w:vAlign w:val="center"/>
            <w:hideMark/>
          </w:tcPr>
          <w:p w14:paraId="225810DB" w14:textId="77777777" w:rsidR="006D63D0" w:rsidRPr="00121285" w:rsidRDefault="006D63D0" w:rsidP="001D09BD">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~104.9 (50)</w:t>
            </w:r>
          </w:p>
        </w:tc>
        <w:tc>
          <w:tcPr>
            <w:tcW w:w="0" w:type="auto"/>
            <w:vAlign w:val="center"/>
            <w:hideMark/>
          </w:tcPr>
          <w:p w14:paraId="278B5543" w14:textId="77777777" w:rsidR="006D63D0" w:rsidRPr="00121285" w:rsidRDefault="006D63D0" w:rsidP="001D09BD">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4.83 ± 0.15</w:t>
            </w:r>
          </w:p>
        </w:tc>
        <w:tc>
          <w:tcPr>
            <w:tcW w:w="0" w:type="auto"/>
            <w:vAlign w:val="center"/>
            <w:hideMark/>
          </w:tcPr>
          <w:p w14:paraId="2752AB8E" w14:textId="77777777" w:rsidR="006D63D0" w:rsidRPr="00121285" w:rsidRDefault="006D63D0" w:rsidP="001D09BD">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2.37</w:t>
            </w:r>
          </w:p>
        </w:tc>
        <w:tc>
          <w:tcPr>
            <w:tcW w:w="0" w:type="auto"/>
            <w:vAlign w:val="center"/>
            <w:hideMark/>
          </w:tcPr>
          <w:p w14:paraId="298C339D" w14:textId="77777777" w:rsidR="006D63D0" w:rsidRPr="00121285" w:rsidRDefault="006D63D0" w:rsidP="001D09BD">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99.57%</w:t>
            </w:r>
          </w:p>
        </w:tc>
      </w:tr>
      <w:tr w:rsidR="006D63D0" w:rsidRPr="00121285" w14:paraId="0D1AD417" w14:textId="77777777" w:rsidTr="006D63D0">
        <w:trPr>
          <w:tblCellSpacing w:w="15" w:type="dxa"/>
        </w:trPr>
        <w:tc>
          <w:tcPr>
            <w:tcW w:w="2962" w:type="dxa"/>
            <w:vAlign w:val="center"/>
            <w:hideMark/>
          </w:tcPr>
          <w:p w14:paraId="09CDE028" w14:textId="77777777" w:rsidR="006D63D0" w:rsidRPr="00121285" w:rsidRDefault="006D63D0" w:rsidP="001D09BD">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Favipiravir / T-705 (157.10)</w:t>
            </w:r>
          </w:p>
        </w:tc>
        <w:tc>
          <w:tcPr>
            <w:tcW w:w="0" w:type="auto"/>
            <w:vAlign w:val="center"/>
            <w:hideMark/>
          </w:tcPr>
          <w:p w14:paraId="3A1D130F" w14:textId="77777777" w:rsidR="006D63D0" w:rsidRPr="00121285" w:rsidRDefault="006D63D0" w:rsidP="001D09BD">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~318 (50)</w:t>
            </w:r>
          </w:p>
        </w:tc>
        <w:tc>
          <w:tcPr>
            <w:tcW w:w="0" w:type="auto"/>
            <w:vAlign w:val="center"/>
            <w:hideMark/>
          </w:tcPr>
          <w:p w14:paraId="0870FD96" w14:textId="77777777" w:rsidR="006D63D0" w:rsidRPr="00121285" w:rsidRDefault="006D63D0" w:rsidP="001D09BD">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6.99 ± 0.05</w:t>
            </w:r>
          </w:p>
        </w:tc>
        <w:tc>
          <w:tcPr>
            <w:tcW w:w="0" w:type="auto"/>
            <w:vAlign w:val="center"/>
            <w:hideMark/>
          </w:tcPr>
          <w:p w14:paraId="71BD1132" w14:textId="77777777" w:rsidR="006D63D0" w:rsidRPr="00121285" w:rsidRDefault="006D63D0" w:rsidP="001D09BD">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0.21</w:t>
            </w:r>
          </w:p>
        </w:tc>
        <w:tc>
          <w:tcPr>
            <w:tcW w:w="0" w:type="auto"/>
            <w:vAlign w:val="center"/>
            <w:hideMark/>
          </w:tcPr>
          <w:p w14:paraId="7D49A3B8" w14:textId="77777777" w:rsidR="006D63D0" w:rsidRPr="00121285" w:rsidRDefault="006D63D0" w:rsidP="001D09BD">
            <w:pPr>
              <w:spacing w:after="0" w:line="240" w:lineRule="auto"/>
              <w:jc w:val="both"/>
              <w:rPr>
                <w:rFonts w:ascii="Times New Roman" w:hAnsi="Times New Roman" w:cs="Times New Roman"/>
                <w:iCs/>
                <w:sz w:val="24"/>
                <w:szCs w:val="24"/>
              </w:rPr>
            </w:pPr>
            <w:r w:rsidRPr="00121285">
              <w:rPr>
                <w:rFonts w:ascii="Times New Roman" w:hAnsi="Times New Roman" w:cs="Times New Roman"/>
                <w:iCs/>
                <w:sz w:val="24"/>
                <w:szCs w:val="24"/>
              </w:rPr>
              <w:t>38.3%</w:t>
            </w:r>
          </w:p>
        </w:tc>
      </w:tr>
    </w:tbl>
    <w:p w14:paraId="3F283619" w14:textId="77777777" w:rsidR="00B4489D" w:rsidRDefault="00B4489D" w:rsidP="001D09BD">
      <w:pPr>
        <w:spacing w:after="0" w:line="240" w:lineRule="auto"/>
        <w:ind w:firstLine="708"/>
        <w:jc w:val="both"/>
        <w:rPr>
          <w:rFonts w:ascii="Times New Roman" w:hAnsi="Times New Roman" w:cs="Times New Roman"/>
          <w:iCs/>
          <w:sz w:val="24"/>
          <w:szCs w:val="24"/>
        </w:rPr>
      </w:pPr>
    </w:p>
    <w:p w14:paraId="3CEE40C6" w14:textId="70148578" w:rsidR="00FC053B" w:rsidRDefault="00FC053B" w:rsidP="001D09BD">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To</w:t>
      </w:r>
      <w:r w:rsidRPr="00EB371D">
        <w:rPr>
          <w:rFonts w:ascii="Times New Roman" w:hAnsi="Times New Roman" w:cs="Times New Roman"/>
          <w:iCs/>
          <w:sz w:val="28"/>
          <w:szCs w:val="28"/>
        </w:rPr>
        <w:t xml:space="preserve"> inhibit virus replication</w:t>
      </w:r>
      <w:r>
        <w:rPr>
          <w:rFonts w:ascii="Times New Roman" w:hAnsi="Times New Roman" w:cs="Times New Roman"/>
          <w:iCs/>
          <w:sz w:val="28"/>
          <w:szCs w:val="28"/>
        </w:rPr>
        <w:t>, the</w:t>
      </w:r>
      <w:r w:rsidRPr="00EB371D">
        <w:rPr>
          <w:rFonts w:ascii="Times New Roman" w:hAnsi="Times New Roman" w:cs="Times New Roman"/>
          <w:iCs/>
          <w:sz w:val="28"/>
          <w:szCs w:val="28"/>
        </w:rPr>
        <w:t xml:space="preserve"> prodrug Tenvir-TAF (Tenofovir alafenamide), unlike Tenvir-TDF (tenofovir disoproxil fumarate), </w:t>
      </w:r>
      <w:r>
        <w:rPr>
          <w:rFonts w:ascii="Times New Roman" w:hAnsi="Times New Roman" w:cs="Times New Roman"/>
          <w:iCs/>
          <w:sz w:val="28"/>
          <w:szCs w:val="28"/>
        </w:rPr>
        <w:t>comes in a lower tablet dose—</w:t>
      </w:r>
      <w:r w:rsidRPr="00EB371D">
        <w:rPr>
          <w:rFonts w:ascii="Times New Roman" w:hAnsi="Times New Roman" w:cs="Times New Roman"/>
          <w:iCs/>
          <w:sz w:val="28"/>
          <w:szCs w:val="28"/>
        </w:rPr>
        <w:t xml:space="preserve">only 25mg. However, both salts are necessary to promote the </w:t>
      </w:r>
      <w:r>
        <w:rPr>
          <w:rFonts w:ascii="Times New Roman" w:hAnsi="Times New Roman" w:cs="Times New Roman"/>
          <w:iCs/>
          <w:sz w:val="28"/>
          <w:szCs w:val="28"/>
        </w:rPr>
        <w:t>intestinal absorption of the active molecule, tenofovir</w:t>
      </w:r>
      <w:r w:rsidRPr="00EB371D">
        <w:rPr>
          <w:rFonts w:ascii="Times New Roman" w:hAnsi="Times New Roman" w:cs="Times New Roman"/>
          <w:iCs/>
          <w:sz w:val="28"/>
          <w:szCs w:val="28"/>
        </w:rPr>
        <w:t xml:space="preserve"> [115, 126]</w:t>
      </w:r>
      <w:r w:rsidR="001D09BD">
        <w:rPr>
          <w:rFonts w:ascii="Times New Roman" w:hAnsi="Times New Roman" w:cs="Times New Roman"/>
          <w:iCs/>
          <w:sz w:val="28"/>
          <w:szCs w:val="28"/>
        </w:rPr>
        <w:t>.</w:t>
      </w:r>
    </w:p>
    <w:p w14:paraId="7FA751DB" w14:textId="482704C5" w:rsidR="00A45FE2" w:rsidRPr="00EB371D" w:rsidRDefault="00E61D35" w:rsidP="00C27207">
      <w:pPr>
        <w:spacing w:after="0" w:line="240" w:lineRule="auto"/>
        <w:ind w:firstLine="709"/>
        <w:jc w:val="both"/>
        <w:rPr>
          <w:rFonts w:ascii="Times New Roman" w:hAnsi="Times New Roman" w:cs="Times New Roman"/>
          <w:iCs/>
          <w:sz w:val="28"/>
          <w:szCs w:val="28"/>
        </w:rPr>
      </w:pPr>
      <w:r w:rsidRPr="00EB371D">
        <w:rPr>
          <w:rFonts w:ascii="Times New Roman" w:hAnsi="Times New Roman" w:cs="Times New Roman"/>
          <w:iCs/>
          <w:sz w:val="28"/>
          <w:szCs w:val="28"/>
        </w:rPr>
        <w:t xml:space="preserve">The drugs were added 1 hour before </w:t>
      </w:r>
      <w:r w:rsidR="007C7692">
        <w:rPr>
          <w:rFonts w:ascii="Times New Roman" w:hAnsi="Times New Roman" w:cs="Times New Roman"/>
          <w:iCs/>
          <w:sz w:val="28"/>
          <w:szCs w:val="28"/>
        </w:rPr>
        <w:t xml:space="preserve">infection of the cell culture </w:t>
      </w:r>
      <w:r w:rsidRPr="00EB371D">
        <w:rPr>
          <w:rFonts w:ascii="Times New Roman" w:hAnsi="Times New Roman" w:cs="Times New Roman"/>
          <w:iCs/>
          <w:sz w:val="28"/>
          <w:szCs w:val="28"/>
        </w:rPr>
        <w:t xml:space="preserve">with the SARS-CoV-2 strain. The data </w:t>
      </w:r>
      <w:r w:rsidR="007C7692">
        <w:rPr>
          <w:rFonts w:ascii="Times New Roman" w:hAnsi="Times New Roman" w:cs="Times New Roman"/>
          <w:iCs/>
          <w:sz w:val="28"/>
          <w:szCs w:val="28"/>
        </w:rPr>
        <w:t>differ significantly from</w:t>
      </w:r>
      <w:r w:rsidRPr="00EB371D">
        <w:rPr>
          <w:rFonts w:ascii="Times New Roman" w:hAnsi="Times New Roman" w:cs="Times New Roman"/>
          <w:iCs/>
          <w:sz w:val="28"/>
          <w:szCs w:val="28"/>
        </w:rPr>
        <w:t xml:space="preserve"> the control (p ≤ 0.05). The Wilcoxon test for related samples was employed. </w:t>
      </w:r>
    </w:p>
    <w:p w14:paraId="5D8D7FCE" w14:textId="77777777" w:rsidR="00226539" w:rsidRPr="00EC1916" w:rsidRDefault="00853685" w:rsidP="00EB371D">
      <w:pPr>
        <w:spacing w:after="0" w:line="240" w:lineRule="auto"/>
        <w:ind w:firstLine="709"/>
        <w:jc w:val="both"/>
        <w:rPr>
          <w:rFonts w:ascii="Times New Roman" w:hAnsi="Times New Roman" w:cs="Times New Roman"/>
          <w:i/>
          <w:sz w:val="28"/>
          <w:szCs w:val="28"/>
          <w:u w:val="single"/>
        </w:rPr>
      </w:pPr>
      <w:r w:rsidRPr="00EC1916">
        <w:rPr>
          <w:rFonts w:ascii="Times New Roman" w:hAnsi="Times New Roman" w:cs="Times New Roman"/>
          <w:i/>
          <w:sz w:val="28"/>
          <w:szCs w:val="28"/>
          <w:u w:val="single"/>
        </w:rPr>
        <w:t xml:space="preserve">Ribavirin-inhibition assay </w:t>
      </w:r>
    </w:p>
    <w:p w14:paraId="7A1163EA" w14:textId="2EF29F44" w:rsidR="00D56D48" w:rsidRPr="00EB371D" w:rsidRDefault="00D56D48" w:rsidP="00EB371D">
      <w:pPr>
        <w:spacing w:after="0" w:line="240" w:lineRule="auto"/>
        <w:ind w:firstLine="709"/>
        <w:jc w:val="both"/>
        <w:rPr>
          <w:rFonts w:ascii="Times New Roman" w:hAnsi="Times New Roman" w:cs="Times New Roman"/>
          <w:iCs/>
          <w:sz w:val="28"/>
          <w:szCs w:val="28"/>
        </w:rPr>
      </w:pPr>
      <w:r w:rsidRPr="00EB371D">
        <w:rPr>
          <w:rFonts w:ascii="Times New Roman" w:hAnsi="Times New Roman" w:cs="Times New Roman"/>
          <w:iCs/>
          <w:sz w:val="28"/>
          <w:szCs w:val="28"/>
        </w:rPr>
        <w:t xml:space="preserve">This </w:t>
      </w:r>
      <w:r w:rsidR="00635E98" w:rsidRPr="00EB371D">
        <w:rPr>
          <w:rFonts w:ascii="Times New Roman" w:hAnsi="Times New Roman" w:cs="Times New Roman"/>
          <w:iCs/>
          <w:sz w:val="28"/>
          <w:szCs w:val="28"/>
        </w:rPr>
        <w:t>indicates</w:t>
      </w:r>
      <w:r w:rsidR="00947875" w:rsidRPr="00EB371D">
        <w:rPr>
          <w:rFonts w:ascii="Times New Roman" w:hAnsi="Times New Roman" w:cs="Times New Roman"/>
          <w:iCs/>
          <w:sz w:val="28"/>
          <w:szCs w:val="28"/>
        </w:rPr>
        <w:t xml:space="preserve"> (Figure 40)</w:t>
      </w:r>
      <w:r w:rsidR="00635E98" w:rsidRPr="00EB371D">
        <w:rPr>
          <w:rFonts w:ascii="Times New Roman" w:hAnsi="Times New Roman" w:cs="Times New Roman"/>
          <w:iCs/>
          <w:sz w:val="28"/>
          <w:szCs w:val="28"/>
        </w:rPr>
        <w:t xml:space="preserve"> that IC</w:t>
      </w:r>
      <w:r w:rsidR="00635E98" w:rsidRPr="00EB371D">
        <w:rPr>
          <w:rFonts w:ascii="Times New Roman" w:hAnsi="Times New Roman" w:cs="Times New Roman"/>
          <w:iCs/>
          <w:sz w:val="28"/>
          <w:szCs w:val="28"/>
          <w:vertAlign w:val="subscript"/>
        </w:rPr>
        <w:t>90</w:t>
      </w:r>
      <w:r w:rsidR="00635E98" w:rsidRPr="00EB371D">
        <w:rPr>
          <w:rFonts w:ascii="Times New Roman" w:hAnsi="Times New Roman" w:cs="Times New Roman"/>
          <w:iCs/>
          <w:sz w:val="28"/>
          <w:szCs w:val="28"/>
        </w:rPr>
        <w:t xml:space="preserve"> was achieved through pretreatment with </w:t>
      </w:r>
      <w:r w:rsidRPr="00EB371D">
        <w:rPr>
          <w:rFonts w:ascii="Times New Roman" w:hAnsi="Times New Roman" w:cs="Times New Roman"/>
          <w:iCs/>
          <w:sz w:val="28"/>
          <w:szCs w:val="28"/>
        </w:rPr>
        <w:t xml:space="preserve">Vero cells. Some cells </w:t>
      </w:r>
      <w:r w:rsidR="007C7692">
        <w:rPr>
          <w:rFonts w:ascii="Times New Roman" w:hAnsi="Times New Roman" w:cs="Times New Roman"/>
          <w:iCs/>
          <w:sz w:val="28"/>
          <w:szCs w:val="28"/>
        </w:rPr>
        <w:t xml:space="preserve">showed low survival rates for at least two reasons: first, viral load can cause a cytopathic effect; second, even </w:t>
      </w:r>
      <w:r w:rsidR="004F33A0">
        <w:rPr>
          <w:rFonts w:ascii="Times New Roman" w:hAnsi="Times New Roman" w:cs="Times New Roman"/>
          <w:iCs/>
          <w:sz w:val="28"/>
          <w:szCs w:val="28"/>
        </w:rPr>
        <w:t>at EC50 drug concentrations, they</w:t>
      </w:r>
      <w:r w:rsidR="007C7692">
        <w:rPr>
          <w:rFonts w:ascii="Times New Roman" w:hAnsi="Times New Roman" w:cs="Times New Roman"/>
          <w:iCs/>
          <w:sz w:val="28"/>
          <w:szCs w:val="28"/>
        </w:rPr>
        <w:t xml:space="preserve"> can reduce </w:t>
      </w:r>
      <w:r w:rsidR="004C7727" w:rsidRPr="00EB371D">
        <w:rPr>
          <w:rFonts w:ascii="Times New Roman" w:hAnsi="Times New Roman" w:cs="Times New Roman"/>
          <w:iCs/>
          <w:sz w:val="28"/>
          <w:szCs w:val="28"/>
        </w:rPr>
        <w:lastRenderedPageBreak/>
        <w:t>host-cell fitness, especially when</w:t>
      </w:r>
      <w:r w:rsidR="003C738C" w:rsidRPr="00EB371D">
        <w:rPr>
          <w:rFonts w:ascii="Times New Roman" w:hAnsi="Times New Roman" w:cs="Times New Roman"/>
          <w:iCs/>
          <w:sz w:val="28"/>
          <w:szCs w:val="28"/>
        </w:rPr>
        <w:t xml:space="preserve"> administered orally</w:t>
      </w:r>
      <w:r w:rsidR="00FF4F05" w:rsidRPr="00EB371D">
        <w:rPr>
          <w:rFonts w:ascii="Times New Roman" w:hAnsi="Times New Roman" w:cs="Times New Roman"/>
          <w:iCs/>
          <w:sz w:val="28"/>
          <w:szCs w:val="28"/>
        </w:rPr>
        <w:t xml:space="preserve"> [114]</w:t>
      </w:r>
      <w:r w:rsidRPr="00EB371D">
        <w:rPr>
          <w:rFonts w:ascii="Times New Roman" w:hAnsi="Times New Roman" w:cs="Times New Roman"/>
          <w:iCs/>
          <w:sz w:val="28"/>
          <w:szCs w:val="28"/>
        </w:rPr>
        <w:t xml:space="preserve">. </w:t>
      </w:r>
      <w:r w:rsidR="00947875" w:rsidRPr="00EB371D">
        <w:rPr>
          <w:rFonts w:ascii="Times New Roman" w:hAnsi="Times New Roman" w:cs="Times New Roman"/>
          <w:iCs/>
          <w:sz w:val="28"/>
          <w:szCs w:val="28"/>
        </w:rPr>
        <w:t xml:space="preserve">The intact VeroE6 cells, seeded in 96-well plates, were inoculated with SARS-CoV-2 at a titer during a 24-hour infection phase, and then 205 µM ribavirin was added. The 205 μM concentration and below of Ribavirin is considered a cytotoxic safe concentration; therefore, the tested inhibitor concentration did not affect cell viability (CC-levels) and viral stock dilution MOI 2, n = 3. </w:t>
      </w:r>
      <w:r w:rsidR="00947875" w:rsidRPr="00EB371D">
        <w:rPr>
          <w:rFonts w:ascii="Times New Roman" w:hAnsi="Times New Roman" w:cs="Times New Roman"/>
          <w:i/>
          <w:iCs/>
          <w:sz w:val="28"/>
          <w:szCs w:val="28"/>
        </w:rPr>
        <w:t>F</w:t>
      </w:r>
      <w:r w:rsidR="00947875" w:rsidRPr="00EB371D">
        <w:rPr>
          <w:rFonts w:ascii="Times New Roman" w:hAnsi="Times New Roman" w:cs="Times New Roman"/>
          <w:iCs/>
          <w:sz w:val="28"/>
          <w:szCs w:val="28"/>
        </w:rPr>
        <w:t xml:space="preserve"> (4,8) =1380.37, p&lt;0.0001</w:t>
      </w:r>
      <w:r w:rsidR="00947875" w:rsidRPr="00EB371D">
        <w:rPr>
          <w:rFonts w:ascii="Times New Roman" w:hAnsi="Times New Roman" w:cs="Times New Roman"/>
          <w:i/>
          <w:iCs/>
          <w:sz w:val="28"/>
          <w:szCs w:val="28"/>
        </w:rPr>
        <w:t>₀</w:t>
      </w:r>
      <w:r w:rsidR="00947875" w:rsidRPr="00EB371D">
        <w:rPr>
          <w:rFonts w:ascii="Times New Roman" w:hAnsi="Times New Roman" w:cs="Times New Roman"/>
          <w:iCs/>
          <w:sz w:val="28"/>
          <w:szCs w:val="28"/>
        </w:rPr>
        <w:t>.  Overall, the figure reflects a dose-dependent dual effect characteristic of Ribavirin, underscoring the importance of maintaining dosing near the EC₅₀ value (1.71 µg/mL) to maximise antiviral efficacy while minimising cytotoxicity.</w:t>
      </w:r>
      <w:r w:rsidR="007C6AD6" w:rsidRPr="00EB371D">
        <w:rPr>
          <w:rFonts w:ascii="Times New Roman" w:hAnsi="Times New Roman" w:cs="Times New Roman"/>
          <w:iCs/>
          <w:sz w:val="28"/>
          <w:szCs w:val="28"/>
        </w:rPr>
        <w:t xml:space="preserve"> </w:t>
      </w:r>
      <w:r w:rsidR="00947875" w:rsidRPr="00EB371D">
        <w:rPr>
          <w:rFonts w:ascii="Times New Roman" w:hAnsi="Times New Roman" w:cs="Times New Roman"/>
          <w:iCs/>
          <w:sz w:val="28"/>
          <w:szCs w:val="28"/>
        </w:rPr>
        <w:t xml:space="preserve">Drug concentration has a statistically significant effect on cell survival rate. Effect Direction: Survival rate decreases as concentration increases: 50 µg/ml: 99.00% → 200 µg/ml: 20.33% (dose-dependent toxicity). </w:t>
      </w:r>
    </w:p>
    <w:p w14:paraId="2CDF26C3" w14:textId="77777777" w:rsidR="00A45FE2" w:rsidRDefault="005C1735" w:rsidP="00A45FE2">
      <w:pPr>
        <w:spacing w:line="240" w:lineRule="auto"/>
        <w:ind w:firstLine="708"/>
        <w:jc w:val="both"/>
        <w:rPr>
          <w:rFonts w:ascii="Times New Roman" w:hAnsi="Times New Roman" w:cs="Times New Roman"/>
          <w:iCs/>
          <w:sz w:val="28"/>
          <w:szCs w:val="28"/>
          <w:lang w:val="en-US"/>
        </w:rPr>
      </w:pPr>
      <w:r w:rsidRPr="00EB371D">
        <w:rPr>
          <w:rFonts w:ascii="Times New Roman" w:hAnsi="Times New Roman" w:cs="Times New Roman"/>
          <w:iCs/>
          <w:sz w:val="28"/>
          <w:szCs w:val="28"/>
          <w:lang w:val="en-US"/>
        </w:rPr>
        <w:t xml:space="preserve">The results in Figure 37 demonstrate a dose-dependent antiviral effect of Ribavirin, characterised by a rapid increase in efficacy with increasing concentration up to 25–35 × 10⁻⁶ M. </w:t>
      </w:r>
    </w:p>
    <w:p w14:paraId="1F715A60" w14:textId="5BE64B2F" w:rsidR="00D56D48" w:rsidRPr="00A45FE2" w:rsidRDefault="00A45FE2" w:rsidP="00A45FE2">
      <w:pPr>
        <w:spacing w:line="240" w:lineRule="auto"/>
        <w:ind w:firstLine="708"/>
        <w:jc w:val="center"/>
        <w:rPr>
          <w:rFonts w:ascii="Times New Roman" w:hAnsi="Times New Roman" w:cs="Times New Roman"/>
          <w:iCs/>
          <w:sz w:val="28"/>
          <w:szCs w:val="28"/>
          <w:lang w:val="en-US"/>
        </w:rPr>
      </w:pPr>
      <w:r w:rsidRPr="00A45FE2">
        <w:rPr>
          <w:rFonts w:ascii="Times New Roman" w:hAnsi="Times New Roman" w:cs="Times New Roman"/>
          <w:iCs/>
          <w:noProof/>
          <w:sz w:val="28"/>
          <w:szCs w:val="28"/>
          <w:lang w:val="ru-RU"/>
        </w:rPr>
        <w:drawing>
          <wp:inline distT="0" distB="0" distL="0" distR="0" wp14:anchorId="21C3E494" wp14:editId="651934CD">
            <wp:extent cx="5669327" cy="4298950"/>
            <wp:effectExtent l="0" t="0" r="7620" b="6350"/>
            <wp:docPr id="146464606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4636" r="-484"/>
                    <a:stretch>
                      <a:fillRect/>
                    </a:stretch>
                  </pic:blipFill>
                  <pic:spPr bwMode="auto">
                    <a:xfrm>
                      <a:off x="0" y="0"/>
                      <a:ext cx="5695253" cy="4318609"/>
                    </a:xfrm>
                    <a:prstGeom prst="rect">
                      <a:avLst/>
                    </a:prstGeom>
                    <a:noFill/>
                    <a:ln>
                      <a:noFill/>
                    </a:ln>
                    <a:extLst>
                      <a:ext uri="{53640926-AAD7-44D8-BBD7-CCE9431645EC}">
                        <a14:shadowObscured xmlns:a14="http://schemas.microsoft.com/office/drawing/2010/main"/>
                      </a:ext>
                    </a:extLst>
                  </pic:spPr>
                </pic:pic>
              </a:graphicData>
            </a:graphic>
          </wp:inline>
        </w:drawing>
      </w:r>
    </w:p>
    <w:p w14:paraId="786F1E1C" w14:textId="59E31E4B" w:rsidR="003B5D78" w:rsidRDefault="00853685" w:rsidP="00EB371D">
      <w:pPr>
        <w:spacing w:after="0" w:line="240" w:lineRule="auto"/>
        <w:jc w:val="center"/>
        <w:rPr>
          <w:rFonts w:ascii="Times New Roman" w:hAnsi="Times New Roman" w:cs="Times New Roman"/>
          <w:iCs/>
          <w:sz w:val="28"/>
          <w:szCs w:val="28"/>
          <w:lang w:val="en-US"/>
        </w:rPr>
      </w:pPr>
      <w:r w:rsidRPr="00EB371D">
        <w:rPr>
          <w:rFonts w:ascii="Times New Roman" w:hAnsi="Times New Roman" w:cs="Times New Roman"/>
          <w:iCs/>
          <w:sz w:val="28"/>
          <w:szCs w:val="28"/>
        </w:rPr>
        <w:t xml:space="preserve">Figure </w:t>
      </w:r>
      <w:r w:rsidR="005C1735" w:rsidRPr="00EB371D">
        <w:rPr>
          <w:rFonts w:ascii="Times New Roman" w:hAnsi="Times New Roman" w:cs="Times New Roman"/>
          <w:iCs/>
          <w:sz w:val="28"/>
          <w:szCs w:val="28"/>
        </w:rPr>
        <w:t>37</w:t>
      </w:r>
      <w:r w:rsidR="00A75C84" w:rsidRPr="00EB371D">
        <w:rPr>
          <w:rFonts w:ascii="Times New Roman" w:hAnsi="Times New Roman" w:cs="Times New Roman"/>
          <w:iCs/>
          <w:sz w:val="28"/>
          <w:szCs w:val="28"/>
        </w:rPr>
        <w:t xml:space="preserve"> –</w:t>
      </w:r>
      <w:r w:rsidRPr="00EB371D">
        <w:rPr>
          <w:rFonts w:ascii="Times New Roman" w:hAnsi="Times New Roman" w:cs="Times New Roman"/>
          <w:iCs/>
          <w:sz w:val="28"/>
          <w:szCs w:val="28"/>
        </w:rPr>
        <w:t xml:space="preserve"> </w:t>
      </w:r>
      <w:r w:rsidR="00947875" w:rsidRPr="00EB371D">
        <w:rPr>
          <w:rFonts w:ascii="Times New Roman" w:hAnsi="Times New Roman" w:cs="Times New Roman"/>
          <w:iCs/>
          <w:sz w:val="28"/>
          <w:szCs w:val="28"/>
          <w:lang w:val="en-US"/>
        </w:rPr>
        <w:t>Figure illustrates the dose–response relationship between Ribavirin concentration (10⁻⁶ M) and two key parameters evaluated in Vero E6 cells</w:t>
      </w:r>
    </w:p>
    <w:p w14:paraId="2981FD5B" w14:textId="77777777" w:rsidR="003B5D78" w:rsidRDefault="003B5D78" w:rsidP="00EB371D">
      <w:pPr>
        <w:spacing w:after="0" w:line="240" w:lineRule="auto"/>
        <w:jc w:val="center"/>
        <w:rPr>
          <w:rFonts w:ascii="Times New Roman" w:hAnsi="Times New Roman" w:cs="Times New Roman"/>
          <w:iCs/>
          <w:sz w:val="28"/>
          <w:szCs w:val="28"/>
          <w:lang w:val="en-US"/>
        </w:rPr>
      </w:pPr>
    </w:p>
    <w:p w14:paraId="03856563" w14:textId="6C37D634" w:rsidR="003B5D78" w:rsidRDefault="00947875" w:rsidP="003B5D78">
      <w:pPr>
        <w:spacing w:after="0" w:line="240" w:lineRule="auto"/>
        <w:ind w:firstLine="708"/>
        <w:jc w:val="both"/>
        <w:rPr>
          <w:rFonts w:ascii="Times New Roman" w:hAnsi="Times New Roman" w:cs="Times New Roman"/>
          <w:iCs/>
          <w:sz w:val="28"/>
          <w:szCs w:val="28"/>
          <w:lang w:val="en-US"/>
        </w:rPr>
      </w:pPr>
      <w:r w:rsidRPr="00EB371D">
        <w:rPr>
          <w:rFonts w:ascii="Times New Roman" w:hAnsi="Times New Roman" w:cs="Times New Roman"/>
          <w:iCs/>
          <w:sz w:val="28"/>
          <w:szCs w:val="28"/>
          <w:lang w:val="en-US"/>
        </w:rPr>
        <w:t xml:space="preserve"> </w:t>
      </w:r>
      <w:r w:rsidR="003B5D78">
        <w:rPr>
          <w:rFonts w:ascii="Times New Roman" w:hAnsi="Times New Roman" w:cs="Times New Roman"/>
          <w:iCs/>
          <w:sz w:val="28"/>
          <w:szCs w:val="28"/>
          <w:lang w:val="en-US"/>
        </w:rPr>
        <w:t>Antiviral</w:t>
      </w:r>
      <w:r w:rsidRPr="00EB371D">
        <w:rPr>
          <w:rFonts w:ascii="Times New Roman" w:hAnsi="Times New Roman" w:cs="Times New Roman"/>
          <w:iCs/>
          <w:sz w:val="28"/>
          <w:szCs w:val="28"/>
          <w:lang w:val="en-US"/>
        </w:rPr>
        <w:t xml:space="preserve"> efficacy (CE, %), which quantifies the inhibition coefficient of SARS-CoV-2 replication, and cytotoxicity (CC, %), representing the percentage of cell death or viability loss induced by the compound. The data reveal that Ribavirin exhibits a progressive increase in antiviral efficacy with rising concentration, reaching near-maximal inhibition (≈95%) at higher doses</w:t>
      </w:r>
      <w:r w:rsidR="003B5D78">
        <w:rPr>
          <w:rFonts w:ascii="Times New Roman" w:hAnsi="Times New Roman" w:cs="Times New Roman"/>
          <w:iCs/>
          <w:sz w:val="28"/>
          <w:szCs w:val="28"/>
          <w:lang w:val="en-US"/>
        </w:rPr>
        <w:t>.</w:t>
      </w:r>
      <w:r w:rsidRPr="00EB371D">
        <w:rPr>
          <w:rFonts w:ascii="Times New Roman" w:hAnsi="Times New Roman" w:cs="Times New Roman"/>
          <w:iCs/>
          <w:sz w:val="28"/>
          <w:szCs w:val="28"/>
          <w:lang w:val="en-US"/>
        </w:rPr>
        <w:t xml:space="preserve"> </w:t>
      </w:r>
    </w:p>
    <w:p w14:paraId="47BAB312" w14:textId="3A037A97" w:rsidR="005C1735" w:rsidRDefault="00947875" w:rsidP="003B5D78">
      <w:pPr>
        <w:spacing w:after="0" w:line="240" w:lineRule="auto"/>
        <w:ind w:firstLine="708"/>
        <w:jc w:val="both"/>
        <w:rPr>
          <w:rFonts w:ascii="Times New Roman" w:hAnsi="Times New Roman" w:cs="Times New Roman"/>
          <w:iCs/>
          <w:sz w:val="28"/>
          <w:szCs w:val="28"/>
        </w:rPr>
      </w:pPr>
      <w:r w:rsidRPr="00EB371D">
        <w:rPr>
          <w:rFonts w:ascii="Times New Roman" w:hAnsi="Times New Roman" w:cs="Times New Roman"/>
          <w:iCs/>
          <w:sz w:val="28"/>
          <w:szCs w:val="28"/>
          <w:lang w:val="en-US"/>
        </w:rPr>
        <w:lastRenderedPageBreak/>
        <w:t xml:space="preserve">However, this is paralleled by a corresponding increase in cytotoxicity, which becomes significant at concentrations exceeding 25–30 µM. The relationship indicates a narrow therapeutic window, where effective viral inhibition is achieved but </w:t>
      </w:r>
      <w:r w:rsidR="00A45FE2">
        <w:rPr>
          <w:rFonts w:ascii="Times New Roman" w:hAnsi="Times New Roman" w:cs="Times New Roman"/>
          <w:iCs/>
          <w:sz w:val="28"/>
          <w:szCs w:val="28"/>
          <w:lang w:val="en-US"/>
        </w:rPr>
        <w:t>is accompanied by elevated toxicity at higher concentrations</w:t>
      </w:r>
      <w:r w:rsidRPr="00EB371D">
        <w:rPr>
          <w:rFonts w:ascii="Times New Roman" w:hAnsi="Times New Roman" w:cs="Times New Roman"/>
          <w:iCs/>
          <w:sz w:val="28"/>
          <w:szCs w:val="28"/>
          <w:lang w:val="en-US"/>
        </w:rPr>
        <w:t>. Overall, the figure reflects a dose-dependent dual effect characteristic of Ribavirin, underscoring the importance of maintaining dosing near the EC₅₀ value (1.71 µg/mL) to maximise antiviral efficacy while minimising cytotoxicity.</w:t>
      </w:r>
      <w:r w:rsidRPr="00EB371D">
        <w:rPr>
          <w:rFonts w:ascii="Times New Roman" w:hAnsi="Times New Roman" w:cs="Times New Roman"/>
          <w:iCs/>
          <w:sz w:val="28"/>
          <w:szCs w:val="28"/>
        </w:rPr>
        <w:t xml:space="preserve"> The data </w:t>
      </w:r>
      <w:r w:rsidR="003B5D78">
        <w:rPr>
          <w:rFonts w:ascii="Times New Roman" w:hAnsi="Times New Roman" w:cs="Times New Roman"/>
          <w:iCs/>
          <w:sz w:val="28"/>
          <w:szCs w:val="28"/>
        </w:rPr>
        <w:t>were analysed using</w:t>
      </w:r>
      <w:r w:rsidRPr="00EB371D">
        <w:rPr>
          <w:rFonts w:ascii="Times New Roman" w:hAnsi="Times New Roman" w:cs="Times New Roman"/>
          <w:iCs/>
          <w:sz w:val="28"/>
          <w:szCs w:val="28"/>
        </w:rPr>
        <w:t xml:space="preserve"> an ANOVA test</w:t>
      </w:r>
      <w:r w:rsidR="00300801" w:rsidRPr="00EB371D">
        <w:rPr>
          <w:rFonts w:ascii="Times New Roman" w:hAnsi="Times New Roman" w:cs="Times New Roman"/>
          <w:iCs/>
          <w:sz w:val="28"/>
          <w:szCs w:val="28"/>
        </w:rPr>
        <w:t>.</w:t>
      </w:r>
    </w:p>
    <w:p w14:paraId="7F07E2B0" w14:textId="7A0BA646" w:rsidR="00A45FE2" w:rsidRPr="003B5D78" w:rsidRDefault="00A45FE2" w:rsidP="00A45FE2">
      <w:pPr>
        <w:spacing w:line="240" w:lineRule="auto"/>
        <w:ind w:firstLine="708"/>
        <w:jc w:val="both"/>
        <w:rPr>
          <w:rFonts w:ascii="Times New Roman" w:hAnsi="Times New Roman" w:cs="Times New Roman"/>
          <w:iCs/>
          <w:sz w:val="28"/>
          <w:szCs w:val="28"/>
          <w:lang w:val="en-US"/>
        </w:rPr>
      </w:pPr>
      <w:r w:rsidRPr="00EB371D">
        <w:rPr>
          <w:rFonts w:ascii="Times New Roman" w:hAnsi="Times New Roman" w:cs="Times New Roman"/>
          <w:iCs/>
          <w:sz w:val="28"/>
          <w:szCs w:val="28"/>
          <w:lang w:val="en-US"/>
        </w:rPr>
        <w:t>At the same time, cytotoxicity follows a similar</w:t>
      </w:r>
      <w:r w:rsidR="00615880">
        <w:rPr>
          <w:rFonts w:ascii="Times New Roman" w:hAnsi="Times New Roman" w:cs="Times New Roman"/>
          <w:iCs/>
          <w:sz w:val="28"/>
          <w:szCs w:val="28"/>
          <w:lang w:val="en-US"/>
        </w:rPr>
        <w:t>, though slightly delayed,</w:t>
      </w:r>
      <w:r w:rsidRPr="00EB371D">
        <w:rPr>
          <w:rFonts w:ascii="Times New Roman" w:hAnsi="Times New Roman" w:cs="Times New Roman"/>
          <w:iCs/>
          <w:sz w:val="28"/>
          <w:szCs w:val="28"/>
          <w:lang w:val="en-US"/>
        </w:rPr>
        <w:t xml:space="preserve"> upward trend, indicating that antiviral potency and cell toxicity rise concurrently beyond 20 µM.  At 7 µM, Ribavirin exhibited 50% efficacy with only 20% cytotoxicity, suggesting a favourable therapeutic window. Between 20 and 25 µM, efficacy plateaued </w:t>
      </w:r>
      <w:r>
        <w:rPr>
          <w:rFonts w:ascii="Times New Roman" w:hAnsi="Times New Roman" w:cs="Times New Roman"/>
          <w:iCs/>
          <w:sz w:val="28"/>
          <w:szCs w:val="28"/>
          <w:lang w:val="en-US"/>
        </w:rPr>
        <w:t>at 80–90%, while cytotoxicity increased moderately to 50%, indicating an approximate EC₅₀ of</w:t>
      </w:r>
      <w:r w:rsidRPr="00EB371D">
        <w:rPr>
          <w:rFonts w:ascii="Times New Roman" w:hAnsi="Times New Roman" w:cs="Times New Roman"/>
          <w:iCs/>
          <w:sz w:val="28"/>
          <w:szCs w:val="28"/>
          <w:lang w:val="en-US"/>
        </w:rPr>
        <w:t xml:space="preserve"> 1.71 µg/mL. At 30–35 µM, efficacy approached maximum inhibition (92–95%), but cytotoxicity also increased sharply (70–90%), suggesting proximity to the ECmax (50 µg/mL) and potential cellular damage at higher concentrations.</w:t>
      </w:r>
    </w:p>
    <w:p w14:paraId="00EB0D94" w14:textId="1B3E9842" w:rsidR="00226539" w:rsidRPr="00EB371D" w:rsidRDefault="00853685" w:rsidP="00EB371D">
      <w:pPr>
        <w:spacing w:after="0" w:line="240" w:lineRule="auto"/>
        <w:ind w:firstLine="708"/>
        <w:jc w:val="both"/>
        <w:rPr>
          <w:rFonts w:ascii="Times New Roman" w:hAnsi="Times New Roman" w:cs="Times New Roman"/>
          <w:i/>
          <w:sz w:val="28"/>
          <w:szCs w:val="28"/>
          <w:u w:val="single"/>
        </w:rPr>
      </w:pPr>
      <w:r w:rsidRPr="00EB371D">
        <w:rPr>
          <w:rFonts w:ascii="Times New Roman" w:hAnsi="Times New Roman" w:cs="Times New Roman"/>
          <w:i/>
          <w:sz w:val="28"/>
          <w:szCs w:val="28"/>
          <w:u w:val="single"/>
        </w:rPr>
        <w:t xml:space="preserve">Tenofovir - inhibition assay </w:t>
      </w:r>
    </w:p>
    <w:p w14:paraId="0B1AB627" w14:textId="52D06DFF" w:rsidR="00D56D48" w:rsidRDefault="00D56D48" w:rsidP="00EB371D">
      <w:pPr>
        <w:spacing w:after="0" w:line="240" w:lineRule="auto"/>
        <w:ind w:firstLine="708"/>
        <w:jc w:val="both"/>
        <w:rPr>
          <w:rFonts w:ascii="Times New Roman" w:hAnsi="Times New Roman" w:cs="Times New Roman"/>
          <w:iCs/>
          <w:sz w:val="24"/>
          <w:szCs w:val="24"/>
        </w:rPr>
      </w:pPr>
      <w:r w:rsidRPr="00EB371D">
        <w:rPr>
          <w:rFonts w:ascii="Times New Roman" w:hAnsi="Times New Roman" w:cs="Times New Roman"/>
          <w:iCs/>
          <w:sz w:val="28"/>
          <w:szCs w:val="28"/>
        </w:rPr>
        <w:t xml:space="preserve">This </w:t>
      </w:r>
      <w:r w:rsidR="00635E98" w:rsidRPr="00EB371D">
        <w:rPr>
          <w:rFonts w:ascii="Times New Roman" w:hAnsi="Times New Roman" w:cs="Times New Roman"/>
          <w:iCs/>
          <w:sz w:val="28"/>
          <w:szCs w:val="28"/>
        </w:rPr>
        <w:t>indicates</w:t>
      </w:r>
      <w:r w:rsidR="00F7381C" w:rsidRPr="00EB371D">
        <w:rPr>
          <w:rFonts w:ascii="Times New Roman" w:hAnsi="Times New Roman" w:cs="Times New Roman"/>
          <w:iCs/>
          <w:sz w:val="28"/>
          <w:szCs w:val="28"/>
        </w:rPr>
        <w:t xml:space="preserve"> (Figure </w:t>
      </w:r>
      <w:r w:rsidR="00B87D75">
        <w:rPr>
          <w:rFonts w:ascii="Times New Roman" w:hAnsi="Times New Roman" w:cs="Times New Roman"/>
          <w:iCs/>
          <w:sz w:val="28"/>
          <w:szCs w:val="28"/>
        </w:rPr>
        <w:t>38</w:t>
      </w:r>
      <w:r w:rsidR="00F7381C" w:rsidRPr="00EB371D">
        <w:rPr>
          <w:rFonts w:ascii="Times New Roman" w:hAnsi="Times New Roman" w:cs="Times New Roman"/>
          <w:iCs/>
          <w:sz w:val="28"/>
          <w:szCs w:val="28"/>
        </w:rPr>
        <w:t xml:space="preserve">) </w:t>
      </w:r>
      <w:r w:rsidR="00635E98" w:rsidRPr="00EB371D">
        <w:rPr>
          <w:rFonts w:ascii="Times New Roman" w:hAnsi="Times New Roman" w:cs="Times New Roman"/>
          <w:iCs/>
          <w:sz w:val="28"/>
          <w:szCs w:val="28"/>
        </w:rPr>
        <w:t>that IC</w:t>
      </w:r>
      <w:r w:rsidR="00635E98" w:rsidRPr="00EB371D">
        <w:rPr>
          <w:rFonts w:ascii="Times New Roman" w:hAnsi="Times New Roman" w:cs="Times New Roman"/>
          <w:iCs/>
          <w:sz w:val="28"/>
          <w:szCs w:val="28"/>
          <w:vertAlign w:val="subscript"/>
        </w:rPr>
        <w:t>99</w:t>
      </w:r>
      <w:r w:rsidR="00635E98" w:rsidRPr="00EB371D">
        <w:rPr>
          <w:rFonts w:ascii="Times New Roman" w:hAnsi="Times New Roman" w:cs="Times New Roman"/>
          <w:iCs/>
          <w:sz w:val="28"/>
          <w:szCs w:val="28"/>
        </w:rPr>
        <w:t xml:space="preserve"> was achieved through pretreatment with </w:t>
      </w:r>
      <w:r w:rsidRPr="00EB371D">
        <w:rPr>
          <w:rFonts w:ascii="Times New Roman" w:hAnsi="Times New Roman" w:cs="Times New Roman"/>
          <w:iCs/>
          <w:sz w:val="28"/>
          <w:szCs w:val="28"/>
        </w:rPr>
        <w:t xml:space="preserve">Vero cells. Some cells </w:t>
      </w:r>
      <w:r w:rsidR="00A45FE2">
        <w:rPr>
          <w:rFonts w:ascii="Times New Roman" w:hAnsi="Times New Roman" w:cs="Times New Roman"/>
          <w:iCs/>
          <w:sz w:val="28"/>
          <w:szCs w:val="28"/>
        </w:rPr>
        <w:t xml:space="preserve">showed low survival rates for at least two reasons: first, viral load can cause a cytopathic effect; second, even </w:t>
      </w:r>
      <w:r w:rsidR="00475CE2">
        <w:rPr>
          <w:rFonts w:ascii="Times New Roman" w:hAnsi="Times New Roman" w:cs="Times New Roman"/>
          <w:iCs/>
          <w:sz w:val="28"/>
          <w:szCs w:val="28"/>
        </w:rPr>
        <w:t>at EC50 drug concentrations, they</w:t>
      </w:r>
      <w:r w:rsidR="00A45FE2">
        <w:rPr>
          <w:rFonts w:ascii="Times New Roman" w:hAnsi="Times New Roman" w:cs="Times New Roman"/>
          <w:iCs/>
          <w:sz w:val="28"/>
          <w:szCs w:val="28"/>
        </w:rPr>
        <w:t xml:space="preserve"> can reduce </w:t>
      </w:r>
      <w:r w:rsidR="004C7727" w:rsidRPr="00EB371D">
        <w:rPr>
          <w:rFonts w:ascii="Times New Roman" w:hAnsi="Times New Roman" w:cs="Times New Roman"/>
          <w:iCs/>
          <w:sz w:val="28"/>
          <w:szCs w:val="28"/>
        </w:rPr>
        <w:t>host-cell fitness, especially when</w:t>
      </w:r>
      <w:r w:rsidR="00BC31AA" w:rsidRPr="00EB371D">
        <w:rPr>
          <w:rFonts w:ascii="Times New Roman" w:hAnsi="Times New Roman" w:cs="Times New Roman"/>
          <w:iCs/>
          <w:sz w:val="28"/>
          <w:szCs w:val="28"/>
        </w:rPr>
        <w:t xml:space="preserve"> administered orally</w:t>
      </w:r>
      <w:r w:rsidR="00F7381C" w:rsidRPr="00EB371D">
        <w:rPr>
          <w:rFonts w:ascii="Times New Roman" w:hAnsi="Times New Roman" w:cs="Times New Roman"/>
          <w:iCs/>
          <w:sz w:val="28"/>
          <w:szCs w:val="28"/>
        </w:rPr>
        <w:t xml:space="preserve"> [126]</w:t>
      </w:r>
      <w:r w:rsidRPr="00EB371D">
        <w:rPr>
          <w:rFonts w:ascii="Times New Roman" w:hAnsi="Times New Roman" w:cs="Times New Roman"/>
          <w:iCs/>
          <w:sz w:val="28"/>
          <w:szCs w:val="28"/>
        </w:rPr>
        <w:t xml:space="preserve">. </w:t>
      </w:r>
      <w:r w:rsidR="00652322" w:rsidRPr="00EB371D">
        <w:rPr>
          <w:rFonts w:ascii="Times New Roman" w:hAnsi="Times New Roman" w:cs="Times New Roman"/>
          <w:iCs/>
          <w:sz w:val="28"/>
          <w:szCs w:val="28"/>
        </w:rPr>
        <w:t xml:space="preserve"> </w:t>
      </w:r>
      <w:r w:rsidR="00F7381C" w:rsidRPr="00EB371D">
        <w:rPr>
          <w:rFonts w:ascii="Times New Roman" w:hAnsi="Times New Roman" w:cs="Times New Roman"/>
          <w:iCs/>
          <w:sz w:val="28"/>
          <w:szCs w:val="28"/>
        </w:rPr>
        <w:t xml:space="preserve">The intact VeroE6 cells seeded in 96-well plates were inoculated with SARS-CoV-2 </w:t>
      </w:r>
      <w:bookmarkStart w:id="49" w:name="_Hlk169177425"/>
      <w:r w:rsidR="00F7381C" w:rsidRPr="00EB371D">
        <w:rPr>
          <w:rFonts w:ascii="Times New Roman" w:hAnsi="Times New Roman" w:cs="Times New Roman"/>
          <w:iCs/>
          <w:sz w:val="28"/>
          <w:szCs w:val="28"/>
        </w:rPr>
        <w:t>at a titer during a 24-hour infection phase, and then IC</w:t>
      </w:r>
      <w:r w:rsidR="00F7381C" w:rsidRPr="00EB371D">
        <w:rPr>
          <w:rFonts w:ascii="Times New Roman" w:hAnsi="Times New Roman" w:cs="Times New Roman"/>
          <w:iCs/>
          <w:sz w:val="28"/>
          <w:szCs w:val="28"/>
          <w:vertAlign w:val="subscript"/>
        </w:rPr>
        <w:t>10</w:t>
      </w:r>
      <w:r w:rsidR="00F7381C" w:rsidRPr="00EB371D">
        <w:rPr>
          <w:rFonts w:ascii="Times New Roman" w:hAnsi="Times New Roman" w:cs="Times New Roman"/>
          <w:iCs/>
          <w:sz w:val="28"/>
          <w:szCs w:val="28"/>
        </w:rPr>
        <w:t xml:space="preserve"> (0.174 µM), IC50 (1.74 µM), and IC</w:t>
      </w:r>
      <w:r w:rsidR="00F7381C" w:rsidRPr="00EB371D">
        <w:rPr>
          <w:rFonts w:ascii="Times New Roman" w:hAnsi="Times New Roman" w:cs="Times New Roman"/>
          <w:iCs/>
          <w:sz w:val="28"/>
          <w:szCs w:val="28"/>
          <w:vertAlign w:val="subscript"/>
        </w:rPr>
        <w:t>100</w:t>
      </w:r>
      <w:r w:rsidR="00F7381C" w:rsidRPr="00EB371D">
        <w:rPr>
          <w:rFonts w:ascii="Times New Roman" w:hAnsi="Times New Roman" w:cs="Times New Roman"/>
          <w:iCs/>
          <w:sz w:val="28"/>
          <w:szCs w:val="28"/>
        </w:rPr>
        <w:t xml:space="preserve"> (17.4 µM) Tenvir (Tenofovir)</w:t>
      </w:r>
      <w:bookmarkEnd w:id="49"/>
      <w:r w:rsidR="00F7381C" w:rsidRPr="00EB371D">
        <w:rPr>
          <w:rFonts w:ascii="Times New Roman" w:hAnsi="Times New Roman" w:cs="Times New Roman"/>
          <w:iCs/>
          <w:sz w:val="28"/>
          <w:szCs w:val="28"/>
        </w:rPr>
        <w:t xml:space="preserve"> were added. The viral load was cytotoxicity high </w:t>
      </w:r>
      <w:r w:rsidR="00A45FE2">
        <w:rPr>
          <w:rFonts w:ascii="Times New Roman" w:hAnsi="Times New Roman" w:cs="Times New Roman"/>
          <w:iCs/>
          <w:sz w:val="28"/>
          <w:szCs w:val="28"/>
        </w:rPr>
        <w:t>(MOI 2)</w:t>
      </w:r>
      <w:r w:rsidR="00475CE2">
        <w:rPr>
          <w:rFonts w:ascii="Times New Roman" w:hAnsi="Times New Roman" w:cs="Times New Roman"/>
          <w:iCs/>
          <w:sz w:val="28"/>
          <w:szCs w:val="28"/>
        </w:rPr>
        <w:t>,</w:t>
      </w:r>
      <w:r w:rsidR="00A45FE2">
        <w:rPr>
          <w:rFonts w:ascii="Times New Roman" w:hAnsi="Times New Roman" w:cs="Times New Roman"/>
          <w:iCs/>
          <w:sz w:val="28"/>
          <w:szCs w:val="28"/>
        </w:rPr>
        <w:t xml:space="preserve"> and cell viability </w:t>
      </w:r>
      <w:r w:rsidR="00F7381C" w:rsidRPr="00EB371D">
        <w:rPr>
          <w:rFonts w:ascii="Times New Roman" w:hAnsi="Times New Roman" w:cs="Times New Roman"/>
          <w:iCs/>
          <w:sz w:val="28"/>
          <w:szCs w:val="28"/>
        </w:rPr>
        <w:t>decreased before the initiation of antiviral treatment. n = 3 [115,126]. Significant differences </w:t>
      </w:r>
      <w:r w:rsidR="00A45FE2">
        <w:rPr>
          <w:rFonts w:ascii="Times New Roman" w:hAnsi="Times New Roman" w:cs="Times New Roman"/>
          <w:iCs/>
          <w:sz w:val="28"/>
          <w:szCs w:val="28"/>
        </w:rPr>
        <w:t xml:space="preserve">in inhibition occur </w:t>
      </w:r>
      <w:r w:rsidR="00F7381C" w:rsidRPr="00EB371D">
        <w:rPr>
          <w:rFonts w:ascii="Times New Roman" w:hAnsi="Times New Roman" w:cs="Times New Roman"/>
          <w:iCs/>
          <w:sz w:val="28"/>
          <w:szCs w:val="28"/>
        </w:rPr>
        <w:t>across concentrations. Dose-Dependent Effect: Inhibition ↑ with concentration (22% at 0.174µM → 99.47% at 174µM). Potent Antiviral Activity Inhibition ↑ dramatically with concentration (22% → 99.47%). Extreme statistical significance (F=10202.88, p&lt;0.0001</w:t>
      </w:r>
      <w:r w:rsidR="00F7381C" w:rsidRPr="00EB371D">
        <w:rPr>
          <w:rFonts w:ascii="Times New Roman" w:hAnsi="Times New Roman" w:cs="Times New Roman"/>
          <w:i/>
          <w:iCs/>
          <w:sz w:val="28"/>
          <w:szCs w:val="28"/>
        </w:rPr>
        <w:t>p</w:t>
      </w:r>
      <w:r w:rsidR="00F7381C" w:rsidRPr="00EB371D">
        <w:rPr>
          <w:rFonts w:ascii="Times New Roman" w:hAnsi="Times New Roman" w:cs="Times New Roman"/>
          <w:iCs/>
          <w:sz w:val="28"/>
          <w:szCs w:val="28"/>
        </w:rPr>
        <w:t>&lt;0.0001) indicates robust dose-response. Concentration-Dependent Cytotoxicity: CC ↓ significantly increased with concentration ↑ (97% → 80.67%), though less steeply than inhibition. Confirms cellular toxicity at higher doses. Therapeutic Window: At 17.4µM: Inhibition = 80% (effective) and CC = 88% (low toxicity). At 174µM: Near-complete inhibition (99.47%) but higher toxicity (CC = 80.67%).</w:t>
      </w:r>
      <w:r w:rsidR="00F7381C" w:rsidRPr="00F7381C">
        <w:rPr>
          <w:rFonts w:ascii="Times New Roman" w:hAnsi="Times New Roman" w:cs="Times New Roman"/>
          <w:iCs/>
          <w:sz w:val="24"/>
          <w:szCs w:val="24"/>
        </w:rPr>
        <w:t xml:space="preserve"> </w:t>
      </w:r>
    </w:p>
    <w:p w14:paraId="4710A558" w14:textId="684059FE" w:rsidR="00884F87" w:rsidRPr="00884F87" w:rsidRDefault="00884F87" w:rsidP="00EB371D">
      <w:pPr>
        <w:spacing w:after="0" w:line="240" w:lineRule="auto"/>
        <w:ind w:firstLine="708"/>
        <w:jc w:val="both"/>
        <w:rPr>
          <w:rFonts w:ascii="Times New Roman" w:hAnsi="Times New Roman" w:cs="Times New Roman"/>
          <w:iCs/>
          <w:sz w:val="28"/>
          <w:szCs w:val="28"/>
        </w:rPr>
      </w:pPr>
      <w:r>
        <w:rPr>
          <w:rFonts w:ascii="Times New Roman" w:hAnsi="Times New Roman" w:cs="Times New Roman"/>
          <w:iCs/>
          <w:sz w:val="28"/>
          <w:szCs w:val="28"/>
        </w:rPr>
        <w:t>A tenofovir</w:t>
      </w:r>
      <w:r w:rsidRPr="00884F87">
        <w:rPr>
          <w:rFonts w:ascii="Times New Roman" w:hAnsi="Times New Roman" w:cs="Times New Roman"/>
          <w:iCs/>
          <w:sz w:val="28"/>
          <w:szCs w:val="28"/>
        </w:rPr>
        <w:t xml:space="preserve"> inhibition assay was conducted to assess its antiviral activity against SARS-CoV-2. Vero E6 cells were infected with the virus at a defined multiplicity of infection (MOI) and treated with serial concentrations of tenofovir. Following incubation, viral replication was quantified by RT-qPCR</w:t>
      </w:r>
      <w:r>
        <w:rPr>
          <w:rFonts w:ascii="Times New Roman" w:hAnsi="Times New Roman" w:cs="Times New Roman"/>
          <w:iCs/>
          <w:sz w:val="28"/>
          <w:szCs w:val="28"/>
        </w:rPr>
        <w:t xml:space="preserve"> (in China)</w:t>
      </w:r>
      <w:r w:rsidRPr="00884F87">
        <w:rPr>
          <w:rFonts w:ascii="Times New Roman" w:hAnsi="Times New Roman" w:cs="Times New Roman"/>
          <w:iCs/>
          <w:sz w:val="28"/>
          <w:szCs w:val="28"/>
        </w:rPr>
        <w:t xml:space="preserve"> and cytopathic effect evaluation. The reduction in viral RNA levels compared to untreated controls was used to calculate the half-maximal inhibitory concentration (IC₅₀), reflecting the compound’s potency in suppressing SARS-CoV-2 replication.</w:t>
      </w:r>
    </w:p>
    <w:p w14:paraId="714734B6" w14:textId="05FD3965" w:rsidR="00C73965" w:rsidRPr="00884F87" w:rsidRDefault="00C73965" w:rsidP="00A45FE2">
      <w:pPr>
        <w:spacing w:line="360" w:lineRule="auto"/>
        <w:ind w:firstLine="708"/>
        <w:jc w:val="center"/>
        <w:rPr>
          <w:rFonts w:ascii="Times New Roman" w:hAnsi="Times New Roman" w:cs="Times New Roman"/>
          <w:iCs/>
          <w:sz w:val="28"/>
          <w:szCs w:val="28"/>
        </w:rPr>
      </w:pPr>
    </w:p>
    <w:p w14:paraId="40A897D6" w14:textId="7D3D04E7" w:rsidR="00B87D75" w:rsidRPr="00B87D75" w:rsidRDefault="00B87D75" w:rsidP="00B87D75">
      <w:pPr>
        <w:spacing w:after="0" w:line="360" w:lineRule="auto"/>
        <w:jc w:val="center"/>
        <w:rPr>
          <w:rFonts w:ascii="Times New Roman" w:hAnsi="Times New Roman" w:cs="Times New Roman"/>
          <w:b/>
          <w:bCs/>
          <w:iCs/>
          <w:sz w:val="24"/>
          <w:szCs w:val="24"/>
          <w:lang w:val="ru-RU"/>
        </w:rPr>
      </w:pPr>
      <w:r w:rsidRPr="00B87D75">
        <w:rPr>
          <w:rFonts w:ascii="Times New Roman" w:hAnsi="Times New Roman" w:cs="Times New Roman"/>
          <w:b/>
          <w:bCs/>
          <w:iCs/>
          <w:noProof/>
          <w:sz w:val="24"/>
          <w:szCs w:val="24"/>
          <w:lang w:val="ru-RU"/>
        </w:rPr>
        <w:lastRenderedPageBreak/>
        <w:drawing>
          <wp:inline distT="0" distB="0" distL="0" distR="0" wp14:anchorId="2ABD7119" wp14:editId="052F968C">
            <wp:extent cx="6022340" cy="3842239"/>
            <wp:effectExtent l="0" t="0" r="0" b="6350"/>
            <wp:docPr id="163806369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11984" r="1592"/>
                    <a:stretch>
                      <a:fillRect/>
                    </a:stretch>
                  </pic:blipFill>
                  <pic:spPr bwMode="auto">
                    <a:xfrm>
                      <a:off x="0" y="0"/>
                      <a:ext cx="6032982" cy="3849029"/>
                    </a:xfrm>
                    <a:prstGeom prst="rect">
                      <a:avLst/>
                    </a:prstGeom>
                    <a:noFill/>
                    <a:ln>
                      <a:noFill/>
                    </a:ln>
                    <a:extLst>
                      <a:ext uri="{53640926-AAD7-44D8-BBD7-CCE9431645EC}">
                        <a14:shadowObscured xmlns:a14="http://schemas.microsoft.com/office/drawing/2010/main"/>
                      </a:ext>
                    </a:extLst>
                  </pic:spPr>
                </pic:pic>
              </a:graphicData>
            </a:graphic>
          </wp:inline>
        </w:drawing>
      </w:r>
    </w:p>
    <w:p w14:paraId="3801AC99" w14:textId="592ECE1A" w:rsidR="00B15CEE" w:rsidRPr="00F7381C" w:rsidRDefault="00B15CEE" w:rsidP="00377290">
      <w:pPr>
        <w:spacing w:after="0" w:line="360" w:lineRule="auto"/>
        <w:jc w:val="center"/>
        <w:rPr>
          <w:rFonts w:ascii="Times New Roman" w:hAnsi="Times New Roman" w:cs="Times New Roman"/>
          <w:b/>
          <w:bCs/>
          <w:iCs/>
          <w:sz w:val="24"/>
          <w:szCs w:val="24"/>
          <w:lang w:val="en-US"/>
        </w:rPr>
      </w:pPr>
    </w:p>
    <w:p w14:paraId="6BC1ECBE" w14:textId="4A142FFC" w:rsidR="00B87D75" w:rsidRDefault="00853685" w:rsidP="00EB371D">
      <w:pPr>
        <w:spacing w:after="0" w:line="240" w:lineRule="auto"/>
        <w:jc w:val="center"/>
        <w:rPr>
          <w:rFonts w:ascii="Times New Roman" w:hAnsi="Times New Roman" w:cs="Times New Roman"/>
          <w:iCs/>
          <w:sz w:val="28"/>
          <w:szCs w:val="28"/>
        </w:rPr>
      </w:pPr>
      <w:r w:rsidRPr="00EB371D">
        <w:rPr>
          <w:rFonts w:ascii="Times New Roman" w:hAnsi="Times New Roman" w:cs="Times New Roman"/>
          <w:sz w:val="28"/>
          <w:szCs w:val="28"/>
        </w:rPr>
        <w:t xml:space="preserve">Figure </w:t>
      </w:r>
      <w:r w:rsidR="005C1735" w:rsidRPr="00EB371D">
        <w:rPr>
          <w:rFonts w:ascii="Times New Roman" w:hAnsi="Times New Roman" w:cs="Times New Roman"/>
          <w:sz w:val="28"/>
          <w:szCs w:val="28"/>
        </w:rPr>
        <w:t>38</w:t>
      </w:r>
      <w:r w:rsidR="00813BA2" w:rsidRPr="00EB371D">
        <w:rPr>
          <w:rFonts w:ascii="Times New Roman" w:hAnsi="Times New Roman" w:cs="Times New Roman"/>
          <w:sz w:val="28"/>
          <w:szCs w:val="28"/>
        </w:rPr>
        <w:t xml:space="preserve"> </w:t>
      </w:r>
      <w:r w:rsidR="00F7381C" w:rsidRPr="00EB371D">
        <w:rPr>
          <w:rFonts w:ascii="Times New Roman" w:hAnsi="Times New Roman" w:cs="Times New Roman"/>
          <w:iCs/>
          <w:sz w:val="28"/>
          <w:szCs w:val="28"/>
        </w:rPr>
        <w:t xml:space="preserve">– </w:t>
      </w:r>
      <w:r w:rsidR="00B87D75">
        <w:rPr>
          <w:rFonts w:ascii="Times New Roman" w:hAnsi="Times New Roman" w:cs="Times New Roman"/>
          <w:iCs/>
          <w:sz w:val="28"/>
          <w:szCs w:val="28"/>
        </w:rPr>
        <w:t>T</w:t>
      </w:r>
      <w:r w:rsidR="00F7381C" w:rsidRPr="00EB371D">
        <w:rPr>
          <w:rFonts w:ascii="Times New Roman" w:hAnsi="Times New Roman" w:cs="Times New Roman"/>
          <w:iCs/>
          <w:sz w:val="28"/>
          <w:szCs w:val="28"/>
        </w:rPr>
        <w:t>he antiviral efficacy and cytotoxicity profile of Tenofovir (C₉H₁₄N₅O₄P) against SARS-CoV-2</w:t>
      </w:r>
    </w:p>
    <w:p w14:paraId="78142C6C" w14:textId="77777777" w:rsidR="00B87D75" w:rsidRDefault="00B87D75" w:rsidP="00EB371D">
      <w:pPr>
        <w:spacing w:after="0" w:line="240" w:lineRule="auto"/>
        <w:jc w:val="center"/>
        <w:rPr>
          <w:rFonts w:ascii="Times New Roman" w:hAnsi="Times New Roman" w:cs="Times New Roman"/>
          <w:iCs/>
          <w:sz w:val="28"/>
          <w:szCs w:val="28"/>
        </w:rPr>
      </w:pPr>
    </w:p>
    <w:p w14:paraId="450A13D1" w14:textId="4DC98196" w:rsidR="00BF4FB8" w:rsidRPr="00B87D75" w:rsidRDefault="00F7381C" w:rsidP="00B87D75">
      <w:pPr>
        <w:spacing w:after="0" w:line="240" w:lineRule="auto"/>
        <w:jc w:val="both"/>
        <w:rPr>
          <w:rFonts w:ascii="Times New Roman" w:hAnsi="Times New Roman" w:cs="Times New Roman"/>
          <w:iCs/>
          <w:sz w:val="28"/>
          <w:szCs w:val="28"/>
        </w:rPr>
      </w:pPr>
      <w:r w:rsidRPr="00EB371D">
        <w:rPr>
          <w:rFonts w:ascii="Times New Roman" w:hAnsi="Times New Roman" w:cs="Times New Roman"/>
          <w:iCs/>
          <w:sz w:val="28"/>
          <w:szCs w:val="28"/>
        </w:rPr>
        <w:t xml:space="preserve"> </w:t>
      </w:r>
      <w:r w:rsidR="00B87D75">
        <w:rPr>
          <w:rFonts w:ascii="Times New Roman" w:hAnsi="Times New Roman" w:cs="Times New Roman"/>
          <w:iCs/>
          <w:sz w:val="28"/>
          <w:szCs w:val="28"/>
        </w:rPr>
        <w:tab/>
        <w:t>At</w:t>
      </w:r>
      <w:r w:rsidRPr="00EB371D">
        <w:rPr>
          <w:rFonts w:ascii="Times New Roman" w:hAnsi="Times New Roman" w:cs="Times New Roman"/>
          <w:iCs/>
          <w:sz w:val="28"/>
          <w:szCs w:val="28"/>
        </w:rPr>
        <w:t xml:space="preserve"> various concentrations ranging from 0.174 to 17.4 µg/mL, including EC₅₀ and ECₘₐₓ reference points. The dark grey bars indicate the inhibition of viral replication (%), reflecting Tenofovir’s antiviral activity, while the light grey bars represent cytotoxicity (%), showing the reduction in cell viability of Vero E6 cultures</w:t>
      </w:r>
      <w:r w:rsidR="00A45FE2">
        <w:rPr>
          <w:rFonts w:ascii="Times New Roman" w:hAnsi="Times New Roman" w:cs="Times New Roman"/>
          <w:iCs/>
          <w:sz w:val="28"/>
          <w:szCs w:val="28"/>
        </w:rPr>
        <w:t>.</w:t>
      </w:r>
      <w:r w:rsidR="00B87D75">
        <w:rPr>
          <w:rFonts w:ascii="Times New Roman" w:hAnsi="Times New Roman" w:cs="Times New Roman"/>
          <w:iCs/>
          <w:sz w:val="28"/>
          <w:szCs w:val="28"/>
        </w:rPr>
        <w:t xml:space="preserve"> </w:t>
      </w:r>
      <w:r w:rsidRPr="00EB371D">
        <w:rPr>
          <w:rFonts w:ascii="Times New Roman" w:hAnsi="Times New Roman" w:cs="Times New Roman"/>
          <w:iCs/>
          <w:sz w:val="28"/>
          <w:szCs w:val="28"/>
        </w:rPr>
        <w:t xml:space="preserve">Error bars represent the standard deviation (± SD) across triplicate assays, indicating </w:t>
      </w:r>
      <w:r w:rsidR="0092045A" w:rsidRPr="00EB371D">
        <w:rPr>
          <w:rFonts w:ascii="Times New Roman" w:hAnsi="Times New Roman" w:cs="Times New Roman"/>
          <w:iCs/>
          <w:sz w:val="28"/>
          <w:szCs w:val="28"/>
        </w:rPr>
        <w:t>the reproducibility of the data</w:t>
      </w:r>
      <w:r w:rsidRPr="00EB371D">
        <w:rPr>
          <w:rFonts w:ascii="Times New Roman" w:hAnsi="Times New Roman" w:cs="Times New Roman"/>
          <w:iCs/>
          <w:sz w:val="28"/>
          <w:szCs w:val="28"/>
        </w:rPr>
        <w:t xml:space="preserve">. The observed concentration-dependent increase in viral inhibition, coupled with moderate cytotoxicity levels, suggests that Tenofovir maintains a </w:t>
      </w:r>
      <w:r w:rsidR="0092045A" w:rsidRPr="00EB371D">
        <w:rPr>
          <w:rFonts w:ascii="Times New Roman" w:hAnsi="Times New Roman" w:cs="Times New Roman"/>
          <w:iCs/>
          <w:sz w:val="28"/>
          <w:szCs w:val="28"/>
        </w:rPr>
        <w:t>favourable</w:t>
      </w:r>
      <w:r w:rsidRPr="00EB371D">
        <w:rPr>
          <w:rFonts w:ascii="Times New Roman" w:hAnsi="Times New Roman" w:cs="Times New Roman"/>
          <w:iCs/>
          <w:sz w:val="28"/>
          <w:szCs w:val="28"/>
        </w:rPr>
        <w:t xml:space="preserve"> therapeutic index under the tested conditions.</w:t>
      </w:r>
      <w:r w:rsidRPr="00EB371D">
        <w:rPr>
          <w:rFonts w:ascii="Times New Roman" w:hAnsi="Times New Roman" w:cs="Times New Roman"/>
          <w:sz w:val="28"/>
          <w:szCs w:val="28"/>
        </w:rPr>
        <w:t xml:space="preserve"> The</w:t>
      </w:r>
      <w:r w:rsidR="00BF4FB8" w:rsidRPr="00EB371D">
        <w:rPr>
          <w:rFonts w:ascii="Times New Roman" w:hAnsi="Times New Roman" w:cs="Times New Roman"/>
          <w:sz w:val="28"/>
          <w:szCs w:val="28"/>
        </w:rPr>
        <w:t xml:space="preserve"> data </w:t>
      </w:r>
      <w:r w:rsidR="004F33A0">
        <w:rPr>
          <w:rFonts w:ascii="Times New Roman" w:hAnsi="Times New Roman" w:cs="Times New Roman"/>
          <w:sz w:val="28"/>
          <w:szCs w:val="28"/>
        </w:rPr>
        <w:t>were analysed using</w:t>
      </w:r>
      <w:r w:rsidR="00BF4FB8" w:rsidRPr="00EB371D">
        <w:rPr>
          <w:rFonts w:ascii="Times New Roman" w:hAnsi="Times New Roman" w:cs="Times New Roman"/>
          <w:sz w:val="28"/>
          <w:szCs w:val="28"/>
        </w:rPr>
        <w:t xml:space="preserve"> an ANOVA test. </w:t>
      </w:r>
    </w:p>
    <w:p w14:paraId="41CCB28B" w14:textId="77777777" w:rsidR="004F33A0" w:rsidRPr="00EB371D" w:rsidRDefault="004F33A0" w:rsidP="00EB371D">
      <w:pPr>
        <w:spacing w:after="0" w:line="240" w:lineRule="auto"/>
        <w:ind w:firstLine="709"/>
        <w:jc w:val="both"/>
        <w:rPr>
          <w:rFonts w:ascii="Times New Roman" w:hAnsi="Times New Roman" w:cs="Times New Roman"/>
          <w:b/>
          <w:bCs/>
          <w:sz w:val="28"/>
          <w:szCs w:val="28"/>
        </w:rPr>
      </w:pPr>
    </w:p>
    <w:p w14:paraId="25C7A639" w14:textId="467F7C5D" w:rsidR="00226539" w:rsidRPr="00EB371D" w:rsidRDefault="00853685" w:rsidP="00EB371D">
      <w:pPr>
        <w:spacing w:after="0" w:line="240" w:lineRule="auto"/>
        <w:ind w:firstLine="709"/>
        <w:jc w:val="both"/>
        <w:rPr>
          <w:rFonts w:ascii="Times New Roman" w:hAnsi="Times New Roman" w:cs="Times New Roman"/>
          <w:i/>
          <w:sz w:val="28"/>
          <w:szCs w:val="28"/>
          <w:u w:val="single"/>
        </w:rPr>
      </w:pPr>
      <w:r w:rsidRPr="00EB371D">
        <w:rPr>
          <w:rFonts w:ascii="Times New Roman" w:hAnsi="Times New Roman" w:cs="Times New Roman"/>
          <w:i/>
          <w:sz w:val="28"/>
          <w:szCs w:val="28"/>
          <w:u w:val="single"/>
        </w:rPr>
        <w:t xml:space="preserve">Favipiravir (T-705) - inhibition assay </w:t>
      </w:r>
    </w:p>
    <w:p w14:paraId="3603BACE" w14:textId="304A5D4E" w:rsidR="003E4F93" w:rsidRPr="00EB371D" w:rsidRDefault="00D56D48" w:rsidP="00EB371D">
      <w:pPr>
        <w:spacing w:after="0" w:line="240" w:lineRule="auto"/>
        <w:ind w:firstLine="709"/>
        <w:jc w:val="both"/>
        <w:rPr>
          <w:rFonts w:ascii="Times New Roman" w:hAnsi="Times New Roman" w:cs="Times New Roman"/>
          <w:iCs/>
          <w:sz w:val="28"/>
          <w:szCs w:val="28"/>
        </w:rPr>
      </w:pPr>
      <w:r w:rsidRPr="00EB371D">
        <w:rPr>
          <w:rFonts w:ascii="Times New Roman" w:hAnsi="Times New Roman" w:cs="Times New Roman"/>
          <w:iCs/>
          <w:sz w:val="28"/>
          <w:szCs w:val="28"/>
        </w:rPr>
        <w:t xml:space="preserve">This </w:t>
      </w:r>
      <w:r w:rsidR="00732A5F" w:rsidRPr="00EB371D">
        <w:rPr>
          <w:rFonts w:ascii="Times New Roman" w:hAnsi="Times New Roman" w:cs="Times New Roman"/>
          <w:iCs/>
          <w:sz w:val="28"/>
          <w:szCs w:val="28"/>
        </w:rPr>
        <w:t>indicates</w:t>
      </w:r>
      <w:r w:rsidR="00DF5705" w:rsidRPr="00EB371D">
        <w:rPr>
          <w:rFonts w:ascii="Times New Roman" w:hAnsi="Times New Roman" w:cs="Times New Roman"/>
          <w:iCs/>
          <w:sz w:val="28"/>
          <w:szCs w:val="28"/>
        </w:rPr>
        <w:t xml:space="preserve"> (Figure </w:t>
      </w:r>
      <w:r w:rsidR="00A45FE2">
        <w:rPr>
          <w:rFonts w:ascii="Times New Roman" w:hAnsi="Times New Roman" w:cs="Times New Roman"/>
          <w:iCs/>
          <w:sz w:val="28"/>
          <w:szCs w:val="28"/>
        </w:rPr>
        <w:t>39</w:t>
      </w:r>
      <w:r w:rsidR="00DF5705" w:rsidRPr="00EB371D">
        <w:rPr>
          <w:rFonts w:ascii="Times New Roman" w:hAnsi="Times New Roman" w:cs="Times New Roman"/>
          <w:iCs/>
          <w:sz w:val="28"/>
          <w:szCs w:val="28"/>
        </w:rPr>
        <w:t>) that</w:t>
      </w:r>
      <w:r w:rsidR="00732A5F" w:rsidRPr="00EB371D">
        <w:rPr>
          <w:rFonts w:ascii="Times New Roman" w:hAnsi="Times New Roman" w:cs="Times New Roman"/>
          <w:iCs/>
          <w:sz w:val="28"/>
          <w:szCs w:val="28"/>
        </w:rPr>
        <w:t xml:space="preserve"> IC</w:t>
      </w:r>
      <w:r w:rsidR="00732A5F" w:rsidRPr="00EB371D">
        <w:rPr>
          <w:rFonts w:ascii="Times New Roman" w:hAnsi="Times New Roman" w:cs="Times New Roman"/>
          <w:iCs/>
          <w:sz w:val="28"/>
          <w:szCs w:val="28"/>
          <w:vertAlign w:val="subscript"/>
        </w:rPr>
        <w:t>37</w:t>
      </w:r>
      <w:r w:rsidR="00732A5F" w:rsidRPr="00EB371D">
        <w:rPr>
          <w:rFonts w:ascii="Times New Roman" w:hAnsi="Times New Roman" w:cs="Times New Roman"/>
          <w:iCs/>
          <w:sz w:val="28"/>
          <w:szCs w:val="28"/>
        </w:rPr>
        <w:t xml:space="preserve"> was achieved through pretreatment with </w:t>
      </w:r>
      <w:r w:rsidRPr="00EB371D">
        <w:rPr>
          <w:rFonts w:ascii="Times New Roman" w:hAnsi="Times New Roman" w:cs="Times New Roman"/>
          <w:iCs/>
          <w:sz w:val="28"/>
          <w:szCs w:val="28"/>
        </w:rPr>
        <w:t xml:space="preserve">Vero cells. Some cells </w:t>
      </w:r>
      <w:r w:rsidR="004F33A0">
        <w:rPr>
          <w:rFonts w:ascii="Times New Roman" w:hAnsi="Times New Roman" w:cs="Times New Roman"/>
          <w:iCs/>
          <w:sz w:val="28"/>
          <w:szCs w:val="28"/>
        </w:rPr>
        <w:t xml:space="preserve">began showing low survival rates for at least two reasons: first, </w:t>
      </w:r>
      <w:r w:rsidRPr="00EB371D">
        <w:rPr>
          <w:rFonts w:ascii="Times New Roman" w:hAnsi="Times New Roman" w:cs="Times New Roman"/>
          <w:iCs/>
          <w:sz w:val="28"/>
          <w:szCs w:val="28"/>
        </w:rPr>
        <w:t xml:space="preserve">viral load can cause a cytopathic effect. Secondly, even drug concentrations at </w:t>
      </w:r>
      <w:r w:rsidR="00C663E6" w:rsidRPr="00EB371D">
        <w:rPr>
          <w:rFonts w:ascii="Times New Roman" w:hAnsi="Times New Roman" w:cs="Times New Roman"/>
          <w:iCs/>
          <w:sz w:val="28"/>
          <w:szCs w:val="28"/>
        </w:rPr>
        <w:t>the EC10 level, in our case, can reduce the general host-cell fitness, especially for</w:t>
      </w:r>
      <w:r w:rsidRPr="00EB371D">
        <w:rPr>
          <w:rFonts w:ascii="Times New Roman" w:hAnsi="Times New Roman" w:cs="Times New Roman"/>
          <w:iCs/>
          <w:sz w:val="28"/>
          <w:szCs w:val="28"/>
        </w:rPr>
        <w:t xml:space="preserve"> drugs </w:t>
      </w:r>
      <w:r w:rsidR="003242AC" w:rsidRPr="00EB371D">
        <w:rPr>
          <w:rFonts w:ascii="Times New Roman" w:hAnsi="Times New Roman" w:cs="Times New Roman"/>
          <w:iCs/>
          <w:sz w:val="28"/>
          <w:szCs w:val="28"/>
        </w:rPr>
        <w:t>administered orally</w:t>
      </w:r>
      <w:r w:rsidRPr="00EB371D">
        <w:rPr>
          <w:rFonts w:ascii="Times New Roman" w:hAnsi="Times New Roman" w:cs="Times New Roman"/>
          <w:iCs/>
          <w:sz w:val="28"/>
          <w:szCs w:val="28"/>
        </w:rPr>
        <w:t xml:space="preserve">. </w:t>
      </w:r>
      <w:r w:rsidR="00DF5705" w:rsidRPr="00EB371D">
        <w:rPr>
          <w:rFonts w:ascii="Times New Roman" w:hAnsi="Times New Roman" w:cs="Times New Roman"/>
          <w:iCs/>
          <w:sz w:val="28"/>
          <w:szCs w:val="28"/>
        </w:rPr>
        <w:t>The intact VeroE6 cells</w:t>
      </w:r>
      <w:bookmarkStart w:id="50" w:name="_Hlk169177296"/>
      <w:r w:rsidR="00DF5705" w:rsidRPr="00EB371D">
        <w:rPr>
          <w:rFonts w:ascii="Times New Roman" w:hAnsi="Times New Roman" w:cs="Times New Roman"/>
          <w:iCs/>
          <w:sz w:val="28"/>
          <w:szCs w:val="28"/>
        </w:rPr>
        <w:t xml:space="preserve">, seeded in 96-well plates, were inoculated with SARS-CoV-2 at a titer during a 24-hour infection phase, and then 318 µM Favipiravir </w:t>
      </w:r>
      <w:bookmarkEnd w:id="50"/>
      <w:r w:rsidR="00DF5705" w:rsidRPr="00EB371D">
        <w:rPr>
          <w:rFonts w:ascii="Times New Roman" w:hAnsi="Times New Roman" w:cs="Times New Roman"/>
          <w:iCs/>
          <w:sz w:val="28"/>
          <w:szCs w:val="28"/>
        </w:rPr>
        <w:t>was added. The viral load was cytotoxic</w:t>
      </w:r>
      <w:r w:rsidR="00A45FE2">
        <w:rPr>
          <w:rFonts w:ascii="Times New Roman" w:hAnsi="Times New Roman" w:cs="Times New Roman"/>
          <w:iCs/>
          <w:sz w:val="28"/>
          <w:szCs w:val="28"/>
        </w:rPr>
        <w:t>, as determined by CPE, at an MOI of 2 in</w:t>
      </w:r>
      <w:r w:rsidR="00DF5705" w:rsidRPr="00EB371D">
        <w:rPr>
          <w:rFonts w:ascii="Times New Roman" w:hAnsi="Times New Roman" w:cs="Times New Roman"/>
          <w:iCs/>
          <w:sz w:val="28"/>
          <w:szCs w:val="28"/>
        </w:rPr>
        <w:t xml:space="preserve"> three replicate experiments (n = 3). Significant differences in cytotoxicity exist across concentrations. Dose-Dependent Effect: Cytotoxicity ↑ with concentration: 0µM (0%) → 1000µM (91.67%). Overwhelming Dose-Response: Both efficacy </w:t>
      </w:r>
      <w:r w:rsidR="00DF5705" w:rsidRPr="00EB371D">
        <w:rPr>
          <w:rFonts w:ascii="Times New Roman" w:hAnsi="Times New Roman" w:cs="Times New Roman"/>
          <w:iCs/>
          <w:sz w:val="28"/>
          <w:szCs w:val="28"/>
        </w:rPr>
        <w:lastRenderedPageBreak/>
        <w:t>(CE%) and cytotoxicity (CC%) exhibit perfect dose-dependency (CE%: *r* = 1.0, CC%: *r* = 0.99). Efficacy and cytotoxicity increase linearly with concentration: Efficacy: 0µM (0%) → 1000µM (100%). Cytotoxicity: 0µM (0%) → 1000µM (91.67%). Minimal Variability: Efficacy: Near-zero within-group variance (SSW = 0.50) → Replicates are almost identical. Cytotoxicity: Low within-group variance (SSW = 14.00) → high reproducibility. Therapeutic Window Analysis: Critical Concentrations: 318µM: CE% = 37.5%, CC% = 30.0% → Neutral (efficacy ≈ toxicity). 500µM: CE% = 50.0%, CC% = 50.0% → Break-even. 900µM: CE% = 90.0%, CC% = 70.7% → </w:t>
      </w:r>
      <w:r w:rsidR="00D5463B" w:rsidRPr="00EB371D">
        <w:rPr>
          <w:rFonts w:ascii="Times New Roman" w:hAnsi="Times New Roman" w:cs="Times New Roman"/>
          <w:iCs/>
          <w:sz w:val="28"/>
          <w:szCs w:val="28"/>
        </w:rPr>
        <w:t>Favourable</w:t>
      </w:r>
      <w:r w:rsidR="00DF5705" w:rsidRPr="00EB371D">
        <w:rPr>
          <w:rFonts w:ascii="Times New Roman" w:hAnsi="Times New Roman" w:cs="Times New Roman"/>
          <w:iCs/>
          <w:sz w:val="28"/>
          <w:szCs w:val="28"/>
        </w:rPr>
        <w:t> (efficacy &gt; toxicity). 1000µM: CE% = 100.0%, CC% = 91.7% → High-risk (toxicity approaches 100%). Optimal Range: 900µM offers the best efficacy-to-toxicity ratio (90.0% vs. 70.7%).</w:t>
      </w:r>
    </w:p>
    <w:p w14:paraId="6456592F" w14:textId="632595B0" w:rsidR="00D5463B" w:rsidRPr="00EB371D" w:rsidRDefault="00DF5705" w:rsidP="00EB371D">
      <w:pPr>
        <w:spacing w:after="0" w:line="240" w:lineRule="auto"/>
        <w:ind w:firstLine="709"/>
        <w:jc w:val="both"/>
        <w:rPr>
          <w:rFonts w:ascii="Times New Roman" w:hAnsi="Times New Roman" w:cs="Times New Roman"/>
          <w:iCs/>
          <w:sz w:val="28"/>
          <w:szCs w:val="28"/>
          <w:lang w:val="en-US"/>
        </w:rPr>
      </w:pPr>
      <w:r w:rsidRPr="00EB371D">
        <w:rPr>
          <w:rFonts w:ascii="Times New Roman" w:hAnsi="Times New Roman" w:cs="Times New Roman"/>
          <w:iCs/>
          <w:sz w:val="28"/>
          <w:szCs w:val="28"/>
        </w:rPr>
        <w:t xml:space="preserve"> Statistical Strength: Extreme F-values (Efficacy: </w:t>
      </w:r>
      <w:r w:rsidRPr="00EB371D">
        <w:rPr>
          <w:rFonts w:ascii="Times New Roman" w:hAnsi="Times New Roman" w:cs="Times New Roman"/>
          <w:i/>
          <w:iCs/>
          <w:sz w:val="28"/>
          <w:szCs w:val="28"/>
        </w:rPr>
        <w:t>F</w:t>
      </w:r>
      <w:r w:rsidRPr="00EB371D">
        <w:rPr>
          <w:rFonts w:ascii="Times New Roman" w:hAnsi="Times New Roman" w:cs="Times New Roman"/>
          <w:iCs/>
          <w:sz w:val="28"/>
          <w:szCs w:val="28"/>
        </w:rPr>
        <w:t> = 249,900; Cytotoxicity: </w:t>
      </w:r>
      <w:r w:rsidRPr="00EB371D">
        <w:rPr>
          <w:rFonts w:ascii="Times New Roman" w:hAnsi="Times New Roman" w:cs="Times New Roman"/>
          <w:i/>
          <w:iCs/>
          <w:sz w:val="28"/>
          <w:szCs w:val="28"/>
        </w:rPr>
        <w:t>F</w:t>
      </w:r>
      <w:r w:rsidRPr="00EB371D">
        <w:rPr>
          <w:rFonts w:ascii="Times New Roman" w:hAnsi="Times New Roman" w:cs="Times New Roman"/>
          <w:iCs/>
          <w:sz w:val="28"/>
          <w:szCs w:val="28"/>
        </w:rPr>
        <w:t> = 5,880) confirm near-perfect dose-response relationships. *p*-values &lt; 0.0001 rule out random chance.</w:t>
      </w:r>
      <w:r w:rsidR="00526F08" w:rsidRPr="00EB371D">
        <w:rPr>
          <w:rFonts w:ascii="Times New Roman" w:hAnsi="Times New Roman" w:cs="Times New Roman"/>
          <w:iCs/>
          <w:sz w:val="28"/>
          <w:szCs w:val="28"/>
        </w:rPr>
        <w:t xml:space="preserve"> </w:t>
      </w:r>
      <w:r w:rsidR="00526F08" w:rsidRPr="00EB371D">
        <w:rPr>
          <w:rFonts w:ascii="Times New Roman" w:hAnsi="Times New Roman" w:cs="Times New Roman"/>
          <w:iCs/>
          <w:sz w:val="28"/>
          <w:szCs w:val="28"/>
          <w:lang w:val="en-US"/>
        </w:rPr>
        <w:t xml:space="preserve">At lower concentrations (1.65–318 × 10⁻⁶ M), both antiviral activity and cytotoxicity remained minimal, exhibiting moderate inhibition (20–50%) with limited cell damage (&lt;30%). As the concentration increased beyond 500 × 10⁻⁶ M, viral inhibition rose sharply, reaching approximately 90–100% efficacy near 900–1000 × 10⁻⁶ M, with </w:t>
      </w:r>
      <w:r w:rsidR="00B9571E" w:rsidRPr="00EB371D">
        <w:rPr>
          <w:rFonts w:ascii="Times New Roman" w:hAnsi="Times New Roman" w:cs="Times New Roman"/>
          <w:iCs/>
          <w:sz w:val="28"/>
          <w:szCs w:val="28"/>
          <w:lang w:val="en-US"/>
        </w:rPr>
        <w:t xml:space="preserve">a parallel increase in cytotoxicity to approximately </w:t>
      </w:r>
      <w:r w:rsidR="00526F08" w:rsidRPr="00EB371D">
        <w:rPr>
          <w:rFonts w:ascii="Times New Roman" w:hAnsi="Times New Roman" w:cs="Times New Roman"/>
          <w:iCs/>
          <w:sz w:val="28"/>
          <w:szCs w:val="28"/>
          <w:lang w:val="en-US"/>
        </w:rPr>
        <w:t xml:space="preserve">90%, suggesting proximity to the cytotoxic threshold. </w:t>
      </w:r>
      <w:r w:rsidR="00A45FE2">
        <w:rPr>
          <w:rFonts w:ascii="Times New Roman" w:hAnsi="Times New Roman" w:cs="Times New Roman"/>
          <w:iCs/>
          <w:sz w:val="28"/>
          <w:szCs w:val="28"/>
          <w:lang w:val="en-US"/>
        </w:rPr>
        <w:t>Based on the calculated pharmacodynamic parameters, the EC₁₀ (effective concentration producing 10% inhibition) was 0.259 µg/mL, and</w:t>
      </w:r>
      <w:r w:rsidR="00526F08" w:rsidRPr="00EB371D">
        <w:rPr>
          <w:rFonts w:ascii="Times New Roman" w:hAnsi="Times New Roman" w:cs="Times New Roman"/>
          <w:iCs/>
          <w:sz w:val="28"/>
          <w:szCs w:val="28"/>
          <w:lang w:val="en-US"/>
        </w:rPr>
        <w:t xml:space="preserve"> the EC₃₇ (corresponding to 37% inhibition) was 50 µg/mL. These values confirm Favipiravir’s moderate antiviral potency and define the concentration range where the balance between efficacy and cell safety is most favourable.</w:t>
      </w:r>
    </w:p>
    <w:p w14:paraId="54CB0BC8" w14:textId="0966CF4E" w:rsidR="00D5463B" w:rsidRPr="00EB371D" w:rsidRDefault="00D5463B" w:rsidP="00FD4733">
      <w:pPr>
        <w:spacing w:after="0" w:line="240" w:lineRule="auto"/>
        <w:ind w:firstLine="709"/>
        <w:jc w:val="both"/>
        <w:rPr>
          <w:rFonts w:ascii="Times New Roman" w:hAnsi="Times New Roman" w:cs="Times New Roman"/>
          <w:iCs/>
          <w:sz w:val="28"/>
          <w:szCs w:val="28"/>
        </w:rPr>
      </w:pPr>
      <w:r w:rsidRPr="00EB371D">
        <w:rPr>
          <w:rFonts w:ascii="Times New Roman" w:hAnsi="Times New Roman" w:cs="Times New Roman"/>
          <w:iCs/>
          <w:sz w:val="28"/>
          <w:szCs w:val="28"/>
        </w:rPr>
        <w:t>A precise dose–response relationship is observed: as the Favipiravir concentration increases, viral inhibition rises progressively from approximately 20% to 100%, while cytotoxicity follows a similar but slightly delayed trend, reaching approximately 90% at the highest tested concentrations. The compound’s pharmacodynamic parameters are summarised as EC₁₀ = 0.259 µg/mL and EC₃₇ = 50 µg/mL, defining its effective concentration range.</w:t>
      </w:r>
    </w:p>
    <w:p w14:paraId="6EC168B2" w14:textId="61E5679F" w:rsidR="00100634" w:rsidRPr="00EB371D" w:rsidRDefault="00413048" w:rsidP="00FD4733">
      <w:pPr>
        <w:spacing w:after="0" w:line="240" w:lineRule="auto"/>
        <w:ind w:firstLine="709"/>
        <w:jc w:val="both"/>
        <w:rPr>
          <w:rFonts w:ascii="Times New Roman" w:hAnsi="Times New Roman" w:cs="Times New Roman"/>
          <w:iCs/>
          <w:sz w:val="28"/>
          <w:szCs w:val="28"/>
        </w:rPr>
      </w:pPr>
      <w:r w:rsidRPr="00413048">
        <w:rPr>
          <w:rFonts w:ascii="Times New Roman" w:hAnsi="Times New Roman" w:cs="Times New Roman"/>
          <w:iCs/>
          <w:sz w:val="28"/>
          <w:szCs w:val="28"/>
        </w:rPr>
        <w:t xml:space="preserve">Favipiravir (T-705) inhibition </w:t>
      </w:r>
      <w:r>
        <w:rPr>
          <w:rFonts w:ascii="Times New Roman" w:hAnsi="Times New Roman" w:cs="Times New Roman"/>
          <w:iCs/>
          <w:sz w:val="28"/>
          <w:szCs w:val="28"/>
        </w:rPr>
        <w:t xml:space="preserve">assays are typically performed to evaluate the compound's antiviral efficacy </w:t>
      </w:r>
      <w:r w:rsidRPr="00413048">
        <w:rPr>
          <w:rFonts w:ascii="Times New Roman" w:hAnsi="Times New Roman" w:cs="Times New Roman"/>
          <w:iCs/>
          <w:sz w:val="28"/>
          <w:szCs w:val="28"/>
        </w:rPr>
        <w:t xml:space="preserve">against SARS-CoV-2. Vero E6 cells were infected with the virus at a defined multiplicity of infection (MOI) and treated with serial dilutions of Favipiravir. After a specified incubation period, viral replication was quantified using RT-qPCR and cytopathic effect (CPE) observation. The half-maximal inhibitory concentration (IC₅₀) was determined </w:t>
      </w:r>
      <w:r>
        <w:rPr>
          <w:rFonts w:ascii="Times New Roman" w:hAnsi="Times New Roman" w:cs="Times New Roman"/>
          <w:iCs/>
          <w:sz w:val="28"/>
          <w:szCs w:val="28"/>
        </w:rPr>
        <w:t>by measuring the reduction in viral RNA levels relative</w:t>
      </w:r>
      <w:r w:rsidRPr="00413048">
        <w:rPr>
          <w:rFonts w:ascii="Times New Roman" w:hAnsi="Times New Roman" w:cs="Times New Roman"/>
          <w:iCs/>
          <w:sz w:val="28"/>
          <w:szCs w:val="28"/>
        </w:rPr>
        <w:t xml:space="preserve"> to untreated controls, providing a measure of the compound’s inhibitory potency.</w:t>
      </w:r>
    </w:p>
    <w:p w14:paraId="05767469" w14:textId="649C595F" w:rsidR="00226539" w:rsidRPr="00FD4733" w:rsidRDefault="00A45FE2" w:rsidP="00FD4733">
      <w:pPr>
        <w:spacing w:after="0" w:line="360" w:lineRule="auto"/>
        <w:jc w:val="center"/>
        <w:rPr>
          <w:rFonts w:ascii="Times New Roman" w:hAnsi="Times New Roman" w:cs="Times New Roman"/>
          <w:b/>
          <w:bCs/>
          <w:iCs/>
          <w:sz w:val="24"/>
          <w:szCs w:val="24"/>
          <w:lang w:val="en-US"/>
        </w:rPr>
      </w:pPr>
      <w:r w:rsidRPr="00A45FE2">
        <w:rPr>
          <w:rFonts w:ascii="Times New Roman" w:hAnsi="Times New Roman" w:cs="Times New Roman"/>
          <w:b/>
          <w:bCs/>
          <w:iCs/>
          <w:noProof/>
          <w:sz w:val="24"/>
          <w:szCs w:val="24"/>
          <w:lang w:val="ru-RU"/>
        </w:rPr>
        <w:lastRenderedPageBreak/>
        <w:drawing>
          <wp:inline distT="0" distB="0" distL="0" distR="0" wp14:anchorId="094D00C1" wp14:editId="0FF8E73C">
            <wp:extent cx="5397533" cy="3411416"/>
            <wp:effectExtent l="0" t="0" r="0" b="0"/>
            <wp:docPr id="7417642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13616" r="1766"/>
                    <a:stretch>
                      <a:fillRect/>
                    </a:stretch>
                  </pic:blipFill>
                  <pic:spPr bwMode="auto">
                    <a:xfrm>
                      <a:off x="0" y="0"/>
                      <a:ext cx="5410549" cy="3419642"/>
                    </a:xfrm>
                    <a:prstGeom prst="rect">
                      <a:avLst/>
                    </a:prstGeom>
                    <a:noFill/>
                    <a:ln>
                      <a:noFill/>
                    </a:ln>
                    <a:extLst>
                      <a:ext uri="{53640926-AAD7-44D8-BBD7-CCE9431645EC}">
                        <a14:shadowObscured xmlns:a14="http://schemas.microsoft.com/office/drawing/2010/main"/>
                      </a:ext>
                    </a:extLst>
                  </pic:spPr>
                </pic:pic>
              </a:graphicData>
            </a:graphic>
          </wp:inline>
        </w:drawing>
      </w:r>
    </w:p>
    <w:p w14:paraId="5BA09659" w14:textId="77777777" w:rsidR="001808D8" w:rsidRDefault="00853685" w:rsidP="00100634">
      <w:pPr>
        <w:spacing w:line="240" w:lineRule="auto"/>
        <w:jc w:val="center"/>
        <w:rPr>
          <w:rFonts w:ascii="Times New Roman" w:hAnsi="Times New Roman" w:cs="Times New Roman"/>
          <w:iCs/>
          <w:sz w:val="28"/>
          <w:szCs w:val="28"/>
        </w:rPr>
      </w:pPr>
      <w:r w:rsidRPr="004F33A0">
        <w:rPr>
          <w:rFonts w:ascii="Times New Roman" w:hAnsi="Times New Roman" w:cs="Times New Roman"/>
          <w:iCs/>
          <w:sz w:val="28"/>
          <w:szCs w:val="28"/>
        </w:rPr>
        <w:t xml:space="preserve">Figure </w:t>
      </w:r>
      <w:r w:rsidR="00100634" w:rsidRPr="004F33A0">
        <w:rPr>
          <w:rFonts w:ascii="Times New Roman" w:hAnsi="Times New Roman" w:cs="Times New Roman"/>
          <w:iCs/>
          <w:sz w:val="28"/>
          <w:szCs w:val="28"/>
        </w:rPr>
        <w:t>39</w:t>
      </w:r>
      <w:r w:rsidR="0092045A" w:rsidRPr="004F33A0">
        <w:rPr>
          <w:rFonts w:ascii="Times New Roman" w:hAnsi="Times New Roman" w:cs="Times New Roman"/>
          <w:iCs/>
          <w:sz w:val="28"/>
          <w:szCs w:val="28"/>
        </w:rPr>
        <w:t xml:space="preserve">– </w:t>
      </w:r>
      <w:r w:rsidR="00DF5705" w:rsidRPr="004F33A0">
        <w:rPr>
          <w:rFonts w:ascii="Times New Roman" w:hAnsi="Times New Roman" w:cs="Times New Roman"/>
          <w:iCs/>
          <w:sz w:val="28"/>
          <w:szCs w:val="28"/>
        </w:rPr>
        <w:t xml:space="preserve">Figure presents the antiviral efficacy and cytotoxicity of </w:t>
      </w:r>
      <w:r w:rsidR="00DF5705" w:rsidRPr="004F33A0">
        <w:rPr>
          <w:rFonts w:ascii="Times New Roman" w:hAnsi="Times New Roman" w:cs="Times New Roman"/>
          <w:i/>
          <w:iCs/>
          <w:sz w:val="28"/>
          <w:szCs w:val="28"/>
        </w:rPr>
        <w:t>Favipiravir</w:t>
      </w:r>
      <w:r w:rsidR="00DF5705" w:rsidRPr="004F33A0">
        <w:rPr>
          <w:rFonts w:ascii="Times New Roman" w:hAnsi="Times New Roman" w:cs="Times New Roman"/>
          <w:iCs/>
          <w:sz w:val="28"/>
          <w:szCs w:val="28"/>
        </w:rPr>
        <w:t xml:space="preserve"> (C₅H₄FN₃O₂) </w:t>
      </w:r>
    </w:p>
    <w:p w14:paraId="1F8AA627" w14:textId="77777777" w:rsidR="001808D8" w:rsidRDefault="001808D8" w:rsidP="00100634">
      <w:pPr>
        <w:spacing w:line="240" w:lineRule="auto"/>
        <w:jc w:val="center"/>
        <w:rPr>
          <w:rFonts w:ascii="Times New Roman" w:hAnsi="Times New Roman" w:cs="Times New Roman"/>
          <w:iCs/>
          <w:sz w:val="28"/>
          <w:szCs w:val="28"/>
        </w:rPr>
      </w:pPr>
    </w:p>
    <w:p w14:paraId="0A7B5AE6" w14:textId="1D38C1F4" w:rsidR="008119BF" w:rsidRDefault="001808D8" w:rsidP="001808D8">
      <w:pPr>
        <w:spacing w:line="240" w:lineRule="auto"/>
        <w:ind w:firstLine="708"/>
        <w:jc w:val="both"/>
        <w:rPr>
          <w:rFonts w:ascii="Times New Roman" w:hAnsi="Times New Roman" w:cs="Times New Roman"/>
          <w:iCs/>
          <w:sz w:val="28"/>
          <w:szCs w:val="28"/>
        </w:rPr>
      </w:pPr>
      <w:r>
        <w:rPr>
          <w:rFonts w:ascii="Times New Roman" w:hAnsi="Times New Roman" w:cs="Times New Roman"/>
          <w:iCs/>
          <w:sz w:val="28"/>
          <w:szCs w:val="28"/>
        </w:rPr>
        <w:t>A</w:t>
      </w:r>
      <w:r w:rsidR="00DF5705" w:rsidRPr="004F33A0">
        <w:rPr>
          <w:rFonts w:ascii="Times New Roman" w:hAnsi="Times New Roman" w:cs="Times New Roman"/>
          <w:iCs/>
          <w:sz w:val="28"/>
          <w:szCs w:val="28"/>
        </w:rPr>
        <w:t xml:space="preserve">cross a concentration range of 1.65–1000 × 10⁻⁶ M, expressed as percentages. The dark grey bars represent </w:t>
      </w:r>
      <w:r w:rsidR="004F33A0" w:rsidRPr="004F33A0">
        <w:rPr>
          <w:rFonts w:ascii="Times New Roman" w:hAnsi="Times New Roman" w:cs="Times New Roman"/>
          <w:iCs/>
          <w:sz w:val="28"/>
          <w:szCs w:val="28"/>
        </w:rPr>
        <w:t xml:space="preserve">viral replication inhibition (%), while the light grey bars indicate cytotoxicity (%) </w:t>
      </w:r>
      <w:r w:rsidR="00DF5705" w:rsidRPr="004F33A0">
        <w:rPr>
          <w:rFonts w:ascii="Times New Roman" w:hAnsi="Times New Roman" w:cs="Times New Roman"/>
          <w:iCs/>
          <w:sz w:val="28"/>
          <w:szCs w:val="28"/>
        </w:rPr>
        <w:t xml:space="preserve">in </w:t>
      </w:r>
      <w:r w:rsidR="00DF5705" w:rsidRPr="004F33A0">
        <w:rPr>
          <w:rFonts w:ascii="Times New Roman" w:hAnsi="Times New Roman" w:cs="Times New Roman"/>
          <w:i/>
          <w:iCs/>
          <w:sz w:val="28"/>
          <w:szCs w:val="28"/>
        </w:rPr>
        <w:t>Vero E6</w:t>
      </w:r>
      <w:r w:rsidR="00DF5705" w:rsidRPr="004F33A0">
        <w:rPr>
          <w:rFonts w:ascii="Times New Roman" w:hAnsi="Times New Roman" w:cs="Times New Roman"/>
          <w:iCs/>
          <w:sz w:val="28"/>
          <w:szCs w:val="28"/>
        </w:rPr>
        <w:t xml:space="preserve"> cells. Error bars denote the standard deviation (±SD) from triplicate measurements, ensuring statistical reliability</w:t>
      </w:r>
      <w:r w:rsidR="00B62769">
        <w:rPr>
          <w:rFonts w:ascii="Times New Roman" w:hAnsi="Times New Roman" w:cs="Times New Roman"/>
          <w:iCs/>
          <w:sz w:val="28"/>
          <w:szCs w:val="28"/>
        </w:rPr>
        <w:t>.</w:t>
      </w:r>
      <w:r>
        <w:rPr>
          <w:rFonts w:ascii="Times New Roman" w:hAnsi="Times New Roman" w:cs="Times New Roman"/>
          <w:iCs/>
          <w:sz w:val="28"/>
          <w:szCs w:val="28"/>
        </w:rPr>
        <w:t xml:space="preserve"> </w:t>
      </w:r>
      <w:r w:rsidR="00C662A8" w:rsidRPr="008119BF">
        <w:rPr>
          <w:rFonts w:ascii="Times New Roman" w:hAnsi="Times New Roman" w:cs="Times New Roman"/>
          <w:iCs/>
          <w:sz w:val="28"/>
          <w:szCs w:val="28"/>
        </w:rPr>
        <w:t>Prioritise the T705 in terms of concentrations 900µM: Highest efficacy (90%) with "acceptable" cytotoxicity (70.7%). Validate in vivo. Avoid 1000µM: Cytotoxicity (91.7%) risks complete cell death → clinically unsafe. Mechanistic Studies: Investigate why cytotoxicity lags behind efficacy at 900µM (e.g., selective targeting). Refine Lower Doses: Test the 500–900 µM range to pinpoint the optimal therapeutic window. The compound demonstrates potent, concentration-dependent effects</w:t>
      </w:r>
      <w:r w:rsidR="004F33A0">
        <w:rPr>
          <w:rFonts w:ascii="Times New Roman" w:hAnsi="Times New Roman" w:cs="Times New Roman"/>
          <w:iCs/>
          <w:sz w:val="28"/>
          <w:szCs w:val="28"/>
        </w:rPr>
        <w:t>, with a viable therapeutic window at 900 µM</w:t>
      </w:r>
      <w:r w:rsidR="00C662A8" w:rsidRPr="008119BF">
        <w:rPr>
          <w:rFonts w:ascii="Times New Roman" w:hAnsi="Times New Roman" w:cs="Times New Roman"/>
          <w:iCs/>
          <w:sz w:val="28"/>
          <w:szCs w:val="28"/>
        </w:rPr>
        <w:t>. Proceed to in vivo trials focusing on this dose.</w:t>
      </w:r>
      <w:r w:rsidR="00E007B8" w:rsidRPr="008119BF">
        <w:rPr>
          <w:rFonts w:ascii="Times New Roman" w:hAnsi="Times New Roman" w:cs="Times New Roman"/>
          <w:iCs/>
          <w:sz w:val="28"/>
          <w:szCs w:val="28"/>
        </w:rPr>
        <w:t xml:space="preserve"> </w:t>
      </w:r>
      <w:r w:rsidR="00853685" w:rsidRPr="008119BF">
        <w:rPr>
          <w:rFonts w:ascii="Times New Roman" w:hAnsi="Times New Roman" w:cs="Times New Roman"/>
          <w:iCs/>
          <w:sz w:val="28"/>
          <w:szCs w:val="28"/>
        </w:rPr>
        <w:t>Tenofovir is nephrotoxic</w:t>
      </w:r>
      <w:r w:rsidR="008C6138" w:rsidRPr="008119BF">
        <w:rPr>
          <w:rFonts w:ascii="Times New Roman" w:hAnsi="Times New Roman" w:cs="Times New Roman"/>
          <w:iCs/>
          <w:sz w:val="28"/>
          <w:szCs w:val="28"/>
        </w:rPr>
        <w:t xml:space="preserve"> in overdose</w:t>
      </w:r>
      <w:r w:rsidR="00853685" w:rsidRPr="008119BF">
        <w:rPr>
          <w:rFonts w:ascii="Times New Roman" w:hAnsi="Times New Roman" w:cs="Times New Roman"/>
          <w:iCs/>
          <w:sz w:val="28"/>
          <w:szCs w:val="28"/>
        </w:rPr>
        <w:t xml:space="preserve"> and has kidney cytotoxicity potential. </w:t>
      </w:r>
      <w:r w:rsidR="00BC1701" w:rsidRPr="008119BF">
        <w:rPr>
          <w:rFonts w:ascii="Times New Roman" w:hAnsi="Times New Roman" w:cs="Times New Roman"/>
          <w:iCs/>
          <w:sz w:val="28"/>
          <w:szCs w:val="28"/>
        </w:rPr>
        <w:t>Cell viability decreased before the start of antiviral treatment at a concentration of 318 µM, which is below the cytotoxic safe concentration of Favipiravir; therefore, the tested inhibitor concentration did not affect cell viability (CC-levels) or viral stock dilution (10^-7)</w:t>
      </w:r>
      <w:r w:rsidR="00853685" w:rsidRPr="008119BF">
        <w:rPr>
          <w:rFonts w:ascii="Times New Roman" w:hAnsi="Times New Roman" w:cs="Times New Roman"/>
          <w:iCs/>
          <w:sz w:val="28"/>
          <w:szCs w:val="28"/>
        </w:rPr>
        <w:t xml:space="preserve">. A relatively high drug concentration reaches the EC </w:t>
      </w:r>
      <w:r w:rsidR="00853685" w:rsidRPr="008119BF">
        <w:rPr>
          <w:rFonts w:ascii="Times New Roman" w:hAnsi="Times New Roman" w:cs="Times New Roman"/>
          <w:iCs/>
          <w:sz w:val="28"/>
          <w:szCs w:val="28"/>
          <w:vertAlign w:val="subscript"/>
        </w:rPr>
        <w:t>37.37</w:t>
      </w:r>
      <w:r w:rsidR="006504D8" w:rsidRPr="008119BF">
        <w:rPr>
          <w:rFonts w:ascii="Times New Roman" w:hAnsi="Times New Roman" w:cs="Times New Roman"/>
          <w:iCs/>
          <w:sz w:val="28"/>
          <w:szCs w:val="28"/>
        </w:rPr>
        <w:t xml:space="preserve"> at 318</w:t>
      </w:r>
      <w:r w:rsidR="00853685" w:rsidRPr="008119BF">
        <w:rPr>
          <w:rFonts w:ascii="Times New Roman" w:hAnsi="Times New Roman" w:cs="Times New Roman"/>
          <w:iCs/>
          <w:sz w:val="28"/>
          <w:szCs w:val="28"/>
        </w:rPr>
        <w:t xml:space="preserve"> µM. </w:t>
      </w:r>
    </w:p>
    <w:p w14:paraId="48C1590D" w14:textId="16B787A8" w:rsidR="004F33A0" w:rsidRDefault="00853685" w:rsidP="000105D4">
      <w:pPr>
        <w:spacing w:after="0" w:line="240" w:lineRule="auto"/>
        <w:ind w:firstLine="708"/>
        <w:jc w:val="both"/>
        <w:rPr>
          <w:rFonts w:ascii="Times New Roman" w:hAnsi="Times New Roman" w:cs="Times New Roman"/>
          <w:iCs/>
          <w:sz w:val="28"/>
          <w:szCs w:val="28"/>
        </w:rPr>
      </w:pPr>
      <w:r w:rsidRPr="008119BF">
        <w:rPr>
          <w:rFonts w:ascii="Times New Roman" w:hAnsi="Times New Roman" w:cs="Times New Roman"/>
          <w:iCs/>
          <w:sz w:val="28"/>
          <w:szCs w:val="28"/>
        </w:rPr>
        <w:t>However, EC</w:t>
      </w:r>
      <w:r w:rsidRPr="008119BF">
        <w:rPr>
          <w:rFonts w:ascii="Times New Roman" w:hAnsi="Times New Roman" w:cs="Times New Roman"/>
          <w:iCs/>
          <w:sz w:val="28"/>
          <w:szCs w:val="28"/>
          <w:vertAlign w:val="subscript"/>
        </w:rPr>
        <w:t xml:space="preserve">10 </w:t>
      </w:r>
      <w:r w:rsidRPr="008119BF">
        <w:rPr>
          <w:rFonts w:ascii="Times New Roman" w:hAnsi="Times New Roman" w:cs="Times New Roman"/>
          <w:iCs/>
          <w:sz w:val="28"/>
          <w:szCs w:val="28"/>
        </w:rPr>
        <w:t>is relatively low,</w:t>
      </w:r>
      <w:r w:rsidR="00BC1701" w:rsidRPr="008119BF">
        <w:rPr>
          <w:rFonts w:ascii="Times New Roman" w:hAnsi="Times New Roman" w:cs="Times New Roman"/>
          <w:iCs/>
          <w:sz w:val="28"/>
          <w:szCs w:val="28"/>
        </w:rPr>
        <w:t xml:space="preserve"> at approximately</w:t>
      </w:r>
      <w:r w:rsidRPr="008119BF">
        <w:rPr>
          <w:rFonts w:ascii="Times New Roman" w:hAnsi="Times New Roman" w:cs="Times New Roman"/>
          <w:iCs/>
          <w:sz w:val="28"/>
          <w:szCs w:val="28"/>
        </w:rPr>
        <w:t xml:space="preserve"> 1.65 µM.   EC max is predicted to be </w:t>
      </w:r>
      <w:r w:rsidR="00100634" w:rsidRPr="008119BF">
        <w:rPr>
          <w:rFonts w:ascii="Times New Roman" w:hAnsi="Times New Roman" w:cs="Times New Roman"/>
          <w:iCs/>
          <w:sz w:val="28"/>
          <w:szCs w:val="28"/>
        </w:rPr>
        <w:t>approximately 90% inhibition or higher</w:t>
      </w:r>
      <w:r w:rsidRPr="008119BF">
        <w:rPr>
          <w:rFonts w:ascii="Times New Roman" w:hAnsi="Times New Roman" w:cs="Times New Roman"/>
          <w:iCs/>
          <w:sz w:val="28"/>
          <w:szCs w:val="28"/>
        </w:rPr>
        <w:t>. Still, cell viability decreases dramatically</w:t>
      </w:r>
      <w:r w:rsidR="004F33A0">
        <w:rPr>
          <w:rFonts w:ascii="Times New Roman" w:hAnsi="Times New Roman" w:cs="Times New Roman"/>
          <w:iCs/>
          <w:sz w:val="28"/>
          <w:szCs w:val="28"/>
        </w:rPr>
        <w:t>, with EC50 values</w:t>
      </w:r>
      <w:r w:rsidR="00BC1701" w:rsidRPr="008119BF">
        <w:rPr>
          <w:rFonts w:ascii="Times New Roman" w:hAnsi="Times New Roman" w:cs="Times New Roman"/>
          <w:iCs/>
          <w:sz w:val="28"/>
          <w:szCs w:val="28"/>
        </w:rPr>
        <w:t xml:space="preserve"> at higher drug concentrations,</w:t>
      </w:r>
      <w:r w:rsidRPr="008119BF">
        <w:rPr>
          <w:rFonts w:ascii="Times New Roman" w:hAnsi="Times New Roman" w:cs="Times New Roman"/>
          <w:iCs/>
          <w:sz w:val="28"/>
          <w:szCs w:val="28"/>
        </w:rPr>
        <w:t xml:space="preserve"> up to 1000</w:t>
      </w:r>
      <w:r w:rsidRPr="008119BF">
        <w:rPr>
          <w:rFonts w:ascii="Times New Roman" w:hAnsi="Times New Roman" w:cs="Times New Roman"/>
          <w:sz w:val="28"/>
          <w:szCs w:val="28"/>
        </w:rPr>
        <w:t xml:space="preserve"> </w:t>
      </w:r>
      <w:r w:rsidRPr="008119BF">
        <w:rPr>
          <w:rFonts w:ascii="Times New Roman" w:hAnsi="Times New Roman" w:cs="Times New Roman"/>
          <w:iCs/>
          <w:sz w:val="28"/>
          <w:szCs w:val="28"/>
        </w:rPr>
        <w:t xml:space="preserve">µM. </w:t>
      </w:r>
      <w:r w:rsidR="00BC1701" w:rsidRPr="008119BF">
        <w:rPr>
          <w:rFonts w:ascii="Times New Roman" w:hAnsi="Times New Roman" w:cs="Times New Roman"/>
          <w:iCs/>
          <w:sz w:val="28"/>
          <w:szCs w:val="28"/>
        </w:rPr>
        <w:t xml:space="preserve">According to </w:t>
      </w:r>
      <w:r w:rsidR="00C0301E" w:rsidRPr="008119BF">
        <w:rPr>
          <w:rFonts w:ascii="Times New Roman" w:hAnsi="Times New Roman" w:cs="Times New Roman"/>
          <w:iCs/>
          <w:sz w:val="28"/>
          <w:szCs w:val="28"/>
        </w:rPr>
        <w:t>the data obtained</w:t>
      </w:r>
      <w:r w:rsidR="00BC1701" w:rsidRPr="008119BF">
        <w:rPr>
          <w:rFonts w:ascii="Times New Roman" w:hAnsi="Times New Roman" w:cs="Times New Roman"/>
          <w:iCs/>
          <w:sz w:val="28"/>
          <w:szCs w:val="28"/>
        </w:rPr>
        <w:t xml:space="preserve">, Favipiravir is not a practical purine analogue against </w:t>
      </w:r>
      <w:r w:rsidR="004F33A0">
        <w:rPr>
          <w:rFonts w:ascii="Times New Roman" w:hAnsi="Times New Roman" w:cs="Times New Roman"/>
          <w:iCs/>
          <w:sz w:val="28"/>
          <w:szCs w:val="28"/>
        </w:rPr>
        <w:t xml:space="preserve">SARS-CoV-2 at an MOI of </w:t>
      </w:r>
      <w:r w:rsidRPr="008119BF">
        <w:rPr>
          <w:rFonts w:ascii="Times New Roman" w:hAnsi="Times New Roman" w:cs="Times New Roman"/>
          <w:iCs/>
          <w:sz w:val="28"/>
          <w:szCs w:val="28"/>
        </w:rPr>
        <w:t xml:space="preserve">2. Figure </w:t>
      </w:r>
      <w:r w:rsidR="00085A7D" w:rsidRPr="008119BF">
        <w:rPr>
          <w:rFonts w:ascii="Times New Roman" w:hAnsi="Times New Roman" w:cs="Times New Roman"/>
          <w:iCs/>
          <w:sz w:val="28"/>
          <w:szCs w:val="28"/>
        </w:rPr>
        <w:t>40</w:t>
      </w:r>
      <w:r w:rsidRPr="008119BF">
        <w:rPr>
          <w:rFonts w:ascii="Times New Roman" w:hAnsi="Times New Roman" w:cs="Times New Roman"/>
          <w:iCs/>
          <w:sz w:val="28"/>
          <w:szCs w:val="28"/>
        </w:rPr>
        <w:t xml:space="preserve"> </w:t>
      </w:r>
      <w:r w:rsidR="00C0301E" w:rsidRPr="008119BF">
        <w:rPr>
          <w:rFonts w:ascii="Times New Roman" w:hAnsi="Times New Roman" w:cs="Times New Roman"/>
          <w:iCs/>
          <w:sz w:val="28"/>
          <w:szCs w:val="28"/>
        </w:rPr>
        <w:t>illustrates the toe-to-toe dynamics between CE% and CC%</w:t>
      </w:r>
      <w:r w:rsidR="004F33A0">
        <w:rPr>
          <w:rFonts w:ascii="Times New Roman" w:hAnsi="Times New Roman" w:cs="Times New Roman"/>
          <w:iCs/>
          <w:sz w:val="28"/>
          <w:szCs w:val="28"/>
        </w:rPr>
        <w:t>, with 90% of cells dying and</w:t>
      </w:r>
      <w:r w:rsidR="00C0301E" w:rsidRPr="008119BF">
        <w:rPr>
          <w:rFonts w:ascii="Times New Roman" w:hAnsi="Times New Roman" w:cs="Times New Roman"/>
          <w:iCs/>
          <w:sz w:val="28"/>
          <w:szCs w:val="28"/>
        </w:rPr>
        <w:t xml:space="preserve"> nearly</w:t>
      </w:r>
      <w:r w:rsidRPr="008119BF">
        <w:rPr>
          <w:rFonts w:ascii="Times New Roman" w:hAnsi="Times New Roman" w:cs="Times New Roman"/>
          <w:iCs/>
          <w:sz w:val="28"/>
          <w:szCs w:val="28"/>
        </w:rPr>
        <w:t xml:space="preserve"> 100% viral </w:t>
      </w:r>
      <w:r w:rsidR="00085A7D" w:rsidRPr="008119BF">
        <w:rPr>
          <w:rFonts w:ascii="Times New Roman" w:hAnsi="Times New Roman" w:cs="Times New Roman"/>
          <w:iCs/>
          <w:sz w:val="28"/>
          <w:szCs w:val="28"/>
        </w:rPr>
        <w:t>inhibition [115]</w:t>
      </w:r>
      <w:r w:rsidRPr="008119BF">
        <w:rPr>
          <w:rFonts w:ascii="Times New Roman" w:hAnsi="Times New Roman" w:cs="Times New Roman"/>
          <w:iCs/>
          <w:sz w:val="28"/>
          <w:szCs w:val="28"/>
        </w:rPr>
        <w:t xml:space="preserve">. </w:t>
      </w:r>
    </w:p>
    <w:p w14:paraId="52520C51" w14:textId="77777777" w:rsidR="00FD4733" w:rsidRPr="008119BF" w:rsidRDefault="00FD4733" w:rsidP="000105D4">
      <w:pPr>
        <w:spacing w:after="0" w:line="240" w:lineRule="auto"/>
        <w:ind w:firstLine="708"/>
        <w:jc w:val="both"/>
        <w:rPr>
          <w:rFonts w:ascii="Times New Roman" w:hAnsi="Times New Roman" w:cs="Times New Roman"/>
          <w:iCs/>
          <w:sz w:val="28"/>
          <w:szCs w:val="28"/>
        </w:rPr>
      </w:pPr>
    </w:p>
    <w:p w14:paraId="3924AC5C" w14:textId="77777777" w:rsidR="00226539" w:rsidRPr="008119BF" w:rsidRDefault="00853685" w:rsidP="008119BF">
      <w:pPr>
        <w:spacing w:after="0" w:line="240" w:lineRule="auto"/>
        <w:jc w:val="both"/>
        <w:rPr>
          <w:rFonts w:ascii="Times New Roman" w:hAnsi="Times New Roman" w:cs="Times New Roman"/>
          <w:i/>
          <w:sz w:val="28"/>
          <w:szCs w:val="28"/>
          <w:u w:val="single"/>
        </w:rPr>
      </w:pPr>
      <w:r w:rsidRPr="008119BF">
        <w:rPr>
          <w:rFonts w:ascii="Times New Roman" w:hAnsi="Times New Roman" w:cs="Times New Roman"/>
          <w:i/>
          <w:sz w:val="28"/>
          <w:szCs w:val="28"/>
          <w:u w:val="single"/>
        </w:rPr>
        <w:lastRenderedPageBreak/>
        <w:t xml:space="preserve">Viral PFU count comparison – the visual/direct antiviral effect of four drugs </w:t>
      </w:r>
    </w:p>
    <w:p w14:paraId="09790733" w14:textId="167BA39D" w:rsidR="00930694" w:rsidRPr="008119BF" w:rsidRDefault="00B03AF8" w:rsidP="008119BF">
      <w:pPr>
        <w:spacing w:after="0" w:line="240" w:lineRule="auto"/>
        <w:ind w:firstLine="708"/>
        <w:jc w:val="both"/>
        <w:rPr>
          <w:rFonts w:ascii="Times New Roman" w:hAnsi="Times New Roman" w:cs="Times New Roman"/>
          <w:iCs/>
          <w:sz w:val="28"/>
          <w:szCs w:val="28"/>
        </w:rPr>
      </w:pPr>
      <w:r w:rsidRPr="008119BF">
        <w:rPr>
          <w:rFonts w:ascii="Times New Roman" w:hAnsi="Times New Roman" w:cs="Times New Roman"/>
          <w:iCs/>
          <w:sz w:val="28"/>
          <w:szCs w:val="28"/>
        </w:rPr>
        <w:t>Figure 40 shows the Viral PFU count comparison – the visual/direct antiviral effect of four drugs</w:t>
      </w:r>
      <w:r w:rsidR="00740E86" w:rsidRPr="008119BF">
        <w:rPr>
          <w:rFonts w:ascii="Times New Roman" w:hAnsi="Times New Roman" w:cs="Times New Roman"/>
          <w:iCs/>
          <w:sz w:val="28"/>
          <w:szCs w:val="28"/>
        </w:rPr>
        <w:t>.</w:t>
      </w:r>
      <w:r w:rsidRPr="008119BF">
        <w:rPr>
          <w:rFonts w:ascii="Times New Roman" w:hAnsi="Times New Roman" w:cs="Times New Roman"/>
          <w:iCs/>
          <w:sz w:val="28"/>
          <w:szCs w:val="28"/>
        </w:rPr>
        <w:t xml:space="preserve"> </w:t>
      </w:r>
      <w:r w:rsidR="00930694" w:rsidRPr="008119BF">
        <w:rPr>
          <w:rFonts w:ascii="Times New Roman" w:hAnsi="Times New Roman" w:cs="Times New Roman"/>
          <w:iCs/>
          <w:sz w:val="28"/>
          <w:szCs w:val="28"/>
        </w:rPr>
        <w:t>The viruses were pre-incubated with each drug</w:t>
      </w:r>
      <w:r w:rsidR="004F33A0">
        <w:rPr>
          <w:rFonts w:ascii="Times New Roman" w:hAnsi="Times New Roman" w:cs="Times New Roman"/>
          <w:iCs/>
          <w:sz w:val="28"/>
          <w:szCs w:val="28"/>
        </w:rPr>
        <w:t>, then washed to remove unbound drug before inoculation</w:t>
      </w:r>
      <w:r w:rsidR="008568DB" w:rsidRPr="008119BF">
        <w:rPr>
          <w:rFonts w:ascii="Times New Roman" w:hAnsi="Times New Roman" w:cs="Times New Roman"/>
          <w:iCs/>
          <w:sz w:val="28"/>
          <w:szCs w:val="28"/>
        </w:rPr>
        <w:t xml:space="preserve"> into</w:t>
      </w:r>
      <w:r w:rsidR="00930694" w:rsidRPr="008119BF">
        <w:rPr>
          <w:rFonts w:ascii="Times New Roman" w:hAnsi="Times New Roman" w:cs="Times New Roman"/>
          <w:iCs/>
          <w:sz w:val="28"/>
          <w:szCs w:val="28"/>
        </w:rPr>
        <w:t xml:space="preserve"> cell monolayers. This isolates the drug's effect on viral particles rather than host cells.</w:t>
      </w:r>
      <w:r w:rsidR="00187457" w:rsidRPr="008119BF">
        <w:rPr>
          <w:rFonts w:ascii="Times New Roman" w:hAnsi="Times New Roman" w:cs="Times New Roman"/>
          <w:iCs/>
          <w:sz w:val="28"/>
          <w:szCs w:val="28"/>
        </w:rPr>
        <w:t xml:space="preserve"> Untreated virus (control) and cytotoxicity controls (drug + cells without virus) </w:t>
      </w:r>
      <w:r w:rsidR="004C7727" w:rsidRPr="008119BF">
        <w:rPr>
          <w:rFonts w:ascii="Times New Roman" w:hAnsi="Times New Roman" w:cs="Times New Roman"/>
          <w:iCs/>
          <w:sz w:val="28"/>
          <w:szCs w:val="28"/>
        </w:rPr>
        <w:t>were included to ensure that the reduction in PFU was</w:t>
      </w:r>
      <w:r w:rsidR="00187457" w:rsidRPr="008119BF">
        <w:rPr>
          <w:rFonts w:ascii="Times New Roman" w:hAnsi="Times New Roman" w:cs="Times New Roman"/>
          <w:iCs/>
          <w:sz w:val="28"/>
          <w:szCs w:val="28"/>
        </w:rPr>
        <w:t xml:space="preserve"> not due to cell death. </w:t>
      </w:r>
    </w:p>
    <w:p w14:paraId="56619D19" w14:textId="3B5E6E1D" w:rsidR="00B03AF8" w:rsidRPr="008119BF" w:rsidRDefault="00B03AF8" w:rsidP="008119BF">
      <w:pPr>
        <w:spacing w:line="240" w:lineRule="auto"/>
        <w:jc w:val="both"/>
        <w:rPr>
          <w:rFonts w:ascii="Times New Roman" w:hAnsi="Times New Roman" w:cs="Times New Roman"/>
          <w:iCs/>
          <w:sz w:val="28"/>
          <w:szCs w:val="28"/>
        </w:rPr>
      </w:pPr>
    </w:p>
    <w:p w14:paraId="2E1BCF3C" w14:textId="0C8669B2" w:rsidR="00226539" w:rsidRPr="00DA6D0A" w:rsidRDefault="00B62FE3" w:rsidP="00B03AF8">
      <w:pPr>
        <w:spacing w:after="0" w:line="360" w:lineRule="auto"/>
        <w:jc w:val="center"/>
        <w:rPr>
          <w:rFonts w:ascii="Times New Roman" w:hAnsi="Times New Roman" w:cs="Times New Roman"/>
          <w:b/>
          <w:bCs/>
          <w:iCs/>
          <w:sz w:val="24"/>
          <w:szCs w:val="24"/>
          <w:lang w:val="en-US"/>
        </w:rPr>
      </w:pPr>
      <w:r w:rsidRPr="00B62FE3">
        <w:rPr>
          <w:rFonts w:ascii="Times New Roman" w:hAnsi="Times New Roman" w:cs="Times New Roman"/>
          <w:b/>
          <w:bCs/>
          <w:iCs/>
          <w:noProof/>
          <w:sz w:val="24"/>
          <w:szCs w:val="24"/>
          <w:lang w:val="ru-RU"/>
        </w:rPr>
        <w:drawing>
          <wp:inline distT="0" distB="0" distL="0" distR="0" wp14:anchorId="0EAA4DEB" wp14:editId="17782423">
            <wp:extent cx="2512041" cy="2551915"/>
            <wp:effectExtent l="0" t="0" r="3175" b="1270"/>
            <wp:docPr id="1614042670"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14813" cy="2554731"/>
                    </a:xfrm>
                    <a:prstGeom prst="rect">
                      <a:avLst/>
                    </a:prstGeom>
                    <a:noFill/>
                    <a:ln>
                      <a:noFill/>
                    </a:ln>
                  </pic:spPr>
                </pic:pic>
              </a:graphicData>
            </a:graphic>
          </wp:inline>
        </w:drawing>
      </w:r>
      <w:r w:rsidRPr="00B62FE3">
        <w:rPr>
          <w:rFonts w:ascii="Times New Roman" w:hAnsi="Times New Roman" w:cs="Times New Roman"/>
          <w:b/>
          <w:bCs/>
          <w:iCs/>
          <w:noProof/>
          <w:sz w:val="24"/>
          <w:szCs w:val="24"/>
          <w:lang w:val="ru-RU"/>
        </w:rPr>
        <w:drawing>
          <wp:inline distT="0" distB="0" distL="0" distR="0" wp14:anchorId="2959C148" wp14:editId="319B7738">
            <wp:extent cx="3118513" cy="2558415"/>
            <wp:effectExtent l="0" t="0" r="5715" b="0"/>
            <wp:docPr id="2111119000"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43133" cy="2578613"/>
                    </a:xfrm>
                    <a:prstGeom prst="rect">
                      <a:avLst/>
                    </a:prstGeom>
                    <a:noFill/>
                    <a:ln>
                      <a:noFill/>
                    </a:ln>
                  </pic:spPr>
                </pic:pic>
              </a:graphicData>
            </a:graphic>
          </wp:inline>
        </w:drawing>
      </w:r>
      <w:r w:rsidR="0064262A" w:rsidRPr="006531C9">
        <w:rPr>
          <w:rFonts w:ascii="Times New Roman" w:hAnsi="Times New Roman" w:cs="Times New Roman"/>
          <w:b/>
          <w:bCs/>
          <w:iCs/>
          <w:sz w:val="24"/>
          <w:szCs w:val="24"/>
        </w:rPr>
        <w:t xml:space="preserve"> </w:t>
      </w:r>
    </w:p>
    <w:p w14:paraId="44EA476D" w14:textId="3C162B52" w:rsidR="00B03AF8" w:rsidRPr="008119BF" w:rsidRDefault="00853685" w:rsidP="004F33A0">
      <w:pPr>
        <w:spacing w:after="0" w:line="240" w:lineRule="auto"/>
        <w:jc w:val="center"/>
        <w:rPr>
          <w:rFonts w:ascii="Times New Roman" w:hAnsi="Times New Roman" w:cs="Times New Roman"/>
          <w:iCs/>
          <w:sz w:val="28"/>
          <w:szCs w:val="28"/>
        </w:rPr>
      </w:pPr>
      <w:r w:rsidRPr="008119BF">
        <w:rPr>
          <w:rFonts w:ascii="Times New Roman" w:hAnsi="Times New Roman" w:cs="Times New Roman"/>
          <w:iCs/>
          <w:sz w:val="28"/>
          <w:szCs w:val="28"/>
        </w:rPr>
        <w:t xml:space="preserve">Figure </w:t>
      </w:r>
      <w:r w:rsidR="00587109" w:rsidRPr="008119BF">
        <w:rPr>
          <w:rFonts w:ascii="Times New Roman" w:hAnsi="Times New Roman" w:cs="Times New Roman"/>
          <w:iCs/>
          <w:sz w:val="28"/>
          <w:szCs w:val="28"/>
        </w:rPr>
        <w:t>4</w:t>
      </w:r>
      <w:r w:rsidR="00B03AF8" w:rsidRPr="008119BF">
        <w:rPr>
          <w:rFonts w:ascii="Times New Roman" w:hAnsi="Times New Roman" w:cs="Times New Roman"/>
          <w:iCs/>
          <w:sz w:val="28"/>
          <w:szCs w:val="28"/>
        </w:rPr>
        <w:t>0</w:t>
      </w:r>
      <w:r w:rsidR="001D5F4D" w:rsidRPr="008119BF">
        <w:rPr>
          <w:rFonts w:ascii="Times New Roman" w:hAnsi="Times New Roman" w:cs="Times New Roman"/>
          <w:iCs/>
          <w:sz w:val="28"/>
          <w:szCs w:val="28"/>
        </w:rPr>
        <w:t xml:space="preserve"> </w:t>
      </w:r>
      <w:r w:rsidR="005B2479" w:rsidRPr="008119BF">
        <w:rPr>
          <w:rFonts w:ascii="Times New Roman" w:hAnsi="Times New Roman" w:cs="Times New Roman"/>
          <w:iCs/>
          <w:sz w:val="28"/>
          <w:szCs w:val="28"/>
        </w:rPr>
        <w:t>–</w:t>
      </w:r>
      <w:r w:rsidR="008119BF" w:rsidRPr="008119BF">
        <w:rPr>
          <w:rFonts w:ascii="Times New Roman" w:hAnsi="Times New Roman" w:cs="Times New Roman"/>
          <w:iCs/>
          <w:sz w:val="28"/>
          <w:szCs w:val="28"/>
        </w:rPr>
        <w:t xml:space="preserve"> (Left)The virus accumulation dynamics in four replication orders on intact (Right).</w:t>
      </w:r>
      <w:r w:rsidR="00862652" w:rsidRPr="008119BF">
        <w:rPr>
          <w:rFonts w:ascii="Times New Roman" w:hAnsi="Times New Roman" w:cs="Times New Roman"/>
          <w:iCs/>
          <w:sz w:val="28"/>
          <w:szCs w:val="28"/>
        </w:rPr>
        <w:t xml:space="preserve"> </w:t>
      </w:r>
      <w:r w:rsidRPr="008119BF">
        <w:rPr>
          <w:rFonts w:ascii="Times New Roman" w:hAnsi="Times New Roman" w:cs="Times New Roman"/>
          <w:iCs/>
          <w:sz w:val="28"/>
          <w:szCs w:val="28"/>
        </w:rPr>
        <w:t xml:space="preserve">The viral load was </w:t>
      </w:r>
      <w:r w:rsidR="004F33A0">
        <w:rPr>
          <w:rFonts w:ascii="Times New Roman" w:hAnsi="Times New Roman" w:cs="Times New Roman"/>
          <w:iCs/>
          <w:sz w:val="28"/>
          <w:szCs w:val="28"/>
        </w:rPr>
        <w:t>cytotoxicity–high—</w:t>
      </w:r>
      <w:r w:rsidRPr="008119BF">
        <w:rPr>
          <w:rFonts w:ascii="Times New Roman" w:hAnsi="Times New Roman" w:cs="Times New Roman"/>
          <w:iCs/>
          <w:sz w:val="28"/>
          <w:szCs w:val="28"/>
        </w:rPr>
        <w:t>MOI 2.</w:t>
      </w:r>
      <w:r w:rsidR="002013F5" w:rsidRPr="008119BF">
        <w:rPr>
          <w:rFonts w:ascii="Times New Roman" w:hAnsi="Times New Roman" w:cs="Times New Roman"/>
          <w:iCs/>
          <w:sz w:val="28"/>
          <w:szCs w:val="28"/>
        </w:rPr>
        <w:t xml:space="preserve"> </w:t>
      </w:r>
      <w:r w:rsidR="002433EB" w:rsidRPr="008119BF">
        <w:rPr>
          <w:rFonts w:ascii="Times New Roman" w:hAnsi="Times New Roman" w:cs="Times New Roman"/>
          <w:iCs/>
          <w:sz w:val="28"/>
          <w:szCs w:val="28"/>
        </w:rPr>
        <w:t xml:space="preserve">Cell viability is directly proportional to viral inhibition; the highest cell viability was observed with Tenvir in </w:t>
      </w:r>
      <w:r w:rsidR="004F33A0">
        <w:rPr>
          <w:rFonts w:ascii="Times New Roman" w:hAnsi="Times New Roman" w:cs="Times New Roman"/>
          <w:iCs/>
          <w:sz w:val="28"/>
          <w:szCs w:val="28"/>
        </w:rPr>
        <w:t xml:space="preserve">CCK-8 and MTT </w:t>
      </w:r>
      <w:r w:rsidR="00AA137A" w:rsidRPr="008119BF">
        <w:rPr>
          <w:rFonts w:ascii="Times New Roman" w:hAnsi="Times New Roman" w:cs="Times New Roman"/>
          <w:iCs/>
          <w:sz w:val="28"/>
          <w:szCs w:val="28"/>
        </w:rPr>
        <w:t>assays</w:t>
      </w:r>
      <w:r w:rsidR="00861AD3">
        <w:rPr>
          <w:rFonts w:ascii="Times New Roman" w:hAnsi="Times New Roman" w:cs="Times New Roman"/>
          <w:iCs/>
          <w:sz w:val="28"/>
          <w:szCs w:val="28"/>
        </w:rPr>
        <w:t>,</w:t>
      </w:r>
      <w:r w:rsidR="00AA137A" w:rsidRPr="008119BF">
        <w:rPr>
          <w:rFonts w:ascii="Times New Roman" w:hAnsi="Times New Roman" w:cs="Times New Roman"/>
          <w:iCs/>
          <w:sz w:val="28"/>
          <w:szCs w:val="28"/>
        </w:rPr>
        <w:t xml:space="preserve"> </w:t>
      </w:r>
      <w:r w:rsidR="008568DB" w:rsidRPr="008119BF">
        <w:rPr>
          <w:rFonts w:ascii="Times New Roman" w:hAnsi="Times New Roman" w:cs="Times New Roman"/>
          <w:iCs/>
          <w:sz w:val="28"/>
          <w:szCs w:val="28"/>
        </w:rPr>
        <w:t>n=3</w:t>
      </w:r>
    </w:p>
    <w:p w14:paraId="5058BE34" w14:textId="77777777" w:rsidR="00352772" w:rsidRPr="008119BF" w:rsidRDefault="00352772" w:rsidP="004F33A0">
      <w:pPr>
        <w:spacing w:after="0" w:line="240" w:lineRule="auto"/>
        <w:jc w:val="both"/>
        <w:rPr>
          <w:rFonts w:ascii="Times New Roman" w:hAnsi="Times New Roman" w:cs="Times New Roman"/>
          <w:iCs/>
          <w:sz w:val="28"/>
          <w:szCs w:val="28"/>
        </w:rPr>
      </w:pPr>
    </w:p>
    <w:p w14:paraId="10AB63FC" w14:textId="65D93AB4" w:rsidR="001808D8" w:rsidRDefault="001808D8" w:rsidP="004F33A0">
      <w:pPr>
        <w:spacing w:after="0" w:line="240" w:lineRule="auto"/>
        <w:ind w:firstLine="708"/>
        <w:jc w:val="both"/>
        <w:rPr>
          <w:rFonts w:ascii="Times New Roman" w:hAnsi="Times New Roman" w:cs="Times New Roman"/>
          <w:iCs/>
          <w:sz w:val="28"/>
          <w:szCs w:val="28"/>
        </w:rPr>
      </w:pPr>
      <w:r w:rsidRPr="008119BF">
        <w:rPr>
          <w:rFonts w:ascii="Times New Roman" w:hAnsi="Times New Roman" w:cs="Times New Roman"/>
          <w:iCs/>
          <w:sz w:val="28"/>
          <w:szCs w:val="28"/>
        </w:rPr>
        <w:t>VeroE6 cells seeded in 96-well plates after inoculation with SARS-CoV-2 at a titer during a 24-hour infection phase, with treatments of 174 µM Tenofovir (Tenvir), 205 µM Ribavirin, 318 µM Favipiravir, and 10 µM Dexamethasone. Dexamethasone antiviral efficacy: 7.20±0.04; Ribavirin antiviral efficacy: 6.40±0.15; Tenofovir (TDF) antiviral efficacy: 5.03±0.15- reduction for two lg n=3; Tenofovir (TAF) antiviral efficacy: 4.83±0.15 reduction for two lg n=5 (once in China on the MTT-Platform); Favipiravir antiviral efficacy: 6.99±0.05</w:t>
      </w:r>
      <w:r w:rsidR="0088790A">
        <w:rPr>
          <w:rFonts w:ascii="Times New Roman" w:hAnsi="Times New Roman" w:cs="Times New Roman"/>
          <w:iCs/>
          <w:sz w:val="28"/>
          <w:szCs w:val="28"/>
        </w:rPr>
        <w:t>.</w:t>
      </w:r>
    </w:p>
    <w:p w14:paraId="63BDE048" w14:textId="376AA0E6" w:rsidR="00CD114A" w:rsidRDefault="006D249D" w:rsidP="004F33A0">
      <w:pPr>
        <w:spacing w:after="0" w:line="240" w:lineRule="auto"/>
        <w:ind w:firstLine="708"/>
        <w:jc w:val="both"/>
        <w:rPr>
          <w:rFonts w:ascii="Times New Roman" w:hAnsi="Times New Roman" w:cs="Times New Roman"/>
          <w:iCs/>
          <w:sz w:val="28"/>
          <w:szCs w:val="28"/>
        </w:rPr>
      </w:pPr>
      <w:r w:rsidRPr="008119BF">
        <w:rPr>
          <w:rFonts w:ascii="Times New Roman" w:hAnsi="Times New Roman" w:cs="Times New Roman"/>
          <w:iCs/>
          <w:sz w:val="28"/>
          <w:szCs w:val="28"/>
        </w:rPr>
        <w:t xml:space="preserve">Tenofovir stands out for its cytoprotection, although it is not the most potent antiviral in terms of viral reduction. Favipiravir and Ribavirin are more potent inhibitors but might be less protective or more toxic. Dexamethasone’s high efficacy is unexpected and should be interpreted cautiously. </w:t>
      </w:r>
      <w:r w:rsidR="00A10C60" w:rsidRPr="008119BF">
        <w:rPr>
          <w:rFonts w:ascii="Times New Roman" w:hAnsi="Times New Roman" w:cs="Times New Roman"/>
          <w:iCs/>
          <w:sz w:val="28"/>
          <w:szCs w:val="28"/>
        </w:rPr>
        <w:t>The</w:t>
      </w:r>
      <w:r w:rsidRPr="008119BF">
        <w:rPr>
          <w:rFonts w:ascii="Times New Roman" w:hAnsi="Times New Roman" w:cs="Times New Roman"/>
          <w:iCs/>
          <w:sz w:val="28"/>
          <w:szCs w:val="28"/>
        </w:rPr>
        <w:t xml:space="preserve"> data suggest a trade-off between direct antiviral action and cell viability, with Tenofovir showing promise in preserving host cell integrity, potentially relevant in combinatorial therapies. </w:t>
      </w:r>
      <w:r w:rsidR="00732A5F" w:rsidRPr="008119BF">
        <w:rPr>
          <w:rFonts w:ascii="Times New Roman" w:hAnsi="Times New Roman" w:cs="Times New Roman"/>
          <w:iCs/>
          <w:sz w:val="28"/>
          <w:szCs w:val="28"/>
        </w:rPr>
        <w:t xml:space="preserve">Cell viability decreased before the initiation of antiviral cell treatment due to cytopathic effect (CPE). Tenvir reduced </w:t>
      </w:r>
      <w:r w:rsidR="004F33A0">
        <w:rPr>
          <w:rFonts w:ascii="Times New Roman" w:hAnsi="Times New Roman" w:cs="Times New Roman"/>
          <w:iCs/>
          <w:sz w:val="28"/>
          <w:szCs w:val="28"/>
        </w:rPr>
        <w:t>viral load by 2</w:t>
      </w:r>
      <w:r w:rsidR="00732A5F" w:rsidRPr="008119BF">
        <w:rPr>
          <w:rFonts w:ascii="Times New Roman" w:hAnsi="Times New Roman" w:cs="Times New Roman"/>
          <w:iCs/>
          <w:sz w:val="28"/>
          <w:szCs w:val="28"/>
        </w:rPr>
        <w:t xml:space="preserve"> </w:t>
      </w:r>
      <w:r w:rsidR="00A10C60" w:rsidRPr="008119BF">
        <w:rPr>
          <w:rFonts w:ascii="Times New Roman" w:hAnsi="Times New Roman" w:cs="Times New Roman"/>
          <w:iCs/>
          <w:sz w:val="28"/>
          <w:szCs w:val="28"/>
        </w:rPr>
        <w:t>logs</w:t>
      </w:r>
      <w:r w:rsidR="00732A5F" w:rsidRPr="008119BF">
        <w:rPr>
          <w:rFonts w:ascii="Times New Roman" w:hAnsi="Times New Roman" w:cs="Times New Roman"/>
          <w:iCs/>
          <w:sz w:val="28"/>
          <w:szCs w:val="28"/>
        </w:rPr>
        <w:t>. The antigenic test was sensitive at a concentration of 1 × 10</w:t>
      </w:r>
      <w:r w:rsidR="00732A5F" w:rsidRPr="008119BF">
        <w:rPr>
          <w:rFonts w:ascii="Times New Roman" w:hAnsi="Times New Roman" w:cs="Times New Roman"/>
          <w:iCs/>
          <w:sz w:val="28"/>
          <w:szCs w:val="28"/>
          <w:vertAlign w:val="superscript"/>
        </w:rPr>
        <w:t>5</w:t>
      </w:r>
      <w:r w:rsidR="00732A5F" w:rsidRPr="008119BF">
        <w:rPr>
          <w:rFonts w:ascii="Times New Roman" w:hAnsi="Times New Roman" w:cs="Times New Roman"/>
          <w:iCs/>
          <w:sz w:val="28"/>
          <w:szCs w:val="28"/>
        </w:rPr>
        <w:t xml:space="preserve"> TCID50/ml of viral particles.  </w:t>
      </w:r>
    </w:p>
    <w:p w14:paraId="294A9955" w14:textId="77777777" w:rsidR="000105D4" w:rsidRDefault="000105D4" w:rsidP="004F33A0">
      <w:pPr>
        <w:spacing w:after="0" w:line="240" w:lineRule="auto"/>
        <w:ind w:firstLine="708"/>
        <w:jc w:val="both"/>
        <w:rPr>
          <w:rFonts w:ascii="Times New Roman" w:hAnsi="Times New Roman" w:cs="Times New Roman"/>
          <w:iCs/>
          <w:sz w:val="28"/>
          <w:szCs w:val="28"/>
        </w:rPr>
      </w:pPr>
    </w:p>
    <w:p w14:paraId="41F8E08F" w14:textId="77777777" w:rsidR="004F33A0" w:rsidRDefault="004F33A0" w:rsidP="001808D8">
      <w:pPr>
        <w:spacing w:after="0" w:line="360" w:lineRule="auto"/>
        <w:jc w:val="both"/>
        <w:rPr>
          <w:rFonts w:ascii="Times New Roman" w:hAnsi="Times New Roman" w:cs="Times New Roman"/>
          <w:i/>
          <w:sz w:val="24"/>
          <w:szCs w:val="24"/>
          <w:u w:val="single"/>
        </w:rPr>
      </w:pPr>
    </w:p>
    <w:p w14:paraId="077B4E58" w14:textId="15A6FB06" w:rsidR="001D5F4D" w:rsidRPr="004F33A0" w:rsidRDefault="00AA137A" w:rsidP="00E60B86">
      <w:pPr>
        <w:spacing w:after="0" w:line="240" w:lineRule="auto"/>
        <w:ind w:firstLine="708"/>
        <w:jc w:val="both"/>
        <w:rPr>
          <w:rFonts w:ascii="Times New Roman" w:hAnsi="Times New Roman" w:cs="Times New Roman"/>
          <w:i/>
          <w:sz w:val="28"/>
          <w:szCs w:val="28"/>
          <w:u w:val="single"/>
        </w:rPr>
      </w:pPr>
      <w:r w:rsidRPr="004F33A0">
        <w:rPr>
          <w:rFonts w:ascii="Times New Roman" w:hAnsi="Times New Roman" w:cs="Times New Roman"/>
          <w:i/>
          <w:sz w:val="28"/>
          <w:szCs w:val="28"/>
          <w:u w:val="single"/>
        </w:rPr>
        <w:lastRenderedPageBreak/>
        <w:t>Potency and</w:t>
      </w:r>
      <w:r w:rsidR="001D5F4D" w:rsidRPr="004F33A0">
        <w:rPr>
          <w:rFonts w:ascii="Times New Roman" w:hAnsi="Times New Roman" w:cs="Times New Roman"/>
          <w:i/>
          <w:sz w:val="28"/>
          <w:szCs w:val="28"/>
          <w:u w:val="single"/>
        </w:rPr>
        <w:t xml:space="preserve"> efficacy of </w:t>
      </w:r>
      <w:r w:rsidR="00CD114A" w:rsidRPr="004F33A0">
        <w:rPr>
          <w:rFonts w:ascii="Times New Roman" w:hAnsi="Times New Roman" w:cs="Times New Roman"/>
          <w:i/>
          <w:sz w:val="28"/>
          <w:szCs w:val="28"/>
          <w:u w:val="single"/>
        </w:rPr>
        <w:t xml:space="preserve">the </w:t>
      </w:r>
      <w:r w:rsidR="001D5F4D" w:rsidRPr="004F33A0">
        <w:rPr>
          <w:rFonts w:ascii="Times New Roman" w:hAnsi="Times New Roman" w:cs="Times New Roman"/>
          <w:i/>
          <w:sz w:val="28"/>
          <w:szCs w:val="28"/>
          <w:u w:val="single"/>
        </w:rPr>
        <w:t>four studied drugs</w:t>
      </w:r>
    </w:p>
    <w:p w14:paraId="72EE1B94" w14:textId="2AE1E3E3" w:rsidR="00007F93" w:rsidRPr="00007F93" w:rsidRDefault="00B03AF8" w:rsidP="00E60B86">
      <w:pPr>
        <w:spacing w:after="0" w:line="240" w:lineRule="auto"/>
        <w:ind w:firstLine="709"/>
        <w:jc w:val="both"/>
        <w:rPr>
          <w:rFonts w:ascii="Times New Roman" w:hAnsi="Times New Roman" w:cs="Times New Roman"/>
          <w:iCs/>
          <w:sz w:val="28"/>
          <w:szCs w:val="28"/>
        </w:rPr>
      </w:pPr>
      <w:r w:rsidRPr="00007F93">
        <w:rPr>
          <w:rFonts w:ascii="Times New Roman" w:hAnsi="Times New Roman" w:cs="Times New Roman"/>
          <w:iCs/>
          <w:sz w:val="28"/>
          <w:szCs w:val="28"/>
        </w:rPr>
        <w:t xml:space="preserve">Potency and efficacy of the four studied drugs are demonstrated in Figure 41. </w:t>
      </w:r>
      <w:r w:rsidR="00773E45" w:rsidRPr="00007F93">
        <w:rPr>
          <w:rFonts w:ascii="Times New Roman" w:hAnsi="Times New Roman" w:cs="Times New Roman"/>
          <w:iCs/>
          <w:sz w:val="28"/>
          <w:szCs w:val="28"/>
        </w:rPr>
        <w:t xml:space="preserve">In sharp contrast to Tenofovir and even </w:t>
      </w:r>
      <w:r w:rsidR="00732A5F" w:rsidRPr="00007F93">
        <w:rPr>
          <w:rFonts w:ascii="Times New Roman" w:hAnsi="Times New Roman" w:cs="Times New Roman"/>
          <w:iCs/>
          <w:sz w:val="28"/>
          <w:szCs w:val="28"/>
        </w:rPr>
        <w:t>ribavirin, favipiravir exhibits</w:t>
      </w:r>
      <w:r w:rsidR="00773E45" w:rsidRPr="00007F93">
        <w:rPr>
          <w:rFonts w:ascii="Times New Roman" w:hAnsi="Times New Roman" w:cs="Times New Roman"/>
          <w:iCs/>
          <w:sz w:val="28"/>
          <w:szCs w:val="28"/>
        </w:rPr>
        <w:t xml:space="preserve"> all three effective concentrations, namely EC</w:t>
      </w:r>
      <w:r w:rsidR="00773E45" w:rsidRPr="00007F93">
        <w:rPr>
          <w:rFonts w:ascii="Times New Roman" w:hAnsi="Times New Roman" w:cs="Times New Roman"/>
          <w:iCs/>
          <w:sz w:val="28"/>
          <w:szCs w:val="28"/>
          <w:vertAlign w:val="subscript"/>
        </w:rPr>
        <w:t>10</w:t>
      </w:r>
      <w:r w:rsidR="00773E45" w:rsidRPr="00007F93">
        <w:rPr>
          <w:rFonts w:ascii="Times New Roman" w:hAnsi="Times New Roman" w:cs="Times New Roman"/>
          <w:iCs/>
          <w:sz w:val="28"/>
          <w:szCs w:val="28"/>
        </w:rPr>
        <w:t>, EC</w:t>
      </w:r>
      <w:r w:rsidR="00773E45" w:rsidRPr="00007F93">
        <w:rPr>
          <w:rFonts w:ascii="Times New Roman" w:hAnsi="Times New Roman" w:cs="Times New Roman"/>
          <w:iCs/>
          <w:sz w:val="28"/>
          <w:szCs w:val="28"/>
          <w:vertAlign w:val="subscript"/>
        </w:rPr>
        <w:t>50</w:t>
      </w:r>
      <w:r w:rsidR="00773E45" w:rsidRPr="00007F93">
        <w:rPr>
          <w:rFonts w:ascii="Times New Roman" w:hAnsi="Times New Roman" w:cs="Times New Roman"/>
          <w:iCs/>
          <w:sz w:val="28"/>
          <w:szCs w:val="28"/>
        </w:rPr>
        <w:t>, and EC</w:t>
      </w:r>
      <w:r w:rsidR="00773E45" w:rsidRPr="00007F93">
        <w:rPr>
          <w:rFonts w:ascii="Times New Roman" w:hAnsi="Times New Roman" w:cs="Times New Roman"/>
          <w:iCs/>
          <w:sz w:val="28"/>
          <w:szCs w:val="28"/>
          <w:vertAlign w:val="subscript"/>
        </w:rPr>
        <w:t>max</w:t>
      </w:r>
      <w:r w:rsidR="00773E45" w:rsidRPr="00007F93">
        <w:rPr>
          <w:rFonts w:ascii="Times New Roman" w:hAnsi="Times New Roman" w:cs="Times New Roman"/>
          <w:iCs/>
          <w:sz w:val="28"/>
          <w:szCs w:val="28"/>
        </w:rPr>
        <w:t>/</w:t>
      </w:r>
      <w:r w:rsidR="00773E45" w:rsidRPr="00007F93">
        <w:rPr>
          <w:rFonts w:ascii="Times New Roman" w:hAnsi="Times New Roman" w:cs="Times New Roman"/>
          <w:iCs/>
          <w:sz w:val="28"/>
          <w:szCs w:val="28"/>
          <w:vertAlign w:val="subscript"/>
        </w:rPr>
        <w:t>90.</w:t>
      </w:r>
      <w:r w:rsidR="00773E45" w:rsidRPr="00007F93">
        <w:rPr>
          <w:rFonts w:ascii="Times New Roman" w:hAnsi="Times New Roman" w:cs="Times New Roman"/>
          <w:iCs/>
          <w:sz w:val="28"/>
          <w:szCs w:val="28"/>
        </w:rPr>
        <w:t xml:space="preserve"> Thus, we can say that favipiravir </w:t>
      </w:r>
      <w:r w:rsidR="006504D8" w:rsidRPr="00007F93">
        <w:rPr>
          <w:rFonts w:ascii="Times New Roman" w:hAnsi="Times New Roman" w:cs="Times New Roman"/>
          <w:iCs/>
          <w:sz w:val="28"/>
          <w:szCs w:val="28"/>
        </w:rPr>
        <w:t>was expected to be the</w:t>
      </w:r>
      <w:r w:rsidR="00773E45" w:rsidRPr="00007F93">
        <w:rPr>
          <w:rFonts w:ascii="Times New Roman" w:hAnsi="Times New Roman" w:cs="Times New Roman"/>
          <w:iCs/>
          <w:sz w:val="28"/>
          <w:szCs w:val="28"/>
        </w:rPr>
        <w:t xml:space="preserve"> most potent drug, showing the</w:t>
      </w:r>
      <w:r w:rsidR="008369BB" w:rsidRPr="00007F93">
        <w:rPr>
          <w:rFonts w:ascii="Times New Roman" w:hAnsi="Times New Roman" w:cs="Times New Roman"/>
          <w:iCs/>
          <w:sz w:val="28"/>
          <w:szCs w:val="28"/>
        </w:rPr>
        <w:t xml:space="preserve"> least antiviral effect in </w:t>
      </w:r>
      <w:r w:rsidR="003C738C" w:rsidRPr="00007F93">
        <w:rPr>
          <w:rFonts w:ascii="Times New Roman" w:hAnsi="Times New Roman" w:cs="Times New Roman"/>
          <w:iCs/>
          <w:sz w:val="28"/>
          <w:szCs w:val="28"/>
        </w:rPr>
        <w:t xml:space="preserve">the </w:t>
      </w:r>
      <w:r w:rsidR="0060233B" w:rsidRPr="00007F93">
        <w:rPr>
          <w:rFonts w:ascii="Times New Roman" w:hAnsi="Times New Roman" w:cs="Times New Roman"/>
          <w:iCs/>
          <w:sz w:val="28"/>
          <w:szCs w:val="28"/>
        </w:rPr>
        <w:t>dissertation</w:t>
      </w:r>
      <w:r w:rsidR="008369BB" w:rsidRPr="00007F93">
        <w:rPr>
          <w:rFonts w:ascii="Times New Roman" w:hAnsi="Times New Roman" w:cs="Times New Roman"/>
          <w:iCs/>
          <w:sz w:val="28"/>
          <w:szCs w:val="28"/>
        </w:rPr>
        <w:t xml:space="preserve"> study, as indicated by</w:t>
      </w:r>
      <w:r w:rsidR="00773E45" w:rsidRPr="00007F93">
        <w:rPr>
          <w:rFonts w:ascii="Times New Roman" w:hAnsi="Times New Roman" w:cs="Times New Roman"/>
          <w:iCs/>
          <w:sz w:val="28"/>
          <w:szCs w:val="28"/>
        </w:rPr>
        <w:t xml:space="preserve"> the lowest PFU/ml and inhibition coefficient [91-98]. </w:t>
      </w:r>
      <w:r w:rsidR="006504D8" w:rsidRPr="00007F93">
        <w:rPr>
          <w:rFonts w:ascii="Times New Roman" w:hAnsi="Times New Roman" w:cs="Times New Roman"/>
          <w:iCs/>
          <w:sz w:val="28"/>
          <w:szCs w:val="28"/>
        </w:rPr>
        <w:t xml:space="preserve">However, Favipiravir showed the worst drug potency as well as efficacy. The full range of </w:t>
      </w:r>
      <w:r w:rsidR="00D57ECA" w:rsidRPr="00007F93">
        <w:rPr>
          <w:rFonts w:ascii="Times New Roman" w:hAnsi="Times New Roman" w:cs="Times New Roman"/>
          <w:iCs/>
          <w:sz w:val="28"/>
          <w:szCs w:val="28"/>
        </w:rPr>
        <w:t>I</w:t>
      </w:r>
      <w:r w:rsidR="006504D8" w:rsidRPr="00007F93">
        <w:rPr>
          <w:rFonts w:ascii="Times New Roman" w:hAnsi="Times New Roman" w:cs="Times New Roman"/>
          <w:iCs/>
          <w:sz w:val="28"/>
          <w:szCs w:val="28"/>
        </w:rPr>
        <w:t>C</w:t>
      </w:r>
      <w:r w:rsidR="006504D8" w:rsidRPr="00007F93">
        <w:rPr>
          <w:rFonts w:ascii="Times New Roman" w:hAnsi="Times New Roman" w:cs="Times New Roman"/>
          <w:iCs/>
          <w:sz w:val="28"/>
          <w:szCs w:val="28"/>
          <w:vertAlign w:val="subscript"/>
        </w:rPr>
        <w:t xml:space="preserve">10-100 </w:t>
      </w:r>
      <w:r w:rsidR="008369BB" w:rsidRPr="00007F93">
        <w:rPr>
          <w:rFonts w:ascii="Times New Roman" w:hAnsi="Times New Roman" w:cs="Times New Roman"/>
          <w:iCs/>
          <w:sz w:val="28"/>
          <w:szCs w:val="28"/>
        </w:rPr>
        <w:t xml:space="preserve">inhibition showed only pure TAF (Tenofovir) and TDF in </w:t>
      </w:r>
      <w:r w:rsidR="0092045A" w:rsidRPr="00007F93">
        <w:rPr>
          <w:rFonts w:ascii="Times New Roman" w:hAnsi="Times New Roman" w:cs="Times New Roman"/>
          <w:iCs/>
          <w:sz w:val="28"/>
          <w:szCs w:val="28"/>
        </w:rPr>
        <w:t>tablet</w:t>
      </w:r>
      <w:r w:rsidR="008369BB" w:rsidRPr="00007F93">
        <w:rPr>
          <w:rFonts w:ascii="Times New Roman" w:hAnsi="Times New Roman" w:cs="Times New Roman"/>
          <w:iCs/>
          <w:sz w:val="28"/>
          <w:szCs w:val="28"/>
        </w:rPr>
        <w:t xml:space="preserve"> form, with</w:t>
      </w:r>
      <w:r w:rsidR="00D57ECA" w:rsidRPr="00007F93">
        <w:rPr>
          <w:rFonts w:ascii="Times New Roman" w:hAnsi="Times New Roman" w:cs="Times New Roman"/>
          <w:iCs/>
          <w:sz w:val="28"/>
          <w:szCs w:val="28"/>
        </w:rPr>
        <w:t xml:space="preserve"> IC</w:t>
      </w:r>
      <w:r w:rsidR="00D57ECA" w:rsidRPr="00007F93">
        <w:rPr>
          <w:rFonts w:ascii="Times New Roman" w:hAnsi="Times New Roman" w:cs="Times New Roman"/>
          <w:iCs/>
          <w:sz w:val="28"/>
          <w:szCs w:val="28"/>
          <w:vertAlign w:val="subscript"/>
        </w:rPr>
        <w:t>100</w:t>
      </w:r>
      <w:r w:rsidR="00D57ECA" w:rsidRPr="00007F93">
        <w:rPr>
          <w:rFonts w:ascii="Times New Roman" w:hAnsi="Times New Roman" w:cs="Times New Roman"/>
          <w:iCs/>
          <w:sz w:val="28"/>
          <w:szCs w:val="28"/>
        </w:rPr>
        <w:t xml:space="preserve">.  Ribavirin, however, showed </w:t>
      </w:r>
      <w:r w:rsidR="00732A5F" w:rsidRPr="00007F93">
        <w:rPr>
          <w:rFonts w:ascii="Times New Roman" w:hAnsi="Times New Roman" w:cs="Times New Roman"/>
          <w:iCs/>
          <w:sz w:val="28"/>
          <w:szCs w:val="28"/>
        </w:rPr>
        <w:t>an effective IC</w:t>
      </w:r>
      <w:r w:rsidR="00732A5F" w:rsidRPr="00007F93">
        <w:rPr>
          <w:rFonts w:ascii="Times New Roman" w:hAnsi="Times New Roman" w:cs="Times New Roman"/>
          <w:iCs/>
          <w:sz w:val="28"/>
          <w:szCs w:val="28"/>
          <w:vertAlign w:val="subscript"/>
        </w:rPr>
        <w:t>50</w:t>
      </w:r>
      <w:r w:rsidR="00732A5F" w:rsidRPr="00007F93">
        <w:rPr>
          <w:rFonts w:ascii="Times New Roman" w:hAnsi="Times New Roman" w:cs="Times New Roman"/>
          <w:iCs/>
          <w:sz w:val="28"/>
          <w:szCs w:val="28"/>
        </w:rPr>
        <w:t xml:space="preserve"> of only</w:t>
      </w:r>
      <w:r w:rsidR="008369BB" w:rsidRPr="00007F93">
        <w:rPr>
          <w:rFonts w:ascii="Times New Roman" w:hAnsi="Times New Roman" w:cs="Times New Roman"/>
          <w:iCs/>
          <w:sz w:val="28"/>
          <w:szCs w:val="28"/>
        </w:rPr>
        <w:t xml:space="preserve"> </w:t>
      </w:r>
      <w:r w:rsidR="0092045A" w:rsidRPr="00007F93">
        <w:rPr>
          <w:rFonts w:ascii="Times New Roman" w:hAnsi="Times New Roman" w:cs="Times New Roman"/>
          <w:iCs/>
          <w:sz w:val="28"/>
          <w:szCs w:val="28"/>
        </w:rPr>
        <w:t>7 µM</w:t>
      </w:r>
      <w:r w:rsidR="009F526F">
        <w:rPr>
          <w:rFonts w:ascii="Times New Roman" w:hAnsi="Times New Roman" w:cs="Times New Roman"/>
          <w:iCs/>
          <w:sz w:val="28"/>
          <w:szCs w:val="28"/>
        </w:rPr>
        <w:t>.</w:t>
      </w:r>
      <w:r w:rsidR="0092045A" w:rsidRPr="00007F93">
        <w:rPr>
          <w:rFonts w:ascii="Times New Roman" w:hAnsi="Times New Roman" w:cs="Times New Roman"/>
          <w:iCs/>
          <w:sz w:val="28"/>
          <w:szCs w:val="28"/>
        </w:rPr>
        <w:t xml:space="preserve"> </w:t>
      </w:r>
    </w:p>
    <w:p w14:paraId="5AA671FB" w14:textId="77777777" w:rsidR="00007F93" w:rsidRDefault="00007F93" w:rsidP="00007F93">
      <w:pPr>
        <w:spacing w:after="0" w:line="360" w:lineRule="auto"/>
        <w:ind w:firstLine="709"/>
        <w:jc w:val="both"/>
        <w:rPr>
          <w:rFonts w:ascii="Times New Roman" w:hAnsi="Times New Roman" w:cs="Times New Roman"/>
          <w:iCs/>
          <w:sz w:val="24"/>
          <w:szCs w:val="24"/>
        </w:rPr>
      </w:pPr>
    </w:p>
    <w:p w14:paraId="3C8ABC5C" w14:textId="33A4F70D" w:rsidR="00226539" w:rsidRPr="00A10C60" w:rsidRDefault="00A10C60" w:rsidP="00007F93">
      <w:pPr>
        <w:spacing w:after="0" w:line="360" w:lineRule="auto"/>
        <w:ind w:firstLine="709"/>
        <w:jc w:val="center"/>
        <w:rPr>
          <w:rFonts w:ascii="Times New Roman" w:hAnsi="Times New Roman" w:cs="Times New Roman"/>
          <w:b/>
          <w:bCs/>
          <w:iCs/>
          <w:sz w:val="24"/>
          <w:szCs w:val="24"/>
          <w:lang w:val="en-US"/>
        </w:rPr>
      </w:pPr>
      <w:r w:rsidRPr="00A10C60">
        <w:rPr>
          <w:rFonts w:ascii="Times New Roman" w:hAnsi="Times New Roman" w:cs="Times New Roman"/>
          <w:b/>
          <w:bCs/>
          <w:iCs/>
          <w:noProof/>
          <w:sz w:val="24"/>
          <w:szCs w:val="24"/>
          <w:lang w:val="ru-RU"/>
        </w:rPr>
        <w:drawing>
          <wp:inline distT="0" distB="0" distL="0" distR="0" wp14:anchorId="6B367A99" wp14:editId="68E41A84">
            <wp:extent cx="4695093" cy="3151408"/>
            <wp:effectExtent l="0" t="0" r="0" b="0"/>
            <wp:docPr id="2043081161"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 t="6520" r="-883"/>
                    <a:stretch>
                      <a:fillRect/>
                    </a:stretch>
                  </pic:blipFill>
                  <pic:spPr bwMode="auto">
                    <a:xfrm>
                      <a:off x="0" y="0"/>
                      <a:ext cx="4725698" cy="3171950"/>
                    </a:xfrm>
                    <a:prstGeom prst="rect">
                      <a:avLst/>
                    </a:prstGeom>
                    <a:noFill/>
                    <a:ln>
                      <a:noFill/>
                    </a:ln>
                    <a:extLst>
                      <a:ext uri="{53640926-AAD7-44D8-BBD7-CCE9431645EC}">
                        <a14:shadowObscured xmlns:a14="http://schemas.microsoft.com/office/drawing/2010/main"/>
                      </a:ext>
                    </a:extLst>
                  </pic:spPr>
                </pic:pic>
              </a:graphicData>
            </a:graphic>
          </wp:inline>
        </w:drawing>
      </w:r>
    </w:p>
    <w:p w14:paraId="6495F6D2" w14:textId="774E9D4E" w:rsidR="002711CC" w:rsidRDefault="00853685" w:rsidP="00007F93">
      <w:pPr>
        <w:spacing w:line="240" w:lineRule="auto"/>
        <w:jc w:val="center"/>
        <w:rPr>
          <w:rFonts w:ascii="Times New Roman" w:hAnsi="Times New Roman" w:cs="Times New Roman"/>
          <w:iCs/>
          <w:sz w:val="28"/>
          <w:szCs w:val="28"/>
        </w:rPr>
      </w:pPr>
      <w:r w:rsidRPr="00007F93">
        <w:rPr>
          <w:rFonts w:ascii="Times New Roman" w:hAnsi="Times New Roman" w:cs="Times New Roman"/>
          <w:iCs/>
          <w:sz w:val="28"/>
          <w:szCs w:val="28"/>
        </w:rPr>
        <w:t xml:space="preserve">Figure </w:t>
      </w:r>
      <w:r w:rsidR="00277EBB" w:rsidRPr="00007F93">
        <w:rPr>
          <w:rFonts w:ascii="Times New Roman" w:hAnsi="Times New Roman" w:cs="Times New Roman"/>
          <w:iCs/>
          <w:sz w:val="28"/>
          <w:szCs w:val="28"/>
        </w:rPr>
        <w:t>4</w:t>
      </w:r>
      <w:r w:rsidR="00B03AF8" w:rsidRPr="00007F93">
        <w:rPr>
          <w:rFonts w:ascii="Times New Roman" w:hAnsi="Times New Roman" w:cs="Times New Roman"/>
          <w:iCs/>
          <w:sz w:val="28"/>
          <w:szCs w:val="28"/>
        </w:rPr>
        <w:t>1</w:t>
      </w:r>
      <w:r w:rsidR="007379E8" w:rsidRPr="00007F93">
        <w:rPr>
          <w:rFonts w:ascii="Times New Roman" w:hAnsi="Times New Roman" w:cs="Times New Roman"/>
          <w:iCs/>
          <w:sz w:val="28"/>
          <w:szCs w:val="28"/>
        </w:rPr>
        <w:t xml:space="preserve"> </w:t>
      </w:r>
      <w:r w:rsidR="00277EBB" w:rsidRPr="00007F93">
        <w:rPr>
          <w:rFonts w:ascii="Times New Roman" w:hAnsi="Times New Roman" w:cs="Times New Roman"/>
          <w:iCs/>
          <w:sz w:val="28"/>
          <w:szCs w:val="28"/>
        </w:rPr>
        <w:t>—</w:t>
      </w:r>
      <w:r w:rsidRPr="00007F93">
        <w:rPr>
          <w:rFonts w:ascii="Times New Roman" w:hAnsi="Times New Roman" w:cs="Times New Roman"/>
          <w:iCs/>
          <w:sz w:val="28"/>
          <w:szCs w:val="28"/>
        </w:rPr>
        <w:t xml:space="preserve"> </w:t>
      </w:r>
      <w:r w:rsidR="002711CC">
        <w:rPr>
          <w:rFonts w:ascii="Times New Roman" w:hAnsi="Times New Roman" w:cs="Times New Roman"/>
          <w:iCs/>
          <w:sz w:val="28"/>
          <w:szCs w:val="28"/>
        </w:rPr>
        <w:t>Potency of all 4 drugs tested</w:t>
      </w:r>
    </w:p>
    <w:p w14:paraId="0D30042D" w14:textId="7BA44FD7" w:rsidR="00B03AF8" w:rsidRPr="00007F93" w:rsidRDefault="00853685" w:rsidP="00E60B86">
      <w:pPr>
        <w:spacing w:after="0" w:line="240" w:lineRule="auto"/>
        <w:ind w:firstLine="709"/>
        <w:jc w:val="both"/>
        <w:rPr>
          <w:rFonts w:ascii="Times New Roman" w:hAnsi="Times New Roman" w:cs="Times New Roman"/>
          <w:iCs/>
          <w:sz w:val="28"/>
          <w:szCs w:val="28"/>
        </w:rPr>
      </w:pPr>
      <w:r w:rsidRPr="00007F93">
        <w:rPr>
          <w:rFonts w:ascii="Times New Roman" w:hAnsi="Times New Roman" w:cs="Times New Roman"/>
          <w:iCs/>
          <w:sz w:val="28"/>
          <w:szCs w:val="28"/>
        </w:rPr>
        <w:t xml:space="preserve">Tenofovir is </w:t>
      </w:r>
      <w:r w:rsidR="00AB68F8" w:rsidRPr="00007F93">
        <w:rPr>
          <w:rFonts w:ascii="Times New Roman" w:hAnsi="Times New Roman" w:cs="Times New Roman"/>
          <w:iCs/>
          <w:sz w:val="28"/>
          <w:szCs w:val="28"/>
        </w:rPr>
        <w:t xml:space="preserve">more effective </w:t>
      </w:r>
      <w:r w:rsidR="002711CC">
        <w:rPr>
          <w:rFonts w:ascii="Times New Roman" w:hAnsi="Times New Roman" w:cs="Times New Roman"/>
          <w:iCs/>
          <w:sz w:val="28"/>
          <w:szCs w:val="28"/>
        </w:rPr>
        <w:t>at inhibiting than Ribavirin and Favipiravir because it starts to work only at relatively high concentrations, whereas Ribavirin has an EC50 of 7 µM (n=3)</w:t>
      </w:r>
      <w:r w:rsidR="00CA0A95" w:rsidRPr="00007F93">
        <w:rPr>
          <w:rFonts w:ascii="Times New Roman" w:hAnsi="Times New Roman" w:cs="Times New Roman"/>
          <w:iCs/>
          <w:sz w:val="28"/>
          <w:szCs w:val="28"/>
        </w:rPr>
        <w:t xml:space="preserve">. Key features: C10=Favipiravir→1.65µM, Ribavirin→2µM and Tenvir→ 0.174µM. </w:t>
      </w:r>
      <w:r w:rsidR="0077377B" w:rsidRPr="00007F93">
        <w:rPr>
          <w:rFonts w:ascii="Times New Roman" w:hAnsi="Times New Roman" w:cs="Times New Roman"/>
          <w:iCs/>
          <w:sz w:val="28"/>
          <w:szCs w:val="28"/>
        </w:rPr>
        <w:t>A one-way ANOVA was first performed on the EC value data (9 replicates per drug) and was significant (F = 7.824, p ≈ &lt; 0.00047), indicating that at least one pair of drug means differed. We then applied Tukey’s Honestly</w:t>
      </w:r>
      <w:r w:rsidR="002711CC">
        <w:rPr>
          <w:rFonts w:ascii="Times New Roman" w:hAnsi="Times New Roman" w:cs="Times New Roman"/>
          <w:iCs/>
          <w:sz w:val="28"/>
          <w:szCs w:val="28"/>
        </w:rPr>
        <w:t>.</w:t>
      </w:r>
    </w:p>
    <w:p w14:paraId="35FD575B" w14:textId="77777777" w:rsidR="00E60B86" w:rsidRDefault="0077377B" w:rsidP="00E60B86">
      <w:pPr>
        <w:spacing w:after="0" w:line="240" w:lineRule="auto"/>
        <w:ind w:firstLine="709"/>
        <w:jc w:val="both"/>
        <w:rPr>
          <w:rFonts w:ascii="Times New Roman" w:hAnsi="Times New Roman" w:cs="Times New Roman"/>
          <w:iCs/>
          <w:sz w:val="28"/>
          <w:szCs w:val="28"/>
        </w:rPr>
      </w:pPr>
      <w:r w:rsidRPr="00007F93">
        <w:rPr>
          <w:rFonts w:ascii="Times New Roman" w:hAnsi="Times New Roman" w:cs="Times New Roman"/>
          <w:iCs/>
          <w:sz w:val="28"/>
          <w:szCs w:val="28"/>
        </w:rPr>
        <w:t xml:space="preserve">Significant Difference (HSD) test as a post-hoc procedure to identify which treatment means differ. Tukey’s HSD is appropriate here because it compares </w:t>
      </w:r>
      <w:r w:rsidRPr="00007F93">
        <w:rPr>
          <w:rFonts w:ascii="Times New Roman" w:hAnsi="Times New Roman" w:cs="Times New Roman"/>
          <w:i/>
          <w:iCs/>
          <w:sz w:val="28"/>
          <w:szCs w:val="28"/>
        </w:rPr>
        <w:t>all</w:t>
      </w:r>
      <w:r w:rsidRPr="00007F93">
        <w:rPr>
          <w:rFonts w:ascii="Times New Roman" w:hAnsi="Times New Roman" w:cs="Times New Roman"/>
          <w:iCs/>
          <w:sz w:val="28"/>
          <w:szCs w:val="28"/>
        </w:rPr>
        <w:t xml:space="preserve"> pairs of group means while controlling the family-wise error rate. Dexamethasone vs Favipiravir: Mean difference ≈ 273.2, p = 0.0004 (significant) – Favipiravir’s EC values were much higher on average than Dexamethasone’s. Favipiravir vs Ribavirin: Mean difference ≈ -201.9, p = 0.0106 (</w:t>
      </w:r>
      <w:r w:rsidR="00B03AF8" w:rsidRPr="00007F93">
        <w:rPr>
          <w:rFonts w:ascii="Times New Roman" w:hAnsi="Times New Roman" w:cs="Times New Roman"/>
          <w:iCs/>
          <w:sz w:val="28"/>
          <w:szCs w:val="28"/>
        </w:rPr>
        <w:t>important</w:t>
      </w:r>
      <w:r w:rsidRPr="00007F93">
        <w:rPr>
          <w:rFonts w:ascii="Times New Roman" w:hAnsi="Times New Roman" w:cs="Times New Roman"/>
          <w:iCs/>
          <w:sz w:val="28"/>
          <w:szCs w:val="28"/>
        </w:rPr>
        <w:t>)</w:t>
      </w:r>
      <w:r w:rsidR="00E61D35" w:rsidRPr="00007F93">
        <w:rPr>
          <w:rFonts w:ascii="Times New Roman" w:hAnsi="Times New Roman" w:cs="Times New Roman"/>
          <w:iCs/>
          <w:sz w:val="28"/>
          <w:szCs w:val="28"/>
        </w:rPr>
        <w:t>.</w:t>
      </w:r>
      <w:r w:rsidR="00377F4A" w:rsidRPr="00007F93">
        <w:rPr>
          <w:rFonts w:ascii="Times New Roman" w:hAnsi="Times New Roman" w:cs="Times New Roman"/>
          <w:iCs/>
          <w:sz w:val="28"/>
          <w:szCs w:val="28"/>
        </w:rPr>
        <w:t xml:space="preserve"> </w:t>
      </w:r>
      <w:r w:rsidRPr="00007F93">
        <w:rPr>
          <w:rFonts w:ascii="Times New Roman" w:hAnsi="Times New Roman" w:cs="Times New Roman"/>
          <w:iCs/>
          <w:sz w:val="28"/>
          <w:szCs w:val="28"/>
        </w:rPr>
        <w:t xml:space="preserve">Favipiravir’s mean EC was significantly higher than Ribavirin’s. Favipiravir vs Tenofovir: Mean difference ≈ -214.6, p = 0.0061 (significant) – Favipiravir’s mean EC was also higher than Tenofovir’s. </w:t>
      </w:r>
      <w:r w:rsidR="002F7C17" w:rsidRPr="00007F93">
        <w:rPr>
          <w:rFonts w:ascii="Times New Roman" w:hAnsi="Times New Roman" w:cs="Times New Roman"/>
          <w:iCs/>
          <w:sz w:val="28"/>
          <w:szCs w:val="28"/>
        </w:rPr>
        <w:t xml:space="preserve"> The data were calculated from the provided manufacturer’s data sheet.</w:t>
      </w:r>
    </w:p>
    <w:p w14:paraId="16F9781F" w14:textId="39D831DA" w:rsidR="00B03AF8" w:rsidRPr="001808D8" w:rsidRDefault="002F7C17" w:rsidP="00E60B86">
      <w:pPr>
        <w:spacing w:after="0" w:line="240" w:lineRule="auto"/>
        <w:ind w:firstLine="709"/>
        <w:jc w:val="both"/>
        <w:rPr>
          <w:rFonts w:ascii="Times New Roman" w:hAnsi="Times New Roman" w:cs="Times New Roman"/>
          <w:iCs/>
          <w:sz w:val="28"/>
          <w:szCs w:val="28"/>
        </w:rPr>
      </w:pPr>
      <w:r w:rsidRPr="00007F93">
        <w:rPr>
          <w:rFonts w:ascii="Times New Roman" w:hAnsi="Times New Roman" w:cs="Times New Roman"/>
          <w:iCs/>
          <w:sz w:val="28"/>
          <w:szCs w:val="28"/>
        </w:rPr>
        <w:t xml:space="preserve"> </w:t>
      </w:r>
    </w:p>
    <w:p w14:paraId="65AEEB0E" w14:textId="77777777" w:rsidR="00C3314C" w:rsidRPr="00007F93" w:rsidRDefault="0044334D" w:rsidP="00E60B86">
      <w:pPr>
        <w:spacing w:after="0" w:line="240" w:lineRule="auto"/>
        <w:ind w:firstLine="709"/>
        <w:rPr>
          <w:rFonts w:ascii="Times New Roman" w:hAnsi="Times New Roman" w:cs="Times New Roman"/>
          <w:b/>
          <w:bCs/>
          <w:iCs/>
          <w:sz w:val="28"/>
          <w:szCs w:val="28"/>
        </w:rPr>
      </w:pPr>
      <w:bookmarkStart w:id="51" w:name="_Hlk170066938"/>
      <w:r w:rsidRPr="00007F93">
        <w:rPr>
          <w:rFonts w:ascii="Times New Roman" w:hAnsi="Times New Roman" w:cs="Times New Roman"/>
          <w:b/>
          <w:bCs/>
          <w:iCs/>
          <w:sz w:val="28"/>
          <w:szCs w:val="28"/>
        </w:rPr>
        <w:lastRenderedPageBreak/>
        <w:t>3.</w:t>
      </w:r>
      <w:r w:rsidR="00B03AF8" w:rsidRPr="00007F93">
        <w:rPr>
          <w:rFonts w:ascii="Times New Roman" w:hAnsi="Times New Roman" w:cs="Times New Roman"/>
          <w:b/>
          <w:bCs/>
          <w:iCs/>
          <w:sz w:val="28"/>
          <w:szCs w:val="28"/>
        </w:rPr>
        <w:t>5</w:t>
      </w:r>
      <w:r w:rsidRPr="00007F93">
        <w:rPr>
          <w:rFonts w:ascii="Times New Roman" w:hAnsi="Times New Roman" w:cs="Times New Roman"/>
          <w:b/>
          <w:bCs/>
          <w:iCs/>
          <w:sz w:val="28"/>
          <w:szCs w:val="28"/>
        </w:rPr>
        <w:t xml:space="preserve"> Antiviral activity confirmation of TAF in four concentrations through qRT-PCR </w:t>
      </w:r>
    </w:p>
    <w:p w14:paraId="12B27F2F" w14:textId="4B8A00E7" w:rsidR="00F8611F" w:rsidRPr="00007F93" w:rsidRDefault="008C579A" w:rsidP="00E60B86">
      <w:pPr>
        <w:spacing w:after="0" w:line="240" w:lineRule="auto"/>
        <w:ind w:firstLine="709"/>
        <w:rPr>
          <w:rStyle w:val="af5"/>
          <w:rFonts w:ascii="Times New Roman" w:hAnsi="Times New Roman" w:cs="Times New Roman"/>
          <w:iCs/>
          <w:sz w:val="28"/>
          <w:szCs w:val="28"/>
        </w:rPr>
      </w:pPr>
      <w:r w:rsidRPr="00007F93">
        <w:rPr>
          <w:rFonts w:ascii="Times New Roman" w:hAnsi="Times New Roman" w:cs="Times New Roman"/>
          <w:color w:val="404040"/>
          <w:sz w:val="28"/>
          <w:szCs w:val="28"/>
          <w:shd w:val="clear" w:color="auto" w:fill="FFFFFF"/>
        </w:rPr>
        <w:t xml:space="preserve">In China, </w:t>
      </w:r>
      <w:r w:rsidR="007C7692">
        <w:rPr>
          <w:rFonts w:ascii="Times New Roman" w:hAnsi="Times New Roman" w:cs="Times New Roman"/>
          <w:color w:val="404040"/>
          <w:sz w:val="28"/>
          <w:szCs w:val="28"/>
          <w:shd w:val="clear" w:color="auto" w:fill="FFFFFF"/>
        </w:rPr>
        <w:t xml:space="preserve">in addition to antigen-specific viral load measurement using the TCDI 50 method, qRT-PCR </w:t>
      </w:r>
      <w:r w:rsidRPr="00007F93">
        <w:rPr>
          <w:rFonts w:ascii="Times New Roman" w:hAnsi="Times New Roman" w:cs="Times New Roman"/>
          <w:color w:val="404040"/>
          <w:sz w:val="28"/>
          <w:szCs w:val="28"/>
          <w:shd w:val="clear" w:color="auto" w:fill="FFFFFF"/>
        </w:rPr>
        <w:t>was also available</w:t>
      </w:r>
      <w:r w:rsidR="00B03AF8" w:rsidRPr="00007F93">
        <w:rPr>
          <w:rFonts w:ascii="Times New Roman" w:hAnsi="Times New Roman" w:cs="Times New Roman"/>
          <w:color w:val="404040"/>
          <w:sz w:val="28"/>
          <w:szCs w:val="28"/>
          <w:shd w:val="clear" w:color="auto" w:fill="FFFFFF"/>
        </w:rPr>
        <w:t xml:space="preserve"> (Figure 42)</w:t>
      </w:r>
      <w:r w:rsidRPr="00007F93">
        <w:rPr>
          <w:rFonts w:ascii="Times New Roman" w:hAnsi="Times New Roman" w:cs="Times New Roman"/>
          <w:color w:val="404040"/>
          <w:sz w:val="28"/>
          <w:szCs w:val="28"/>
          <w:shd w:val="clear" w:color="auto" w:fill="FFFFFF"/>
        </w:rPr>
        <w:t xml:space="preserve">.  </w:t>
      </w:r>
      <w:r w:rsidR="00F8611F" w:rsidRPr="00007F93">
        <w:rPr>
          <w:rFonts w:ascii="Times New Roman" w:hAnsi="Times New Roman" w:cs="Times New Roman"/>
          <w:color w:val="404040"/>
          <w:sz w:val="28"/>
          <w:szCs w:val="28"/>
          <w:shd w:val="clear" w:color="auto" w:fill="FFFFFF"/>
        </w:rPr>
        <w:t>To convert the logarithm (base 10) of viral load (in copies/mL) to the quantification cycle (Cq) for SARS-CoV-2 RT-PCR testing, we use a</w:t>
      </w:r>
      <w:r w:rsidR="00F8611F" w:rsidRPr="00007F93">
        <w:rPr>
          <w:rFonts w:ascii="Times New Roman" w:hAnsi="Times New Roman" w:cs="Times New Roman"/>
          <w:b/>
          <w:bCs/>
          <w:color w:val="404040"/>
          <w:sz w:val="28"/>
          <w:szCs w:val="28"/>
          <w:shd w:val="clear" w:color="auto" w:fill="FFFFFF"/>
        </w:rPr>
        <w:t> </w:t>
      </w:r>
      <w:r w:rsidR="00F8611F" w:rsidRPr="00007F93">
        <w:rPr>
          <w:rStyle w:val="af5"/>
          <w:rFonts w:ascii="Times New Roman" w:hAnsi="Times New Roman" w:cs="Times New Roman"/>
          <w:b w:val="0"/>
          <w:bCs w:val="0"/>
          <w:color w:val="404040"/>
          <w:sz w:val="28"/>
          <w:szCs w:val="28"/>
          <w:shd w:val="clear" w:color="auto" w:fill="FFFFFF"/>
        </w:rPr>
        <w:t>linear relationship</w:t>
      </w:r>
      <w:r w:rsidR="00F8611F" w:rsidRPr="00007F93">
        <w:rPr>
          <w:rFonts w:ascii="Times New Roman" w:hAnsi="Times New Roman" w:cs="Times New Roman"/>
          <w:color w:val="404040"/>
          <w:sz w:val="28"/>
          <w:szCs w:val="28"/>
          <w:shd w:val="clear" w:color="auto" w:fill="FFFFFF"/>
        </w:rPr>
        <w:t> derived from empirical data. Based on the </w:t>
      </w:r>
      <w:r w:rsidR="00F8611F" w:rsidRPr="00007F93">
        <w:rPr>
          <w:rStyle w:val="af5"/>
          <w:rFonts w:ascii="Times New Roman" w:hAnsi="Times New Roman" w:cs="Times New Roman"/>
          <w:b w:val="0"/>
          <w:bCs w:val="0"/>
          <w:color w:val="404040"/>
          <w:sz w:val="28"/>
          <w:szCs w:val="28"/>
          <w:shd w:val="clear" w:color="auto" w:fill="FFFFFF"/>
        </w:rPr>
        <w:t>CDC's standard curve for the N1 target</w:t>
      </w:r>
      <w:r w:rsidR="009F526F">
        <w:rPr>
          <w:rStyle w:val="af5"/>
          <w:rFonts w:ascii="Times New Roman" w:hAnsi="Times New Roman" w:cs="Times New Roman"/>
          <w:b w:val="0"/>
          <w:bCs w:val="0"/>
          <w:color w:val="404040"/>
          <w:sz w:val="28"/>
          <w:szCs w:val="28"/>
          <w:shd w:val="clear" w:color="auto" w:fill="FFFFFF"/>
        </w:rPr>
        <w:t>.</w:t>
      </w:r>
    </w:p>
    <w:p w14:paraId="27EC9715" w14:textId="77777777" w:rsidR="00B03AF8" w:rsidRPr="006531C9" w:rsidRDefault="00B03AF8" w:rsidP="009F526F">
      <w:pPr>
        <w:spacing w:after="0" w:line="360" w:lineRule="auto"/>
        <w:ind w:firstLine="708"/>
        <w:rPr>
          <w:rFonts w:ascii="Times New Roman" w:hAnsi="Times New Roman" w:cs="Times New Roman"/>
          <w:color w:val="404040"/>
          <w:sz w:val="24"/>
          <w:szCs w:val="24"/>
          <w:shd w:val="clear" w:color="auto" w:fill="FFFFFF"/>
        </w:rPr>
      </w:pPr>
    </w:p>
    <w:p w14:paraId="199F2910" w14:textId="31F52FB0" w:rsidR="0044334D" w:rsidRPr="007E2D4A" w:rsidRDefault="007E2D4A" w:rsidP="00007F93">
      <w:pPr>
        <w:spacing w:after="0" w:line="360" w:lineRule="auto"/>
        <w:jc w:val="center"/>
        <w:rPr>
          <w:rFonts w:ascii="Times New Roman" w:hAnsi="Times New Roman" w:cs="Times New Roman"/>
          <w:b/>
          <w:bCs/>
          <w:iCs/>
          <w:sz w:val="24"/>
          <w:szCs w:val="24"/>
          <w:lang w:val="en-US"/>
        </w:rPr>
      </w:pPr>
      <w:r w:rsidRPr="007E2D4A">
        <w:rPr>
          <w:rFonts w:ascii="Times New Roman" w:hAnsi="Times New Roman" w:cs="Times New Roman"/>
          <w:b/>
          <w:bCs/>
          <w:iCs/>
          <w:noProof/>
          <w:sz w:val="24"/>
          <w:szCs w:val="24"/>
          <w:lang w:val="ru-RU"/>
        </w:rPr>
        <w:drawing>
          <wp:inline distT="0" distB="0" distL="0" distR="0" wp14:anchorId="02137997" wp14:editId="316DAF3E">
            <wp:extent cx="5301761" cy="3780448"/>
            <wp:effectExtent l="0" t="0" r="0" b="0"/>
            <wp:docPr id="71998196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5495" r="-666"/>
                    <a:stretch>
                      <a:fillRect/>
                    </a:stretch>
                  </pic:blipFill>
                  <pic:spPr bwMode="auto">
                    <a:xfrm>
                      <a:off x="0" y="0"/>
                      <a:ext cx="5337609" cy="3806010"/>
                    </a:xfrm>
                    <a:prstGeom prst="rect">
                      <a:avLst/>
                    </a:prstGeom>
                    <a:noFill/>
                    <a:ln>
                      <a:noFill/>
                    </a:ln>
                    <a:extLst>
                      <a:ext uri="{53640926-AAD7-44D8-BBD7-CCE9431645EC}">
                        <a14:shadowObscured xmlns:a14="http://schemas.microsoft.com/office/drawing/2010/main"/>
                      </a:ext>
                    </a:extLst>
                  </pic:spPr>
                </pic:pic>
              </a:graphicData>
            </a:graphic>
          </wp:inline>
        </w:drawing>
      </w:r>
    </w:p>
    <w:p w14:paraId="26A844D3" w14:textId="59E7E999" w:rsidR="001F698B" w:rsidRPr="00007F93" w:rsidRDefault="00F8611F" w:rsidP="00007F93">
      <w:pPr>
        <w:spacing w:line="240" w:lineRule="auto"/>
        <w:jc w:val="center"/>
        <w:rPr>
          <w:rFonts w:ascii="Times New Roman" w:hAnsi="Times New Roman" w:cs="Times New Roman"/>
          <w:sz w:val="28"/>
          <w:szCs w:val="28"/>
        </w:rPr>
      </w:pPr>
      <w:r w:rsidRPr="00007F93">
        <w:rPr>
          <w:rFonts w:ascii="Times New Roman" w:hAnsi="Times New Roman" w:cs="Times New Roman"/>
          <w:sz w:val="28"/>
          <w:szCs w:val="28"/>
        </w:rPr>
        <w:t xml:space="preserve">Figure </w:t>
      </w:r>
      <w:r w:rsidR="00587109" w:rsidRPr="00007F93">
        <w:rPr>
          <w:rFonts w:ascii="Times New Roman" w:hAnsi="Times New Roman" w:cs="Times New Roman"/>
          <w:sz w:val="28"/>
          <w:szCs w:val="28"/>
        </w:rPr>
        <w:t>4</w:t>
      </w:r>
      <w:r w:rsidR="00B03AF8" w:rsidRPr="00007F93">
        <w:rPr>
          <w:rFonts w:ascii="Times New Roman" w:hAnsi="Times New Roman" w:cs="Times New Roman"/>
          <w:sz w:val="28"/>
          <w:szCs w:val="28"/>
        </w:rPr>
        <w:t>2</w:t>
      </w:r>
      <w:r w:rsidRPr="00007F93">
        <w:rPr>
          <w:rFonts w:ascii="Times New Roman" w:hAnsi="Times New Roman" w:cs="Times New Roman"/>
          <w:sz w:val="28"/>
          <w:szCs w:val="28"/>
        </w:rPr>
        <w:t xml:space="preserve"> </w:t>
      </w:r>
      <w:r w:rsidR="001A1422" w:rsidRPr="00007F93">
        <w:rPr>
          <w:rFonts w:ascii="Times New Roman" w:hAnsi="Times New Roman" w:cs="Times New Roman"/>
          <w:sz w:val="28"/>
          <w:szCs w:val="28"/>
        </w:rPr>
        <w:t>–</w:t>
      </w:r>
      <w:r w:rsidRPr="00007F93">
        <w:rPr>
          <w:rFonts w:ascii="Times New Roman" w:hAnsi="Times New Roman" w:cs="Times New Roman"/>
          <w:sz w:val="28"/>
          <w:szCs w:val="28"/>
        </w:rPr>
        <w:t xml:space="preserve"> </w:t>
      </w:r>
      <w:r w:rsidR="007E2D4A" w:rsidRPr="00007F93">
        <w:rPr>
          <w:rFonts w:ascii="Times New Roman" w:hAnsi="Times New Roman" w:cs="Times New Roman"/>
          <w:sz w:val="28"/>
          <w:szCs w:val="28"/>
        </w:rPr>
        <w:t>The figure presents a standard quantitative PCR (qPCR) amplification plot, illustrating the fluorescence signal (RFU × 10³) over 50 amplification cycles for ten experimental samples</w:t>
      </w:r>
    </w:p>
    <w:p w14:paraId="421E0D76" w14:textId="19DFF748" w:rsidR="00007F93" w:rsidRDefault="007E2D4A" w:rsidP="00023715">
      <w:pPr>
        <w:spacing w:line="240" w:lineRule="auto"/>
        <w:ind w:firstLine="708"/>
        <w:jc w:val="both"/>
        <w:rPr>
          <w:rFonts w:ascii="Times New Roman" w:hAnsi="Times New Roman" w:cs="Times New Roman"/>
          <w:sz w:val="28"/>
          <w:szCs w:val="28"/>
          <w:lang w:val="en-US"/>
        </w:rPr>
      </w:pPr>
      <w:r w:rsidRPr="00007F93">
        <w:rPr>
          <w:rFonts w:ascii="Times New Roman" w:hAnsi="Times New Roman" w:cs="Times New Roman"/>
          <w:sz w:val="28"/>
          <w:szCs w:val="28"/>
        </w:rPr>
        <w:t>Each curve corresponds to an individual sample</w:t>
      </w:r>
      <w:r w:rsidR="007C7692">
        <w:rPr>
          <w:rFonts w:ascii="Times New Roman" w:hAnsi="Times New Roman" w:cs="Times New Roman"/>
          <w:sz w:val="28"/>
          <w:szCs w:val="28"/>
        </w:rPr>
        <w:t xml:space="preserve"> and exhibits</w:t>
      </w:r>
      <w:r w:rsidRPr="00007F93">
        <w:rPr>
          <w:rFonts w:ascii="Times New Roman" w:hAnsi="Times New Roman" w:cs="Times New Roman"/>
          <w:sz w:val="28"/>
          <w:szCs w:val="28"/>
        </w:rPr>
        <w:t xml:space="preserve"> the characteristic sigmoidal amplification pattern as the target cDNA accumulates during the exponential phase of PCR</w:t>
      </w:r>
      <w:r w:rsidR="001F698B" w:rsidRPr="00007F93">
        <w:rPr>
          <w:rFonts w:ascii="Times New Roman" w:hAnsi="Times New Roman" w:cs="Times New Roman"/>
          <w:sz w:val="28"/>
          <w:szCs w:val="28"/>
        </w:rPr>
        <w:t xml:space="preserve">. </w:t>
      </w:r>
      <w:r w:rsidRPr="00007F93">
        <w:rPr>
          <w:rFonts w:ascii="Times New Roman" w:hAnsi="Times New Roman" w:cs="Times New Roman"/>
          <w:sz w:val="28"/>
          <w:szCs w:val="28"/>
          <w:lang w:val="en-US"/>
        </w:rPr>
        <w:t xml:space="preserve">The quantification cycle (Cq) (Figure 45) was calculated using the standard regression equation: Cq = 44.49 − 3.4 × log₁₀ (viral load). For a viral load of 10⁷ copies/mL, the Cq value was determined as Cq = 44.49 − 3.4 × 7 = 44.49 − 23.8 = 20.69 (≈20.7). Similarly, for a viral load of 10⁵ copies/mL, the Cq value was Cq = 44.49 − 3.4 × 5 = 44.49 − 17.0 = 27.49 (≈27.5). These results indicate that treatment with Tenofovir alafenamide (TAF) </w:t>
      </w:r>
      <w:r w:rsidR="003B7A78">
        <w:rPr>
          <w:rFonts w:ascii="Times New Roman" w:hAnsi="Times New Roman" w:cs="Times New Roman"/>
          <w:sz w:val="28"/>
          <w:szCs w:val="28"/>
          <w:lang w:val="en-US"/>
        </w:rPr>
        <w:t>reduced</w:t>
      </w:r>
      <w:r w:rsidRPr="00007F93">
        <w:rPr>
          <w:rFonts w:ascii="Times New Roman" w:hAnsi="Times New Roman" w:cs="Times New Roman"/>
          <w:sz w:val="28"/>
          <w:szCs w:val="28"/>
          <w:lang w:val="en-US"/>
        </w:rPr>
        <w:t xml:space="preserve"> viral load</w:t>
      </w:r>
      <w:r w:rsidR="007C7692">
        <w:rPr>
          <w:rFonts w:ascii="Times New Roman" w:hAnsi="Times New Roman" w:cs="Times New Roman"/>
          <w:sz w:val="28"/>
          <w:szCs w:val="28"/>
          <w:lang w:val="en-US"/>
        </w:rPr>
        <w:t>, as reflected by an increase in Cq from 20.7 to 27.5, corresponding to approximately a 100-fold decrease in detectable viral RNA concentration in</w:t>
      </w:r>
      <w:r w:rsidRPr="00007F93">
        <w:rPr>
          <w:rFonts w:ascii="Times New Roman" w:hAnsi="Times New Roman" w:cs="Times New Roman"/>
          <w:sz w:val="28"/>
          <w:szCs w:val="28"/>
          <w:lang w:val="en-US"/>
        </w:rPr>
        <w:t xml:space="preserve"> the treated wells. This change demonstrates a substantial inhibitory effect of TAF on viral replication efficiency.</w:t>
      </w:r>
    </w:p>
    <w:p w14:paraId="12C7E764" w14:textId="77777777" w:rsidR="00CF1C0F" w:rsidRPr="00023715" w:rsidRDefault="00CF1C0F" w:rsidP="00023715">
      <w:pPr>
        <w:spacing w:line="240" w:lineRule="auto"/>
        <w:ind w:firstLine="708"/>
        <w:jc w:val="both"/>
        <w:rPr>
          <w:rFonts w:ascii="Times New Roman" w:hAnsi="Times New Roman" w:cs="Times New Roman"/>
          <w:sz w:val="28"/>
          <w:szCs w:val="28"/>
          <w:lang w:val="en-US"/>
        </w:rPr>
      </w:pPr>
    </w:p>
    <w:p w14:paraId="33B7424C" w14:textId="15F73D23" w:rsidR="00B03AF8" w:rsidRPr="00007F93" w:rsidRDefault="00825DF7" w:rsidP="002931BA">
      <w:pPr>
        <w:spacing w:after="0" w:line="240" w:lineRule="auto"/>
        <w:ind w:left="709"/>
        <w:jc w:val="both"/>
        <w:rPr>
          <w:rFonts w:ascii="Times New Roman" w:hAnsi="Times New Roman" w:cs="Times New Roman"/>
          <w:b/>
          <w:bCs/>
          <w:sz w:val="28"/>
          <w:szCs w:val="28"/>
        </w:rPr>
      </w:pPr>
      <w:r w:rsidRPr="00007F93">
        <w:rPr>
          <w:rFonts w:ascii="Times New Roman" w:hAnsi="Times New Roman" w:cs="Times New Roman"/>
          <w:b/>
          <w:bCs/>
          <w:sz w:val="28"/>
          <w:szCs w:val="28"/>
        </w:rPr>
        <w:lastRenderedPageBreak/>
        <w:t>3.</w:t>
      </w:r>
      <w:r w:rsidR="005234F6" w:rsidRPr="00007F93">
        <w:rPr>
          <w:rFonts w:ascii="Times New Roman" w:hAnsi="Times New Roman" w:cs="Times New Roman"/>
          <w:b/>
          <w:bCs/>
          <w:sz w:val="28"/>
          <w:szCs w:val="28"/>
        </w:rPr>
        <w:t>6</w:t>
      </w:r>
      <w:r w:rsidRPr="00007F93">
        <w:rPr>
          <w:rFonts w:ascii="Times New Roman" w:hAnsi="Times New Roman" w:cs="Times New Roman"/>
          <w:b/>
          <w:bCs/>
          <w:sz w:val="28"/>
          <w:szCs w:val="28"/>
        </w:rPr>
        <w:t xml:space="preserve"> </w:t>
      </w:r>
      <w:bookmarkStart w:id="52" w:name="_Hlk198739561"/>
      <w:r w:rsidR="00D50B19" w:rsidRPr="00007F93">
        <w:rPr>
          <w:rFonts w:ascii="Times New Roman" w:hAnsi="Times New Roman" w:cs="Times New Roman"/>
          <w:b/>
          <w:bCs/>
          <w:sz w:val="28"/>
          <w:szCs w:val="28"/>
        </w:rPr>
        <w:t>The preclinical test of antiviral properties of IL33 in vivo on regular lab WT-Mice</w:t>
      </w:r>
    </w:p>
    <w:p w14:paraId="03C1F927" w14:textId="07E61A20" w:rsidR="00D50B19" w:rsidRPr="00007F93" w:rsidRDefault="007C7692" w:rsidP="002931B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Compared with other mucosal areas (e.g.</w:t>
      </w:r>
      <w:r w:rsidR="00D50B19" w:rsidRPr="00007F93">
        <w:rPr>
          <w:rFonts w:ascii="Times New Roman" w:hAnsi="Times New Roman" w:cs="Times New Roman"/>
          <w:sz w:val="28"/>
          <w:szCs w:val="28"/>
        </w:rPr>
        <w:t xml:space="preserve">, the small intestine), the flow cytometric analysis of ILC2 in the lungs is complex, as ILC2 is very rarely found in the lungs, especially in a stable state, and even less so in infectious or inflammatory diseases. The data </w:t>
      </w:r>
      <w:r w:rsidR="0092045A" w:rsidRPr="00007F93">
        <w:rPr>
          <w:rFonts w:ascii="Times New Roman" w:hAnsi="Times New Roman" w:cs="Times New Roman"/>
          <w:sz w:val="28"/>
          <w:szCs w:val="28"/>
        </w:rPr>
        <w:t>were collected using the BD Canto II flow cytometer and analysed with FlowJo</w:t>
      </w:r>
      <w:r w:rsidR="00D50B19" w:rsidRPr="00007F93">
        <w:rPr>
          <w:rFonts w:ascii="Times New Roman" w:hAnsi="Times New Roman" w:cs="Times New Roman"/>
          <w:sz w:val="28"/>
          <w:szCs w:val="28"/>
        </w:rPr>
        <w:t>. The following definition strategy was used for pulmonary ILC2 (Fig. 1a). Initially, only individual cells were selected in the FSC-H and FSC-A graph (Fig. 1a, step 1). Secondly, cell debris and dead cells were excluded (Fig. 1a, steps 2 and 3). Pulmonary ILC2s are CD45-positive hematopoietic cells (Fig. 1a, step 4) and negative by origin (Fig. 1a, step 5), but positively stained twice on Thy1 and KLRG1 (</w:t>
      </w:r>
      <w:r w:rsidR="0092045A" w:rsidRPr="00007F93">
        <w:rPr>
          <w:rFonts w:ascii="Times New Roman" w:hAnsi="Times New Roman" w:cs="Times New Roman"/>
          <w:sz w:val="28"/>
          <w:szCs w:val="28"/>
        </w:rPr>
        <w:t>Figure 4</w:t>
      </w:r>
      <w:r w:rsidR="000A602C" w:rsidRPr="00007F93">
        <w:rPr>
          <w:rFonts w:ascii="Times New Roman" w:hAnsi="Times New Roman" w:cs="Times New Roman"/>
          <w:sz w:val="28"/>
          <w:szCs w:val="28"/>
        </w:rPr>
        <w:t>3</w:t>
      </w:r>
      <w:r w:rsidR="0092045A" w:rsidRPr="00007F93">
        <w:rPr>
          <w:rFonts w:ascii="Times New Roman" w:hAnsi="Times New Roman" w:cs="Times New Roman"/>
          <w:sz w:val="28"/>
          <w:szCs w:val="28"/>
        </w:rPr>
        <w:t>A</w:t>
      </w:r>
      <w:r w:rsidR="00D50B19" w:rsidRPr="00007F93">
        <w:rPr>
          <w:rFonts w:ascii="Times New Roman" w:hAnsi="Times New Roman" w:cs="Times New Roman"/>
          <w:sz w:val="28"/>
          <w:szCs w:val="28"/>
        </w:rPr>
        <w:t>, step 6).</w:t>
      </w:r>
    </w:p>
    <w:p w14:paraId="4EE13CAD" w14:textId="77777777" w:rsidR="00B03AF8" w:rsidRPr="0092045A" w:rsidRDefault="00B03AF8" w:rsidP="0092045A">
      <w:pPr>
        <w:spacing w:line="360" w:lineRule="auto"/>
        <w:ind w:firstLine="708"/>
        <w:jc w:val="both"/>
        <w:rPr>
          <w:rFonts w:ascii="Times New Roman" w:hAnsi="Times New Roman" w:cs="Times New Roman"/>
          <w:sz w:val="24"/>
          <w:szCs w:val="24"/>
        </w:rPr>
      </w:pPr>
    </w:p>
    <w:p w14:paraId="43800E6E" w14:textId="77777777" w:rsidR="00D50B19" w:rsidRPr="006531C9" w:rsidRDefault="00D50B19" w:rsidP="00B03AF8">
      <w:pPr>
        <w:spacing w:after="0" w:line="360" w:lineRule="auto"/>
        <w:jc w:val="center"/>
        <w:rPr>
          <w:rFonts w:ascii="Times New Roman" w:hAnsi="Times New Roman" w:cs="Times New Roman"/>
          <w:b/>
          <w:bCs/>
          <w:iCs/>
          <w:sz w:val="24"/>
          <w:szCs w:val="24"/>
          <w:u w:val="single"/>
        </w:rPr>
      </w:pPr>
      <w:r w:rsidRPr="006531C9">
        <w:rPr>
          <w:rFonts w:ascii="Times New Roman" w:hAnsi="Times New Roman" w:cs="Times New Roman"/>
          <w:b/>
          <w:bCs/>
          <w:noProof/>
          <w:sz w:val="24"/>
          <w:szCs w:val="24"/>
        </w:rPr>
        <w:drawing>
          <wp:inline distT="0" distB="0" distL="0" distR="0" wp14:anchorId="30F74C94" wp14:editId="707200B4">
            <wp:extent cx="6064885" cy="1628775"/>
            <wp:effectExtent l="0" t="0" r="0" b="9525"/>
            <wp:docPr id="3066047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04774" name=""/>
                    <pic:cNvPicPr/>
                  </pic:nvPicPr>
                  <pic:blipFill rotWithShape="1">
                    <a:blip r:embed="rId96"/>
                    <a:srcRect l="2119" t="36099" r="6469" b="36524"/>
                    <a:stretch/>
                  </pic:blipFill>
                  <pic:spPr bwMode="auto">
                    <a:xfrm>
                      <a:off x="0" y="0"/>
                      <a:ext cx="6355198" cy="1706741"/>
                    </a:xfrm>
                    <a:prstGeom prst="rect">
                      <a:avLst/>
                    </a:prstGeom>
                    <a:ln>
                      <a:noFill/>
                    </a:ln>
                    <a:extLst>
                      <a:ext uri="{53640926-AAD7-44D8-BBD7-CCE9431645EC}">
                        <a14:shadowObscured xmlns:a14="http://schemas.microsoft.com/office/drawing/2010/main"/>
                      </a:ext>
                    </a:extLst>
                  </pic:spPr>
                </pic:pic>
              </a:graphicData>
            </a:graphic>
          </wp:inline>
        </w:drawing>
      </w:r>
    </w:p>
    <w:p w14:paraId="22B673D2" w14:textId="5D4452B9" w:rsidR="00D50B19" w:rsidRPr="003B7A78" w:rsidRDefault="00D50B19" w:rsidP="00B03AF8">
      <w:pPr>
        <w:spacing w:line="240" w:lineRule="auto"/>
        <w:jc w:val="center"/>
        <w:rPr>
          <w:rFonts w:ascii="Times New Roman" w:hAnsi="Times New Roman" w:cs="Times New Roman"/>
          <w:sz w:val="28"/>
          <w:szCs w:val="28"/>
        </w:rPr>
      </w:pPr>
      <w:r w:rsidRPr="003B7A78">
        <w:rPr>
          <w:rFonts w:ascii="Times New Roman" w:hAnsi="Times New Roman" w:cs="Times New Roman"/>
          <w:sz w:val="28"/>
          <w:szCs w:val="28"/>
        </w:rPr>
        <w:t>Fig</w:t>
      </w:r>
      <w:r w:rsidR="00356B14" w:rsidRPr="003B7A78">
        <w:rPr>
          <w:rFonts w:ascii="Times New Roman" w:hAnsi="Times New Roman" w:cs="Times New Roman"/>
          <w:sz w:val="28"/>
          <w:szCs w:val="28"/>
        </w:rPr>
        <w:t xml:space="preserve">ure </w:t>
      </w:r>
      <w:r w:rsidR="00585B14" w:rsidRPr="003B7A78">
        <w:rPr>
          <w:rFonts w:ascii="Times New Roman" w:hAnsi="Times New Roman" w:cs="Times New Roman"/>
          <w:sz w:val="28"/>
          <w:szCs w:val="28"/>
        </w:rPr>
        <w:t>4</w:t>
      </w:r>
      <w:r w:rsidR="00377F4A" w:rsidRPr="003B7A78">
        <w:rPr>
          <w:rFonts w:ascii="Times New Roman" w:hAnsi="Times New Roman" w:cs="Times New Roman"/>
          <w:sz w:val="28"/>
          <w:szCs w:val="28"/>
        </w:rPr>
        <w:t>3</w:t>
      </w:r>
      <w:r w:rsidR="0092045A" w:rsidRPr="003B7A78">
        <w:rPr>
          <w:rFonts w:ascii="Times New Roman" w:hAnsi="Times New Roman" w:cs="Times New Roman"/>
          <w:sz w:val="28"/>
          <w:szCs w:val="28"/>
        </w:rPr>
        <w:t xml:space="preserve"> </w:t>
      </w:r>
      <w:r w:rsidR="0092045A" w:rsidRPr="003B7A78">
        <w:rPr>
          <w:rFonts w:ascii="Times New Roman" w:hAnsi="Times New Roman" w:cs="Times New Roman"/>
          <w:iCs/>
          <w:sz w:val="28"/>
          <w:szCs w:val="28"/>
        </w:rPr>
        <w:t xml:space="preserve">– </w:t>
      </w:r>
      <w:r w:rsidR="0092045A" w:rsidRPr="003B7A78">
        <w:rPr>
          <w:rFonts w:ascii="Times New Roman" w:hAnsi="Times New Roman" w:cs="Times New Roman"/>
          <w:sz w:val="28"/>
          <w:szCs w:val="28"/>
        </w:rPr>
        <w:t>A.</w:t>
      </w:r>
      <w:r w:rsidRPr="003B7A78">
        <w:rPr>
          <w:rFonts w:ascii="Times New Roman" w:hAnsi="Times New Roman" w:cs="Times New Roman"/>
          <w:sz w:val="28"/>
          <w:szCs w:val="28"/>
        </w:rPr>
        <w:t xml:space="preserve"> Characterisation of Group 2 innate lymphoid cells (ILC2) in the mouse lung. Gating strategy for the identification of ILC2</w:t>
      </w:r>
    </w:p>
    <w:p w14:paraId="4C85FB4E" w14:textId="29206A49" w:rsidR="00D50B19" w:rsidRPr="006531C9" w:rsidRDefault="00D50B19" w:rsidP="00B03AF8">
      <w:pPr>
        <w:spacing w:after="0" w:line="360" w:lineRule="auto"/>
        <w:jc w:val="center"/>
        <w:rPr>
          <w:rFonts w:ascii="Times New Roman" w:hAnsi="Times New Roman" w:cs="Times New Roman"/>
          <w:b/>
          <w:bCs/>
          <w:sz w:val="24"/>
          <w:szCs w:val="24"/>
        </w:rPr>
      </w:pPr>
      <w:r w:rsidRPr="006531C9">
        <w:rPr>
          <w:rFonts w:ascii="Times New Roman" w:hAnsi="Times New Roman" w:cs="Times New Roman"/>
          <w:b/>
          <w:bCs/>
          <w:noProof/>
          <w:sz w:val="24"/>
          <w:szCs w:val="24"/>
        </w:rPr>
        <w:drawing>
          <wp:inline distT="0" distB="0" distL="0" distR="0" wp14:anchorId="5FA1EBD9" wp14:editId="051AD396">
            <wp:extent cx="5919841" cy="2398956"/>
            <wp:effectExtent l="0" t="0" r="5080" b="1905"/>
            <wp:docPr id="2271987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198743" name=""/>
                    <pic:cNvPicPr/>
                  </pic:nvPicPr>
                  <pic:blipFill rotWithShape="1">
                    <a:blip r:embed="rId97"/>
                    <a:srcRect l="1339" t="32950" r="31529" b="31609"/>
                    <a:stretch/>
                  </pic:blipFill>
                  <pic:spPr bwMode="auto">
                    <a:xfrm>
                      <a:off x="0" y="0"/>
                      <a:ext cx="6023727" cy="2441055"/>
                    </a:xfrm>
                    <a:prstGeom prst="rect">
                      <a:avLst/>
                    </a:prstGeom>
                    <a:ln>
                      <a:noFill/>
                    </a:ln>
                    <a:extLst>
                      <a:ext uri="{53640926-AAD7-44D8-BBD7-CCE9431645EC}">
                        <a14:shadowObscured xmlns:a14="http://schemas.microsoft.com/office/drawing/2010/main"/>
                      </a:ext>
                    </a:extLst>
                  </pic:spPr>
                </pic:pic>
              </a:graphicData>
            </a:graphic>
          </wp:inline>
        </w:drawing>
      </w:r>
    </w:p>
    <w:p w14:paraId="77D9A675" w14:textId="279D6BFB" w:rsidR="0092045A" w:rsidRPr="003B7A78" w:rsidRDefault="00A21FA5" w:rsidP="00B03AF8">
      <w:pPr>
        <w:spacing w:line="240" w:lineRule="auto"/>
        <w:jc w:val="center"/>
        <w:rPr>
          <w:rFonts w:ascii="Times New Roman" w:hAnsi="Times New Roman" w:cs="Times New Roman"/>
          <w:sz w:val="28"/>
          <w:szCs w:val="28"/>
        </w:rPr>
      </w:pPr>
      <w:r w:rsidRPr="003B7A78">
        <w:rPr>
          <w:rFonts w:ascii="Times New Roman" w:hAnsi="Times New Roman" w:cs="Times New Roman"/>
          <w:sz w:val="28"/>
          <w:szCs w:val="28"/>
        </w:rPr>
        <w:t xml:space="preserve">Figure </w:t>
      </w:r>
      <w:r w:rsidR="00585B14" w:rsidRPr="003B7A78">
        <w:rPr>
          <w:rFonts w:ascii="Times New Roman" w:hAnsi="Times New Roman" w:cs="Times New Roman"/>
          <w:sz w:val="28"/>
          <w:szCs w:val="28"/>
        </w:rPr>
        <w:t>4</w:t>
      </w:r>
      <w:r w:rsidR="00377F4A" w:rsidRPr="003B7A78">
        <w:rPr>
          <w:rFonts w:ascii="Times New Roman" w:hAnsi="Times New Roman" w:cs="Times New Roman"/>
          <w:sz w:val="28"/>
          <w:szCs w:val="28"/>
        </w:rPr>
        <w:t>3</w:t>
      </w:r>
      <w:r w:rsidR="00D50B19" w:rsidRPr="003B7A78">
        <w:rPr>
          <w:rFonts w:ascii="Times New Roman" w:hAnsi="Times New Roman" w:cs="Times New Roman"/>
          <w:sz w:val="28"/>
          <w:szCs w:val="28"/>
        </w:rPr>
        <w:t xml:space="preserve"> B</w:t>
      </w:r>
      <w:r w:rsidRPr="003B7A78">
        <w:rPr>
          <w:rFonts w:ascii="Times New Roman" w:hAnsi="Times New Roman" w:cs="Times New Roman"/>
          <w:sz w:val="28"/>
          <w:szCs w:val="28"/>
        </w:rPr>
        <w:t xml:space="preserve">. </w:t>
      </w:r>
      <w:r w:rsidR="0092045A" w:rsidRPr="003B7A78">
        <w:rPr>
          <w:rFonts w:ascii="Times New Roman" w:hAnsi="Times New Roman" w:cs="Times New Roman"/>
          <w:iCs/>
          <w:sz w:val="28"/>
          <w:szCs w:val="28"/>
        </w:rPr>
        <w:t xml:space="preserve">– </w:t>
      </w:r>
      <w:r w:rsidR="00D50B19" w:rsidRPr="003B7A78">
        <w:rPr>
          <w:rFonts w:ascii="Times New Roman" w:hAnsi="Times New Roman" w:cs="Times New Roman"/>
          <w:sz w:val="28"/>
          <w:szCs w:val="28"/>
        </w:rPr>
        <w:t xml:space="preserve"> Upon gating on single cells and exclusion of dead cells, ILC2 are defined as CD45+Lineage (Lin)-Thy1+KLRG1+ cells expressing (B) ST2 (IL-33R), c-kit, CD127, Sca-1, and GATA-3.</w:t>
      </w:r>
      <w:r w:rsidRPr="003B7A78">
        <w:rPr>
          <w:rFonts w:ascii="Times New Roman" w:hAnsi="Times New Roman" w:cs="Times New Roman"/>
          <w:sz w:val="28"/>
          <w:szCs w:val="28"/>
        </w:rPr>
        <w:t xml:space="preserve"> </w:t>
      </w:r>
      <w:r w:rsidR="00D50B19" w:rsidRPr="003B7A78">
        <w:rPr>
          <w:rFonts w:ascii="Times New Roman" w:hAnsi="Times New Roman" w:cs="Times New Roman"/>
          <w:sz w:val="28"/>
          <w:szCs w:val="28"/>
        </w:rPr>
        <w:t>Pulmonary ILC2 are further defined by their expression of ST2 (IL-33R), c-kit (CD117), CD127 (IL-7Rα), Sca-1, and GATA3 (Fig. 1b)</w:t>
      </w:r>
    </w:p>
    <w:p w14:paraId="5A6F44EC" w14:textId="77777777" w:rsidR="00B03AF8" w:rsidRPr="00B03AF8" w:rsidRDefault="00B03AF8" w:rsidP="00B03AF8">
      <w:pPr>
        <w:spacing w:line="240" w:lineRule="auto"/>
        <w:jc w:val="center"/>
        <w:rPr>
          <w:rFonts w:ascii="Times New Roman" w:hAnsi="Times New Roman" w:cs="Times New Roman"/>
          <w:sz w:val="24"/>
          <w:szCs w:val="24"/>
        </w:rPr>
      </w:pPr>
    </w:p>
    <w:p w14:paraId="1689D1E0" w14:textId="53D1DD0E" w:rsidR="009D6F3C" w:rsidRPr="00007F93" w:rsidRDefault="009D6F3C" w:rsidP="002931BA">
      <w:pPr>
        <w:spacing w:after="0" w:line="240" w:lineRule="auto"/>
        <w:jc w:val="both"/>
        <w:rPr>
          <w:rFonts w:ascii="Times New Roman" w:hAnsi="Times New Roman" w:cs="Times New Roman"/>
          <w:sz w:val="28"/>
          <w:szCs w:val="28"/>
        </w:rPr>
      </w:pPr>
      <w:r w:rsidRPr="006531C9">
        <w:rPr>
          <w:rFonts w:ascii="Times New Roman" w:hAnsi="Times New Roman" w:cs="Times New Roman"/>
          <w:sz w:val="24"/>
          <w:szCs w:val="24"/>
        </w:rPr>
        <w:lastRenderedPageBreak/>
        <w:t xml:space="preserve"> </w:t>
      </w:r>
      <w:r w:rsidR="0092045A">
        <w:rPr>
          <w:rFonts w:ascii="Times New Roman" w:hAnsi="Times New Roman" w:cs="Times New Roman"/>
          <w:sz w:val="24"/>
          <w:szCs w:val="24"/>
        </w:rPr>
        <w:tab/>
      </w:r>
      <w:r w:rsidR="00C93F01" w:rsidRPr="00007F93">
        <w:rPr>
          <w:rFonts w:ascii="Times New Roman" w:hAnsi="Times New Roman" w:cs="Times New Roman"/>
          <w:sz w:val="28"/>
          <w:szCs w:val="28"/>
        </w:rPr>
        <w:t xml:space="preserve">Inclusion of a PBS vehicle control group is essential to isolate the effects of IL-33 itself.  Testing three distinct doses (10 ng, 50 ng, 100 ng) allows for investigation of dose-dependent effects, which is crucial for understanding IL-33's impact. Intranasal delivery is relevant for studying pulmonary/respiratory immune responses (a primary target of IL-33). </w:t>
      </w:r>
      <w:r w:rsidRPr="00007F93">
        <w:rPr>
          <w:rFonts w:ascii="Times New Roman" w:hAnsi="Times New Roman" w:cs="Times New Roman"/>
          <w:sz w:val="28"/>
          <w:szCs w:val="28"/>
        </w:rPr>
        <w:t>Matches protocols commonly used to study the chronic effects of cytokines like IL-33 on immune cell populations (e.g., ILC2 expansion, eosinophilia). Group Sizes: The group sizes (n=8) are generally adequate and well-justified for most </w:t>
      </w:r>
      <w:r w:rsidRPr="00007F93">
        <w:rPr>
          <w:rFonts w:ascii="Times New Roman" w:hAnsi="Times New Roman" w:cs="Times New Roman"/>
          <w:i/>
          <w:iCs/>
          <w:sz w:val="28"/>
          <w:szCs w:val="28"/>
        </w:rPr>
        <w:t>in vivo</w:t>
      </w:r>
      <w:r w:rsidRPr="00007F93">
        <w:rPr>
          <w:rFonts w:ascii="Times New Roman" w:hAnsi="Times New Roman" w:cs="Times New Roman"/>
          <w:sz w:val="28"/>
          <w:szCs w:val="28"/>
        </w:rPr>
        <w:t xml:space="preserve"> mouse studies using group comparisons. This provides reasonable statistical power </w:t>
      </w:r>
      <w:r w:rsidR="007C7692">
        <w:rPr>
          <w:rFonts w:ascii="Times New Roman" w:hAnsi="Times New Roman" w:cs="Times New Roman"/>
          <w:sz w:val="28"/>
          <w:szCs w:val="28"/>
        </w:rPr>
        <w:t>to detect moderate to large effect sizes typical of</w:t>
      </w:r>
      <w:r w:rsidRPr="00007F93">
        <w:rPr>
          <w:rFonts w:ascii="Times New Roman" w:hAnsi="Times New Roman" w:cs="Times New Roman"/>
          <w:sz w:val="28"/>
          <w:szCs w:val="28"/>
        </w:rPr>
        <w:t xml:space="preserve"> such interventions, while balancing ethical (3Rs) and practical constraints.   </w:t>
      </w:r>
    </w:p>
    <w:p w14:paraId="16676FCB" w14:textId="40453C7E" w:rsidR="00D50B19" w:rsidRPr="006531C9" w:rsidRDefault="00D50B19" w:rsidP="002931BA">
      <w:pPr>
        <w:spacing w:after="0" w:line="240" w:lineRule="auto"/>
        <w:jc w:val="both"/>
        <w:rPr>
          <w:rFonts w:ascii="Times New Roman" w:hAnsi="Times New Roman" w:cs="Times New Roman"/>
          <w:sz w:val="24"/>
          <w:szCs w:val="24"/>
        </w:rPr>
      </w:pPr>
    </w:p>
    <w:p w14:paraId="19388EFF" w14:textId="77777777" w:rsidR="00D50B19" w:rsidRPr="006531C9" w:rsidRDefault="00D50B19" w:rsidP="00615880">
      <w:pPr>
        <w:spacing w:line="360" w:lineRule="auto"/>
        <w:jc w:val="center"/>
        <w:rPr>
          <w:rFonts w:ascii="Times New Roman" w:hAnsi="Times New Roman" w:cs="Times New Roman"/>
          <w:b/>
          <w:bCs/>
          <w:sz w:val="24"/>
          <w:szCs w:val="24"/>
        </w:rPr>
      </w:pPr>
      <w:r w:rsidRPr="006531C9">
        <w:rPr>
          <w:rFonts w:ascii="Times New Roman" w:hAnsi="Times New Roman" w:cs="Times New Roman"/>
          <w:b/>
          <w:bCs/>
          <w:noProof/>
          <w:sz w:val="24"/>
          <w:szCs w:val="24"/>
        </w:rPr>
        <w:drawing>
          <wp:inline distT="0" distB="0" distL="0" distR="0" wp14:anchorId="2BD4858E" wp14:editId="703A5923">
            <wp:extent cx="5744583" cy="3797300"/>
            <wp:effectExtent l="0" t="0" r="8890" b="0"/>
            <wp:docPr id="16351340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134000" name=""/>
                    <pic:cNvPicPr/>
                  </pic:nvPicPr>
                  <pic:blipFill rotWithShape="1">
                    <a:blip r:embed="rId98"/>
                    <a:srcRect l="8697" t="16062" r="14020" b="11349"/>
                    <a:stretch/>
                  </pic:blipFill>
                  <pic:spPr bwMode="auto">
                    <a:xfrm>
                      <a:off x="0" y="0"/>
                      <a:ext cx="5759441" cy="3807121"/>
                    </a:xfrm>
                    <a:prstGeom prst="rect">
                      <a:avLst/>
                    </a:prstGeom>
                    <a:ln>
                      <a:noFill/>
                    </a:ln>
                    <a:extLst>
                      <a:ext uri="{53640926-AAD7-44D8-BBD7-CCE9431645EC}">
                        <a14:shadowObscured xmlns:a14="http://schemas.microsoft.com/office/drawing/2010/main"/>
                      </a:ext>
                    </a:extLst>
                  </pic:spPr>
                </pic:pic>
              </a:graphicData>
            </a:graphic>
          </wp:inline>
        </w:drawing>
      </w:r>
    </w:p>
    <w:p w14:paraId="2A6A434C" w14:textId="5FCF1D21" w:rsidR="00C93F01" w:rsidRPr="00007F93" w:rsidRDefault="00D50B19" w:rsidP="002931BA">
      <w:pPr>
        <w:spacing w:after="0" w:line="240" w:lineRule="auto"/>
        <w:jc w:val="center"/>
        <w:rPr>
          <w:rFonts w:ascii="Times New Roman" w:hAnsi="Times New Roman" w:cs="Times New Roman"/>
          <w:sz w:val="28"/>
          <w:szCs w:val="28"/>
        </w:rPr>
      </w:pPr>
      <w:r w:rsidRPr="00007F93">
        <w:rPr>
          <w:rFonts w:ascii="Times New Roman" w:hAnsi="Times New Roman" w:cs="Times New Roman"/>
          <w:sz w:val="28"/>
          <w:szCs w:val="28"/>
        </w:rPr>
        <w:t>Fig</w:t>
      </w:r>
      <w:r w:rsidR="00356B14" w:rsidRPr="00007F93">
        <w:rPr>
          <w:rFonts w:ascii="Times New Roman" w:hAnsi="Times New Roman" w:cs="Times New Roman"/>
          <w:sz w:val="28"/>
          <w:szCs w:val="28"/>
        </w:rPr>
        <w:t xml:space="preserve">ure </w:t>
      </w:r>
      <w:r w:rsidR="00585B14" w:rsidRPr="00007F93">
        <w:rPr>
          <w:rFonts w:ascii="Times New Roman" w:hAnsi="Times New Roman" w:cs="Times New Roman"/>
          <w:sz w:val="28"/>
          <w:szCs w:val="28"/>
        </w:rPr>
        <w:t>4</w:t>
      </w:r>
      <w:r w:rsidR="00377F4A" w:rsidRPr="00007F93">
        <w:rPr>
          <w:rFonts w:ascii="Times New Roman" w:hAnsi="Times New Roman" w:cs="Times New Roman"/>
          <w:sz w:val="28"/>
          <w:szCs w:val="28"/>
        </w:rPr>
        <w:t>4</w:t>
      </w:r>
      <w:r w:rsidR="00356B14" w:rsidRPr="00007F93">
        <w:rPr>
          <w:rFonts w:ascii="Times New Roman" w:hAnsi="Times New Roman" w:cs="Times New Roman"/>
          <w:sz w:val="28"/>
          <w:szCs w:val="28"/>
        </w:rPr>
        <w:t xml:space="preserve"> </w:t>
      </w:r>
      <w:r w:rsidR="0092045A" w:rsidRPr="00007F93">
        <w:rPr>
          <w:rFonts w:ascii="Times New Roman" w:hAnsi="Times New Roman" w:cs="Times New Roman"/>
          <w:iCs/>
          <w:sz w:val="28"/>
          <w:szCs w:val="28"/>
        </w:rPr>
        <w:t xml:space="preserve">– </w:t>
      </w:r>
      <w:r w:rsidR="0092045A" w:rsidRPr="00007F93">
        <w:rPr>
          <w:rFonts w:ascii="Times New Roman" w:hAnsi="Times New Roman" w:cs="Times New Roman"/>
          <w:sz w:val="28"/>
          <w:szCs w:val="28"/>
        </w:rPr>
        <w:t>A.</w:t>
      </w:r>
      <w:r w:rsidRPr="00007F93">
        <w:rPr>
          <w:rFonts w:ascii="Times New Roman" w:hAnsi="Times New Roman" w:cs="Times New Roman"/>
          <w:sz w:val="28"/>
          <w:szCs w:val="28"/>
        </w:rPr>
        <w:t xml:space="preserve">  Induction of pulmonary Group 2 innate lymphoid cells (ILC2) in vivo. (A) Experimental Setup Outline</w:t>
      </w:r>
      <w:r w:rsidR="00C93F01" w:rsidRPr="00007F93">
        <w:rPr>
          <w:rFonts w:ascii="Times New Roman" w:hAnsi="Times New Roman" w:cs="Times New Roman"/>
          <w:sz w:val="28"/>
          <w:szCs w:val="28"/>
        </w:rPr>
        <w:t>.</w:t>
      </w:r>
      <w:r w:rsidRPr="00007F93">
        <w:rPr>
          <w:rFonts w:ascii="Times New Roman" w:hAnsi="Times New Roman" w:cs="Times New Roman"/>
          <w:sz w:val="28"/>
          <w:szCs w:val="28"/>
        </w:rPr>
        <w:t xml:space="preserve"> B. Intranasal administration of the cytokine IL-33 induces an innate type 2 immune response, including ILC2, in a dose-dependent manner. PBS as a control, and 10, 50 or 100 ng IL-33 were administered at three consecutive days, and levels of pulmonary ILC2 were </w:t>
      </w:r>
      <w:r w:rsidR="00356B14" w:rsidRPr="00007F93">
        <w:rPr>
          <w:rFonts w:ascii="Times New Roman" w:hAnsi="Times New Roman" w:cs="Times New Roman"/>
          <w:sz w:val="28"/>
          <w:szCs w:val="28"/>
        </w:rPr>
        <w:t>analysed</w:t>
      </w:r>
      <w:r w:rsidRPr="00007F93">
        <w:rPr>
          <w:rFonts w:ascii="Times New Roman" w:hAnsi="Times New Roman" w:cs="Times New Roman"/>
          <w:sz w:val="28"/>
          <w:szCs w:val="28"/>
        </w:rPr>
        <w:t xml:space="preserve"> by Flow Cytometry 24 hours after the last treatment. Two to five mice have been used per group, and a representative result for each group is shown</w:t>
      </w:r>
    </w:p>
    <w:p w14:paraId="3B5ED497" w14:textId="77777777" w:rsidR="00377F4A" w:rsidRPr="00377F4A" w:rsidRDefault="00377F4A" w:rsidP="002931BA">
      <w:pPr>
        <w:spacing w:after="0" w:line="240" w:lineRule="auto"/>
        <w:jc w:val="center"/>
        <w:rPr>
          <w:rFonts w:ascii="Times New Roman" w:hAnsi="Times New Roman" w:cs="Times New Roman"/>
          <w:sz w:val="24"/>
          <w:szCs w:val="24"/>
        </w:rPr>
      </w:pPr>
    </w:p>
    <w:p w14:paraId="60E0CA5B" w14:textId="7E03C6C5" w:rsidR="00C93F01" w:rsidRPr="00007F93" w:rsidRDefault="009D6F3C" w:rsidP="002931BA">
      <w:pPr>
        <w:spacing w:after="0" w:line="240" w:lineRule="auto"/>
        <w:ind w:firstLine="709"/>
        <w:jc w:val="both"/>
        <w:rPr>
          <w:rFonts w:ascii="Times New Roman" w:hAnsi="Times New Roman" w:cs="Times New Roman"/>
          <w:sz w:val="28"/>
          <w:szCs w:val="28"/>
        </w:rPr>
      </w:pPr>
      <w:r w:rsidRPr="00007F93">
        <w:rPr>
          <w:rFonts w:ascii="Times New Roman" w:hAnsi="Times New Roman" w:cs="Times New Roman"/>
          <w:sz w:val="28"/>
          <w:szCs w:val="28"/>
        </w:rPr>
        <w:t>This describes a fundamentally sound and standard experimental design for investigating the dose-response effects of intranasal IL-33 in mice. The inclusion of a control and multiple doses is correct. The group sizes (n=7-8) are appropriate and justified for the most common endpoints in this type of study. The main points requiring clarification are the </w:t>
      </w:r>
      <w:r w:rsidR="007C7692">
        <w:rPr>
          <w:rFonts w:ascii="Times New Roman" w:hAnsi="Times New Roman" w:cs="Times New Roman"/>
          <w:i/>
          <w:iCs/>
          <w:sz w:val="28"/>
          <w:szCs w:val="28"/>
        </w:rPr>
        <w:t xml:space="preserve">dosing duration </w:t>
      </w:r>
      <w:r w:rsidRPr="00007F93">
        <w:rPr>
          <w:rFonts w:ascii="Times New Roman" w:hAnsi="Times New Roman" w:cs="Times New Roman"/>
          <w:sz w:val="28"/>
          <w:szCs w:val="28"/>
        </w:rPr>
        <w:t>and the </w:t>
      </w:r>
      <w:r w:rsidRPr="00007F93">
        <w:rPr>
          <w:rFonts w:ascii="Times New Roman" w:hAnsi="Times New Roman" w:cs="Times New Roman"/>
          <w:i/>
          <w:iCs/>
          <w:sz w:val="28"/>
          <w:szCs w:val="28"/>
        </w:rPr>
        <w:t>specific endpoints</w:t>
      </w:r>
      <w:r w:rsidRPr="00007F93">
        <w:rPr>
          <w:rFonts w:ascii="Times New Roman" w:hAnsi="Times New Roman" w:cs="Times New Roman"/>
          <w:sz w:val="28"/>
          <w:szCs w:val="28"/>
        </w:rPr>
        <w:t xml:space="preserve"> measured. Confirming </w:t>
      </w:r>
      <w:r w:rsidR="008C579A" w:rsidRPr="00007F93">
        <w:rPr>
          <w:rFonts w:ascii="Times New Roman" w:hAnsi="Times New Roman" w:cs="Times New Roman"/>
          <w:sz w:val="28"/>
          <w:szCs w:val="28"/>
        </w:rPr>
        <w:t>randomisation</w:t>
      </w:r>
      <w:r w:rsidRPr="00007F93">
        <w:rPr>
          <w:rFonts w:ascii="Times New Roman" w:hAnsi="Times New Roman" w:cs="Times New Roman"/>
          <w:sz w:val="28"/>
          <w:szCs w:val="28"/>
        </w:rPr>
        <w:t xml:space="preserve"> and blinding procedures would further strengthen the </w:t>
      </w:r>
      <w:r w:rsidRPr="00007F93">
        <w:rPr>
          <w:rFonts w:ascii="Times New Roman" w:hAnsi="Times New Roman" w:cs="Times New Roman"/>
          <w:sz w:val="28"/>
          <w:szCs w:val="28"/>
        </w:rPr>
        <w:lastRenderedPageBreak/>
        <w:t>design.</w:t>
      </w:r>
      <w:r w:rsidR="00686645" w:rsidRPr="00007F93">
        <w:rPr>
          <w:rFonts w:ascii="Times New Roman" w:hAnsi="Times New Roman" w:cs="Times New Roman"/>
          <w:sz w:val="28"/>
          <w:szCs w:val="28"/>
        </w:rPr>
        <w:t xml:space="preserve"> The key finding is that introducing IL-33 into the lungs (mimicking its release during a viral infection) is sufficient to trigger a chain reaction that leads to a type-2 immune response, which is typically associated with allergies and asthma, bypassing the need for the adaptive immune system (like T-cells and B-cells).</w:t>
      </w:r>
    </w:p>
    <w:p w14:paraId="48405EB1" w14:textId="77777777" w:rsidR="00377F4A" w:rsidRDefault="00377F4A" w:rsidP="002931BA">
      <w:pPr>
        <w:spacing w:after="0" w:line="240" w:lineRule="auto"/>
        <w:ind w:firstLine="709"/>
        <w:jc w:val="both"/>
        <w:rPr>
          <w:rFonts w:ascii="Times New Roman" w:hAnsi="Times New Roman" w:cs="Times New Roman"/>
          <w:sz w:val="24"/>
          <w:szCs w:val="24"/>
        </w:rPr>
      </w:pPr>
    </w:p>
    <w:bookmarkEnd w:id="52"/>
    <w:p w14:paraId="4FC1AFEA" w14:textId="61848163" w:rsidR="00F20EA3" w:rsidRPr="000574B1" w:rsidRDefault="00853685" w:rsidP="002931BA">
      <w:pPr>
        <w:spacing w:after="0" w:line="240" w:lineRule="auto"/>
        <w:ind w:left="709"/>
        <w:jc w:val="both"/>
        <w:rPr>
          <w:rFonts w:ascii="Times New Roman" w:hAnsi="Times New Roman" w:cs="Times New Roman"/>
          <w:b/>
          <w:bCs/>
          <w:sz w:val="28"/>
          <w:szCs w:val="28"/>
        </w:rPr>
      </w:pPr>
      <w:r w:rsidRPr="000574B1">
        <w:rPr>
          <w:rFonts w:ascii="Times New Roman" w:hAnsi="Times New Roman" w:cs="Times New Roman"/>
          <w:b/>
          <w:bCs/>
          <w:sz w:val="28"/>
          <w:szCs w:val="28"/>
        </w:rPr>
        <w:t>3.</w:t>
      </w:r>
      <w:r w:rsidR="00A92E17" w:rsidRPr="000574B1">
        <w:rPr>
          <w:rFonts w:ascii="Times New Roman" w:hAnsi="Times New Roman" w:cs="Times New Roman"/>
          <w:b/>
          <w:bCs/>
          <w:sz w:val="28"/>
          <w:szCs w:val="28"/>
        </w:rPr>
        <w:t>7</w:t>
      </w:r>
      <w:r w:rsidR="003C4716" w:rsidRPr="000574B1">
        <w:rPr>
          <w:rFonts w:ascii="Times New Roman" w:hAnsi="Times New Roman" w:cs="Times New Roman"/>
          <w:b/>
          <w:bCs/>
          <w:sz w:val="28"/>
          <w:szCs w:val="28"/>
        </w:rPr>
        <w:t xml:space="preserve"> </w:t>
      </w:r>
      <w:r w:rsidR="004A1BF6" w:rsidRPr="000574B1">
        <w:rPr>
          <w:rFonts w:ascii="Times New Roman" w:hAnsi="Times New Roman" w:cs="Times New Roman"/>
          <w:b/>
          <w:bCs/>
          <w:sz w:val="28"/>
          <w:szCs w:val="28"/>
        </w:rPr>
        <w:t>Antiviral recommendations</w:t>
      </w:r>
      <w:r w:rsidRPr="000574B1">
        <w:rPr>
          <w:rFonts w:ascii="Times New Roman" w:hAnsi="Times New Roman" w:cs="Times New Roman"/>
          <w:b/>
          <w:bCs/>
          <w:sz w:val="28"/>
          <w:szCs w:val="28"/>
        </w:rPr>
        <w:t xml:space="preserve"> against </w:t>
      </w:r>
      <w:r w:rsidR="004A1BF6" w:rsidRPr="000574B1">
        <w:rPr>
          <w:rFonts w:ascii="Times New Roman" w:hAnsi="Times New Roman" w:cs="Times New Roman"/>
          <w:b/>
          <w:bCs/>
          <w:sz w:val="28"/>
          <w:szCs w:val="28"/>
        </w:rPr>
        <w:t>SARS-CoV-2</w:t>
      </w:r>
      <w:r w:rsidRPr="000574B1">
        <w:rPr>
          <w:rFonts w:ascii="Times New Roman" w:hAnsi="Times New Roman" w:cs="Times New Roman"/>
          <w:b/>
          <w:bCs/>
          <w:sz w:val="28"/>
          <w:szCs w:val="28"/>
        </w:rPr>
        <w:t xml:space="preserve"> according to </w:t>
      </w:r>
      <w:r w:rsidR="0092045A" w:rsidRPr="000574B1">
        <w:rPr>
          <w:rFonts w:ascii="Times New Roman" w:hAnsi="Times New Roman" w:cs="Times New Roman"/>
          <w:b/>
          <w:bCs/>
          <w:sz w:val="28"/>
          <w:szCs w:val="28"/>
        </w:rPr>
        <w:t xml:space="preserve">the </w:t>
      </w:r>
      <w:r w:rsidRPr="000574B1">
        <w:rPr>
          <w:rFonts w:ascii="Times New Roman" w:hAnsi="Times New Roman" w:cs="Times New Roman"/>
          <w:b/>
          <w:bCs/>
          <w:sz w:val="28"/>
          <w:szCs w:val="28"/>
        </w:rPr>
        <w:t xml:space="preserve">provided results on RdRP-inhibition activity in vitro </w:t>
      </w:r>
    </w:p>
    <w:p w14:paraId="5C221305" w14:textId="70FC3B7B" w:rsidR="004F33A0" w:rsidRDefault="003B1C91" w:rsidP="002931BA">
      <w:pPr>
        <w:spacing w:after="0" w:line="240" w:lineRule="auto"/>
        <w:ind w:firstLine="709"/>
        <w:jc w:val="both"/>
        <w:rPr>
          <w:rFonts w:ascii="Times New Roman" w:hAnsi="Times New Roman" w:cs="Times New Roman"/>
          <w:sz w:val="28"/>
          <w:szCs w:val="28"/>
        </w:rPr>
      </w:pPr>
      <w:r w:rsidRPr="000574B1">
        <w:rPr>
          <w:rFonts w:ascii="Times New Roman" w:hAnsi="Times New Roman" w:cs="Times New Roman"/>
          <w:sz w:val="28"/>
          <w:szCs w:val="28"/>
        </w:rPr>
        <w:t xml:space="preserve">Some related in vivo tests on mice were conducted </w:t>
      </w:r>
      <w:r w:rsidR="007B2BBE" w:rsidRPr="000574B1">
        <w:rPr>
          <w:rFonts w:ascii="Times New Roman" w:hAnsi="Times New Roman" w:cs="Times New Roman"/>
          <w:sz w:val="28"/>
          <w:szCs w:val="28"/>
        </w:rPr>
        <w:t xml:space="preserve">during </w:t>
      </w:r>
      <w:r w:rsidRPr="000574B1">
        <w:rPr>
          <w:rFonts w:ascii="Times New Roman" w:hAnsi="Times New Roman" w:cs="Times New Roman"/>
          <w:sz w:val="28"/>
          <w:szCs w:val="28"/>
        </w:rPr>
        <w:t>the</w:t>
      </w:r>
      <w:r w:rsidR="007B2BBE" w:rsidRPr="000574B1">
        <w:rPr>
          <w:rFonts w:ascii="Times New Roman" w:hAnsi="Times New Roman" w:cs="Times New Roman"/>
          <w:sz w:val="28"/>
          <w:szCs w:val="28"/>
        </w:rPr>
        <w:t xml:space="preserve"> Chinese Exchange mobility program internship</w:t>
      </w:r>
      <w:r w:rsidR="00B27C2C" w:rsidRPr="000574B1">
        <w:rPr>
          <w:rFonts w:ascii="Times New Roman" w:hAnsi="Times New Roman" w:cs="Times New Roman"/>
          <w:sz w:val="28"/>
          <w:szCs w:val="28"/>
        </w:rPr>
        <w:t>.</w:t>
      </w:r>
      <w:r w:rsidR="006A283E" w:rsidRPr="000574B1">
        <w:rPr>
          <w:rFonts w:ascii="Times New Roman" w:hAnsi="Times New Roman" w:cs="Times New Roman"/>
          <w:sz w:val="28"/>
          <w:szCs w:val="28"/>
        </w:rPr>
        <w:t xml:space="preserve"> </w:t>
      </w:r>
      <w:r w:rsidR="004421EF" w:rsidRPr="000574B1">
        <w:rPr>
          <w:rFonts w:ascii="Times New Roman" w:hAnsi="Times New Roman" w:cs="Times New Roman"/>
          <w:sz w:val="28"/>
          <w:szCs w:val="28"/>
        </w:rPr>
        <w:t>Comparable</w:t>
      </w:r>
      <w:r w:rsidR="00B27C2C" w:rsidRPr="000574B1">
        <w:rPr>
          <w:rFonts w:ascii="Times New Roman" w:hAnsi="Times New Roman" w:cs="Times New Roman"/>
          <w:sz w:val="28"/>
          <w:szCs w:val="28"/>
        </w:rPr>
        <w:t xml:space="preserve"> conclusions</w:t>
      </w:r>
      <w:r w:rsidR="006A283E" w:rsidRPr="000574B1">
        <w:rPr>
          <w:rFonts w:ascii="Times New Roman" w:hAnsi="Times New Roman" w:cs="Times New Roman"/>
          <w:sz w:val="28"/>
          <w:szCs w:val="28"/>
        </w:rPr>
        <w:t xml:space="preserve"> were </w:t>
      </w:r>
      <w:r w:rsidR="00F856E1" w:rsidRPr="000574B1">
        <w:rPr>
          <w:rFonts w:ascii="Times New Roman" w:hAnsi="Times New Roman" w:cs="Times New Roman"/>
          <w:sz w:val="28"/>
          <w:szCs w:val="28"/>
        </w:rPr>
        <w:t>drawn regarding antiviral recommendations against SARS-CoV-2 based on the provided results of</w:t>
      </w:r>
      <w:r w:rsidR="00B27C2C" w:rsidRPr="000574B1">
        <w:rPr>
          <w:rFonts w:ascii="Times New Roman" w:hAnsi="Times New Roman" w:cs="Times New Roman"/>
          <w:sz w:val="28"/>
          <w:szCs w:val="28"/>
        </w:rPr>
        <w:t xml:space="preserve"> RdRP-inhibition activity in </w:t>
      </w:r>
      <w:bookmarkEnd w:id="51"/>
      <w:r w:rsidR="00B27C2C" w:rsidRPr="000574B1">
        <w:rPr>
          <w:rFonts w:ascii="Times New Roman" w:hAnsi="Times New Roman" w:cs="Times New Roman"/>
          <w:sz w:val="28"/>
          <w:szCs w:val="28"/>
        </w:rPr>
        <w:t xml:space="preserve">vitro. Since the inactive phase of COVID-19 </w:t>
      </w:r>
      <w:r w:rsidR="004421EF" w:rsidRPr="000574B1">
        <w:rPr>
          <w:rFonts w:ascii="Times New Roman" w:hAnsi="Times New Roman" w:cs="Times New Roman"/>
          <w:sz w:val="28"/>
          <w:szCs w:val="28"/>
        </w:rPr>
        <w:t xml:space="preserve">typically lasts </w:t>
      </w:r>
      <w:r w:rsidR="004F33A0">
        <w:rPr>
          <w:rFonts w:ascii="Times New Roman" w:hAnsi="Times New Roman" w:cs="Times New Roman"/>
          <w:sz w:val="28"/>
          <w:szCs w:val="28"/>
        </w:rPr>
        <w:t>14 days on average</w:t>
      </w:r>
      <w:r w:rsidR="004421EF" w:rsidRPr="000574B1">
        <w:rPr>
          <w:rFonts w:ascii="Times New Roman" w:hAnsi="Times New Roman" w:cs="Times New Roman"/>
          <w:sz w:val="28"/>
          <w:szCs w:val="28"/>
        </w:rPr>
        <w:t xml:space="preserve">, it is crucial to control </w:t>
      </w:r>
      <w:r w:rsidR="007C7692">
        <w:rPr>
          <w:rFonts w:ascii="Times New Roman" w:hAnsi="Times New Roman" w:cs="Times New Roman"/>
          <w:sz w:val="28"/>
          <w:szCs w:val="28"/>
        </w:rPr>
        <w:t>viral load, as this</w:t>
      </w:r>
      <w:r w:rsidR="004421EF" w:rsidRPr="000574B1">
        <w:rPr>
          <w:rFonts w:ascii="Times New Roman" w:hAnsi="Times New Roman" w:cs="Times New Roman"/>
          <w:sz w:val="28"/>
          <w:szCs w:val="28"/>
        </w:rPr>
        <w:t xml:space="preserve"> significantly reduces the virus's ability</w:t>
      </w:r>
      <w:r w:rsidR="00B27C2C" w:rsidRPr="000574B1">
        <w:rPr>
          <w:rFonts w:ascii="Times New Roman" w:hAnsi="Times New Roman" w:cs="Times New Roman"/>
          <w:sz w:val="28"/>
          <w:szCs w:val="28"/>
        </w:rPr>
        <w:t xml:space="preserve"> to replicate. In addition, we have to take into consideration the side-effect potential of the antivirals, especially those that were initially designed for viral</w:t>
      </w:r>
      <w:r w:rsidR="00A82F0C" w:rsidRPr="000574B1">
        <w:rPr>
          <w:rFonts w:ascii="Times New Roman" w:hAnsi="Times New Roman" w:cs="Times New Roman"/>
          <w:sz w:val="28"/>
          <w:szCs w:val="28"/>
        </w:rPr>
        <w:t xml:space="preserve"> infections, either long-term or lethal,</w:t>
      </w:r>
      <w:r w:rsidR="00B27C2C" w:rsidRPr="000574B1">
        <w:rPr>
          <w:rFonts w:ascii="Times New Roman" w:hAnsi="Times New Roman" w:cs="Times New Roman"/>
          <w:sz w:val="28"/>
          <w:szCs w:val="28"/>
        </w:rPr>
        <w:t xml:space="preserve"> like HIV, Ebola, and Hepatitis B and C. As this study demonstrated, </w:t>
      </w:r>
      <w:r w:rsidR="00F96CA2" w:rsidRPr="000574B1">
        <w:rPr>
          <w:rFonts w:ascii="Times New Roman" w:hAnsi="Times New Roman" w:cs="Times New Roman"/>
          <w:sz w:val="28"/>
          <w:szCs w:val="28"/>
        </w:rPr>
        <w:t xml:space="preserve">Fabiflu (Favipiravir) has the lowest cellular toxicity </w:t>
      </w:r>
      <w:r w:rsidR="007C7692">
        <w:rPr>
          <w:rFonts w:ascii="Times New Roman" w:hAnsi="Times New Roman" w:cs="Times New Roman"/>
          <w:sz w:val="28"/>
          <w:szCs w:val="28"/>
        </w:rPr>
        <w:t>and the shortest oral administration period; however, it showed the weakest potential to inhibit</w:t>
      </w:r>
      <w:r w:rsidR="00F96CA2" w:rsidRPr="000574B1">
        <w:rPr>
          <w:rFonts w:ascii="Times New Roman" w:hAnsi="Times New Roman" w:cs="Times New Roman"/>
          <w:sz w:val="28"/>
          <w:szCs w:val="28"/>
        </w:rPr>
        <w:t xml:space="preserve"> </w:t>
      </w:r>
      <w:r w:rsidR="00B27C2C" w:rsidRPr="000574B1">
        <w:rPr>
          <w:rFonts w:ascii="Times New Roman" w:hAnsi="Times New Roman" w:cs="Times New Roman"/>
          <w:sz w:val="28"/>
          <w:szCs w:val="28"/>
        </w:rPr>
        <w:t>RdRP activity</w:t>
      </w:r>
      <w:r w:rsidR="006A283E" w:rsidRPr="000574B1">
        <w:rPr>
          <w:rFonts w:ascii="Times New Roman" w:hAnsi="Times New Roman" w:cs="Times New Roman"/>
          <w:sz w:val="28"/>
          <w:szCs w:val="28"/>
        </w:rPr>
        <w:t xml:space="preserve"> </w:t>
      </w:r>
      <w:r w:rsidR="004421EF" w:rsidRPr="000574B1">
        <w:rPr>
          <w:rFonts w:ascii="Times New Roman" w:hAnsi="Times New Roman" w:cs="Times New Roman"/>
          <w:sz w:val="28"/>
          <w:szCs w:val="28"/>
        </w:rPr>
        <w:t>in vitro</w:t>
      </w:r>
      <w:r w:rsidR="00B27C2C" w:rsidRPr="000574B1">
        <w:rPr>
          <w:rFonts w:ascii="Times New Roman" w:hAnsi="Times New Roman" w:cs="Times New Roman"/>
          <w:sz w:val="28"/>
          <w:szCs w:val="28"/>
        </w:rPr>
        <w:t xml:space="preserve">. Fabiflu or Favipiravir is the most specified drug against COVID-19 progression. Fabiflu is a </w:t>
      </w:r>
      <w:r w:rsidR="00217FC2" w:rsidRPr="000574B1">
        <w:rPr>
          <w:rFonts w:ascii="Times New Roman" w:hAnsi="Times New Roman" w:cs="Times New Roman"/>
          <w:sz w:val="28"/>
          <w:szCs w:val="28"/>
        </w:rPr>
        <w:t>medication for mildly to moderately infected adult individuals, helping</w:t>
      </w:r>
      <w:r w:rsidR="00B27C2C" w:rsidRPr="000574B1">
        <w:rPr>
          <w:rFonts w:ascii="Times New Roman" w:hAnsi="Times New Roman" w:cs="Times New Roman"/>
          <w:sz w:val="28"/>
          <w:szCs w:val="28"/>
        </w:rPr>
        <w:t xml:space="preserve"> </w:t>
      </w:r>
      <w:r w:rsidR="006A283E" w:rsidRPr="000574B1">
        <w:rPr>
          <w:rFonts w:ascii="Times New Roman" w:hAnsi="Times New Roman" w:cs="Times New Roman"/>
          <w:sz w:val="28"/>
          <w:szCs w:val="28"/>
        </w:rPr>
        <w:t xml:space="preserve">patients </w:t>
      </w:r>
      <w:r w:rsidR="00B27C2C" w:rsidRPr="000574B1">
        <w:rPr>
          <w:rFonts w:ascii="Times New Roman" w:hAnsi="Times New Roman" w:cs="Times New Roman"/>
          <w:sz w:val="28"/>
          <w:szCs w:val="28"/>
        </w:rPr>
        <w:t xml:space="preserve">recover. The </w:t>
      </w:r>
      <w:r w:rsidR="00F96CA2" w:rsidRPr="000574B1">
        <w:rPr>
          <w:rFonts w:ascii="Times New Roman" w:hAnsi="Times New Roman" w:cs="Times New Roman"/>
          <w:sz w:val="28"/>
          <w:szCs w:val="28"/>
        </w:rPr>
        <w:t>starting dosage is 400mg daily, which can be increased to 1800mg twice on the first day of COVID-19 diagnosis, but not exceeding</w:t>
      </w:r>
      <w:r w:rsidR="006A283E" w:rsidRPr="000574B1">
        <w:rPr>
          <w:rFonts w:ascii="Times New Roman" w:hAnsi="Times New Roman" w:cs="Times New Roman"/>
          <w:sz w:val="28"/>
          <w:szCs w:val="28"/>
        </w:rPr>
        <w:t xml:space="preserve"> </w:t>
      </w:r>
      <w:r w:rsidR="00217FC2" w:rsidRPr="000574B1">
        <w:rPr>
          <w:rFonts w:ascii="Times New Roman" w:hAnsi="Times New Roman" w:cs="Times New Roman"/>
          <w:sz w:val="28"/>
          <w:szCs w:val="28"/>
        </w:rPr>
        <w:t xml:space="preserve">the recommended dosage (Appendix </w:t>
      </w:r>
      <w:r w:rsidR="00CF1C57">
        <w:rPr>
          <w:rFonts w:ascii="Times New Roman" w:hAnsi="Times New Roman" w:cs="Times New Roman"/>
          <w:sz w:val="28"/>
          <w:szCs w:val="28"/>
        </w:rPr>
        <w:t>D</w:t>
      </w:r>
      <w:r w:rsidR="00217FC2" w:rsidRPr="000574B1">
        <w:rPr>
          <w:rFonts w:ascii="Times New Roman" w:hAnsi="Times New Roman" w:cs="Times New Roman"/>
          <w:sz w:val="28"/>
          <w:szCs w:val="28"/>
        </w:rPr>
        <w:t>)</w:t>
      </w:r>
      <w:r w:rsidR="00B27C2C" w:rsidRPr="000574B1">
        <w:rPr>
          <w:rFonts w:ascii="Times New Roman" w:hAnsi="Times New Roman" w:cs="Times New Roman"/>
          <w:sz w:val="28"/>
          <w:szCs w:val="28"/>
        </w:rPr>
        <w:t>.  </w:t>
      </w:r>
    </w:p>
    <w:p w14:paraId="659ABA20" w14:textId="77777777" w:rsidR="002931BA" w:rsidRDefault="00356B14" w:rsidP="000574B1">
      <w:pPr>
        <w:spacing w:after="0" w:line="240" w:lineRule="auto"/>
        <w:ind w:firstLine="709"/>
        <w:jc w:val="both"/>
        <w:rPr>
          <w:rFonts w:ascii="Times New Roman" w:hAnsi="Times New Roman" w:cs="Times New Roman"/>
          <w:sz w:val="28"/>
          <w:szCs w:val="28"/>
        </w:rPr>
      </w:pPr>
      <w:r w:rsidRPr="000574B1">
        <w:rPr>
          <w:rFonts w:ascii="Times New Roman" w:hAnsi="Times New Roman" w:cs="Times New Roman"/>
          <w:sz w:val="28"/>
          <w:szCs w:val="28"/>
        </w:rPr>
        <w:t>The most common side effects of this medicine include increased blood uric acid levels, diarrhoea</w:t>
      </w:r>
      <w:r w:rsidR="00217FC2" w:rsidRPr="000574B1">
        <w:rPr>
          <w:rFonts w:ascii="Times New Roman" w:hAnsi="Times New Roman" w:cs="Times New Roman"/>
          <w:sz w:val="28"/>
          <w:szCs w:val="28"/>
        </w:rPr>
        <w:t xml:space="preserve">, a decrease in the </w:t>
      </w:r>
      <w:r w:rsidR="00F96CA2" w:rsidRPr="000574B1">
        <w:rPr>
          <w:rFonts w:ascii="Times New Roman" w:hAnsi="Times New Roman" w:cs="Times New Roman"/>
          <w:sz w:val="28"/>
          <w:szCs w:val="28"/>
        </w:rPr>
        <w:t>white blood cell count (specifically neutrophils), and elevated</w:t>
      </w:r>
      <w:r w:rsidR="00B27C2C" w:rsidRPr="000574B1">
        <w:rPr>
          <w:rFonts w:ascii="Times New Roman" w:hAnsi="Times New Roman" w:cs="Times New Roman"/>
          <w:sz w:val="28"/>
          <w:szCs w:val="28"/>
        </w:rPr>
        <w:t xml:space="preserve"> liver enzymes. To achieve </w:t>
      </w:r>
      <w:r w:rsidR="00035C09" w:rsidRPr="000574B1">
        <w:rPr>
          <w:rFonts w:ascii="Times New Roman" w:hAnsi="Times New Roman" w:cs="Times New Roman"/>
          <w:sz w:val="28"/>
          <w:szCs w:val="28"/>
        </w:rPr>
        <w:t xml:space="preserve">a therapeutic effect, according to the </w:t>
      </w:r>
      <w:r w:rsidR="00F96CA2" w:rsidRPr="000574B1">
        <w:rPr>
          <w:rFonts w:ascii="Times New Roman" w:hAnsi="Times New Roman" w:cs="Times New Roman"/>
          <w:sz w:val="28"/>
          <w:szCs w:val="28"/>
        </w:rPr>
        <w:t>manufacturer’s instructions, Fabiflu is administered orally (by mouth), with a recommended dose of</w:t>
      </w:r>
      <w:r w:rsidR="00035C09" w:rsidRPr="000574B1">
        <w:rPr>
          <w:rFonts w:ascii="Times New Roman" w:hAnsi="Times New Roman" w:cs="Times New Roman"/>
          <w:sz w:val="28"/>
          <w:szCs w:val="28"/>
        </w:rPr>
        <w:t xml:space="preserve"> 1,800 mg twice on day 1, followed by 800 mg twice daily for up to 14 days</w:t>
      </w:r>
      <w:r w:rsidR="00B27C2C" w:rsidRPr="000574B1">
        <w:rPr>
          <w:rFonts w:ascii="Times New Roman" w:hAnsi="Times New Roman" w:cs="Times New Roman"/>
          <w:sz w:val="28"/>
          <w:szCs w:val="28"/>
        </w:rPr>
        <w:t xml:space="preserve">. It means that the highest dose is needed to achieve the maximum effect of </w:t>
      </w:r>
      <w:r w:rsidR="004F33A0">
        <w:rPr>
          <w:rFonts w:ascii="Times New Roman" w:hAnsi="Times New Roman" w:cs="Times New Roman"/>
          <w:sz w:val="28"/>
          <w:szCs w:val="28"/>
        </w:rPr>
        <w:t xml:space="preserve">preventing SARS-CoV-2 </w:t>
      </w:r>
      <w:r w:rsidR="00B27C2C" w:rsidRPr="000574B1">
        <w:rPr>
          <w:rFonts w:ascii="Times New Roman" w:hAnsi="Times New Roman" w:cs="Times New Roman"/>
          <w:sz w:val="28"/>
          <w:szCs w:val="28"/>
        </w:rPr>
        <w:t>from multiplying. Doing so decreases viral load in the body. The producer claims a</w:t>
      </w:r>
      <w:r w:rsidR="00035C09" w:rsidRPr="000574B1">
        <w:rPr>
          <w:rFonts w:ascii="Times New Roman" w:hAnsi="Times New Roman" w:cs="Times New Roman"/>
          <w:sz w:val="28"/>
          <w:szCs w:val="28"/>
        </w:rPr>
        <w:t xml:space="preserve"> 100% positive clinical outcome if treatment is diagnosed on time under the supervision of a </w:t>
      </w:r>
      <w:r w:rsidR="00F96CA2" w:rsidRPr="000574B1">
        <w:rPr>
          <w:rFonts w:ascii="Times New Roman" w:hAnsi="Times New Roman" w:cs="Times New Roman"/>
          <w:sz w:val="28"/>
          <w:szCs w:val="28"/>
        </w:rPr>
        <w:t>qualified medical professional</w:t>
      </w:r>
      <w:r w:rsidR="00B27C2C" w:rsidRPr="000574B1">
        <w:rPr>
          <w:rFonts w:ascii="Times New Roman" w:hAnsi="Times New Roman" w:cs="Times New Roman"/>
          <w:sz w:val="28"/>
          <w:szCs w:val="28"/>
        </w:rPr>
        <w:t xml:space="preserve">. The most significant advantage of Fabiflu (Favipiravir) is </w:t>
      </w:r>
      <w:r w:rsidR="00035C09" w:rsidRPr="000574B1">
        <w:rPr>
          <w:rFonts w:ascii="Times New Roman" w:hAnsi="Times New Roman" w:cs="Times New Roman"/>
          <w:sz w:val="28"/>
          <w:szCs w:val="28"/>
        </w:rPr>
        <w:t xml:space="preserve">its low side-effect </w:t>
      </w:r>
      <w:r w:rsidR="004F33A0">
        <w:rPr>
          <w:rFonts w:ascii="Times New Roman" w:hAnsi="Times New Roman" w:cs="Times New Roman"/>
          <w:sz w:val="28"/>
          <w:szCs w:val="28"/>
        </w:rPr>
        <w:t xml:space="preserve">profile, which allows for dosage adjustment tailored to each patient's individual needs </w:t>
      </w:r>
      <w:r w:rsidR="00035C09" w:rsidRPr="000574B1">
        <w:rPr>
          <w:rFonts w:ascii="Times New Roman" w:hAnsi="Times New Roman" w:cs="Times New Roman"/>
          <w:sz w:val="28"/>
          <w:szCs w:val="28"/>
        </w:rPr>
        <w:t>and the progression of COVID-19</w:t>
      </w:r>
      <w:r w:rsidR="00B27C2C" w:rsidRPr="000574B1">
        <w:rPr>
          <w:rFonts w:ascii="Times New Roman" w:hAnsi="Times New Roman" w:cs="Times New Roman"/>
          <w:sz w:val="28"/>
          <w:szCs w:val="28"/>
        </w:rPr>
        <w:t xml:space="preserve">. The maximum administration period is 14 </w:t>
      </w:r>
      <w:r w:rsidR="002931BA">
        <w:rPr>
          <w:rFonts w:ascii="Times New Roman" w:hAnsi="Times New Roman" w:cs="Times New Roman"/>
          <w:sz w:val="28"/>
          <w:szCs w:val="28"/>
        </w:rPr>
        <w:t xml:space="preserve">days </w:t>
      </w:r>
      <w:r w:rsidR="002931BA" w:rsidRPr="000574B1">
        <w:rPr>
          <w:rFonts w:ascii="Times New Roman" w:hAnsi="Times New Roman" w:cs="Times New Roman"/>
          <w:sz w:val="28"/>
          <w:szCs w:val="28"/>
        </w:rPr>
        <w:t>[90,93-94]</w:t>
      </w:r>
      <w:r w:rsidR="00B27C2C" w:rsidRPr="000574B1">
        <w:rPr>
          <w:rFonts w:ascii="Times New Roman" w:hAnsi="Times New Roman" w:cs="Times New Roman"/>
          <w:sz w:val="28"/>
          <w:szCs w:val="28"/>
        </w:rPr>
        <w:t xml:space="preserve">. </w:t>
      </w:r>
    </w:p>
    <w:p w14:paraId="24A1EFA3" w14:textId="39C56AB0" w:rsidR="00EA7CD5" w:rsidRPr="000574B1" w:rsidRDefault="00B27C2C" w:rsidP="000574B1">
      <w:pPr>
        <w:spacing w:after="0" w:line="240" w:lineRule="auto"/>
        <w:ind w:firstLine="709"/>
        <w:jc w:val="both"/>
        <w:rPr>
          <w:rFonts w:ascii="Times New Roman" w:hAnsi="Times New Roman" w:cs="Times New Roman"/>
          <w:sz w:val="28"/>
          <w:szCs w:val="28"/>
        </w:rPr>
      </w:pPr>
      <w:r w:rsidRPr="000574B1">
        <w:rPr>
          <w:rFonts w:ascii="Times New Roman" w:hAnsi="Times New Roman" w:cs="Times New Roman"/>
          <w:sz w:val="28"/>
          <w:szCs w:val="28"/>
        </w:rPr>
        <w:t xml:space="preserve">However, we </w:t>
      </w:r>
      <w:r w:rsidR="00035C09" w:rsidRPr="000574B1">
        <w:rPr>
          <w:rFonts w:ascii="Times New Roman" w:hAnsi="Times New Roman" w:cs="Times New Roman"/>
          <w:sz w:val="28"/>
          <w:szCs w:val="28"/>
        </w:rPr>
        <w:t xml:space="preserve">must still remember that to study the antiviral activity of a new drug, it is essential to determine whether </w:t>
      </w:r>
      <w:r w:rsidRPr="000574B1">
        <w:rPr>
          <w:rFonts w:ascii="Times New Roman" w:hAnsi="Times New Roman" w:cs="Times New Roman"/>
          <w:sz w:val="28"/>
          <w:szCs w:val="28"/>
        </w:rPr>
        <w:t xml:space="preserve">rational activity can be uncoupled from the confounding effect of cellular toxicity. Cytotoxicity tests define the </w:t>
      </w:r>
      <w:r w:rsidR="004F33A0">
        <w:rPr>
          <w:rFonts w:ascii="Times New Roman" w:hAnsi="Times New Roman" w:cs="Times New Roman"/>
          <w:sz w:val="28"/>
          <w:szCs w:val="28"/>
        </w:rPr>
        <w:t>upper limit of</w:t>
      </w:r>
      <w:r w:rsidRPr="000574B1">
        <w:rPr>
          <w:rFonts w:ascii="Times New Roman" w:hAnsi="Times New Roman" w:cs="Times New Roman"/>
          <w:sz w:val="28"/>
          <w:szCs w:val="28"/>
        </w:rPr>
        <w:t xml:space="preserve"> drug concentration, which can be used in subsequent antiviral studies.</w:t>
      </w:r>
    </w:p>
    <w:p w14:paraId="62C9F994" w14:textId="49C8C5DD" w:rsidR="0006607B" w:rsidRPr="000574B1" w:rsidRDefault="00853685" w:rsidP="000574B1">
      <w:pPr>
        <w:spacing w:after="0" w:line="240" w:lineRule="auto"/>
        <w:ind w:firstLine="709"/>
        <w:jc w:val="both"/>
        <w:rPr>
          <w:rFonts w:ascii="Times New Roman" w:hAnsi="Times New Roman" w:cs="Times New Roman"/>
          <w:sz w:val="28"/>
          <w:szCs w:val="28"/>
        </w:rPr>
      </w:pPr>
      <w:r w:rsidRPr="000574B1">
        <w:rPr>
          <w:rFonts w:ascii="Times New Roman" w:hAnsi="Times New Roman" w:cs="Times New Roman"/>
          <w:sz w:val="28"/>
          <w:szCs w:val="28"/>
        </w:rPr>
        <w:t>Tenvir</w:t>
      </w:r>
      <w:r w:rsidR="00A82F0C" w:rsidRPr="000574B1">
        <w:rPr>
          <w:rFonts w:ascii="Times New Roman" w:hAnsi="Times New Roman" w:cs="Times New Roman"/>
          <w:sz w:val="28"/>
          <w:szCs w:val="28"/>
        </w:rPr>
        <w:t xml:space="preserve"> (Figure 44)</w:t>
      </w:r>
      <w:r w:rsidRPr="000574B1">
        <w:rPr>
          <w:rFonts w:ascii="Times New Roman" w:hAnsi="Times New Roman" w:cs="Times New Roman"/>
          <w:sz w:val="28"/>
          <w:szCs w:val="28"/>
        </w:rPr>
        <w:t xml:space="preserve">, however, according to the </w:t>
      </w:r>
      <w:r w:rsidR="004A382D" w:rsidRPr="000574B1">
        <w:rPr>
          <w:rFonts w:ascii="Times New Roman" w:hAnsi="Times New Roman" w:cs="Times New Roman"/>
          <w:sz w:val="28"/>
          <w:szCs w:val="28"/>
        </w:rPr>
        <w:t>manufacturer’s</w:t>
      </w:r>
      <w:r w:rsidRPr="000574B1">
        <w:rPr>
          <w:rFonts w:ascii="Times New Roman" w:hAnsi="Times New Roman" w:cs="Times New Roman"/>
          <w:sz w:val="28"/>
          <w:szCs w:val="28"/>
        </w:rPr>
        <w:t xml:space="preserve"> </w:t>
      </w:r>
      <w:r w:rsidR="004F33A0">
        <w:rPr>
          <w:rFonts w:ascii="Times New Roman" w:hAnsi="Times New Roman" w:cs="Times New Roman"/>
          <w:sz w:val="28"/>
          <w:szCs w:val="28"/>
        </w:rPr>
        <w:t>instructions, must be used only once daily</w:t>
      </w:r>
      <w:r w:rsidRPr="000574B1">
        <w:rPr>
          <w:rFonts w:ascii="Times New Roman" w:hAnsi="Times New Roman" w:cs="Times New Roman"/>
          <w:sz w:val="28"/>
          <w:szCs w:val="28"/>
        </w:rPr>
        <w:t xml:space="preserve"> with 300mg Tenofovir.  The maximum usage period is only 28 days; neither dosage nor period </w:t>
      </w:r>
      <w:r w:rsidR="00A82F0C" w:rsidRPr="000574B1">
        <w:rPr>
          <w:rFonts w:ascii="Times New Roman" w:hAnsi="Times New Roman" w:cs="Times New Roman"/>
          <w:sz w:val="28"/>
          <w:szCs w:val="28"/>
        </w:rPr>
        <w:t>is</w:t>
      </w:r>
      <w:r w:rsidRPr="000574B1">
        <w:rPr>
          <w:rFonts w:ascii="Times New Roman" w:hAnsi="Times New Roman" w:cs="Times New Roman"/>
          <w:sz w:val="28"/>
          <w:szCs w:val="28"/>
        </w:rPr>
        <w:t xml:space="preserve"> included in any extensions. Nevertheless, Tenvir is </w:t>
      </w:r>
      <w:r w:rsidR="00F96CA2" w:rsidRPr="000574B1">
        <w:rPr>
          <w:rFonts w:ascii="Times New Roman" w:hAnsi="Times New Roman" w:cs="Times New Roman"/>
          <w:sz w:val="28"/>
          <w:szCs w:val="28"/>
        </w:rPr>
        <w:t xml:space="preserve">the most effective antiviral drug in this study, with an </w:t>
      </w:r>
      <w:r w:rsidRPr="000574B1">
        <w:rPr>
          <w:rFonts w:ascii="Times New Roman" w:hAnsi="Times New Roman" w:cs="Times New Roman"/>
          <w:sz w:val="28"/>
          <w:szCs w:val="28"/>
        </w:rPr>
        <w:t xml:space="preserve">optimal cytotoxicity concentration. Thus, even with a limited </w:t>
      </w:r>
      <w:r w:rsidR="007C7692">
        <w:rPr>
          <w:rFonts w:ascii="Times New Roman" w:hAnsi="Times New Roman" w:cs="Times New Roman"/>
          <w:sz w:val="28"/>
          <w:szCs w:val="28"/>
        </w:rPr>
        <w:t>concentration range and time scale, Tenvir is highly effective against SARS-CoV-2 and can prevent COVID-19 from progressing to pneumonia or other serious</w:t>
      </w:r>
      <w:r w:rsidRPr="000574B1">
        <w:rPr>
          <w:rFonts w:ascii="Times New Roman" w:hAnsi="Times New Roman" w:cs="Times New Roman"/>
          <w:sz w:val="28"/>
          <w:szCs w:val="28"/>
        </w:rPr>
        <w:t xml:space="preserve"> or life-threatening conditions.  Tenvir could be considered </w:t>
      </w:r>
      <w:r w:rsidRPr="000574B1">
        <w:rPr>
          <w:rFonts w:ascii="Times New Roman" w:hAnsi="Times New Roman" w:cs="Times New Roman"/>
          <w:sz w:val="28"/>
          <w:szCs w:val="28"/>
        </w:rPr>
        <w:lastRenderedPageBreak/>
        <w:t xml:space="preserve">a long-term treatment medicine because initially, it was designed to fight the chronic hepatitis B disease and primary HIV infection. The possible side effects </w:t>
      </w:r>
      <w:r w:rsidR="00520FEF" w:rsidRPr="000574B1">
        <w:rPr>
          <w:rFonts w:ascii="Times New Roman" w:hAnsi="Times New Roman" w:cs="Times New Roman"/>
          <w:sz w:val="28"/>
          <w:szCs w:val="28"/>
        </w:rPr>
        <w:t>of the fight against SARS-CoV-2 viral infection appear to be minimal, and</w:t>
      </w:r>
      <w:r w:rsidR="004F33A0">
        <w:rPr>
          <w:rFonts w:ascii="Times New Roman" w:hAnsi="Times New Roman" w:cs="Times New Roman"/>
          <w:sz w:val="28"/>
          <w:szCs w:val="28"/>
        </w:rPr>
        <w:t>, on average, about 7 days should be sufficient to bring COVID-19 under control with Tenvir as the primary medication</w:t>
      </w:r>
      <w:r w:rsidRPr="000574B1">
        <w:rPr>
          <w:rFonts w:ascii="Times New Roman" w:hAnsi="Times New Roman" w:cs="Times New Roman"/>
          <w:sz w:val="28"/>
          <w:szCs w:val="28"/>
        </w:rPr>
        <w:t xml:space="preserve"> under strict medical supervision. According to the instruction leaflet, Ribavirin </w:t>
      </w:r>
      <w:r w:rsidR="00B2474F" w:rsidRPr="000574B1">
        <w:rPr>
          <w:rFonts w:ascii="Times New Roman" w:hAnsi="Times New Roman" w:cs="Times New Roman"/>
          <w:sz w:val="28"/>
          <w:szCs w:val="28"/>
        </w:rPr>
        <w:t>(Figure 4</w:t>
      </w:r>
      <w:r w:rsidR="00A82F0C" w:rsidRPr="000574B1">
        <w:rPr>
          <w:rFonts w:ascii="Times New Roman" w:hAnsi="Times New Roman" w:cs="Times New Roman"/>
          <w:sz w:val="28"/>
          <w:szCs w:val="28"/>
        </w:rPr>
        <w:t>4</w:t>
      </w:r>
      <w:r w:rsidRPr="000574B1">
        <w:rPr>
          <w:rFonts w:ascii="Times New Roman" w:hAnsi="Times New Roman" w:cs="Times New Roman"/>
          <w:sz w:val="28"/>
          <w:szCs w:val="28"/>
        </w:rPr>
        <w:t xml:space="preserve">) </w:t>
      </w:r>
      <w:r w:rsidR="00C2603A" w:rsidRPr="000574B1">
        <w:rPr>
          <w:rFonts w:ascii="Times New Roman" w:hAnsi="Times New Roman" w:cs="Times New Roman"/>
          <w:sz w:val="28"/>
          <w:szCs w:val="28"/>
        </w:rPr>
        <w:t>has the most potential for side effects</w:t>
      </w:r>
      <w:r w:rsidRPr="000574B1">
        <w:rPr>
          <w:rFonts w:ascii="Times New Roman" w:hAnsi="Times New Roman" w:cs="Times New Roman"/>
          <w:sz w:val="28"/>
          <w:szCs w:val="28"/>
        </w:rPr>
        <w:t xml:space="preserve">. Still, it is capable of crippling </w:t>
      </w:r>
      <w:r w:rsidR="00356B14" w:rsidRPr="000574B1">
        <w:rPr>
          <w:rFonts w:ascii="Times New Roman" w:hAnsi="Times New Roman" w:cs="Times New Roman"/>
          <w:sz w:val="28"/>
          <w:szCs w:val="28"/>
        </w:rPr>
        <w:t>both viral RNA and DNA metabolism and is primarily prescribed against Hepatitis C viral infection in</w:t>
      </w:r>
      <w:r w:rsidRPr="000574B1">
        <w:rPr>
          <w:rFonts w:ascii="Times New Roman" w:hAnsi="Times New Roman" w:cs="Times New Roman"/>
          <w:sz w:val="28"/>
          <w:szCs w:val="28"/>
        </w:rPr>
        <w:t xml:space="preserve"> combination with Interferonα. Ribavirin is the most aggressive </w:t>
      </w:r>
      <w:r w:rsidR="004F33A0">
        <w:rPr>
          <w:rFonts w:ascii="Times New Roman" w:hAnsi="Times New Roman" w:cs="Times New Roman"/>
          <w:sz w:val="28"/>
          <w:szCs w:val="28"/>
        </w:rPr>
        <w:t>purine analogue because, in the long term</w:t>
      </w:r>
      <w:r w:rsidR="00F96CA2" w:rsidRPr="000574B1">
        <w:rPr>
          <w:rFonts w:ascii="Times New Roman" w:hAnsi="Times New Roman" w:cs="Times New Roman"/>
          <w:sz w:val="28"/>
          <w:szCs w:val="28"/>
        </w:rPr>
        <w:t xml:space="preserve">, it may cause </w:t>
      </w:r>
      <w:proofErr w:type="spellStart"/>
      <w:r w:rsidR="00356B14" w:rsidRPr="000574B1">
        <w:rPr>
          <w:rFonts w:ascii="Times New Roman" w:hAnsi="Times New Roman" w:cs="Times New Roman"/>
          <w:sz w:val="28"/>
          <w:szCs w:val="28"/>
        </w:rPr>
        <w:t>hemolytic</w:t>
      </w:r>
      <w:proofErr w:type="spellEnd"/>
      <w:r w:rsidR="00356B14" w:rsidRPr="000574B1">
        <w:rPr>
          <w:rFonts w:ascii="Times New Roman" w:hAnsi="Times New Roman" w:cs="Times New Roman"/>
          <w:sz w:val="28"/>
          <w:szCs w:val="28"/>
        </w:rPr>
        <w:t xml:space="preserve"> anaemia, an abnormal breakdown of red blood cells (RBCs), either in the blood vessels (intravascular </w:t>
      </w:r>
      <w:proofErr w:type="spellStart"/>
      <w:r w:rsidR="00356B14" w:rsidRPr="000574B1">
        <w:rPr>
          <w:rFonts w:ascii="Times New Roman" w:hAnsi="Times New Roman" w:cs="Times New Roman"/>
          <w:sz w:val="28"/>
          <w:szCs w:val="28"/>
        </w:rPr>
        <w:t>hemolysis</w:t>
      </w:r>
      <w:proofErr w:type="spellEnd"/>
      <w:r w:rsidR="00356B14" w:rsidRPr="000574B1">
        <w:rPr>
          <w:rFonts w:ascii="Times New Roman" w:hAnsi="Times New Roman" w:cs="Times New Roman"/>
          <w:sz w:val="28"/>
          <w:szCs w:val="28"/>
        </w:rPr>
        <w:t xml:space="preserve">) or elsewhere in the </w:t>
      </w:r>
      <w:r w:rsidR="00F96CA2" w:rsidRPr="000574B1">
        <w:rPr>
          <w:rFonts w:ascii="Times New Roman" w:hAnsi="Times New Roman" w:cs="Times New Roman"/>
          <w:sz w:val="28"/>
          <w:szCs w:val="28"/>
        </w:rPr>
        <w:t xml:space="preserve">body (extravascular </w:t>
      </w:r>
      <w:proofErr w:type="spellStart"/>
      <w:r w:rsidR="00F96CA2" w:rsidRPr="000574B1">
        <w:rPr>
          <w:rFonts w:ascii="Times New Roman" w:hAnsi="Times New Roman" w:cs="Times New Roman"/>
          <w:sz w:val="28"/>
          <w:szCs w:val="28"/>
        </w:rPr>
        <w:t>hemolysis</w:t>
      </w:r>
      <w:proofErr w:type="spellEnd"/>
      <w:r w:rsidRPr="000574B1">
        <w:rPr>
          <w:rFonts w:ascii="Times New Roman" w:hAnsi="Times New Roman" w:cs="Times New Roman"/>
          <w:sz w:val="28"/>
          <w:szCs w:val="28"/>
        </w:rPr>
        <w:t xml:space="preserve">). </w:t>
      </w:r>
    </w:p>
    <w:p w14:paraId="0E92BB97" w14:textId="19EA833E" w:rsidR="00226539" w:rsidRPr="000574B1" w:rsidRDefault="00853685" w:rsidP="000574B1">
      <w:pPr>
        <w:spacing w:after="0" w:line="240" w:lineRule="auto"/>
        <w:ind w:firstLine="709"/>
        <w:jc w:val="both"/>
        <w:rPr>
          <w:rFonts w:ascii="Times New Roman" w:hAnsi="Times New Roman" w:cs="Times New Roman"/>
          <w:sz w:val="28"/>
          <w:szCs w:val="28"/>
        </w:rPr>
      </w:pPr>
      <w:r w:rsidRPr="000574B1">
        <w:rPr>
          <w:rFonts w:ascii="Times New Roman" w:hAnsi="Times New Roman" w:cs="Times New Roman"/>
          <w:sz w:val="28"/>
          <w:szCs w:val="28"/>
        </w:rPr>
        <w:t xml:space="preserve">Ribavirin </w:t>
      </w:r>
      <w:r w:rsidR="00C9103F" w:rsidRPr="000574B1">
        <w:rPr>
          <w:rFonts w:ascii="Times New Roman" w:hAnsi="Times New Roman" w:cs="Times New Roman"/>
          <w:sz w:val="28"/>
          <w:szCs w:val="28"/>
        </w:rPr>
        <w:t xml:space="preserve">exhibited the lowest antiviral activity among the others in this study, primarily </w:t>
      </w:r>
      <w:r w:rsidR="004F33A0">
        <w:rPr>
          <w:rFonts w:ascii="Times New Roman" w:hAnsi="Times New Roman" w:cs="Times New Roman"/>
          <w:sz w:val="28"/>
          <w:szCs w:val="28"/>
        </w:rPr>
        <w:t>because its optimal cytotoxic concentration</w:t>
      </w:r>
      <w:r w:rsidR="00C9103F" w:rsidRPr="000574B1">
        <w:rPr>
          <w:rFonts w:ascii="Times New Roman" w:hAnsi="Times New Roman" w:cs="Times New Roman"/>
          <w:sz w:val="28"/>
          <w:szCs w:val="28"/>
        </w:rPr>
        <w:t xml:space="preserve"> was insufficient to</w:t>
      </w:r>
      <w:r w:rsidR="00520FEF" w:rsidRPr="000574B1">
        <w:rPr>
          <w:rFonts w:ascii="Times New Roman" w:hAnsi="Times New Roman" w:cs="Times New Roman"/>
          <w:sz w:val="28"/>
          <w:szCs w:val="28"/>
        </w:rPr>
        <w:t xml:space="preserve"> induce</w:t>
      </w:r>
      <w:r w:rsidR="00F96CA2" w:rsidRPr="000574B1">
        <w:rPr>
          <w:rFonts w:ascii="Times New Roman" w:hAnsi="Times New Roman" w:cs="Times New Roman"/>
          <w:sz w:val="28"/>
          <w:szCs w:val="28"/>
        </w:rPr>
        <w:t xml:space="preserve"> RNA metabolic</w:t>
      </w:r>
      <w:r w:rsidRPr="000574B1">
        <w:rPr>
          <w:rFonts w:ascii="Times New Roman" w:hAnsi="Times New Roman" w:cs="Times New Roman"/>
          <w:sz w:val="28"/>
          <w:szCs w:val="28"/>
        </w:rPr>
        <w:t xml:space="preserve"> collapse.</w:t>
      </w:r>
      <w:r w:rsidR="00F3365D">
        <w:rPr>
          <w:rFonts w:ascii="Times New Roman" w:hAnsi="Times New Roman" w:cs="Times New Roman"/>
          <w:sz w:val="28"/>
          <w:szCs w:val="28"/>
        </w:rPr>
        <w:t xml:space="preserve"> </w:t>
      </w:r>
      <w:r w:rsidRPr="000574B1">
        <w:rPr>
          <w:rFonts w:ascii="Times New Roman" w:hAnsi="Times New Roman" w:cs="Times New Roman"/>
          <w:sz w:val="28"/>
          <w:szCs w:val="28"/>
        </w:rPr>
        <w:t xml:space="preserve">The instruction leaflet (Russian manufacturer) suggests administering Ribavirin 200mg every 8 hours </w:t>
      </w:r>
      <w:r w:rsidR="00F96CA2" w:rsidRPr="000574B1">
        <w:rPr>
          <w:rFonts w:ascii="Times New Roman" w:hAnsi="Times New Roman" w:cs="Times New Roman"/>
          <w:sz w:val="28"/>
          <w:szCs w:val="28"/>
        </w:rPr>
        <w:t>initially and 400mg every 8 hours by the end of the week</w:t>
      </w:r>
      <w:r w:rsidRPr="000574B1">
        <w:rPr>
          <w:rFonts w:ascii="Times New Roman" w:hAnsi="Times New Roman" w:cs="Times New Roman"/>
          <w:sz w:val="28"/>
          <w:szCs w:val="28"/>
        </w:rPr>
        <w:t xml:space="preserve">. This method is recommended to achieve the maximum </w:t>
      </w:r>
      <w:r w:rsidR="004F33A0">
        <w:rPr>
          <w:rFonts w:ascii="Times New Roman" w:hAnsi="Times New Roman" w:cs="Times New Roman"/>
          <w:sz w:val="28"/>
          <w:szCs w:val="28"/>
        </w:rPr>
        <w:t>blood plasma concentration (Cmax)</w:t>
      </w:r>
      <w:r w:rsidR="00F96CA2" w:rsidRPr="000574B1">
        <w:rPr>
          <w:rFonts w:ascii="Times New Roman" w:hAnsi="Times New Roman" w:cs="Times New Roman"/>
          <w:sz w:val="28"/>
          <w:szCs w:val="28"/>
        </w:rPr>
        <w:t>, which suppresses</w:t>
      </w:r>
      <w:r w:rsidR="00C2603A" w:rsidRPr="000574B1">
        <w:rPr>
          <w:rFonts w:ascii="Times New Roman" w:hAnsi="Times New Roman" w:cs="Times New Roman"/>
          <w:sz w:val="28"/>
          <w:szCs w:val="28"/>
        </w:rPr>
        <w:t xml:space="preserve"> viral replication</w:t>
      </w:r>
      <w:r w:rsidRPr="000574B1">
        <w:rPr>
          <w:rFonts w:ascii="Times New Roman" w:hAnsi="Times New Roman" w:cs="Times New Roman"/>
          <w:sz w:val="28"/>
          <w:szCs w:val="28"/>
        </w:rPr>
        <w:t xml:space="preserve">. In Figure </w:t>
      </w:r>
      <w:r w:rsidR="000A602C" w:rsidRPr="000574B1">
        <w:rPr>
          <w:rFonts w:ascii="Times New Roman" w:hAnsi="Times New Roman" w:cs="Times New Roman"/>
          <w:sz w:val="28"/>
          <w:szCs w:val="28"/>
        </w:rPr>
        <w:t>45-</w:t>
      </w:r>
      <w:r w:rsidR="00DD0145" w:rsidRPr="000574B1">
        <w:rPr>
          <w:rFonts w:ascii="Times New Roman" w:hAnsi="Times New Roman" w:cs="Times New Roman"/>
          <w:sz w:val="28"/>
          <w:szCs w:val="28"/>
        </w:rPr>
        <w:t xml:space="preserve">, </w:t>
      </w:r>
      <w:r w:rsidRPr="000574B1">
        <w:rPr>
          <w:rFonts w:ascii="Times New Roman" w:hAnsi="Times New Roman" w:cs="Times New Roman"/>
          <w:sz w:val="28"/>
          <w:szCs w:val="28"/>
        </w:rPr>
        <w:t xml:space="preserve">we </w:t>
      </w:r>
      <w:r w:rsidR="004F33A0">
        <w:rPr>
          <w:rFonts w:ascii="Times New Roman" w:hAnsi="Times New Roman" w:cs="Times New Roman"/>
          <w:sz w:val="28"/>
          <w:szCs w:val="28"/>
        </w:rPr>
        <w:t>see that the maximum antiviral effectiveness of Favipiravir is achieved at 100 µg, well above the in vitro cell survival threshold</w:t>
      </w:r>
      <w:r w:rsidRPr="000574B1">
        <w:rPr>
          <w:rFonts w:ascii="Times New Roman" w:hAnsi="Times New Roman" w:cs="Times New Roman"/>
          <w:sz w:val="28"/>
          <w:szCs w:val="28"/>
        </w:rPr>
        <w:t xml:space="preserve">. </w:t>
      </w:r>
    </w:p>
    <w:p w14:paraId="4F42204B" w14:textId="77777777" w:rsidR="00282815" w:rsidRPr="006531C9" w:rsidRDefault="00282815" w:rsidP="00837E36">
      <w:pPr>
        <w:spacing w:line="360" w:lineRule="auto"/>
        <w:jc w:val="both"/>
        <w:rPr>
          <w:rFonts w:ascii="Times New Roman" w:hAnsi="Times New Roman" w:cs="Times New Roman"/>
          <w:sz w:val="24"/>
          <w:szCs w:val="24"/>
        </w:rPr>
      </w:pPr>
    </w:p>
    <w:p w14:paraId="2E334FEC" w14:textId="77777777" w:rsidR="00226539" w:rsidRPr="006531C9" w:rsidRDefault="00853685" w:rsidP="00615880">
      <w:pPr>
        <w:spacing w:line="360" w:lineRule="auto"/>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40BB8AB3" wp14:editId="6A81FF17">
            <wp:extent cx="5810885" cy="3859823"/>
            <wp:effectExtent l="0" t="0" r="18415" b="7620"/>
            <wp:docPr id="65886121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69ACE213" w14:textId="77777777" w:rsidR="003B7A78" w:rsidRDefault="00853685" w:rsidP="003B7A78">
      <w:pPr>
        <w:spacing w:line="240" w:lineRule="auto"/>
        <w:jc w:val="center"/>
        <w:rPr>
          <w:rFonts w:ascii="Times New Roman" w:hAnsi="Times New Roman" w:cs="Times New Roman"/>
          <w:sz w:val="28"/>
          <w:szCs w:val="28"/>
        </w:rPr>
      </w:pPr>
      <w:r w:rsidRPr="00424CDD">
        <w:rPr>
          <w:rFonts w:ascii="Times New Roman" w:hAnsi="Times New Roman" w:cs="Times New Roman"/>
          <w:iCs/>
          <w:sz w:val="28"/>
          <w:szCs w:val="28"/>
        </w:rPr>
        <w:t>Figure 4</w:t>
      </w:r>
      <w:r w:rsidR="00282815" w:rsidRPr="00424CDD">
        <w:rPr>
          <w:rFonts w:ascii="Times New Roman" w:hAnsi="Times New Roman" w:cs="Times New Roman"/>
          <w:iCs/>
          <w:sz w:val="28"/>
          <w:szCs w:val="28"/>
        </w:rPr>
        <w:t>5</w:t>
      </w:r>
      <w:r w:rsidR="00B2474F" w:rsidRPr="00424CDD">
        <w:rPr>
          <w:rFonts w:ascii="Times New Roman" w:hAnsi="Times New Roman" w:cs="Times New Roman"/>
          <w:iCs/>
          <w:sz w:val="28"/>
          <w:szCs w:val="28"/>
        </w:rPr>
        <w:t xml:space="preserve"> </w:t>
      </w:r>
      <w:r w:rsidR="007F162A" w:rsidRPr="00424CDD">
        <w:rPr>
          <w:rFonts w:ascii="Times New Roman" w:hAnsi="Times New Roman" w:cs="Times New Roman"/>
          <w:iCs/>
          <w:sz w:val="28"/>
          <w:szCs w:val="28"/>
        </w:rPr>
        <w:t xml:space="preserve">– </w:t>
      </w:r>
      <w:r w:rsidR="007F162A" w:rsidRPr="00424CDD">
        <w:rPr>
          <w:rFonts w:ascii="Times New Roman" w:hAnsi="Times New Roman" w:cs="Times New Roman"/>
          <w:sz w:val="28"/>
          <w:szCs w:val="28"/>
        </w:rPr>
        <w:t>The</w:t>
      </w:r>
      <w:r w:rsidRPr="00424CDD">
        <w:rPr>
          <w:rFonts w:ascii="Times New Roman" w:hAnsi="Times New Roman" w:cs="Times New Roman"/>
          <w:sz w:val="28"/>
          <w:szCs w:val="28"/>
        </w:rPr>
        <w:t xml:space="preserve"> antiviral data of Favipiravir in the in vitro study and the clinical prescription </w:t>
      </w:r>
    </w:p>
    <w:p w14:paraId="58823E7C" w14:textId="705C7ED8" w:rsidR="00282815" w:rsidRPr="003B7A78" w:rsidRDefault="003B7A78" w:rsidP="003B7A78">
      <w:pPr>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T</w:t>
      </w:r>
      <w:r w:rsidR="00853685" w:rsidRPr="00424CDD">
        <w:rPr>
          <w:rFonts w:ascii="Times New Roman" w:hAnsi="Times New Roman" w:cs="Times New Roman"/>
          <w:sz w:val="28"/>
          <w:szCs w:val="28"/>
        </w:rPr>
        <w:t xml:space="preserve">o achieve viral </w:t>
      </w:r>
      <w:r w:rsidR="00F96CA2" w:rsidRPr="00424CDD">
        <w:rPr>
          <w:rFonts w:ascii="Times New Roman" w:hAnsi="Times New Roman" w:cs="Times New Roman"/>
          <w:sz w:val="28"/>
          <w:szCs w:val="28"/>
        </w:rPr>
        <w:t>multiplication activity in vivo</w:t>
      </w:r>
      <w:r>
        <w:rPr>
          <w:rFonts w:ascii="Times New Roman" w:hAnsi="Times New Roman" w:cs="Times New Roman"/>
          <w:sz w:val="28"/>
          <w:szCs w:val="28"/>
        </w:rPr>
        <w:t xml:space="preserve">, </w:t>
      </w:r>
      <w:r w:rsidR="00F96CA2" w:rsidRPr="00424CDD">
        <w:rPr>
          <w:rFonts w:ascii="Times New Roman" w:hAnsi="Times New Roman" w:cs="Times New Roman"/>
          <w:sz w:val="28"/>
          <w:szCs w:val="28"/>
        </w:rPr>
        <w:t xml:space="preserve">Fabiflu medicine dosage recommendation </w:t>
      </w:r>
      <w:r>
        <w:rPr>
          <w:rFonts w:ascii="Times New Roman" w:hAnsi="Times New Roman" w:cs="Times New Roman"/>
          <w:sz w:val="28"/>
          <w:szCs w:val="28"/>
        </w:rPr>
        <w:t xml:space="preserve">is </w:t>
      </w:r>
      <w:r w:rsidR="00F96CA2" w:rsidRPr="00424CDD">
        <w:rPr>
          <w:rFonts w:ascii="Times New Roman" w:hAnsi="Times New Roman" w:cs="Times New Roman"/>
          <w:sz w:val="28"/>
          <w:szCs w:val="28"/>
        </w:rPr>
        <w:t xml:space="preserve">based on these in vitro studies and the </w:t>
      </w:r>
      <w:r w:rsidR="00853685" w:rsidRPr="00424CDD">
        <w:rPr>
          <w:rFonts w:ascii="Times New Roman" w:hAnsi="Times New Roman" w:cs="Times New Roman"/>
          <w:sz w:val="28"/>
          <w:szCs w:val="28"/>
        </w:rPr>
        <w:t>manufacturer’s manual</w:t>
      </w:r>
      <w:r w:rsidR="00EA436A" w:rsidRPr="00424CDD">
        <w:rPr>
          <w:rFonts w:ascii="Times New Roman" w:hAnsi="Times New Roman" w:cs="Times New Roman"/>
          <w:sz w:val="28"/>
          <w:szCs w:val="28"/>
        </w:rPr>
        <w:t xml:space="preserve"> [Appendix </w:t>
      </w:r>
      <w:r w:rsidR="00C9103F" w:rsidRPr="00424CDD">
        <w:rPr>
          <w:rFonts w:ascii="Times New Roman" w:hAnsi="Times New Roman" w:cs="Times New Roman"/>
          <w:sz w:val="28"/>
          <w:szCs w:val="28"/>
        </w:rPr>
        <w:t>D</w:t>
      </w:r>
      <w:r w:rsidR="00282815" w:rsidRPr="00424CDD">
        <w:rPr>
          <w:rFonts w:ascii="Times New Roman" w:hAnsi="Times New Roman" w:cs="Times New Roman"/>
          <w:sz w:val="28"/>
          <w:szCs w:val="28"/>
        </w:rPr>
        <w:t>]</w:t>
      </w:r>
      <w:r>
        <w:rPr>
          <w:rFonts w:ascii="Times New Roman" w:hAnsi="Times New Roman" w:cs="Times New Roman"/>
          <w:sz w:val="28"/>
          <w:szCs w:val="28"/>
        </w:rPr>
        <w:t>.</w:t>
      </w:r>
    </w:p>
    <w:p w14:paraId="2896DC54" w14:textId="4B9A079C" w:rsidR="00DD1C31" w:rsidRPr="00837E36" w:rsidRDefault="00F96CA2" w:rsidP="00837E36">
      <w:pPr>
        <w:spacing w:line="240" w:lineRule="auto"/>
        <w:ind w:firstLine="708"/>
        <w:jc w:val="both"/>
        <w:rPr>
          <w:rFonts w:ascii="Times New Roman" w:hAnsi="Times New Roman" w:cs="Times New Roman"/>
          <w:sz w:val="28"/>
          <w:szCs w:val="28"/>
        </w:rPr>
      </w:pPr>
      <w:r w:rsidRPr="00837E36">
        <w:rPr>
          <w:rFonts w:ascii="Times New Roman" w:hAnsi="Times New Roman" w:cs="Times New Roman"/>
          <w:sz w:val="28"/>
          <w:szCs w:val="28"/>
        </w:rPr>
        <w:t xml:space="preserve">The green colour indicates the safest and </w:t>
      </w:r>
      <w:r w:rsidR="00853685" w:rsidRPr="00837E36">
        <w:rPr>
          <w:rFonts w:ascii="Times New Roman" w:hAnsi="Times New Roman" w:cs="Times New Roman"/>
          <w:sz w:val="28"/>
          <w:szCs w:val="28"/>
        </w:rPr>
        <w:t xml:space="preserve">lowest </w:t>
      </w:r>
      <w:r w:rsidR="004F33A0">
        <w:rPr>
          <w:rFonts w:ascii="Times New Roman" w:hAnsi="Times New Roman" w:cs="Times New Roman"/>
          <w:sz w:val="28"/>
          <w:szCs w:val="28"/>
        </w:rPr>
        <w:t xml:space="preserve">potential for side effects </w:t>
      </w:r>
      <w:r w:rsidR="00853685" w:rsidRPr="00837E36">
        <w:rPr>
          <w:rFonts w:ascii="Times New Roman" w:hAnsi="Times New Roman" w:cs="Times New Roman"/>
          <w:sz w:val="28"/>
          <w:szCs w:val="28"/>
        </w:rPr>
        <w:t xml:space="preserve">during oral administration. The blue </w:t>
      </w:r>
      <w:r w:rsidR="00ED4DD9" w:rsidRPr="00837E36">
        <w:rPr>
          <w:rFonts w:ascii="Times New Roman" w:hAnsi="Times New Roman" w:cs="Times New Roman"/>
          <w:sz w:val="28"/>
          <w:szCs w:val="28"/>
        </w:rPr>
        <w:t>colour</w:t>
      </w:r>
      <w:r w:rsidR="00853685" w:rsidRPr="00837E36">
        <w:rPr>
          <w:rFonts w:ascii="Times New Roman" w:hAnsi="Times New Roman" w:cs="Times New Roman"/>
          <w:sz w:val="28"/>
          <w:szCs w:val="28"/>
        </w:rPr>
        <w:t xml:space="preserve"> </w:t>
      </w:r>
      <w:r w:rsidRPr="00837E36">
        <w:rPr>
          <w:rFonts w:ascii="Times New Roman" w:hAnsi="Times New Roman" w:cs="Times New Roman"/>
          <w:sz w:val="28"/>
          <w:szCs w:val="28"/>
        </w:rPr>
        <w:t xml:space="preserve">indicates a moderate </w:t>
      </w:r>
      <w:r w:rsidR="00853685" w:rsidRPr="00837E36">
        <w:rPr>
          <w:rFonts w:ascii="Times New Roman" w:hAnsi="Times New Roman" w:cs="Times New Roman"/>
          <w:sz w:val="28"/>
          <w:szCs w:val="28"/>
        </w:rPr>
        <w:t xml:space="preserve">antiviral effect. Here, we </w:t>
      </w:r>
      <w:r w:rsidRPr="00837E36">
        <w:rPr>
          <w:rFonts w:ascii="Times New Roman" w:hAnsi="Times New Roman" w:cs="Times New Roman"/>
          <w:sz w:val="28"/>
          <w:szCs w:val="28"/>
        </w:rPr>
        <w:t xml:space="preserve">can see not only the shorter period of drug usage but also relatively high antiviral effects, </w:t>
      </w:r>
      <w:r w:rsidR="004F33A0">
        <w:rPr>
          <w:rFonts w:ascii="Times New Roman" w:hAnsi="Times New Roman" w:cs="Times New Roman"/>
          <w:sz w:val="28"/>
          <w:szCs w:val="28"/>
        </w:rPr>
        <w:t>including the RdRP inhibition coefficient, substantial viral reproduction suppression in decimal logarithm (log) units, and viral</w:t>
      </w:r>
      <w:r w:rsidR="00A82F0C" w:rsidRPr="00837E36">
        <w:rPr>
          <w:rFonts w:ascii="Times New Roman" w:hAnsi="Times New Roman" w:cs="Times New Roman"/>
          <w:sz w:val="28"/>
          <w:szCs w:val="28"/>
        </w:rPr>
        <w:t xml:space="preserve"> accumulation in log</w:t>
      </w:r>
      <w:r w:rsidR="00853685" w:rsidRPr="00837E36">
        <w:rPr>
          <w:rFonts w:ascii="Times New Roman" w:hAnsi="Times New Roman" w:cs="Times New Roman"/>
          <w:sz w:val="28"/>
          <w:szCs w:val="28"/>
        </w:rPr>
        <w:t xml:space="preserve"> PFU/ml. The yellow </w:t>
      </w:r>
      <w:r w:rsidR="00A82F0C" w:rsidRPr="00837E36">
        <w:rPr>
          <w:rFonts w:ascii="Times New Roman" w:hAnsi="Times New Roman" w:cs="Times New Roman"/>
          <w:sz w:val="28"/>
          <w:szCs w:val="28"/>
        </w:rPr>
        <w:t>colour</w:t>
      </w:r>
      <w:r w:rsidR="00853685" w:rsidRPr="00837E36">
        <w:rPr>
          <w:rFonts w:ascii="Times New Roman" w:hAnsi="Times New Roman" w:cs="Times New Roman"/>
          <w:sz w:val="28"/>
          <w:szCs w:val="28"/>
        </w:rPr>
        <w:t xml:space="preserve"> </w:t>
      </w:r>
      <w:r w:rsidR="00B80316" w:rsidRPr="00837E36">
        <w:rPr>
          <w:rFonts w:ascii="Times New Roman" w:hAnsi="Times New Roman" w:cs="Times New Roman"/>
          <w:sz w:val="28"/>
          <w:szCs w:val="28"/>
        </w:rPr>
        <w:t xml:space="preserve">indicates the maximum antiviral effect, as it is both the shortest and most effective intensity, with a </w:t>
      </w:r>
      <w:r w:rsidR="00853685" w:rsidRPr="00837E36">
        <w:rPr>
          <w:rFonts w:ascii="Times New Roman" w:hAnsi="Times New Roman" w:cs="Times New Roman"/>
          <w:sz w:val="28"/>
          <w:szCs w:val="28"/>
        </w:rPr>
        <w:t xml:space="preserve">compromised Fabiflu side-effect potential. In our study, </w:t>
      </w:r>
      <w:r w:rsidRPr="00837E36">
        <w:rPr>
          <w:rFonts w:ascii="Times New Roman" w:hAnsi="Times New Roman" w:cs="Times New Roman"/>
          <w:sz w:val="28"/>
          <w:szCs w:val="28"/>
        </w:rPr>
        <w:t xml:space="preserve">viral load accumulation began at a decimal logarithm (log) of </w:t>
      </w:r>
      <w:r w:rsidR="00853685" w:rsidRPr="00837E36">
        <w:rPr>
          <w:rFonts w:ascii="Times New Roman" w:hAnsi="Times New Roman" w:cs="Times New Roman"/>
          <w:sz w:val="28"/>
          <w:szCs w:val="28"/>
        </w:rPr>
        <w:t xml:space="preserve">7. </w:t>
      </w:r>
    </w:p>
    <w:p w14:paraId="6EEB9653" w14:textId="3C4B1CA6" w:rsidR="00226539" w:rsidRPr="00837E36" w:rsidRDefault="00282815" w:rsidP="00837E36">
      <w:pPr>
        <w:spacing w:line="240" w:lineRule="auto"/>
        <w:ind w:firstLine="708"/>
        <w:jc w:val="both"/>
        <w:rPr>
          <w:rFonts w:ascii="Times New Roman" w:hAnsi="Times New Roman" w:cs="Times New Roman"/>
          <w:sz w:val="28"/>
          <w:szCs w:val="28"/>
        </w:rPr>
      </w:pPr>
      <w:r w:rsidRPr="00837E36">
        <w:rPr>
          <w:rFonts w:ascii="Times New Roman" w:hAnsi="Times New Roman" w:cs="Times New Roman"/>
          <w:sz w:val="28"/>
          <w:szCs w:val="28"/>
        </w:rPr>
        <w:t>The reduction was achieved by a decimal logarithm (log) of 5 for</w:t>
      </w:r>
      <w:r w:rsidR="00F96CA2" w:rsidRPr="00837E36">
        <w:rPr>
          <w:rFonts w:ascii="Times New Roman" w:hAnsi="Times New Roman" w:cs="Times New Roman"/>
          <w:sz w:val="28"/>
          <w:szCs w:val="28"/>
        </w:rPr>
        <w:t xml:space="preserve"> TDF and TAF isomers, which was relatively</w:t>
      </w:r>
      <w:r w:rsidR="00853685" w:rsidRPr="00837E36">
        <w:rPr>
          <w:rFonts w:ascii="Times New Roman" w:hAnsi="Times New Roman" w:cs="Times New Roman"/>
          <w:sz w:val="28"/>
          <w:szCs w:val="28"/>
        </w:rPr>
        <w:t xml:space="preserve"> high, with at least </w:t>
      </w:r>
      <w:r w:rsidR="00A82F0C" w:rsidRPr="00837E36">
        <w:rPr>
          <w:rFonts w:ascii="Times New Roman" w:hAnsi="Times New Roman" w:cs="Times New Roman"/>
          <w:sz w:val="28"/>
          <w:szCs w:val="28"/>
        </w:rPr>
        <w:t>two</w:t>
      </w:r>
      <w:r w:rsidR="00853685" w:rsidRPr="00837E36">
        <w:rPr>
          <w:rFonts w:ascii="Times New Roman" w:hAnsi="Times New Roman" w:cs="Times New Roman"/>
          <w:sz w:val="28"/>
          <w:szCs w:val="28"/>
        </w:rPr>
        <w:t xml:space="preserve"> viral particles per cell (Figure 4</w:t>
      </w:r>
      <w:r w:rsidR="00DD0145" w:rsidRPr="00837E36">
        <w:rPr>
          <w:rFonts w:ascii="Times New Roman" w:hAnsi="Times New Roman" w:cs="Times New Roman"/>
          <w:sz w:val="28"/>
          <w:szCs w:val="28"/>
        </w:rPr>
        <w:t>6</w:t>
      </w:r>
      <w:r w:rsidR="00853685" w:rsidRPr="00837E36">
        <w:rPr>
          <w:rFonts w:ascii="Times New Roman" w:hAnsi="Times New Roman" w:cs="Times New Roman"/>
          <w:sz w:val="28"/>
          <w:szCs w:val="28"/>
        </w:rPr>
        <w:t xml:space="preserve">).  </w:t>
      </w:r>
    </w:p>
    <w:p w14:paraId="2CF28E7B" w14:textId="77777777" w:rsidR="00DD0145" w:rsidRPr="006531C9" w:rsidRDefault="00DD0145" w:rsidP="00680341">
      <w:pPr>
        <w:spacing w:line="360" w:lineRule="auto"/>
        <w:ind w:firstLine="708"/>
        <w:jc w:val="both"/>
        <w:rPr>
          <w:rFonts w:ascii="Times New Roman" w:hAnsi="Times New Roman" w:cs="Times New Roman"/>
          <w:sz w:val="24"/>
          <w:szCs w:val="24"/>
        </w:rPr>
      </w:pPr>
    </w:p>
    <w:p w14:paraId="25DD6B31" w14:textId="1C8B98E0" w:rsidR="00226539" w:rsidRPr="007F162A" w:rsidRDefault="00853685" w:rsidP="00560DB8">
      <w:pPr>
        <w:spacing w:line="360" w:lineRule="auto"/>
        <w:jc w:val="center"/>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1BCD9A7A" wp14:editId="307F7243">
            <wp:extent cx="5322277" cy="1504950"/>
            <wp:effectExtent l="0" t="0" r="12065" b="0"/>
            <wp:docPr id="201375831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bookmarkStart w:id="53" w:name="_Hlk159323802"/>
    </w:p>
    <w:p w14:paraId="76FE40A2" w14:textId="47400C63" w:rsidR="007F162A" w:rsidRPr="00837E36" w:rsidRDefault="00853685" w:rsidP="00837E36">
      <w:pPr>
        <w:spacing w:after="0" w:line="240" w:lineRule="auto"/>
        <w:jc w:val="center"/>
        <w:rPr>
          <w:rFonts w:ascii="Times New Roman" w:hAnsi="Times New Roman" w:cs="Times New Roman"/>
          <w:sz w:val="28"/>
          <w:szCs w:val="28"/>
        </w:rPr>
      </w:pPr>
      <w:r w:rsidRPr="00837E36">
        <w:rPr>
          <w:rFonts w:ascii="Times New Roman" w:hAnsi="Times New Roman" w:cs="Times New Roman"/>
          <w:iCs/>
          <w:sz w:val="28"/>
          <w:szCs w:val="28"/>
        </w:rPr>
        <w:t>Figure 4</w:t>
      </w:r>
      <w:r w:rsidR="000A602C" w:rsidRPr="00837E36">
        <w:rPr>
          <w:rFonts w:ascii="Times New Roman" w:hAnsi="Times New Roman" w:cs="Times New Roman"/>
          <w:iCs/>
          <w:sz w:val="28"/>
          <w:szCs w:val="28"/>
        </w:rPr>
        <w:t>6</w:t>
      </w:r>
      <w:r w:rsidR="00B2474F" w:rsidRPr="00837E36">
        <w:rPr>
          <w:rFonts w:ascii="Times New Roman" w:hAnsi="Times New Roman" w:cs="Times New Roman"/>
          <w:iCs/>
          <w:sz w:val="28"/>
          <w:szCs w:val="28"/>
        </w:rPr>
        <w:t xml:space="preserve"> </w:t>
      </w:r>
      <w:r w:rsidR="007F162A" w:rsidRPr="00837E36">
        <w:rPr>
          <w:rFonts w:ascii="Times New Roman" w:hAnsi="Times New Roman" w:cs="Times New Roman"/>
          <w:iCs/>
          <w:sz w:val="28"/>
          <w:szCs w:val="28"/>
        </w:rPr>
        <w:t xml:space="preserve">– </w:t>
      </w:r>
      <w:r w:rsidRPr="00837E36">
        <w:rPr>
          <w:rFonts w:ascii="Times New Roman" w:hAnsi="Times New Roman" w:cs="Times New Roman"/>
          <w:sz w:val="28"/>
          <w:szCs w:val="28"/>
        </w:rPr>
        <w:t>Tenvir’s</w:t>
      </w:r>
      <w:r w:rsidR="000C47A9" w:rsidRPr="00837E36">
        <w:rPr>
          <w:rFonts w:ascii="Times New Roman" w:hAnsi="Times New Roman" w:cs="Times New Roman"/>
          <w:sz w:val="28"/>
          <w:szCs w:val="28"/>
        </w:rPr>
        <w:t xml:space="preserve"> (</w:t>
      </w:r>
      <w:r w:rsidR="00B019F5" w:rsidRPr="00837E36">
        <w:rPr>
          <w:rFonts w:ascii="Times New Roman" w:hAnsi="Times New Roman" w:cs="Times New Roman"/>
          <w:sz w:val="28"/>
          <w:szCs w:val="28"/>
        </w:rPr>
        <w:t>TDF) antiviral</w:t>
      </w:r>
      <w:r w:rsidRPr="00837E36">
        <w:rPr>
          <w:rFonts w:ascii="Times New Roman" w:hAnsi="Times New Roman" w:cs="Times New Roman"/>
          <w:sz w:val="28"/>
          <w:szCs w:val="28"/>
        </w:rPr>
        <w:t xml:space="preserve"> data from the in vitro study and the clinical prescription for achieving viral </w:t>
      </w:r>
      <w:r w:rsidR="00A82F0C" w:rsidRPr="00837E36">
        <w:rPr>
          <w:rFonts w:ascii="Times New Roman" w:hAnsi="Times New Roman" w:cs="Times New Roman"/>
          <w:sz w:val="28"/>
          <w:szCs w:val="28"/>
        </w:rPr>
        <w:t>multiplication</w:t>
      </w:r>
      <w:r w:rsidRPr="00837E36">
        <w:rPr>
          <w:rFonts w:ascii="Times New Roman" w:hAnsi="Times New Roman" w:cs="Times New Roman"/>
          <w:sz w:val="28"/>
          <w:szCs w:val="28"/>
        </w:rPr>
        <w:t xml:space="preserve"> activity in vivo</w:t>
      </w:r>
      <w:bookmarkEnd w:id="53"/>
      <w:r w:rsidR="00EA436A" w:rsidRPr="00837E36">
        <w:rPr>
          <w:rFonts w:ascii="Times New Roman" w:hAnsi="Times New Roman" w:cs="Times New Roman"/>
          <w:sz w:val="28"/>
          <w:szCs w:val="28"/>
        </w:rPr>
        <w:t xml:space="preserve"> [Appendix </w:t>
      </w:r>
      <w:r w:rsidR="00C9103F" w:rsidRPr="00837E36">
        <w:rPr>
          <w:rFonts w:ascii="Times New Roman" w:hAnsi="Times New Roman" w:cs="Times New Roman"/>
          <w:sz w:val="28"/>
          <w:szCs w:val="28"/>
        </w:rPr>
        <w:t>D</w:t>
      </w:r>
      <w:r w:rsidR="00EA436A" w:rsidRPr="00837E36">
        <w:rPr>
          <w:rFonts w:ascii="Times New Roman" w:hAnsi="Times New Roman" w:cs="Times New Roman"/>
          <w:sz w:val="28"/>
          <w:szCs w:val="28"/>
        </w:rPr>
        <w:t>]</w:t>
      </w:r>
    </w:p>
    <w:p w14:paraId="766862AD" w14:textId="77777777" w:rsidR="00DD0145" w:rsidRPr="00837E36" w:rsidRDefault="00DD0145" w:rsidP="00837E36">
      <w:pPr>
        <w:spacing w:after="0" w:line="240" w:lineRule="auto"/>
        <w:jc w:val="center"/>
        <w:rPr>
          <w:rFonts w:ascii="Times New Roman" w:hAnsi="Times New Roman" w:cs="Times New Roman"/>
          <w:sz w:val="28"/>
          <w:szCs w:val="28"/>
        </w:rPr>
      </w:pPr>
    </w:p>
    <w:p w14:paraId="7851587B" w14:textId="3B1A3208" w:rsidR="00226539" w:rsidRPr="00837E36" w:rsidRDefault="00853685" w:rsidP="00837E36">
      <w:pPr>
        <w:spacing w:after="0" w:line="240" w:lineRule="auto"/>
        <w:ind w:firstLine="708"/>
        <w:jc w:val="both"/>
        <w:rPr>
          <w:rFonts w:ascii="Times New Roman" w:hAnsi="Times New Roman" w:cs="Times New Roman"/>
          <w:sz w:val="28"/>
          <w:szCs w:val="28"/>
        </w:rPr>
      </w:pPr>
      <w:r w:rsidRPr="00837E36">
        <w:rPr>
          <w:rFonts w:ascii="Times New Roman" w:hAnsi="Times New Roman" w:cs="Times New Roman"/>
          <w:sz w:val="28"/>
          <w:szCs w:val="28"/>
        </w:rPr>
        <w:t xml:space="preserve">Tenvir </w:t>
      </w:r>
      <w:r w:rsidR="00F96CA2" w:rsidRPr="00837E36">
        <w:rPr>
          <w:rFonts w:ascii="Times New Roman" w:hAnsi="Times New Roman" w:cs="Times New Roman"/>
          <w:sz w:val="28"/>
          <w:szCs w:val="28"/>
        </w:rPr>
        <w:t>demonstrated the highest antiviral potential; therefore, the manufacturer’s in vitro recommendations effectively mitigate</w:t>
      </w:r>
      <w:r w:rsidR="00035C09" w:rsidRPr="00837E36">
        <w:rPr>
          <w:rFonts w:ascii="Times New Roman" w:hAnsi="Times New Roman" w:cs="Times New Roman"/>
          <w:sz w:val="28"/>
          <w:szCs w:val="28"/>
        </w:rPr>
        <w:t xml:space="preserve"> usage risks both in vitro and in vivo, as shown</w:t>
      </w:r>
      <w:r w:rsidRPr="00837E36">
        <w:rPr>
          <w:rFonts w:ascii="Times New Roman" w:hAnsi="Times New Roman" w:cs="Times New Roman"/>
          <w:sz w:val="28"/>
          <w:szCs w:val="28"/>
        </w:rPr>
        <w:t xml:space="preserve"> in Figure 4</w:t>
      </w:r>
      <w:r w:rsidR="00F96CA2" w:rsidRPr="00837E36">
        <w:rPr>
          <w:rFonts w:ascii="Times New Roman" w:hAnsi="Times New Roman" w:cs="Times New Roman"/>
          <w:sz w:val="28"/>
          <w:szCs w:val="28"/>
        </w:rPr>
        <w:t>8</w:t>
      </w:r>
      <w:r w:rsidR="008A7E4F" w:rsidRPr="00837E36">
        <w:rPr>
          <w:rFonts w:ascii="Times New Roman" w:hAnsi="Times New Roman" w:cs="Times New Roman"/>
          <w:sz w:val="28"/>
          <w:szCs w:val="28"/>
        </w:rPr>
        <w:t>.</w:t>
      </w:r>
      <w:r w:rsidRPr="00837E36">
        <w:rPr>
          <w:rFonts w:ascii="Times New Roman" w:hAnsi="Times New Roman" w:cs="Times New Roman"/>
          <w:sz w:val="28"/>
          <w:szCs w:val="28"/>
        </w:rPr>
        <w:t xml:space="preserve"> </w:t>
      </w:r>
    </w:p>
    <w:p w14:paraId="28425336" w14:textId="77777777" w:rsidR="000A602C" w:rsidRPr="00837E36" w:rsidRDefault="000A602C" w:rsidP="00837E36">
      <w:pPr>
        <w:spacing w:after="0" w:line="360" w:lineRule="auto"/>
        <w:ind w:firstLine="708"/>
        <w:jc w:val="both"/>
        <w:rPr>
          <w:rFonts w:ascii="Times New Roman" w:hAnsi="Times New Roman" w:cs="Times New Roman"/>
          <w:sz w:val="28"/>
          <w:szCs w:val="28"/>
        </w:rPr>
      </w:pPr>
    </w:p>
    <w:p w14:paraId="63D9CADB" w14:textId="4DDE868D" w:rsidR="000A602C" w:rsidRPr="00DD1C31" w:rsidRDefault="00853685" w:rsidP="00DD1C31">
      <w:pPr>
        <w:spacing w:line="360" w:lineRule="auto"/>
        <w:jc w:val="center"/>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14BFF1EC" wp14:editId="24D0E7DC">
            <wp:extent cx="5873261" cy="1863090"/>
            <wp:effectExtent l="0" t="0" r="13335" b="3810"/>
            <wp:docPr id="90997083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6DFA7F1B" w14:textId="7313981E" w:rsidR="00055AB8" w:rsidRPr="00837E36" w:rsidRDefault="00853685" w:rsidP="00837E36">
      <w:pPr>
        <w:spacing w:line="240" w:lineRule="auto"/>
        <w:jc w:val="center"/>
        <w:rPr>
          <w:rFonts w:ascii="Times New Roman" w:hAnsi="Times New Roman" w:cs="Times New Roman"/>
          <w:sz w:val="28"/>
          <w:szCs w:val="28"/>
        </w:rPr>
      </w:pPr>
      <w:r w:rsidRPr="00837E36">
        <w:rPr>
          <w:rFonts w:ascii="Times New Roman" w:hAnsi="Times New Roman" w:cs="Times New Roman"/>
          <w:iCs/>
          <w:sz w:val="28"/>
          <w:szCs w:val="28"/>
        </w:rPr>
        <w:t xml:space="preserve">Figure </w:t>
      </w:r>
      <w:r w:rsidR="00DD0145" w:rsidRPr="00837E36">
        <w:rPr>
          <w:rFonts w:ascii="Times New Roman" w:hAnsi="Times New Roman" w:cs="Times New Roman"/>
          <w:iCs/>
          <w:sz w:val="28"/>
          <w:szCs w:val="28"/>
        </w:rPr>
        <w:t>47</w:t>
      </w:r>
      <w:r w:rsidRPr="00837E36">
        <w:rPr>
          <w:rFonts w:ascii="Times New Roman" w:hAnsi="Times New Roman" w:cs="Times New Roman"/>
          <w:iCs/>
          <w:sz w:val="28"/>
          <w:szCs w:val="28"/>
        </w:rPr>
        <w:t xml:space="preserve">- </w:t>
      </w:r>
      <w:r w:rsidRPr="00837E36">
        <w:rPr>
          <w:rFonts w:ascii="Times New Roman" w:hAnsi="Times New Roman" w:cs="Times New Roman"/>
          <w:sz w:val="28"/>
          <w:szCs w:val="28"/>
        </w:rPr>
        <w:t xml:space="preserve">Ribavirin’s antiviral data from an in vitro study and the clinical prescription for achieving viral </w:t>
      </w:r>
      <w:r w:rsidR="00A82F0C" w:rsidRPr="00837E36">
        <w:rPr>
          <w:rFonts w:ascii="Times New Roman" w:hAnsi="Times New Roman" w:cs="Times New Roman"/>
          <w:sz w:val="28"/>
          <w:szCs w:val="28"/>
        </w:rPr>
        <w:t>multiplication</w:t>
      </w:r>
      <w:r w:rsidRPr="00837E36">
        <w:rPr>
          <w:rFonts w:ascii="Times New Roman" w:hAnsi="Times New Roman" w:cs="Times New Roman"/>
          <w:sz w:val="28"/>
          <w:szCs w:val="28"/>
        </w:rPr>
        <w:t xml:space="preserve"> activity in vivo</w:t>
      </w:r>
      <w:r w:rsidR="00706DEF" w:rsidRPr="00837E36">
        <w:rPr>
          <w:rFonts w:ascii="Times New Roman" w:hAnsi="Times New Roman" w:cs="Times New Roman"/>
          <w:sz w:val="28"/>
          <w:szCs w:val="28"/>
        </w:rPr>
        <w:t xml:space="preserve"> [Appendix </w:t>
      </w:r>
      <w:r w:rsidR="00C9103F" w:rsidRPr="00837E36">
        <w:rPr>
          <w:rFonts w:ascii="Times New Roman" w:hAnsi="Times New Roman" w:cs="Times New Roman"/>
          <w:sz w:val="28"/>
          <w:szCs w:val="28"/>
        </w:rPr>
        <w:t>D</w:t>
      </w:r>
      <w:r w:rsidR="00706DEF" w:rsidRPr="00837E36">
        <w:rPr>
          <w:rFonts w:ascii="Times New Roman" w:hAnsi="Times New Roman" w:cs="Times New Roman"/>
          <w:sz w:val="28"/>
          <w:szCs w:val="28"/>
        </w:rPr>
        <w:t>]</w:t>
      </w:r>
    </w:p>
    <w:p w14:paraId="1D7D247A" w14:textId="3B005FA1" w:rsidR="00226539" w:rsidRPr="00837E36" w:rsidRDefault="00853685" w:rsidP="001F414B">
      <w:pPr>
        <w:spacing w:after="0" w:line="240" w:lineRule="auto"/>
        <w:ind w:firstLine="709"/>
        <w:jc w:val="both"/>
        <w:rPr>
          <w:rFonts w:ascii="Times New Roman" w:hAnsi="Times New Roman" w:cs="Times New Roman"/>
          <w:sz w:val="28"/>
          <w:szCs w:val="28"/>
        </w:rPr>
      </w:pPr>
      <w:r w:rsidRPr="00837E36">
        <w:rPr>
          <w:rFonts w:ascii="Times New Roman" w:hAnsi="Times New Roman" w:cs="Times New Roman"/>
          <w:sz w:val="28"/>
          <w:szCs w:val="28"/>
        </w:rPr>
        <w:lastRenderedPageBreak/>
        <w:t xml:space="preserve">Ribavirin </w:t>
      </w:r>
      <w:r w:rsidR="00520FEF" w:rsidRPr="00837E36">
        <w:rPr>
          <w:rFonts w:ascii="Times New Roman" w:hAnsi="Times New Roman" w:cs="Times New Roman"/>
          <w:sz w:val="28"/>
          <w:szCs w:val="28"/>
        </w:rPr>
        <w:t>remained quite effective, even in the presence of relatively high viral loads; however, its toxicity prevented us from achieving an IC</w:t>
      </w:r>
      <w:r w:rsidR="00520FEF" w:rsidRPr="000911ED">
        <w:rPr>
          <w:rFonts w:ascii="Times New Roman" w:hAnsi="Times New Roman" w:cs="Times New Roman"/>
          <w:sz w:val="28"/>
          <w:szCs w:val="28"/>
          <w:vertAlign w:val="subscript"/>
        </w:rPr>
        <w:t>50</w:t>
      </w:r>
      <w:r w:rsidR="00F96CA2" w:rsidRPr="00837E36">
        <w:rPr>
          <w:rFonts w:ascii="Times New Roman" w:hAnsi="Times New Roman" w:cs="Times New Roman"/>
          <w:sz w:val="28"/>
          <w:szCs w:val="28"/>
        </w:rPr>
        <w:t>, as</w:t>
      </w:r>
      <w:r w:rsidRPr="00837E36">
        <w:rPr>
          <w:rFonts w:ascii="Times New Roman" w:hAnsi="Times New Roman" w:cs="Times New Roman"/>
          <w:sz w:val="28"/>
          <w:szCs w:val="28"/>
        </w:rPr>
        <w:t xml:space="preserve"> its CC was very sensitive. Its long </w:t>
      </w:r>
      <w:r w:rsidR="00520FEF" w:rsidRPr="00837E36">
        <w:rPr>
          <w:rFonts w:ascii="Times New Roman" w:hAnsi="Times New Roman" w:cs="Times New Roman"/>
          <w:sz w:val="28"/>
          <w:szCs w:val="28"/>
        </w:rPr>
        <w:t xml:space="preserve">history of use as a wide-spectrum antiviral agent demonstrates its robust effectiveness, with significant cellular toxicity observed both </w:t>
      </w:r>
      <w:r w:rsidRPr="00837E36">
        <w:rPr>
          <w:rFonts w:ascii="Times New Roman" w:hAnsi="Times New Roman" w:cs="Times New Roman"/>
          <w:sz w:val="28"/>
          <w:szCs w:val="28"/>
        </w:rPr>
        <w:t>in vitro and in vivo (Figure 4</w:t>
      </w:r>
      <w:r w:rsidR="00A82F0C" w:rsidRPr="00837E36">
        <w:rPr>
          <w:rFonts w:ascii="Times New Roman" w:hAnsi="Times New Roman" w:cs="Times New Roman"/>
          <w:sz w:val="28"/>
          <w:szCs w:val="28"/>
        </w:rPr>
        <w:t>5</w:t>
      </w:r>
      <w:r w:rsidRPr="00837E36">
        <w:rPr>
          <w:rFonts w:ascii="Times New Roman" w:hAnsi="Times New Roman" w:cs="Times New Roman"/>
          <w:sz w:val="28"/>
          <w:szCs w:val="28"/>
        </w:rPr>
        <w:t xml:space="preserve">). </w:t>
      </w:r>
    </w:p>
    <w:p w14:paraId="362F09EB" w14:textId="029903BF" w:rsidR="00A82F0C" w:rsidRPr="00A6371B" w:rsidRDefault="00A82F0C" w:rsidP="00D86821">
      <w:pPr>
        <w:spacing w:after="0" w:line="240" w:lineRule="auto"/>
        <w:ind w:firstLine="709"/>
        <w:jc w:val="both"/>
        <w:rPr>
          <w:rFonts w:ascii="Times New Roman" w:eastAsia="Times New Roman" w:hAnsi="Times New Roman" w:cs="Times New Roman"/>
          <w:sz w:val="28"/>
          <w:szCs w:val="28"/>
          <w:lang w:val="en-US"/>
        </w:rPr>
      </w:pPr>
      <w:r w:rsidRPr="00837E36">
        <w:rPr>
          <w:rFonts w:ascii="Times New Roman" w:eastAsia="Times New Roman" w:hAnsi="Times New Roman" w:cs="Times New Roman"/>
          <w:sz w:val="28"/>
          <w:szCs w:val="28"/>
        </w:rPr>
        <w:t xml:space="preserve">According to the Fabiflu inhibition assay information, the IC was 37. If 36.79% of cells do not become infected, what percentage will become infected? Based on probability calculations (not related to biology), at an MOI of 1, only about 63% of cells are expected to become infected: 100% — 36.79% = 63%. However, we had MOI 2, </w:t>
      </w:r>
      <w:r w:rsidR="004F33A0">
        <w:rPr>
          <w:rFonts w:ascii="Times New Roman" w:eastAsia="Times New Roman" w:hAnsi="Times New Roman" w:cs="Times New Roman"/>
          <w:sz w:val="28"/>
          <w:szCs w:val="28"/>
        </w:rPr>
        <w:t>suggesting that Favipiravir remains compelling for treating</w:t>
      </w:r>
      <w:r w:rsidRPr="00837E36">
        <w:rPr>
          <w:rFonts w:ascii="Times New Roman" w:eastAsia="Times New Roman" w:hAnsi="Times New Roman" w:cs="Times New Roman"/>
          <w:sz w:val="28"/>
          <w:szCs w:val="28"/>
        </w:rPr>
        <w:t xml:space="preserve"> only mild SARS-CoV-2 infections.</w:t>
      </w:r>
    </w:p>
    <w:p w14:paraId="5C0A1A30" w14:textId="77777777" w:rsidR="00D86821" w:rsidRPr="00A6371B" w:rsidRDefault="00D86821" w:rsidP="00D86821">
      <w:pPr>
        <w:spacing w:after="0" w:line="240" w:lineRule="auto"/>
        <w:ind w:firstLine="709"/>
        <w:jc w:val="both"/>
        <w:rPr>
          <w:rFonts w:ascii="Times New Roman" w:eastAsia="Times New Roman" w:hAnsi="Times New Roman" w:cs="Times New Roman"/>
          <w:sz w:val="28"/>
          <w:szCs w:val="28"/>
          <w:lang w:val="en-US"/>
        </w:rPr>
      </w:pPr>
    </w:p>
    <w:p w14:paraId="3F5F7FAC" w14:textId="68A1B6DA" w:rsidR="0045204B" w:rsidRPr="006F0F43" w:rsidRDefault="00853685" w:rsidP="006F0F43">
      <w:pPr>
        <w:spacing w:line="360" w:lineRule="auto"/>
        <w:jc w:val="center"/>
        <w:rPr>
          <w:rFonts w:ascii="Times New Roman" w:hAnsi="Times New Roman" w:cs="Times New Roman"/>
          <w:b/>
          <w:bCs/>
          <w:sz w:val="24"/>
          <w:szCs w:val="24"/>
        </w:rPr>
      </w:pPr>
      <w:r w:rsidRPr="006531C9">
        <w:rPr>
          <w:rFonts w:ascii="Times New Roman" w:eastAsia="Times New Roman" w:hAnsi="Times New Roman" w:cs="Times New Roman"/>
          <w:noProof/>
          <w:sz w:val="24"/>
          <w:szCs w:val="24"/>
        </w:rPr>
        <w:drawing>
          <wp:inline distT="0" distB="0" distL="0" distR="0" wp14:anchorId="6C7E919D" wp14:editId="47D3D5A6">
            <wp:extent cx="5943600" cy="4279900"/>
            <wp:effectExtent l="0" t="0" r="0" b="635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6A9AADE1" w14:textId="1EF0BF49" w:rsidR="00A82F0C" w:rsidRPr="00D66273" w:rsidRDefault="00853685" w:rsidP="00837E36">
      <w:pPr>
        <w:spacing w:after="0" w:line="240" w:lineRule="auto"/>
        <w:jc w:val="center"/>
        <w:rPr>
          <w:rFonts w:ascii="Times New Roman" w:eastAsia="Times New Roman" w:hAnsi="Times New Roman" w:cs="Times New Roman"/>
          <w:sz w:val="28"/>
          <w:szCs w:val="28"/>
        </w:rPr>
      </w:pPr>
      <w:r w:rsidRPr="00D66273">
        <w:rPr>
          <w:rFonts w:ascii="Times New Roman" w:hAnsi="Times New Roman" w:cs="Times New Roman"/>
          <w:iCs/>
          <w:sz w:val="28"/>
          <w:szCs w:val="28"/>
        </w:rPr>
        <w:t xml:space="preserve">Figure </w:t>
      </w:r>
      <w:r w:rsidR="00DD0145" w:rsidRPr="00D66273">
        <w:rPr>
          <w:rFonts w:ascii="Times New Roman" w:eastAsia="Times New Roman" w:hAnsi="Times New Roman" w:cs="Times New Roman"/>
          <w:sz w:val="28"/>
          <w:szCs w:val="28"/>
        </w:rPr>
        <w:t>48</w:t>
      </w:r>
      <w:r w:rsidR="00B2474F" w:rsidRPr="00D66273">
        <w:rPr>
          <w:rFonts w:ascii="Times New Roman" w:eastAsia="Times New Roman" w:hAnsi="Times New Roman" w:cs="Times New Roman"/>
          <w:sz w:val="28"/>
          <w:szCs w:val="28"/>
        </w:rPr>
        <w:t xml:space="preserve"> </w:t>
      </w:r>
      <w:r w:rsidR="00372767" w:rsidRPr="00D66273">
        <w:rPr>
          <w:rFonts w:ascii="Times New Roman" w:hAnsi="Times New Roman" w:cs="Times New Roman"/>
          <w:iCs/>
          <w:sz w:val="28"/>
          <w:szCs w:val="28"/>
        </w:rPr>
        <w:t xml:space="preserve">– </w:t>
      </w:r>
      <w:r w:rsidRPr="00D66273">
        <w:rPr>
          <w:rFonts w:ascii="Times New Roman" w:eastAsia="Times New Roman" w:hAnsi="Times New Roman" w:cs="Times New Roman"/>
          <w:sz w:val="28"/>
          <w:szCs w:val="28"/>
        </w:rPr>
        <w:t xml:space="preserve">Fabiflu drug dosage </w:t>
      </w:r>
      <w:r w:rsidR="00F96CA2" w:rsidRPr="00D66273">
        <w:rPr>
          <w:rFonts w:ascii="Times New Roman" w:eastAsia="Times New Roman" w:hAnsi="Times New Roman" w:cs="Times New Roman"/>
          <w:sz w:val="28"/>
          <w:szCs w:val="28"/>
        </w:rPr>
        <w:t>recommendations for all three antiviral drugs based on this in vitro</w:t>
      </w:r>
      <w:r w:rsidRPr="00D66273">
        <w:rPr>
          <w:rFonts w:ascii="Times New Roman" w:eastAsia="Times New Roman" w:hAnsi="Times New Roman" w:cs="Times New Roman"/>
          <w:sz w:val="28"/>
          <w:szCs w:val="28"/>
        </w:rPr>
        <w:t xml:space="preserve"> study; the first leading indicator of our research is the safest drug concentration and the lowest possible side-effect potential during in vitro drug testing</w:t>
      </w:r>
    </w:p>
    <w:p w14:paraId="48B3EE07" w14:textId="77777777" w:rsidR="00DD0145" w:rsidRPr="00D66273" w:rsidRDefault="00DD0145" w:rsidP="00837E36">
      <w:pPr>
        <w:spacing w:after="0" w:line="240" w:lineRule="auto"/>
        <w:jc w:val="center"/>
        <w:rPr>
          <w:rFonts w:ascii="Times New Roman" w:eastAsia="Times New Roman" w:hAnsi="Times New Roman" w:cs="Times New Roman"/>
          <w:sz w:val="28"/>
          <w:szCs w:val="28"/>
        </w:rPr>
      </w:pPr>
    </w:p>
    <w:p w14:paraId="432E6606" w14:textId="4FA5609C" w:rsidR="00A82F0C" w:rsidRPr="00A6371B" w:rsidRDefault="00853685" w:rsidP="003B7A78">
      <w:pPr>
        <w:spacing w:after="0" w:line="240" w:lineRule="auto"/>
        <w:ind w:firstLine="708"/>
        <w:jc w:val="both"/>
        <w:rPr>
          <w:rFonts w:ascii="Times New Roman" w:eastAsia="Times New Roman" w:hAnsi="Times New Roman" w:cs="Times New Roman"/>
          <w:sz w:val="28"/>
          <w:szCs w:val="28"/>
          <w:lang w:val="en-US"/>
        </w:rPr>
      </w:pPr>
      <w:r w:rsidRPr="007C7692">
        <w:rPr>
          <w:rFonts w:ascii="Times New Roman" w:eastAsia="Times New Roman" w:hAnsi="Times New Roman" w:cs="Times New Roman"/>
          <w:sz w:val="28"/>
          <w:szCs w:val="28"/>
        </w:rPr>
        <w:t xml:space="preserve">In Figure </w:t>
      </w:r>
      <w:r w:rsidR="00A82F0C" w:rsidRPr="007C7692">
        <w:rPr>
          <w:rFonts w:ascii="Times New Roman" w:eastAsia="Times New Roman" w:hAnsi="Times New Roman" w:cs="Times New Roman"/>
          <w:sz w:val="28"/>
          <w:szCs w:val="28"/>
        </w:rPr>
        <w:t>4</w:t>
      </w:r>
      <w:r w:rsidR="00DD0145" w:rsidRPr="007C7692">
        <w:rPr>
          <w:rFonts w:ascii="Times New Roman" w:eastAsia="Times New Roman" w:hAnsi="Times New Roman" w:cs="Times New Roman"/>
          <w:sz w:val="28"/>
          <w:szCs w:val="28"/>
        </w:rPr>
        <w:t>8</w:t>
      </w:r>
      <w:r w:rsidRPr="007C7692">
        <w:rPr>
          <w:rFonts w:ascii="Times New Roman" w:eastAsia="Times New Roman" w:hAnsi="Times New Roman" w:cs="Times New Roman"/>
          <w:sz w:val="28"/>
          <w:szCs w:val="28"/>
        </w:rPr>
        <w:t xml:space="preserve">, we can see the transparent effectiveness gradient </w:t>
      </w:r>
      <w:r w:rsidR="00D66273">
        <w:rPr>
          <w:rFonts w:ascii="Times New Roman" w:eastAsia="Times New Roman" w:hAnsi="Times New Roman" w:cs="Times New Roman"/>
          <w:sz w:val="28"/>
          <w:szCs w:val="28"/>
        </w:rPr>
        <w:t xml:space="preserve">of </w:t>
      </w:r>
      <w:r w:rsidR="00424CDD">
        <w:rPr>
          <w:rFonts w:ascii="Times New Roman" w:eastAsia="Times New Roman" w:hAnsi="Times New Roman" w:cs="Times New Roman"/>
          <w:sz w:val="28"/>
          <w:szCs w:val="28"/>
        </w:rPr>
        <w:t xml:space="preserve">drug concentrations in a single tablet, with Fabiflu serving as a negative control in the antiviral inhibition assay, showing only an </w:t>
      </w:r>
      <w:r w:rsidR="00F96CA2" w:rsidRPr="007C7692">
        <w:rPr>
          <w:rFonts w:ascii="Times New Roman" w:eastAsia="Times New Roman" w:hAnsi="Times New Roman" w:cs="Times New Roman"/>
          <w:sz w:val="28"/>
          <w:szCs w:val="28"/>
        </w:rPr>
        <w:t>IC</w:t>
      </w:r>
      <w:r w:rsidR="00F96CA2" w:rsidRPr="00F00219">
        <w:rPr>
          <w:rFonts w:ascii="Times New Roman" w:eastAsia="Times New Roman" w:hAnsi="Times New Roman" w:cs="Times New Roman"/>
          <w:sz w:val="28"/>
          <w:szCs w:val="28"/>
          <w:vertAlign w:val="subscript"/>
        </w:rPr>
        <w:t>37</w:t>
      </w:r>
      <w:r w:rsidR="00F96CA2" w:rsidRPr="007C7692">
        <w:rPr>
          <w:rFonts w:ascii="Times New Roman" w:eastAsia="Times New Roman" w:hAnsi="Times New Roman" w:cs="Times New Roman"/>
          <w:sz w:val="28"/>
          <w:szCs w:val="28"/>
        </w:rPr>
        <w:t xml:space="preserve"> at 50 </w:t>
      </w:r>
      <w:r w:rsidRPr="007C7692">
        <w:rPr>
          <w:rFonts w:ascii="Times New Roman" w:eastAsia="Times New Roman" w:hAnsi="Times New Roman" w:cs="Times New Roman"/>
          <w:sz w:val="28"/>
          <w:szCs w:val="28"/>
        </w:rPr>
        <w:t>µg</w:t>
      </w:r>
      <w:r w:rsidR="00EA7CD5" w:rsidRPr="007C7692">
        <w:rPr>
          <w:rFonts w:ascii="Times New Roman" w:eastAsia="Times New Roman" w:hAnsi="Times New Roman" w:cs="Times New Roman"/>
          <w:sz w:val="28"/>
          <w:szCs w:val="28"/>
        </w:rPr>
        <w:t>. In contrast,</w:t>
      </w:r>
      <w:r w:rsidRPr="007C7692">
        <w:rPr>
          <w:rFonts w:ascii="Times New Roman" w:eastAsia="Times New Roman" w:hAnsi="Times New Roman" w:cs="Times New Roman"/>
          <w:sz w:val="28"/>
          <w:szCs w:val="28"/>
        </w:rPr>
        <w:t xml:space="preserve"> Tenvir </w:t>
      </w:r>
      <w:r w:rsidR="00F96CA2" w:rsidRPr="007C7692">
        <w:rPr>
          <w:rFonts w:ascii="Times New Roman" w:eastAsia="Times New Roman" w:hAnsi="Times New Roman" w:cs="Times New Roman"/>
          <w:sz w:val="28"/>
          <w:szCs w:val="28"/>
        </w:rPr>
        <w:t>yields a positive result, achieving an</w:t>
      </w:r>
      <w:r w:rsidRPr="007C7692">
        <w:rPr>
          <w:rFonts w:ascii="Times New Roman" w:eastAsia="Times New Roman" w:hAnsi="Times New Roman" w:cs="Times New Roman"/>
          <w:sz w:val="28"/>
          <w:szCs w:val="28"/>
        </w:rPr>
        <w:t xml:space="preserve"> IC</w:t>
      </w:r>
      <w:r w:rsidRPr="007C7692">
        <w:rPr>
          <w:rFonts w:ascii="Times New Roman" w:eastAsia="Times New Roman" w:hAnsi="Times New Roman" w:cs="Times New Roman"/>
          <w:sz w:val="28"/>
          <w:szCs w:val="28"/>
          <w:vertAlign w:val="subscript"/>
        </w:rPr>
        <w:t>100</w:t>
      </w:r>
      <w:r w:rsidRPr="007C7692">
        <w:rPr>
          <w:rFonts w:ascii="Times New Roman" w:eastAsia="Times New Roman" w:hAnsi="Times New Roman" w:cs="Times New Roman"/>
          <w:sz w:val="28"/>
          <w:szCs w:val="28"/>
        </w:rPr>
        <w:t xml:space="preserve"> at the same drug concentration</w:t>
      </w:r>
      <w:r w:rsidR="00EA436A" w:rsidRPr="007C7692">
        <w:rPr>
          <w:rFonts w:ascii="Times New Roman" w:eastAsia="Times New Roman" w:hAnsi="Times New Roman" w:cs="Times New Roman"/>
          <w:sz w:val="28"/>
          <w:szCs w:val="28"/>
        </w:rPr>
        <w:t xml:space="preserve"> </w:t>
      </w:r>
      <w:r w:rsidR="00EA436A" w:rsidRPr="007C7692">
        <w:rPr>
          <w:rFonts w:ascii="Times New Roman" w:hAnsi="Times New Roman" w:cs="Times New Roman"/>
          <w:sz w:val="28"/>
          <w:szCs w:val="28"/>
        </w:rPr>
        <w:t xml:space="preserve">[Appendix </w:t>
      </w:r>
      <w:r w:rsidR="00837E36" w:rsidRPr="007C7692">
        <w:rPr>
          <w:rFonts w:ascii="Times New Roman" w:hAnsi="Times New Roman" w:cs="Times New Roman"/>
          <w:sz w:val="28"/>
          <w:szCs w:val="28"/>
        </w:rPr>
        <w:t>D</w:t>
      </w:r>
      <w:r w:rsidR="00EA436A" w:rsidRPr="007C7692">
        <w:rPr>
          <w:rFonts w:ascii="Times New Roman" w:hAnsi="Times New Roman" w:cs="Times New Roman"/>
          <w:sz w:val="28"/>
          <w:szCs w:val="28"/>
        </w:rPr>
        <w:t>]</w:t>
      </w:r>
      <w:r w:rsidR="00ED4DD9" w:rsidRPr="007C7692">
        <w:rPr>
          <w:rFonts w:ascii="Times New Roman" w:eastAsia="Times New Roman" w:hAnsi="Times New Roman" w:cs="Times New Roman"/>
          <w:sz w:val="28"/>
          <w:szCs w:val="28"/>
        </w:rPr>
        <w:t>.</w:t>
      </w:r>
      <w:r w:rsidRPr="007C7692">
        <w:rPr>
          <w:rFonts w:ascii="Times New Roman" w:eastAsia="Times New Roman" w:hAnsi="Times New Roman" w:cs="Times New Roman"/>
          <w:sz w:val="28"/>
          <w:szCs w:val="28"/>
        </w:rPr>
        <w:t xml:space="preserve"> </w:t>
      </w:r>
    </w:p>
    <w:p w14:paraId="1E807517" w14:textId="77777777" w:rsidR="007060A6" w:rsidRPr="00A6371B" w:rsidRDefault="007060A6" w:rsidP="003B7A78">
      <w:pPr>
        <w:spacing w:after="0" w:line="240" w:lineRule="auto"/>
        <w:ind w:firstLine="708"/>
        <w:jc w:val="both"/>
        <w:rPr>
          <w:rFonts w:ascii="Times New Roman" w:eastAsia="Times New Roman" w:hAnsi="Times New Roman" w:cs="Times New Roman"/>
          <w:sz w:val="28"/>
          <w:szCs w:val="28"/>
          <w:lang w:val="en-US"/>
        </w:rPr>
      </w:pPr>
    </w:p>
    <w:p w14:paraId="6E2058DF" w14:textId="77777777" w:rsidR="007060A6" w:rsidRPr="00A6371B" w:rsidRDefault="007060A6" w:rsidP="003B7A78">
      <w:pPr>
        <w:spacing w:after="0" w:line="240" w:lineRule="auto"/>
        <w:ind w:firstLine="708"/>
        <w:jc w:val="both"/>
        <w:rPr>
          <w:rFonts w:ascii="Times New Roman" w:eastAsia="Times New Roman" w:hAnsi="Times New Roman" w:cs="Times New Roman"/>
          <w:sz w:val="28"/>
          <w:szCs w:val="28"/>
          <w:lang w:val="en-US"/>
        </w:rPr>
      </w:pPr>
    </w:p>
    <w:p w14:paraId="74B4DF20" w14:textId="647A8FF3" w:rsidR="00776B99" w:rsidRPr="00837E36" w:rsidRDefault="00C26D3C" w:rsidP="00AE70EC">
      <w:pPr>
        <w:spacing w:after="0" w:line="240" w:lineRule="auto"/>
        <w:ind w:left="709"/>
        <w:jc w:val="both"/>
        <w:rPr>
          <w:rFonts w:ascii="Times New Roman" w:hAnsi="Times New Roman" w:cs="Times New Roman"/>
          <w:sz w:val="28"/>
          <w:szCs w:val="28"/>
        </w:rPr>
      </w:pPr>
      <w:r w:rsidRPr="00837E36">
        <w:rPr>
          <w:rFonts w:ascii="Times New Roman" w:hAnsi="Times New Roman" w:cs="Times New Roman"/>
          <w:sz w:val="28"/>
          <w:szCs w:val="28"/>
        </w:rPr>
        <w:lastRenderedPageBreak/>
        <w:t xml:space="preserve">Some chapter conclusions </w:t>
      </w:r>
      <w:r w:rsidR="00F754E8" w:rsidRPr="00837E36">
        <w:rPr>
          <w:rFonts w:ascii="Times New Roman" w:hAnsi="Times New Roman" w:cs="Times New Roman"/>
          <w:sz w:val="28"/>
          <w:szCs w:val="28"/>
        </w:rPr>
        <w:t>and some discussions</w:t>
      </w:r>
      <w:r w:rsidR="00776B99" w:rsidRPr="00837E36">
        <w:rPr>
          <w:rFonts w:ascii="Times New Roman" w:hAnsi="Times New Roman" w:cs="Times New Roman"/>
          <w:sz w:val="28"/>
          <w:szCs w:val="28"/>
        </w:rPr>
        <w:t xml:space="preserve"> were made towards </w:t>
      </w:r>
      <w:r w:rsidR="00A82F0C" w:rsidRPr="00837E36">
        <w:rPr>
          <w:rFonts w:ascii="Times New Roman" w:hAnsi="Times New Roman" w:cs="Times New Roman"/>
          <w:sz w:val="28"/>
          <w:szCs w:val="28"/>
        </w:rPr>
        <w:t xml:space="preserve">an </w:t>
      </w:r>
      <w:r w:rsidR="00776B99" w:rsidRPr="00837E36">
        <w:rPr>
          <w:rFonts w:ascii="Times New Roman" w:hAnsi="Times New Roman" w:cs="Times New Roman"/>
          <w:sz w:val="28"/>
          <w:szCs w:val="28"/>
        </w:rPr>
        <w:t>antiviral efficacy</w:t>
      </w:r>
      <w:r w:rsidR="00D826D0" w:rsidRPr="00837E36">
        <w:rPr>
          <w:rFonts w:ascii="Times New Roman" w:hAnsi="Times New Roman" w:cs="Times New Roman"/>
          <w:sz w:val="28"/>
          <w:szCs w:val="28"/>
        </w:rPr>
        <w:t xml:space="preserve"> study</w:t>
      </w:r>
      <w:r w:rsidR="00776B99" w:rsidRPr="00837E36">
        <w:rPr>
          <w:rFonts w:ascii="Times New Roman" w:hAnsi="Times New Roman" w:cs="Times New Roman"/>
          <w:sz w:val="28"/>
          <w:szCs w:val="28"/>
        </w:rPr>
        <w:t xml:space="preserve"> within dissertational work and research activity: </w:t>
      </w:r>
    </w:p>
    <w:p w14:paraId="09C7964C" w14:textId="443D2C36" w:rsidR="00B01620" w:rsidRDefault="00776B99" w:rsidP="007060A6">
      <w:pPr>
        <w:pStyle w:val="af1"/>
        <w:numPr>
          <w:ilvl w:val="0"/>
          <w:numId w:val="6"/>
        </w:numPr>
        <w:tabs>
          <w:tab w:val="left" w:pos="709"/>
        </w:tabs>
        <w:spacing w:after="0" w:line="240" w:lineRule="auto"/>
        <w:ind w:left="709" w:firstLine="0"/>
        <w:jc w:val="both"/>
        <w:rPr>
          <w:rFonts w:ascii="Times New Roman" w:eastAsia="Times New Roman" w:hAnsi="Times New Roman" w:cs="Times New Roman"/>
          <w:sz w:val="28"/>
          <w:szCs w:val="28"/>
        </w:rPr>
      </w:pPr>
      <w:r w:rsidRPr="00B01620">
        <w:rPr>
          <w:rFonts w:ascii="Times New Roman" w:eastAsia="Times New Roman" w:hAnsi="Times New Roman" w:cs="Times New Roman"/>
          <w:i/>
          <w:iCs/>
          <w:sz w:val="28"/>
          <w:szCs w:val="28"/>
          <w:u w:val="single"/>
        </w:rPr>
        <w:t>Favipiravir or T-705</w:t>
      </w:r>
      <w:r w:rsidRPr="00837E36">
        <w:rPr>
          <w:rFonts w:ascii="Times New Roman" w:eastAsia="Times New Roman" w:hAnsi="Times New Roman" w:cs="Times New Roman"/>
          <w:sz w:val="28"/>
          <w:szCs w:val="28"/>
        </w:rPr>
        <w:t xml:space="preserve"> did not meet </w:t>
      </w:r>
      <w:r w:rsidR="00732A5F" w:rsidRPr="00837E36">
        <w:rPr>
          <w:rFonts w:ascii="Times New Roman" w:eastAsia="Times New Roman" w:hAnsi="Times New Roman" w:cs="Times New Roman"/>
          <w:sz w:val="28"/>
          <w:szCs w:val="28"/>
        </w:rPr>
        <w:t>any</w:t>
      </w:r>
      <w:r w:rsidRPr="00837E36">
        <w:rPr>
          <w:rFonts w:ascii="Times New Roman" w:eastAsia="Times New Roman" w:hAnsi="Times New Roman" w:cs="Times New Roman"/>
          <w:sz w:val="28"/>
          <w:szCs w:val="28"/>
        </w:rPr>
        <w:t xml:space="preserve"> expectations as an effective </w:t>
      </w:r>
      <w:r w:rsidR="00A82F0C" w:rsidRPr="00837E36">
        <w:rPr>
          <w:rFonts w:ascii="Times New Roman" w:eastAsia="Times New Roman" w:hAnsi="Times New Roman" w:cs="Times New Roman"/>
          <w:sz w:val="28"/>
          <w:szCs w:val="28"/>
        </w:rPr>
        <w:t>anti-SARS-CoV-2</w:t>
      </w:r>
      <w:r w:rsidRPr="00837E36">
        <w:rPr>
          <w:rFonts w:ascii="Times New Roman" w:eastAsia="Times New Roman" w:hAnsi="Times New Roman" w:cs="Times New Roman"/>
          <w:sz w:val="28"/>
          <w:szCs w:val="28"/>
        </w:rPr>
        <w:t xml:space="preserve"> drug, as it had shown many times before against Influenza</w:t>
      </w:r>
      <w:r w:rsidR="00B01620">
        <w:rPr>
          <w:rFonts w:ascii="Times New Roman" w:eastAsia="Times New Roman" w:hAnsi="Times New Roman" w:cs="Times New Roman"/>
          <w:sz w:val="28"/>
          <w:szCs w:val="28"/>
        </w:rPr>
        <w:t xml:space="preserve">. </w:t>
      </w:r>
      <w:r w:rsidR="00B01620" w:rsidRPr="00B01620">
        <w:rPr>
          <w:rFonts w:ascii="Times New Roman" w:eastAsia="Times New Roman" w:hAnsi="Times New Roman" w:cs="Times New Roman"/>
          <w:sz w:val="28"/>
          <w:szCs w:val="28"/>
        </w:rPr>
        <w:t xml:space="preserve">Favipiravir, </w:t>
      </w:r>
      <w:r w:rsidR="00B01620">
        <w:rPr>
          <w:rFonts w:ascii="Times New Roman" w:eastAsia="Times New Roman" w:hAnsi="Times New Roman" w:cs="Times New Roman"/>
          <w:sz w:val="28"/>
          <w:szCs w:val="28"/>
        </w:rPr>
        <w:t>initially developed</w:t>
      </w:r>
      <w:r w:rsidR="00B01620" w:rsidRPr="00B01620">
        <w:rPr>
          <w:rFonts w:ascii="Times New Roman" w:eastAsia="Times New Roman" w:hAnsi="Times New Roman" w:cs="Times New Roman"/>
          <w:sz w:val="28"/>
          <w:szCs w:val="28"/>
        </w:rPr>
        <w:t xml:space="preserve"> for influenza, has been tested against SARS-CoV-2.</w:t>
      </w:r>
      <w:r w:rsidR="00B01620" w:rsidRPr="00B01620">
        <w:rPr>
          <w:rFonts w:ascii="Times New Roman" w:eastAsia="Times New Roman" w:hAnsi="Times New Roman" w:cs="Times New Roman"/>
          <w:sz w:val="28"/>
          <w:szCs w:val="28"/>
        </w:rPr>
        <w:br/>
        <w:t xml:space="preserve">In vitro, it shows an EC₅₀ of 61.88 µM, similar to its potency against </w:t>
      </w:r>
      <w:r w:rsidR="007C7692">
        <w:rPr>
          <w:rFonts w:ascii="Times New Roman" w:eastAsia="Times New Roman" w:hAnsi="Times New Roman" w:cs="Times New Roman"/>
          <w:sz w:val="28"/>
          <w:szCs w:val="28"/>
        </w:rPr>
        <w:t>the Ebola virus (≈67 µM), suggesting that high doses may be required</w:t>
      </w:r>
      <w:r w:rsidR="00B01620" w:rsidRPr="00B01620">
        <w:rPr>
          <w:rFonts w:ascii="Times New Roman" w:eastAsia="Times New Roman" w:hAnsi="Times New Roman" w:cs="Times New Roman"/>
          <w:sz w:val="28"/>
          <w:szCs w:val="28"/>
        </w:rPr>
        <w:t>. T</w:t>
      </w:r>
    </w:p>
    <w:p w14:paraId="59E0B9C5" w14:textId="0A9BF135" w:rsidR="00776B99" w:rsidRPr="00B01620" w:rsidRDefault="00B01620" w:rsidP="007060A6">
      <w:pPr>
        <w:pStyle w:val="af1"/>
        <w:numPr>
          <w:ilvl w:val="0"/>
          <w:numId w:val="6"/>
        </w:numPr>
        <w:spacing w:after="0" w:line="240" w:lineRule="auto"/>
        <w:ind w:left="709"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The</w:t>
      </w:r>
      <w:r w:rsidRPr="00B01620">
        <w:rPr>
          <w:rFonts w:ascii="Times New Roman" w:eastAsia="Times New Roman" w:hAnsi="Times New Roman" w:cs="Times New Roman"/>
          <w:sz w:val="28"/>
          <w:szCs w:val="28"/>
        </w:rPr>
        <w:t xml:space="preserve"> CC₅₀ exceeds 400 µM, giving a selectivity index &gt;6.46, suggesting good safety at effective doses [111].</w:t>
      </w:r>
      <w:r>
        <w:rPr>
          <w:rFonts w:ascii="Times New Roman" w:eastAsia="Times New Roman" w:hAnsi="Times New Roman" w:cs="Times New Roman"/>
          <w:sz w:val="28"/>
          <w:szCs w:val="28"/>
        </w:rPr>
        <w:t xml:space="preserve"> </w:t>
      </w:r>
      <w:r w:rsidRPr="00B01620">
        <w:rPr>
          <w:rFonts w:ascii="Times New Roman" w:eastAsia="Times New Roman" w:hAnsi="Times New Roman" w:cs="Times New Roman"/>
          <w:sz w:val="28"/>
          <w:szCs w:val="28"/>
        </w:rPr>
        <w:t>In a clinical trial of 298 patients, favipiravir improved recovery rates (83.2% vs. 69.1% on day 5; p &lt; 0.001) [112].</w:t>
      </w:r>
      <w:r w:rsidRPr="00B01620">
        <w:rPr>
          <w:rFonts w:ascii="Times New Roman" w:eastAsia="Times New Roman" w:hAnsi="Times New Roman" w:cs="Times New Roman"/>
          <w:sz w:val="28"/>
          <w:szCs w:val="28"/>
        </w:rPr>
        <w:br/>
        <w:t>IC₁₀ and IC₁₀₀ were not reported; in vivo efficacy depends on early use and achieving plasma levels near the EC₅₀ [113]. The IC₁₀ (1.65 µM) was below the viable range.</w:t>
      </w:r>
    </w:p>
    <w:p w14:paraId="1D43B12E" w14:textId="5BC2FC23" w:rsidR="00776B99" w:rsidRPr="00837E36" w:rsidRDefault="00776B99" w:rsidP="007060A6">
      <w:pPr>
        <w:pStyle w:val="af1"/>
        <w:numPr>
          <w:ilvl w:val="0"/>
          <w:numId w:val="6"/>
        </w:numPr>
        <w:spacing w:after="0" w:line="240" w:lineRule="auto"/>
        <w:ind w:left="709" w:firstLine="0"/>
        <w:jc w:val="both"/>
        <w:rPr>
          <w:rFonts w:ascii="Times New Roman" w:eastAsia="Times New Roman" w:hAnsi="Times New Roman" w:cs="Times New Roman"/>
          <w:sz w:val="28"/>
          <w:szCs w:val="28"/>
        </w:rPr>
      </w:pPr>
      <w:r w:rsidRPr="00B01620">
        <w:rPr>
          <w:rFonts w:ascii="Times New Roman" w:eastAsia="Times New Roman" w:hAnsi="Times New Roman" w:cs="Times New Roman"/>
          <w:i/>
          <w:iCs/>
          <w:sz w:val="28"/>
          <w:szCs w:val="28"/>
          <w:u w:val="single"/>
        </w:rPr>
        <w:t>Tenofovir</w:t>
      </w:r>
      <w:r w:rsidRPr="00837E36">
        <w:rPr>
          <w:rFonts w:ascii="Times New Roman" w:eastAsia="Times New Roman" w:hAnsi="Times New Roman" w:cs="Times New Roman"/>
          <w:sz w:val="28"/>
          <w:szCs w:val="28"/>
        </w:rPr>
        <w:t xml:space="preserve"> </w:t>
      </w:r>
      <w:r w:rsidR="00C2603A" w:rsidRPr="00837E36">
        <w:rPr>
          <w:rFonts w:ascii="Times New Roman" w:eastAsia="Times New Roman" w:hAnsi="Times New Roman" w:cs="Times New Roman"/>
          <w:sz w:val="28"/>
          <w:szCs w:val="28"/>
        </w:rPr>
        <w:t>demonstrated maximum efficacy at optimal CC% levels in both isoforms,</w:t>
      </w:r>
      <w:r w:rsidRPr="00837E36">
        <w:rPr>
          <w:rFonts w:ascii="Times New Roman" w:eastAsia="Times New Roman" w:hAnsi="Times New Roman" w:cs="Times New Roman"/>
          <w:sz w:val="28"/>
          <w:szCs w:val="28"/>
        </w:rPr>
        <w:t xml:space="preserve"> TDF and TAF. However, we </w:t>
      </w:r>
      <w:r w:rsidR="00D1401B" w:rsidRPr="00837E36">
        <w:rPr>
          <w:rFonts w:ascii="Times New Roman" w:eastAsia="Times New Roman" w:hAnsi="Times New Roman" w:cs="Times New Roman"/>
          <w:sz w:val="28"/>
          <w:szCs w:val="28"/>
        </w:rPr>
        <w:t>were unable to</w:t>
      </w:r>
      <w:r w:rsidRPr="00837E36">
        <w:rPr>
          <w:rFonts w:ascii="Times New Roman" w:eastAsia="Times New Roman" w:hAnsi="Times New Roman" w:cs="Times New Roman"/>
          <w:sz w:val="28"/>
          <w:szCs w:val="28"/>
        </w:rPr>
        <w:t xml:space="preserve"> detect </w:t>
      </w:r>
      <w:r w:rsidR="00372767" w:rsidRPr="00837E36">
        <w:rPr>
          <w:rFonts w:ascii="Times New Roman" w:eastAsia="Times New Roman" w:hAnsi="Times New Roman" w:cs="Times New Roman"/>
          <w:sz w:val="28"/>
          <w:szCs w:val="28"/>
        </w:rPr>
        <w:t xml:space="preserve">the EC50 </w:t>
      </w:r>
      <w:r w:rsidR="007C7692">
        <w:rPr>
          <w:rFonts w:ascii="Times New Roman" w:eastAsia="Times New Roman" w:hAnsi="Times New Roman" w:cs="Times New Roman"/>
          <w:sz w:val="28"/>
          <w:szCs w:val="28"/>
        </w:rPr>
        <w:t>of TDF (approximately 2 µM), confirming that this drug is nephrotoxic and that even the smallest amount is absorbed immediately,</w:t>
      </w:r>
      <w:r w:rsidR="00372767" w:rsidRPr="00837E36">
        <w:rPr>
          <w:rFonts w:ascii="Times New Roman" w:eastAsia="Times New Roman" w:hAnsi="Times New Roman" w:cs="Times New Roman"/>
          <w:sz w:val="28"/>
          <w:szCs w:val="28"/>
        </w:rPr>
        <w:t xml:space="preserve"> without an antiviral effect. The TAF results are as follows</w:t>
      </w:r>
      <w:r w:rsidR="00837D8A" w:rsidRPr="00837E36">
        <w:rPr>
          <w:rFonts w:ascii="Times New Roman" w:eastAsia="Times New Roman" w:hAnsi="Times New Roman" w:cs="Times New Roman"/>
          <w:sz w:val="28"/>
          <w:szCs w:val="28"/>
        </w:rPr>
        <w:t xml:space="preserve">: </w:t>
      </w:r>
      <w:r w:rsidR="00D826D0" w:rsidRPr="00837E36">
        <w:rPr>
          <w:rFonts w:ascii="Times New Roman" w:eastAsia="Times New Roman" w:hAnsi="Times New Roman" w:cs="Times New Roman"/>
          <w:sz w:val="28"/>
          <w:szCs w:val="28"/>
        </w:rPr>
        <w:t>IC</w:t>
      </w:r>
      <w:r w:rsidR="00D826D0" w:rsidRPr="00E8023A">
        <w:rPr>
          <w:rFonts w:ascii="Times New Roman" w:eastAsia="Times New Roman" w:hAnsi="Times New Roman" w:cs="Times New Roman"/>
          <w:sz w:val="28"/>
          <w:szCs w:val="28"/>
          <w:vertAlign w:val="subscript"/>
        </w:rPr>
        <w:t>10</w:t>
      </w:r>
      <w:r w:rsidR="00D826D0" w:rsidRPr="00837E36">
        <w:rPr>
          <w:rFonts w:ascii="Times New Roman" w:eastAsia="Times New Roman" w:hAnsi="Times New Roman" w:cs="Times New Roman"/>
          <w:sz w:val="28"/>
          <w:szCs w:val="28"/>
        </w:rPr>
        <w:t xml:space="preserve"> = 0.174 µM, IC</w:t>
      </w:r>
      <w:r w:rsidR="00D826D0" w:rsidRPr="00E8023A">
        <w:rPr>
          <w:rFonts w:ascii="Times New Roman" w:eastAsia="Times New Roman" w:hAnsi="Times New Roman" w:cs="Times New Roman"/>
          <w:sz w:val="28"/>
          <w:szCs w:val="28"/>
          <w:vertAlign w:val="subscript"/>
        </w:rPr>
        <w:t xml:space="preserve">50 </w:t>
      </w:r>
      <w:r w:rsidR="00D826D0" w:rsidRPr="00837E36">
        <w:rPr>
          <w:rFonts w:ascii="Times New Roman" w:eastAsia="Times New Roman" w:hAnsi="Times New Roman" w:cs="Times New Roman"/>
          <w:sz w:val="28"/>
          <w:szCs w:val="28"/>
        </w:rPr>
        <w:t>= 1.74 µM, and IC</w:t>
      </w:r>
      <w:r w:rsidR="00D826D0" w:rsidRPr="00E8023A">
        <w:rPr>
          <w:rFonts w:ascii="Times New Roman" w:eastAsia="Times New Roman" w:hAnsi="Times New Roman" w:cs="Times New Roman"/>
          <w:sz w:val="28"/>
          <w:szCs w:val="28"/>
          <w:vertAlign w:val="subscript"/>
        </w:rPr>
        <w:t>100</w:t>
      </w:r>
      <w:r w:rsidR="00D826D0" w:rsidRPr="00837E36">
        <w:rPr>
          <w:rFonts w:ascii="Times New Roman" w:eastAsia="Times New Roman" w:hAnsi="Times New Roman" w:cs="Times New Roman"/>
          <w:sz w:val="28"/>
          <w:szCs w:val="28"/>
        </w:rPr>
        <w:t xml:space="preserve"> = 174 µM, respectively</w:t>
      </w:r>
      <w:r w:rsidR="00372767" w:rsidRPr="00837E36">
        <w:rPr>
          <w:rFonts w:ascii="Times New Roman" w:eastAsia="Times New Roman" w:hAnsi="Times New Roman" w:cs="Times New Roman"/>
          <w:sz w:val="28"/>
          <w:szCs w:val="28"/>
        </w:rPr>
        <w:t>.</w:t>
      </w:r>
      <w:r w:rsidR="00D826D0" w:rsidRPr="00837E36">
        <w:rPr>
          <w:rFonts w:ascii="Times New Roman" w:eastAsia="Times New Roman" w:hAnsi="Times New Roman" w:cs="Times New Roman"/>
          <w:sz w:val="28"/>
          <w:szCs w:val="28"/>
        </w:rPr>
        <w:t xml:space="preserve">  </w:t>
      </w:r>
    </w:p>
    <w:p w14:paraId="48F0F9CB" w14:textId="5CE9A525" w:rsidR="00776B99" w:rsidRPr="00837E36" w:rsidRDefault="00776B99" w:rsidP="00AE70EC">
      <w:pPr>
        <w:pStyle w:val="af1"/>
        <w:numPr>
          <w:ilvl w:val="0"/>
          <w:numId w:val="6"/>
        </w:numPr>
        <w:spacing w:after="0" w:line="240" w:lineRule="auto"/>
        <w:ind w:left="709" w:firstLine="0"/>
        <w:jc w:val="both"/>
        <w:rPr>
          <w:rFonts w:ascii="Times New Roman" w:eastAsia="Times New Roman" w:hAnsi="Times New Roman" w:cs="Times New Roman"/>
          <w:sz w:val="28"/>
          <w:szCs w:val="28"/>
        </w:rPr>
      </w:pPr>
      <w:r w:rsidRPr="00B01620">
        <w:rPr>
          <w:rFonts w:ascii="Times New Roman" w:eastAsia="Times New Roman" w:hAnsi="Times New Roman" w:cs="Times New Roman"/>
          <w:i/>
          <w:iCs/>
          <w:sz w:val="28"/>
          <w:szCs w:val="28"/>
          <w:u w:val="single"/>
        </w:rPr>
        <w:t>Dexamethasone</w:t>
      </w:r>
      <w:r w:rsidRPr="00837E36">
        <w:rPr>
          <w:rFonts w:ascii="Times New Roman" w:eastAsia="Times New Roman" w:hAnsi="Times New Roman" w:cs="Times New Roman"/>
          <w:sz w:val="28"/>
          <w:szCs w:val="28"/>
        </w:rPr>
        <w:t xml:space="preserve"> </w:t>
      </w:r>
      <w:r w:rsidR="00035C09" w:rsidRPr="00837E36">
        <w:rPr>
          <w:rFonts w:ascii="Times New Roman" w:eastAsia="Times New Roman" w:hAnsi="Times New Roman" w:cs="Times New Roman"/>
          <w:sz w:val="28"/>
          <w:szCs w:val="28"/>
        </w:rPr>
        <w:t>exhibited optimal CC% levels at all IC</w:t>
      </w:r>
      <w:r w:rsidR="00035C09" w:rsidRPr="0020244C">
        <w:rPr>
          <w:rFonts w:ascii="Times New Roman" w:eastAsia="Times New Roman" w:hAnsi="Times New Roman" w:cs="Times New Roman"/>
          <w:sz w:val="28"/>
          <w:szCs w:val="28"/>
          <w:vertAlign w:val="subscript"/>
        </w:rPr>
        <w:t>10</w:t>
      </w:r>
      <w:r w:rsidR="00035C09" w:rsidRPr="00837E36">
        <w:rPr>
          <w:rFonts w:ascii="Times New Roman" w:eastAsia="Times New Roman" w:hAnsi="Times New Roman" w:cs="Times New Roman"/>
          <w:sz w:val="28"/>
          <w:szCs w:val="28"/>
        </w:rPr>
        <w:t>, IC</w:t>
      </w:r>
      <w:r w:rsidR="00035C09" w:rsidRPr="0020244C">
        <w:rPr>
          <w:rFonts w:ascii="Times New Roman" w:eastAsia="Times New Roman" w:hAnsi="Times New Roman" w:cs="Times New Roman"/>
          <w:sz w:val="28"/>
          <w:szCs w:val="28"/>
          <w:vertAlign w:val="subscript"/>
        </w:rPr>
        <w:t>50</w:t>
      </w:r>
      <w:r w:rsidR="00035C09" w:rsidRPr="00837E36">
        <w:rPr>
          <w:rFonts w:ascii="Times New Roman" w:eastAsia="Times New Roman" w:hAnsi="Times New Roman" w:cs="Times New Roman"/>
          <w:sz w:val="28"/>
          <w:szCs w:val="28"/>
        </w:rPr>
        <w:t>, and IC</w:t>
      </w:r>
      <w:r w:rsidR="00D826D0" w:rsidRPr="0020244C">
        <w:rPr>
          <w:rFonts w:ascii="Times New Roman" w:eastAsia="Times New Roman" w:hAnsi="Times New Roman" w:cs="Times New Roman"/>
          <w:sz w:val="28"/>
          <w:szCs w:val="28"/>
          <w:vertAlign w:val="subscript"/>
        </w:rPr>
        <w:t>100</w:t>
      </w:r>
      <w:r w:rsidR="00035C09" w:rsidRPr="0020244C">
        <w:rPr>
          <w:rFonts w:ascii="Times New Roman" w:eastAsia="Times New Roman" w:hAnsi="Times New Roman" w:cs="Times New Roman"/>
          <w:sz w:val="28"/>
          <w:szCs w:val="28"/>
          <w:vertAlign w:val="subscript"/>
        </w:rPr>
        <w:t xml:space="preserve"> </w:t>
      </w:r>
      <w:r w:rsidR="00035C09" w:rsidRPr="00837E36">
        <w:rPr>
          <w:rFonts w:ascii="Times New Roman" w:eastAsia="Times New Roman" w:hAnsi="Times New Roman" w:cs="Times New Roman"/>
          <w:sz w:val="28"/>
          <w:szCs w:val="28"/>
        </w:rPr>
        <w:t>in vitro; however, it showed no antiviral activity or suppression of virus accumulation</w:t>
      </w:r>
      <w:r w:rsidR="0020244C">
        <w:rPr>
          <w:rFonts w:ascii="Times New Roman" w:eastAsia="Times New Roman" w:hAnsi="Times New Roman" w:cs="Times New Roman"/>
          <w:sz w:val="28"/>
          <w:szCs w:val="28"/>
        </w:rPr>
        <w:t>.</w:t>
      </w:r>
    </w:p>
    <w:p w14:paraId="5FABB08B" w14:textId="7F9E150D" w:rsidR="00776B99" w:rsidRPr="00837E36" w:rsidRDefault="00776B99" w:rsidP="007060A6">
      <w:pPr>
        <w:pStyle w:val="af1"/>
        <w:numPr>
          <w:ilvl w:val="0"/>
          <w:numId w:val="6"/>
        </w:numPr>
        <w:spacing w:after="0" w:line="240" w:lineRule="auto"/>
        <w:ind w:left="709" w:firstLine="0"/>
        <w:jc w:val="both"/>
        <w:rPr>
          <w:rFonts w:ascii="Times New Roman" w:eastAsia="Times New Roman" w:hAnsi="Times New Roman" w:cs="Times New Roman"/>
          <w:sz w:val="28"/>
          <w:szCs w:val="28"/>
        </w:rPr>
      </w:pPr>
      <w:r w:rsidRPr="00B01620">
        <w:rPr>
          <w:rFonts w:ascii="Times New Roman" w:eastAsia="Times New Roman" w:hAnsi="Times New Roman" w:cs="Times New Roman"/>
          <w:i/>
          <w:iCs/>
          <w:sz w:val="28"/>
          <w:szCs w:val="28"/>
          <w:u w:val="single"/>
        </w:rPr>
        <w:t>Ribavirin</w:t>
      </w:r>
      <w:r w:rsidRPr="00837E36">
        <w:rPr>
          <w:rFonts w:ascii="Times New Roman" w:eastAsia="Times New Roman" w:hAnsi="Times New Roman" w:cs="Times New Roman"/>
          <w:sz w:val="28"/>
          <w:szCs w:val="28"/>
        </w:rPr>
        <w:t xml:space="preserve"> showed the most compromised results, </w:t>
      </w:r>
      <w:r w:rsidR="00C2603A" w:rsidRPr="00837E36">
        <w:rPr>
          <w:rFonts w:ascii="Times New Roman" w:eastAsia="Times New Roman" w:hAnsi="Times New Roman" w:cs="Times New Roman"/>
          <w:sz w:val="28"/>
          <w:szCs w:val="28"/>
        </w:rPr>
        <w:t>with all IC</w:t>
      </w:r>
      <w:r w:rsidR="00C2603A" w:rsidRPr="00837E36">
        <w:rPr>
          <w:rFonts w:ascii="Times New Roman" w:eastAsia="Times New Roman" w:hAnsi="Times New Roman" w:cs="Times New Roman"/>
          <w:sz w:val="28"/>
          <w:szCs w:val="28"/>
          <w:vertAlign w:val="subscript"/>
        </w:rPr>
        <w:t>10</w:t>
      </w:r>
      <w:r w:rsidR="00C2603A" w:rsidRPr="00837E36">
        <w:rPr>
          <w:rFonts w:ascii="Times New Roman" w:eastAsia="Times New Roman" w:hAnsi="Times New Roman" w:cs="Times New Roman"/>
          <w:sz w:val="28"/>
          <w:szCs w:val="28"/>
        </w:rPr>
        <w:t>, IC</w:t>
      </w:r>
      <w:r w:rsidR="00C2603A" w:rsidRPr="00837E36">
        <w:rPr>
          <w:rFonts w:ascii="Times New Roman" w:eastAsia="Times New Roman" w:hAnsi="Times New Roman" w:cs="Times New Roman"/>
          <w:sz w:val="28"/>
          <w:szCs w:val="28"/>
          <w:vertAlign w:val="subscript"/>
        </w:rPr>
        <w:t>50</w:t>
      </w:r>
      <w:r w:rsidR="00C2603A" w:rsidRPr="00837E36">
        <w:rPr>
          <w:rFonts w:ascii="Times New Roman" w:eastAsia="Times New Roman" w:hAnsi="Times New Roman" w:cs="Times New Roman"/>
          <w:sz w:val="28"/>
          <w:szCs w:val="28"/>
        </w:rPr>
        <w:t>, and IC</w:t>
      </w:r>
      <w:r w:rsidR="00D826D0" w:rsidRPr="00837E36">
        <w:rPr>
          <w:rFonts w:ascii="Times New Roman" w:eastAsia="Times New Roman" w:hAnsi="Times New Roman" w:cs="Times New Roman"/>
          <w:sz w:val="28"/>
          <w:szCs w:val="28"/>
          <w:vertAlign w:val="subscript"/>
        </w:rPr>
        <w:t>100</w:t>
      </w:r>
      <w:r w:rsidR="00C2603A" w:rsidRPr="00837E36">
        <w:rPr>
          <w:rFonts w:ascii="Times New Roman" w:eastAsia="Times New Roman" w:hAnsi="Times New Roman" w:cs="Times New Roman"/>
          <w:sz w:val="28"/>
          <w:szCs w:val="28"/>
        </w:rPr>
        <w:t xml:space="preserve"> ranges correlating to relatively</w:t>
      </w:r>
      <w:r w:rsidRPr="00837E36">
        <w:rPr>
          <w:rFonts w:ascii="Times New Roman" w:eastAsia="Times New Roman" w:hAnsi="Times New Roman" w:cs="Times New Roman"/>
          <w:sz w:val="28"/>
          <w:szCs w:val="28"/>
        </w:rPr>
        <w:t xml:space="preserve"> optimal CC</w:t>
      </w:r>
      <w:r w:rsidRPr="00837E36">
        <w:rPr>
          <w:rFonts w:ascii="Times New Roman" w:eastAsia="Times New Roman" w:hAnsi="Times New Roman" w:cs="Times New Roman"/>
          <w:sz w:val="28"/>
          <w:szCs w:val="28"/>
          <w:vertAlign w:val="subscript"/>
        </w:rPr>
        <w:t>%</w:t>
      </w:r>
      <w:r w:rsidRPr="00837E36">
        <w:rPr>
          <w:rFonts w:ascii="Times New Roman" w:eastAsia="Times New Roman" w:hAnsi="Times New Roman" w:cs="Times New Roman"/>
          <w:sz w:val="28"/>
          <w:szCs w:val="28"/>
        </w:rPr>
        <w:t xml:space="preserve"> levels</w:t>
      </w:r>
      <w:r w:rsidR="00CD7FEE" w:rsidRPr="00837E36">
        <w:rPr>
          <w:rFonts w:ascii="Times New Roman" w:eastAsia="Times New Roman" w:hAnsi="Times New Roman" w:cs="Times New Roman"/>
          <w:sz w:val="28"/>
          <w:szCs w:val="28"/>
        </w:rPr>
        <w:t xml:space="preserve"> [114]</w:t>
      </w:r>
      <w:r w:rsidRPr="00837E36">
        <w:rPr>
          <w:rFonts w:ascii="Times New Roman" w:eastAsia="Times New Roman" w:hAnsi="Times New Roman" w:cs="Times New Roman"/>
          <w:sz w:val="28"/>
          <w:szCs w:val="28"/>
        </w:rPr>
        <w:t xml:space="preserve">. </w:t>
      </w:r>
      <w:r w:rsidR="00FF1DFB" w:rsidRPr="00837E36">
        <w:rPr>
          <w:rFonts w:ascii="Times New Roman" w:eastAsia="Times New Roman" w:hAnsi="Times New Roman" w:cs="Times New Roman"/>
          <w:sz w:val="28"/>
          <w:szCs w:val="28"/>
        </w:rPr>
        <w:t xml:space="preserve">Even </w:t>
      </w:r>
      <w:r w:rsidR="00F62A8B" w:rsidRPr="00837E36">
        <w:rPr>
          <w:rFonts w:ascii="Times New Roman" w:eastAsia="Times New Roman" w:hAnsi="Times New Roman" w:cs="Times New Roman"/>
          <w:sz w:val="28"/>
          <w:szCs w:val="28"/>
        </w:rPr>
        <w:t>with lab stock in China, the true antiviral potency was not achieved: IC10 = 2 µM, IC</w:t>
      </w:r>
      <w:r w:rsidR="00F62A8B" w:rsidRPr="006A584C">
        <w:rPr>
          <w:rFonts w:ascii="Times New Roman" w:eastAsia="Times New Roman" w:hAnsi="Times New Roman" w:cs="Times New Roman"/>
          <w:sz w:val="28"/>
          <w:szCs w:val="28"/>
          <w:vertAlign w:val="subscript"/>
        </w:rPr>
        <w:t>50</w:t>
      </w:r>
      <w:r w:rsidR="00F62A8B" w:rsidRPr="00837E36">
        <w:rPr>
          <w:rFonts w:ascii="Times New Roman" w:eastAsia="Times New Roman" w:hAnsi="Times New Roman" w:cs="Times New Roman"/>
          <w:sz w:val="28"/>
          <w:szCs w:val="28"/>
        </w:rPr>
        <w:t xml:space="preserve"> = 7 </w:t>
      </w:r>
      <w:r w:rsidR="00FC6FD6" w:rsidRPr="00837E36">
        <w:rPr>
          <w:rFonts w:ascii="Times New Roman" w:eastAsia="Times New Roman" w:hAnsi="Times New Roman" w:cs="Times New Roman"/>
          <w:sz w:val="28"/>
          <w:szCs w:val="28"/>
        </w:rPr>
        <w:t>µM. However, even at 205 µM, inhibition of SARS-CoV-2 replication was only 90%. IC</w:t>
      </w:r>
      <w:r w:rsidR="00FC6FD6" w:rsidRPr="006A584C">
        <w:rPr>
          <w:rFonts w:ascii="Times New Roman" w:eastAsia="Times New Roman" w:hAnsi="Times New Roman" w:cs="Times New Roman"/>
          <w:sz w:val="28"/>
          <w:szCs w:val="28"/>
          <w:vertAlign w:val="subscript"/>
        </w:rPr>
        <w:t>90</w:t>
      </w:r>
      <w:r w:rsidR="00F62A8B" w:rsidRPr="00837E36">
        <w:rPr>
          <w:rFonts w:ascii="Times New Roman" w:eastAsia="Times New Roman" w:hAnsi="Times New Roman" w:cs="Times New Roman"/>
          <w:sz w:val="28"/>
          <w:szCs w:val="28"/>
        </w:rPr>
        <w:t xml:space="preserve"> = 205 µM. The viral inhibition must be 100%</w:t>
      </w:r>
      <w:r w:rsidR="006A584C">
        <w:rPr>
          <w:rFonts w:ascii="Times New Roman" w:eastAsia="Times New Roman" w:hAnsi="Times New Roman" w:cs="Times New Roman"/>
          <w:sz w:val="28"/>
          <w:szCs w:val="28"/>
        </w:rPr>
        <w:t>.</w:t>
      </w:r>
    </w:p>
    <w:p w14:paraId="58A0AF7E" w14:textId="13900F4B" w:rsidR="00776B99" w:rsidRPr="00837E36" w:rsidRDefault="00F62A8B" w:rsidP="007060A6">
      <w:pPr>
        <w:pStyle w:val="af1"/>
        <w:numPr>
          <w:ilvl w:val="0"/>
          <w:numId w:val="6"/>
        </w:numPr>
        <w:spacing w:after="0" w:line="240" w:lineRule="auto"/>
        <w:ind w:left="709" w:firstLine="0"/>
        <w:jc w:val="both"/>
        <w:rPr>
          <w:rFonts w:ascii="Times New Roman" w:eastAsia="Times New Roman" w:hAnsi="Times New Roman" w:cs="Times New Roman"/>
          <w:sz w:val="28"/>
          <w:szCs w:val="28"/>
        </w:rPr>
      </w:pPr>
      <w:r w:rsidRPr="00837E36">
        <w:rPr>
          <w:rFonts w:ascii="Times New Roman" w:eastAsia="Times New Roman" w:hAnsi="Times New Roman" w:cs="Times New Roman"/>
          <w:sz w:val="28"/>
          <w:szCs w:val="28"/>
        </w:rPr>
        <w:t>The author</w:t>
      </w:r>
      <w:r w:rsidR="00776B99" w:rsidRPr="00837E36">
        <w:rPr>
          <w:rFonts w:ascii="Times New Roman" w:eastAsia="Times New Roman" w:hAnsi="Times New Roman" w:cs="Times New Roman"/>
          <w:sz w:val="28"/>
          <w:szCs w:val="28"/>
        </w:rPr>
        <w:t xml:space="preserve"> could have </w:t>
      </w:r>
      <w:r w:rsidRPr="00837E36">
        <w:rPr>
          <w:rFonts w:ascii="Times New Roman" w:eastAsia="Times New Roman" w:hAnsi="Times New Roman" w:cs="Times New Roman"/>
          <w:sz w:val="28"/>
          <w:szCs w:val="28"/>
        </w:rPr>
        <w:t>achieved better results if the drugs had been combined, but this is a study from another research, and the cells presumably would not have survived under</w:t>
      </w:r>
      <w:r w:rsidR="00776B99" w:rsidRPr="00837E36">
        <w:rPr>
          <w:rFonts w:ascii="Times New Roman" w:eastAsia="Times New Roman" w:hAnsi="Times New Roman" w:cs="Times New Roman"/>
          <w:sz w:val="28"/>
          <w:szCs w:val="28"/>
        </w:rPr>
        <w:t xml:space="preserve"> a dual drug toxicity load</w:t>
      </w:r>
      <w:r w:rsidR="00372767" w:rsidRPr="00837E36">
        <w:rPr>
          <w:rFonts w:ascii="Times New Roman" w:eastAsia="Times New Roman" w:hAnsi="Times New Roman" w:cs="Times New Roman"/>
          <w:sz w:val="28"/>
          <w:szCs w:val="28"/>
        </w:rPr>
        <w:t>.</w:t>
      </w:r>
      <w:r w:rsidR="00776B99" w:rsidRPr="00837E36">
        <w:rPr>
          <w:rFonts w:ascii="Times New Roman" w:eastAsia="Times New Roman" w:hAnsi="Times New Roman" w:cs="Times New Roman"/>
          <w:sz w:val="28"/>
          <w:szCs w:val="28"/>
        </w:rPr>
        <w:t xml:space="preserve"> </w:t>
      </w:r>
    </w:p>
    <w:p w14:paraId="27795D4D" w14:textId="3296F8F1" w:rsidR="00776B99" w:rsidRPr="00837E36" w:rsidRDefault="00776B99" w:rsidP="007060A6">
      <w:pPr>
        <w:pStyle w:val="af1"/>
        <w:numPr>
          <w:ilvl w:val="0"/>
          <w:numId w:val="6"/>
        </w:numPr>
        <w:spacing w:after="0" w:line="240" w:lineRule="auto"/>
        <w:ind w:left="709" w:firstLine="0"/>
        <w:jc w:val="both"/>
        <w:rPr>
          <w:rFonts w:ascii="Times New Roman" w:eastAsia="Times New Roman" w:hAnsi="Times New Roman" w:cs="Times New Roman"/>
          <w:sz w:val="28"/>
          <w:szCs w:val="28"/>
        </w:rPr>
      </w:pPr>
      <w:r w:rsidRPr="00837E36">
        <w:rPr>
          <w:rFonts w:ascii="Times New Roman" w:eastAsia="Times New Roman" w:hAnsi="Times New Roman" w:cs="Times New Roman"/>
          <w:sz w:val="28"/>
          <w:szCs w:val="28"/>
        </w:rPr>
        <w:t xml:space="preserve">All drug inhibition assay results have </w:t>
      </w:r>
      <w:r w:rsidR="00C2603A" w:rsidRPr="00837E36">
        <w:rPr>
          <w:rFonts w:ascii="Times New Roman" w:eastAsia="Times New Roman" w:hAnsi="Times New Roman" w:cs="Times New Roman"/>
          <w:sz w:val="28"/>
          <w:szCs w:val="28"/>
        </w:rPr>
        <w:t>been maintained for 24 hours only, as this passage is informative enough,</w:t>
      </w:r>
      <w:r w:rsidRPr="00837E36">
        <w:rPr>
          <w:rFonts w:ascii="Times New Roman" w:eastAsia="Times New Roman" w:hAnsi="Times New Roman" w:cs="Times New Roman"/>
          <w:sz w:val="28"/>
          <w:szCs w:val="28"/>
        </w:rPr>
        <w:t xml:space="preserve"> and BSL3/4 lab time is limited</w:t>
      </w:r>
      <w:r w:rsidR="00372767" w:rsidRPr="00837E36">
        <w:rPr>
          <w:rFonts w:ascii="Times New Roman" w:eastAsia="Times New Roman" w:hAnsi="Times New Roman" w:cs="Times New Roman"/>
          <w:sz w:val="28"/>
          <w:szCs w:val="28"/>
        </w:rPr>
        <w:t>.</w:t>
      </w:r>
      <w:r w:rsidRPr="00837E36">
        <w:rPr>
          <w:rFonts w:ascii="Times New Roman" w:eastAsia="Times New Roman" w:hAnsi="Times New Roman" w:cs="Times New Roman"/>
          <w:sz w:val="28"/>
          <w:szCs w:val="28"/>
        </w:rPr>
        <w:t xml:space="preserve">  </w:t>
      </w:r>
    </w:p>
    <w:p w14:paraId="75FD155B" w14:textId="24D28880" w:rsidR="00776B99" w:rsidRPr="00837E36" w:rsidRDefault="00776B99" w:rsidP="007060A6">
      <w:pPr>
        <w:pStyle w:val="af1"/>
        <w:numPr>
          <w:ilvl w:val="0"/>
          <w:numId w:val="6"/>
        </w:numPr>
        <w:spacing w:after="0" w:line="240" w:lineRule="auto"/>
        <w:ind w:left="709" w:firstLine="0"/>
        <w:jc w:val="both"/>
        <w:rPr>
          <w:rFonts w:ascii="Times New Roman" w:eastAsia="Times New Roman" w:hAnsi="Times New Roman" w:cs="Times New Roman"/>
          <w:sz w:val="28"/>
          <w:szCs w:val="28"/>
        </w:rPr>
      </w:pPr>
      <w:r w:rsidRPr="00837E36">
        <w:rPr>
          <w:rFonts w:ascii="Times New Roman" w:eastAsia="Times New Roman" w:hAnsi="Times New Roman" w:cs="Times New Roman"/>
          <w:sz w:val="28"/>
          <w:szCs w:val="28"/>
        </w:rPr>
        <w:t xml:space="preserve">The CCK8-kit viability test also lasted 24 hours due to </w:t>
      </w:r>
      <w:r w:rsidR="00B1102C" w:rsidRPr="00837E36">
        <w:rPr>
          <w:rFonts w:ascii="Times New Roman" w:eastAsia="Times New Roman" w:hAnsi="Times New Roman" w:cs="Times New Roman"/>
          <w:sz w:val="28"/>
          <w:szCs w:val="28"/>
        </w:rPr>
        <w:t xml:space="preserve">the </w:t>
      </w:r>
      <w:r w:rsidRPr="00837E36">
        <w:rPr>
          <w:rFonts w:ascii="Times New Roman" w:eastAsia="Times New Roman" w:hAnsi="Times New Roman" w:cs="Times New Roman"/>
          <w:sz w:val="28"/>
          <w:szCs w:val="28"/>
        </w:rPr>
        <w:t>informative data</w:t>
      </w:r>
      <w:r w:rsidR="00B1102C" w:rsidRPr="00837E36">
        <w:rPr>
          <w:rFonts w:ascii="Times New Roman" w:eastAsia="Times New Roman" w:hAnsi="Times New Roman" w:cs="Times New Roman"/>
          <w:sz w:val="28"/>
          <w:szCs w:val="28"/>
        </w:rPr>
        <w:t>.</w:t>
      </w:r>
      <w:r w:rsidRPr="00837E36">
        <w:rPr>
          <w:rFonts w:ascii="Times New Roman" w:eastAsia="Times New Roman" w:hAnsi="Times New Roman" w:cs="Times New Roman"/>
          <w:sz w:val="28"/>
          <w:szCs w:val="28"/>
        </w:rPr>
        <w:t xml:space="preserve"> </w:t>
      </w:r>
    </w:p>
    <w:p w14:paraId="6CE25E8B" w14:textId="698BDB1D" w:rsidR="00776B99" w:rsidRPr="00837E36" w:rsidRDefault="00776B99" w:rsidP="007060A6">
      <w:pPr>
        <w:pStyle w:val="af1"/>
        <w:numPr>
          <w:ilvl w:val="0"/>
          <w:numId w:val="6"/>
        </w:numPr>
        <w:spacing w:after="0" w:line="240" w:lineRule="auto"/>
        <w:ind w:left="709" w:firstLine="0"/>
        <w:jc w:val="both"/>
        <w:rPr>
          <w:rFonts w:ascii="Times New Roman" w:eastAsia="Times New Roman" w:hAnsi="Times New Roman" w:cs="Times New Roman"/>
          <w:sz w:val="28"/>
          <w:szCs w:val="28"/>
        </w:rPr>
      </w:pPr>
      <w:r w:rsidRPr="00837E36">
        <w:rPr>
          <w:rFonts w:ascii="Times New Roman" w:eastAsia="Times New Roman" w:hAnsi="Times New Roman" w:cs="Times New Roman"/>
          <w:sz w:val="28"/>
          <w:szCs w:val="28"/>
        </w:rPr>
        <w:t>The MTT assay, however, lasted 5 days in China because the traditional pharmaceutical protocols suggest running 5 days of passages to provide detailed cell viability results</w:t>
      </w:r>
      <w:r w:rsidR="00B1102C" w:rsidRPr="00837E36">
        <w:rPr>
          <w:rFonts w:ascii="Times New Roman" w:eastAsia="Times New Roman" w:hAnsi="Times New Roman" w:cs="Times New Roman"/>
          <w:sz w:val="28"/>
          <w:szCs w:val="28"/>
        </w:rPr>
        <w:t>.</w:t>
      </w:r>
    </w:p>
    <w:p w14:paraId="416A77CC" w14:textId="15F817A5" w:rsidR="007C5935" w:rsidRPr="00837E36" w:rsidRDefault="00776B99" w:rsidP="007060A6">
      <w:pPr>
        <w:pStyle w:val="af1"/>
        <w:numPr>
          <w:ilvl w:val="0"/>
          <w:numId w:val="6"/>
        </w:numPr>
        <w:spacing w:after="0" w:line="240" w:lineRule="auto"/>
        <w:ind w:left="709" w:firstLine="0"/>
        <w:jc w:val="both"/>
        <w:rPr>
          <w:rFonts w:ascii="Times New Roman" w:eastAsia="Times New Roman" w:hAnsi="Times New Roman" w:cs="Times New Roman"/>
          <w:sz w:val="28"/>
          <w:szCs w:val="28"/>
        </w:rPr>
      </w:pPr>
      <w:r w:rsidRPr="00837E36">
        <w:rPr>
          <w:rFonts w:ascii="Times New Roman" w:eastAsia="Times New Roman" w:hAnsi="Times New Roman" w:cs="Times New Roman"/>
          <w:sz w:val="28"/>
          <w:szCs w:val="28"/>
        </w:rPr>
        <w:t xml:space="preserve">In China, since </w:t>
      </w:r>
      <w:r w:rsidR="003A3F04" w:rsidRPr="00837E36">
        <w:rPr>
          <w:rFonts w:ascii="Times New Roman" w:eastAsia="Times New Roman" w:hAnsi="Times New Roman" w:cs="Times New Roman"/>
          <w:sz w:val="28"/>
          <w:szCs w:val="28"/>
        </w:rPr>
        <w:t>pure and stock small concentrations of TAF were available, the IC</w:t>
      </w:r>
      <w:r w:rsidR="003A3F04" w:rsidRPr="00837E36">
        <w:rPr>
          <w:rFonts w:ascii="Times New Roman" w:eastAsia="Times New Roman" w:hAnsi="Times New Roman" w:cs="Times New Roman"/>
          <w:sz w:val="28"/>
          <w:szCs w:val="28"/>
          <w:vertAlign w:val="subscript"/>
        </w:rPr>
        <w:t>10</w:t>
      </w:r>
      <w:r w:rsidR="00396B70" w:rsidRPr="00837E36">
        <w:rPr>
          <w:rFonts w:ascii="Times New Roman" w:eastAsia="Times New Roman" w:hAnsi="Times New Roman" w:cs="Times New Roman"/>
          <w:sz w:val="28"/>
          <w:szCs w:val="28"/>
        </w:rPr>
        <w:t>, IC</w:t>
      </w:r>
      <w:r w:rsidR="00396B70" w:rsidRPr="00837E36">
        <w:rPr>
          <w:rFonts w:ascii="Times New Roman" w:eastAsia="Times New Roman" w:hAnsi="Times New Roman" w:cs="Times New Roman"/>
          <w:sz w:val="28"/>
          <w:szCs w:val="28"/>
          <w:vertAlign w:val="subscript"/>
        </w:rPr>
        <w:t>50</w:t>
      </w:r>
      <w:r w:rsidR="00396B70" w:rsidRPr="00837E36">
        <w:rPr>
          <w:rFonts w:ascii="Times New Roman" w:eastAsia="Times New Roman" w:hAnsi="Times New Roman" w:cs="Times New Roman"/>
          <w:sz w:val="28"/>
          <w:szCs w:val="28"/>
        </w:rPr>
        <w:t>, and IC</w:t>
      </w:r>
      <w:r w:rsidR="00396B70" w:rsidRPr="00837E36">
        <w:rPr>
          <w:rFonts w:ascii="Times New Roman" w:eastAsia="Times New Roman" w:hAnsi="Times New Roman" w:cs="Times New Roman"/>
          <w:sz w:val="28"/>
          <w:szCs w:val="28"/>
          <w:vertAlign w:val="subscript"/>
        </w:rPr>
        <w:t>100</w:t>
      </w:r>
      <w:r w:rsidR="00396B70" w:rsidRPr="00837E36">
        <w:rPr>
          <w:rFonts w:ascii="Times New Roman" w:eastAsia="Times New Roman" w:hAnsi="Times New Roman" w:cs="Times New Roman"/>
          <w:sz w:val="28"/>
          <w:szCs w:val="28"/>
        </w:rPr>
        <w:t xml:space="preserve"> </w:t>
      </w:r>
      <w:r w:rsidR="003858D0" w:rsidRPr="00837E36">
        <w:rPr>
          <w:rFonts w:ascii="Times New Roman" w:eastAsia="Times New Roman" w:hAnsi="Times New Roman" w:cs="Times New Roman"/>
          <w:sz w:val="28"/>
          <w:szCs w:val="28"/>
        </w:rPr>
        <w:t>values were determined, confirming</w:t>
      </w:r>
      <w:r w:rsidR="00396B70" w:rsidRPr="00837E36">
        <w:rPr>
          <w:rFonts w:ascii="Times New Roman" w:eastAsia="Times New Roman" w:hAnsi="Times New Roman" w:cs="Times New Roman"/>
          <w:sz w:val="28"/>
          <w:szCs w:val="28"/>
        </w:rPr>
        <w:t xml:space="preserve"> that Tenofovir is a safe and potent anti-SARS-CoV-2</w:t>
      </w:r>
      <w:r w:rsidR="003A3F04" w:rsidRPr="00837E36">
        <w:rPr>
          <w:rFonts w:ascii="Times New Roman" w:eastAsia="Times New Roman" w:hAnsi="Times New Roman" w:cs="Times New Roman"/>
          <w:sz w:val="28"/>
          <w:szCs w:val="28"/>
        </w:rPr>
        <w:t xml:space="preserve"> drug. </w:t>
      </w:r>
      <w:r w:rsidR="00B9519B" w:rsidRPr="00837E36">
        <w:rPr>
          <w:rFonts w:ascii="Times New Roman" w:eastAsia="Times New Roman" w:hAnsi="Times New Roman" w:cs="Times New Roman"/>
          <w:sz w:val="28"/>
          <w:szCs w:val="28"/>
        </w:rPr>
        <w:t>The</w:t>
      </w:r>
      <w:r w:rsidR="00396B70" w:rsidRPr="00837E36">
        <w:rPr>
          <w:rFonts w:ascii="Times New Roman" w:eastAsia="Times New Roman" w:hAnsi="Times New Roman" w:cs="Times New Roman"/>
          <w:sz w:val="28"/>
          <w:szCs w:val="28"/>
        </w:rPr>
        <w:t xml:space="preserve"> selectivity index (SI) is a quantitative measure used </w:t>
      </w:r>
      <w:r w:rsidR="003B7A78">
        <w:rPr>
          <w:rFonts w:ascii="Times New Roman" w:eastAsia="Times New Roman" w:hAnsi="Times New Roman" w:cs="Times New Roman"/>
          <w:sz w:val="28"/>
          <w:szCs w:val="28"/>
        </w:rPr>
        <w:t>across various scientific fields to assess the specificity or preference of a process, compound, or system for a particular target relative to</w:t>
      </w:r>
      <w:r w:rsidR="00396B70" w:rsidRPr="00837E36">
        <w:rPr>
          <w:rFonts w:ascii="Times New Roman" w:eastAsia="Times New Roman" w:hAnsi="Times New Roman" w:cs="Times New Roman"/>
          <w:sz w:val="28"/>
          <w:szCs w:val="28"/>
        </w:rPr>
        <w:t xml:space="preserve"> other targets</w:t>
      </w:r>
      <w:r w:rsidR="00B9519B" w:rsidRPr="00837E36">
        <w:rPr>
          <w:rFonts w:ascii="Times New Roman" w:eastAsia="Times New Roman" w:hAnsi="Times New Roman" w:cs="Times New Roman"/>
          <w:sz w:val="28"/>
          <w:szCs w:val="28"/>
        </w:rPr>
        <w:t xml:space="preserve">. Its exact definition and calculation depend on the </w:t>
      </w:r>
      <w:r w:rsidR="00B9519B" w:rsidRPr="00837E36">
        <w:rPr>
          <w:rFonts w:ascii="Times New Roman" w:eastAsia="Times New Roman" w:hAnsi="Times New Roman" w:cs="Times New Roman"/>
          <w:sz w:val="28"/>
          <w:szCs w:val="28"/>
        </w:rPr>
        <w:lastRenderedPageBreak/>
        <w:t>context</w:t>
      </w:r>
      <w:r w:rsidR="00396B70" w:rsidRPr="00837E36">
        <w:rPr>
          <w:rFonts w:ascii="Times New Roman" w:eastAsia="Times New Roman" w:hAnsi="Times New Roman" w:cs="Times New Roman"/>
          <w:sz w:val="28"/>
          <w:szCs w:val="28"/>
        </w:rPr>
        <w:t xml:space="preserve">. In drug development, the SI evaluates a compound's safety window </w:t>
      </w:r>
      <w:r w:rsidR="007C5935" w:rsidRPr="00837E36">
        <w:rPr>
          <w:rFonts w:ascii="Times New Roman" w:eastAsia="Times New Roman" w:hAnsi="Times New Roman" w:cs="Times New Roman"/>
          <w:sz w:val="28"/>
          <w:szCs w:val="28"/>
        </w:rPr>
        <w:t>by comparing its toxic and therapeutic effects. Formula:</w:t>
      </w:r>
    </w:p>
    <w:p w14:paraId="7192E95E" w14:textId="77777777" w:rsidR="006A283E" w:rsidRPr="00282815" w:rsidRDefault="006A283E" w:rsidP="007060A6">
      <w:pPr>
        <w:spacing w:after="0" w:line="360" w:lineRule="auto"/>
        <w:ind w:left="709"/>
        <w:jc w:val="both"/>
        <w:rPr>
          <w:rFonts w:ascii="Times New Roman" w:eastAsia="Times New Roman" w:hAnsi="Times New Roman" w:cs="Times New Roman"/>
          <w:sz w:val="24"/>
          <w:szCs w:val="24"/>
        </w:rPr>
      </w:pPr>
    </w:p>
    <w:p w14:paraId="497E00FB" w14:textId="6594A8B8" w:rsidR="007C5935" w:rsidRDefault="007C5935" w:rsidP="00372767">
      <w:pPr>
        <w:pStyle w:val="af1"/>
        <w:spacing w:line="360" w:lineRule="auto"/>
        <w:ind w:left="2" w:hanging="2"/>
        <w:jc w:val="center"/>
        <w:rPr>
          <w:rFonts w:ascii="Times New Roman" w:eastAsia="Times New Roman" w:hAnsi="Times New Roman" w:cs="Times New Roman"/>
          <w:sz w:val="24"/>
          <w:szCs w:val="24"/>
        </w:rPr>
      </w:pPr>
      <m:oMath>
        <m:r>
          <w:rPr>
            <w:rFonts w:ascii="Cambria Math" w:eastAsia="Times New Roman" w:hAnsi="Cambria Math" w:cs="Times New Roman"/>
            <w:sz w:val="24"/>
            <w:szCs w:val="24"/>
          </w:rPr>
          <m:t>SI</m:t>
        </m:r>
        <m:r>
          <m:rPr>
            <m:sty m:val="p"/>
          </m:rP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r>
              <m:rPr>
                <m:sty m:val="p"/>
              </m:rPr>
              <w:rPr>
                <w:rFonts w:ascii="Cambria Math" w:eastAsia="Times New Roman" w:hAnsi="Cambria Math" w:cs="Times New Roman"/>
                <w:sz w:val="24"/>
                <w:szCs w:val="24"/>
              </w:rPr>
              <m:t>CC50</m:t>
            </m:r>
          </m:num>
          <m:den>
            <m:r>
              <m:rPr>
                <m:sty m:val="p"/>
              </m:rPr>
              <w:rPr>
                <w:rFonts w:ascii="Cambria Math" w:eastAsia="Times New Roman" w:hAnsi="Cambria Math" w:cs="Times New Roman"/>
                <w:sz w:val="24"/>
                <w:szCs w:val="24"/>
              </w:rPr>
              <m:t>EC50</m:t>
            </m:r>
          </m:den>
        </m:f>
      </m:oMath>
      <w:r w:rsidR="006E3FB4" w:rsidRPr="006531C9">
        <w:rPr>
          <w:rFonts w:ascii="Times New Roman" w:eastAsia="Times New Roman" w:hAnsi="Times New Roman" w:cs="Times New Roman"/>
          <w:sz w:val="24"/>
          <w:szCs w:val="24"/>
        </w:rPr>
        <w:t>(</w:t>
      </w:r>
      <w:r w:rsidR="00E77B3B" w:rsidRPr="006531C9">
        <w:rPr>
          <w:rFonts w:ascii="Times New Roman" w:eastAsia="Times New Roman" w:hAnsi="Times New Roman" w:cs="Times New Roman"/>
          <w:sz w:val="24"/>
          <w:szCs w:val="24"/>
        </w:rPr>
        <w:t>9</w:t>
      </w:r>
      <w:r w:rsidR="006E3FB4" w:rsidRPr="006531C9">
        <w:rPr>
          <w:rFonts w:ascii="Times New Roman" w:eastAsia="Times New Roman" w:hAnsi="Times New Roman" w:cs="Times New Roman"/>
          <w:sz w:val="24"/>
          <w:szCs w:val="24"/>
        </w:rPr>
        <w:t>)</w:t>
      </w:r>
    </w:p>
    <w:p w14:paraId="72012FA7" w14:textId="77777777" w:rsidR="00282815" w:rsidRPr="00372767" w:rsidRDefault="00282815" w:rsidP="00372767">
      <w:pPr>
        <w:pStyle w:val="af1"/>
        <w:spacing w:line="360" w:lineRule="auto"/>
        <w:ind w:left="2" w:hanging="2"/>
        <w:jc w:val="center"/>
        <w:rPr>
          <w:rFonts w:ascii="Times New Roman" w:eastAsia="Times New Roman" w:hAnsi="Times New Roman" w:cs="Times New Roman"/>
          <w:sz w:val="24"/>
          <w:szCs w:val="24"/>
        </w:rPr>
      </w:pPr>
    </w:p>
    <w:p w14:paraId="4079712C" w14:textId="7F13808E" w:rsidR="00D66273" w:rsidRPr="00A6371B" w:rsidRDefault="007C5935" w:rsidP="007060A6">
      <w:pPr>
        <w:pStyle w:val="af1"/>
        <w:spacing w:after="0" w:line="240" w:lineRule="auto"/>
        <w:ind w:left="2" w:firstLine="706"/>
        <w:jc w:val="both"/>
        <w:rPr>
          <w:rFonts w:ascii="Times New Roman" w:eastAsia="Times New Roman" w:hAnsi="Times New Roman" w:cs="Times New Roman"/>
          <w:sz w:val="28"/>
          <w:szCs w:val="28"/>
          <w:lang w:val="en-US"/>
        </w:rPr>
      </w:pPr>
      <w:r w:rsidRPr="00B01620">
        <w:rPr>
          <w:rFonts w:ascii="Times New Roman" w:eastAsia="Times New Roman" w:hAnsi="Times New Roman" w:cs="Times New Roman"/>
          <w:sz w:val="28"/>
          <w:szCs w:val="28"/>
        </w:rPr>
        <w:t xml:space="preserve">For antiviral drugs, CC₅₀ (cytotoxic concentration to host cells) is divided by EC₅₀ (effective concentration against the virus). </w:t>
      </w:r>
      <w:r w:rsidR="006E3FB4" w:rsidRPr="00B01620">
        <w:rPr>
          <w:rFonts w:ascii="Times New Roman" w:eastAsia="Times New Roman" w:hAnsi="Times New Roman" w:cs="Times New Roman"/>
          <w:sz w:val="28"/>
          <w:szCs w:val="28"/>
        </w:rPr>
        <w:t xml:space="preserve">In mathematical formulas, a higher SI </w:t>
      </w:r>
      <w:r w:rsidR="00C2603A" w:rsidRPr="00B01620">
        <w:rPr>
          <w:rFonts w:ascii="Times New Roman" w:eastAsia="Times New Roman" w:hAnsi="Times New Roman" w:cs="Times New Roman"/>
          <w:sz w:val="28"/>
          <w:szCs w:val="28"/>
        </w:rPr>
        <w:t>value indicates a safer drug</w:t>
      </w:r>
      <w:r w:rsidR="00ED258B" w:rsidRPr="00B01620">
        <w:rPr>
          <w:rFonts w:ascii="Times New Roman" w:eastAsia="Times New Roman" w:hAnsi="Times New Roman" w:cs="Times New Roman"/>
          <w:sz w:val="28"/>
          <w:szCs w:val="28"/>
        </w:rPr>
        <w:t>; for example, an SI greater than 10 is often desirable</w:t>
      </w:r>
      <w:r w:rsidRPr="00B01620">
        <w:rPr>
          <w:rFonts w:ascii="Times New Roman" w:eastAsia="Times New Roman" w:hAnsi="Times New Roman" w:cs="Times New Roman"/>
          <w:sz w:val="28"/>
          <w:szCs w:val="28"/>
        </w:rPr>
        <w:t>.</w:t>
      </w:r>
      <w:r w:rsidR="006E3FB4" w:rsidRPr="00B01620">
        <w:rPr>
          <w:rFonts w:ascii="Times New Roman" w:eastAsia="Times New Roman" w:hAnsi="Times New Roman" w:cs="Times New Roman"/>
          <w:sz w:val="28"/>
          <w:szCs w:val="28"/>
        </w:rPr>
        <w:t xml:space="preserve"> The </w:t>
      </w:r>
      <w:r w:rsidR="003858D0" w:rsidRPr="00B01620">
        <w:rPr>
          <w:rFonts w:ascii="Times New Roman" w:eastAsia="Times New Roman" w:hAnsi="Times New Roman" w:cs="Times New Roman"/>
          <w:sz w:val="28"/>
          <w:szCs w:val="28"/>
        </w:rPr>
        <w:t>Tenvir’s selectivity index is SI</w:t>
      </w:r>
      <w:r w:rsidR="003858D0" w:rsidRPr="00E8023A">
        <w:rPr>
          <w:rFonts w:ascii="Times New Roman" w:eastAsia="Times New Roman" w:hAnsi="Times New Roman" w:cs="Times New Roman"/>
          <w:sz w:val="28"/>
          <w:szCs w:val="28"/>
          <w:vertAlign w:val="subscript"/>
        </w:rPr>
        <w:t>10</w:t>
      </w:r>
      <w:r w:rsidR="003858D0" w:rsidRPr="00B01620">
        <w:rPr>
          <w:rFonts w:ascii="Times New Roman" w:eastAsia="Times New Roman" w:hAnsi="Times New Roman" w:cs="Times New Roman"/>
          <w:sz w:val="28"/>
          <w:szCs w:val="28"/>
        </w:rPr>
        <w:t xml:space="preserve"> = 56, SI</w:t>
      </w:r>
      <w:r w:rsidR="003858D0" w:rsidRPr="00E8023A">
        <w:rPr>
          <w:rFonts w:ascii="Times New Roman" w:eastAsia="Times New Roman" w:hAnsi="Times New Roman" w:cs="Times New Roman"/>
          <w:sz w:val="28"/>
          <w:szCs w:val="28"/>
          <w:vertAlign w:val="subscript"/>
        </w:rPr>
        <w:t>50</w:t>
      </w:r>
      <w:r w:rsidR="003858D0" w:rsidRPr="00B01620">
        <w:rPr>
          <w:rFonts w:ascii="Times New Roman" w:eastAsia="Times New Roman" w:hAnsi="Times New Roman" w:cs="Times New Roman"/>
          <w:sz w:val="28"/>
          <w:szCs w:val="28"/>
        </w:rPr>
        <w:t xml:space="preserve"> = 5.2, and SI</w:t>
      </w:r>
      <w:r w:rsidR="003858D0" w:rsidRPr="00E8023A">
        <w:rPr>
          <w:rFonts w:ascii="Times New Roman" w:eastAsia="Times New Roman" w:hAnsi="Times New Roman" w:cs="Times New Roman"/>
          <w:sz w:val="28"/>
          <w:szCs w:val="28"/>
          <w:vertAlign w:val="subscript"/>
        </w:rPr>
        <w:t xml:space="preserve">100 </w:t>
      </w:r>
      <w:r w:rsidR="003858D0" w:rsidRPr="00B01620">
        <w:rPr>
          <w:rFonts w:ascii="Times New Roman" w:eastAsia="Times New Roman" w:hAnsi="Times New Roman" w:cs="Times New Roman"/>
          <w:sz w:val="28"/>
          <w:szCs w:val="28"/>
        </w:rPr>
        <w:t>= 0.48</w:t>
      </w:r>
      <w:r w:rsidR="00D504E5" w:rsidRPr="00B01620">
        <w:rPr>
          <w:rFonts w:ascii="Times New Roman" w:eastAsia="Times New Roman" w:hAnsi="Times New Roman" w:cs="Times New Roman"/>
          <w:sz w:val="28"/>
          <w:szCs w:val="28"/>
        </w:rPr>
        <w:t>.</w:t>
      </w:r>
    </w:p>
    <w:p w14:paraId="5685CC71" w14:textId="3954FC33" w:rsidR="00776B99" w:rsidRPr="00B01620" w:rsidRDefault="00B80316" w:rsidP="00754140">
      <w:pPr>
        <w:spacing w:after="0" w:line="240" w:lineRule="auto"/>
        <w:ind w:left="709"/>
        <w:jc w:val="both"/>
        <w:rPr>
          <w:rFonts w:ascii="Times New Roman" w:eastAsia="Times New Roman" w:hAnsi="Times New Roman" w:cs="Times New Roman"/>
          <w:i/>
          <w:iCs/>
          <w:sz w:val="28"/>
          <w:szCs w:val="28"/>
          <w:u w:val="single"/>
        </w:rPr>
      </w:pPr>
      <w:r w:rsidRPr="00B01620">
        <w:rPr>
          <w:rFonts w:ascii="Times New Roman" w:eastAsia="Times New Roman" w:hAnsi="Times New Roman" w:cs="Times New Roman"/>
          <w:i/>
          <w:iCs/>
          <w:sz w:val="28"/>
          <w:szCs w:val="28"/>
          <w:u w:val="single"/>
        </w:rPr>
        <w:t xml:space="preserve">A clinical case </w:t>
      </w:r>
    </w:p>
    <w:p w14:paraId="3D9F720B" w14:textId="50108B4E" w:rsidR="00372767" w:rsidRPr="00B01620" w:rsidRDefault="007B6310" w:rsidP="007060A6">
      <w:pPr>
        <w:spacing w:after="0" w:line="240" w:lineRule="auto"/>
        <w:ind w:left="2" w:firstLine="2"/>
        <w:jc w:val="both"/>
        <w:rPr>
          <w:rFonts w:ascii="Times New Roman" w:eastAsia="Times New Roman" w:hAnsi="Times New Roman" w:cs="Times New Roman"/>
          <w:sz w:val="28"/>
          <w:szCs w:val="28"/>
        </w:rPr>
      </w:pPr>
      <w:r w:rsidRPr="00B01620">
        <w:rPr>
          <w:rFonts w:ascii="Times New Roman" w:eastAsia="Times New Roman" w:hAnsi="Times New Roman" w:cs="Times New Roman"/>
          <w:sz w:val="28"/>
          <w:szCs w:val="28"/>
        </w:rPr>
        <w:t xml:space="preserve"> </w:t>
      </w:r>
      <w:r w:rsidRPr="00B01620">
        <w:rPr>
          <w:rFonts w:ascii="Times New Roman" w:eastAsia="Times New Roman" w:hAnsi="Times New Roman" w:cs="Times New Roman"/>
          <w:sz w:val="28"/>
          <w:szCs w:val="28"/>
        </w:rPr>
        <w:tab/>
      </w:r>
      <w:r w:rsidR="00B80316" w:rsidRPr="00B01620">
        <w:rPr>
          <w:rFonts w:ascii="Times New Roman" w:eastAsia="Times New Roman" w:hAnsi="Times New Roman" w:cs="Times New Roman"/>
          <w:sz w:val="28"/>
          <w:szCs w:val="28"/>
        </w:rPr>
        <w:t>The case of a 47-year-old woman with gastric cancer undergoing adjuvant chemotherapy who developed Guillain-Barré Syndrome (GBS) after SARS-CoV-2 pneumonia illustrates the profound neurological risks posed by COVID-19 in immunocompromised patients. Following infection, she presented with progressive weakness and sensory loss, with electro-neurophysiological studies confirming a mixed axonal–demyelinating polyneuropathy</w:t>
      </w:r>
      <w:r w:rsidRPr="00B01620">
        <w:rPr>
          <w:rFonts w:ascii="Times New Roman" w:eastAsia="Times New Roman" w:hAnsi="Times New Roman" w:cs="Times New Roman"/>
          <w:sz w:val="28"/>
          <w:szCs w:val="28"/>
        </w:rPr>
        <w:t xml:space="preserve"> [127].</w:t>
      </w:r>
      <w:r w:rsidR="00B80316" w:rsidRPr="00B01620">
        <w:rPr>
          <w:rFonts w:ascii="Times New Roman" w:eastAsia="Times New Roman" w:hAnsi="Times New Roman" w:cs="Times New Roman"/>
          <w:sz w:val="28"/>
          <w:szCs w:val="28"/>
        </w:rPr>
        <w:t xml:space="preserve"> The proposed mechanisms include viral-induced cytokine storm, systemic inflammation, and molecular mimicry, all of which are amplified in patients with chemotherapy-related immune suppression. This underscores the importance of timely antiviral treatment </w:t>
      </w:r>
      <w:r w:rsidR="003B7A78">
        <w:rPr>
          <w:rFonts w:ascii="Times New Roman" w:eastAsia="Times New Roman" w:hAnsi="Times New Roman" w:cs="Times New Roman"/>
          <w:sz w:val="28"/>
          <w:szCs w:val="28"/>
        </w:rPr>
        <w:t>to reduce viral replication, limit hyperinflammatory responses, and potentially prevent</w:t>
      </w:r>
      <w:r w:rsidR="00B80316" w:rsidRPr="00B01620">
        <w:rPr>
          <w:rFonts w:ascii="Times New Roman" w:eastAsia="Times New Roman" w:hAnsi="Times New Roman" w:cs="Times New Roman"/>
          <w:sz w:val="28"/>
          <w:szCs w:val="28"/>
        </w:rPr>
        <w:t xml:space="preserve"> post-infectious autoimmune complications such as GBS. In </w:t>
      </w:r>
      <w:r w:rsidR="007C7692">
        <w:rPr>
          <w:rFonts w:ascii="Times New Roman" w:eastAsia="Times New Roman" w:hAnsi="Times New Roman" w:cs="Times New Roman"/>
          <w:sz w:val="28"/>
          <w:szCs w:val="28"/>
        </w:rPr>
        <w:t>oncology, where patients are particularly vulnerable to severe infections and immune dysregulation, effective antiviral strategies may not only improve acute outcomes but also reduce long-term neurological sequelae, underscoring</w:t>
      </w:r>
      <w:r w:rsidR="00B80316" w:rsidRPr="00B01620">
        <w:rPr>
          <w:rFonts w:ascii="Times New Roman" w:eastAsia="Times New Roman" w:hAnsi="Times New Roman" w:cs="Times New Roman"/>
          <w:sz w:val="28"/>
          <w:szCs w:val="28"/>
        </w:rPr>
        <w:t xml:space="preserve"> their crucial role in comprehensive patient care</w:t>
      </w:r>
      <w:r w:rsidR="00B01620">
        <w:rPr>
          <w:rFonts w:ascii="Times New Roman" w:eastAsia="Times New Roman" w:hAnsi="Times New Roman" w:cs="Times New Roman"/>
          <w:sz w:val="28"/>
          <w:szCs w:val="28"/>
        </w:rPr>
        <w:t>.</w:t>
      </w:r>
    </w:p>
    <w:p w14:paraId="3D890616" w14:textId="77777777" w:rsidR="009C40C4" w:rsidRPr="00B01620" w:rsidRDefault="009C40C4" w:rsidP="00B01620">
      <w:pPr>
        <w:spacing w:after="0" w:line="240" w:lineRule="auto"/>
        <w:ind w:left="2" w:firstLine="2"/>
        <w:jc w:val="both"/>
        <w:rPr>
          <w:rFonts w:ascii="Times New Roman" w:eastAsia="Times New Roman" w:hAnsi="Times New Roman" w:cs="Times New Roman"/>
          <w:sz w:val="28"/>
          <w:szCs w:val="28"/>
        </w:rPr>
      </w:pPr>
    </w:p>
    <w:p w14:paraId="469F15C7" w14:textId="77777777" w:rsidR="009C40C4" w:rsidRPr="00B01620" w:rsidRDefault="009C40C4" w:rsidP="00B01620">
      <w:pPr>
        <w:spacing w:after="0" w:line="240" w:lineRule="auto"/>
        <w:ind w:left="2" w:firstLine="2"/>
        <w:jc w:val="both"/>
        <w:rPr>
          <w:rFonts w:ascii="Times New Roman" w:eastAsia="Times New Roman" w:hAnsi="Times New Roman" w:cs="Times New Roman"/>
          <w:sz w:val="28"/>
          <w:szCs w:val="28"/>
        </w:rPr>
      </w:pPr>
    </w:p>
    <w:p w14:paraId="5FDEDEE2" w14:textId="77777777" w:rsidR="009C40C4" w:rsidRPr="00B01620" w:rsidRDefault="009C40C4" w:rsidP="00B01620">
      <w:pPr>
        <w:spacing w:after="0" w:line="240" w:lineRule="auto"/>
        <w:ind w:left="2" w:firstLine="2"/>
        <w:jc w:val="both"/>
        <w:rPr>
          <w:rFonts w:ascii="Times New Roman" w:eastAsia="Times New Roman" w:hAnsi="Times New Roman" w:cs="Times New Roman"/>
          <w:sz w:val="28"/>
          <w:szCs w:val="28"/>
        </w:rPr>
      </w:pPr>
    </w:p>
    <w:p w14:paraId="5F6053C0" w14:textId="77777777" w:rsidR="009C40C4" w:rsidRDefault="009C40C4" w:rsidP="009C40C4">
      <w:pPr>
        <w:spacing w:after="0" w:line="360" w:lineRule="auto"/>
        <w:ind w:left="2" w:firstLine="2"/>
        <w:jc w:val="both"/>
        <w:rPr>
          <w:rFonts w:ascii="Times New Roman" w:eastAsia="Times New Roman" w:hAnsi="Times New Roman" w:cs="Times New Roman"/>
          <w:sz w:val="24"/>
          <w:szCs w:val="24"/>
        </w:rPr>
      </w:pPr>
    </w:p>
    <w:p w14:paraId="64C42949" w14:textId="77777777" w:rsidR="00B01620" w:rsidRDefault="00B01620" w:rsidP="009C40C4">
      <w:pPr>
        <w:spacing w:after="0" w:line="360" w:lineRule="auto"/>
        <w:ind w:left="2" w:firstLine="2"/>
        <w:jc w:val="both"/>
        <w:rPr>
          <w:rFonts w:ascii="Times New Roman" w:eastAsia="Times New Roman" w:hAnsi="Times New Roman" w:cs="Times New Roman"/>
          <w:sz w:val="24"/>
          <w:szCs w:val="24"/>
        </w:rPr>
      </w:pPr>
    </w:p>
    <w:p w14:paraId="024EEABC" w14:textId="77777777" w:rsidR="00B01620" w:rsidRDefault="00B01620" w:rsidP="009C40C4">
      <w:pPr>
        <w:spacing w:after="0" w:line="360" w:lineRule="auto"/>
        <w:ind w:left="2" w:firstLine="2"/>
        <w:jc w:val="both"/>
        <w:rPr>
          <w:rFonts w:ascii="Times New Roman" w:eastAsia="Times New Roman" w:hAnsi="Times New Roman" w:cs="Times New Roman"/>
          <w:sz w:val="24"/>
          <w:szCs w:val="24"/>
        </w:rPr>
      </w:pPr>
    </w:p>
    <w:p w14:paraId="33F4ADAC" w14:textId="77777777" w:rsidR="00B01620" w:rsidRDefault="00B01620" w:rsidP="009C40C4">
      <w:pPr>
        <w:spacing w:after="0" w:line="360" w:lineRule="auto"/>
        <w:ind w:left="2" w:firstLine="2"/>
        <w:jc w:val="both"/>
        <w:rPr>
          <w:rFonts w:ascii="Times New Roman" w:eastAsia="Times New Roman" w:hAnsi="Times New Roman" w:cs="Times New Roman"/>
          <w:sz w:val="24"/>
          <w:szCs w:val="24"/>
        </w:rPr>
      </w:pPr>
    </w:p>
    <w:p w14:paraId="34D3210B" w14:textId="77777777" w:rsidR="00B01620" w:rsidRDefault="00B01620" w:rsidP="009C40C4">
      <w:pPr>
        <w:spacing w:after="0" w:line="360" w:lineRule="auto"/>
        <w:ind w:left="2" w:firstLine="2"/>
        <w:jc w:val="both"/>
        <w:rPr>
          <w:rFonts w:ascii="Times New Roman" w:eastAsia="Times New Roman" w:hAnsi="Times New Roman" w:cs="Times New Roman"/>
          <w:sz w:val="24"/>
          <w:szCs w:val="24"/>
        </w:rPr>
      </w:pPr>
    </w:p>
    <w:p w14:paraId="0B67B235" w14:textId="77777777" w:rsidR="00B01620" w:rsidRDefault="00B01620" w:rsidP="009C40C4">
      <w:pPr>
        <w:spacing w:after="0" w:line="360" w:lineRule="auto"/>
        <w:ind w:left="2" w:firstLine="2"/>
        <w:jc w:val="both"/>
        <w:rPr>
          <w:rFonts w:ascii="Times New Roman" w:eastAsia="Times New Roman" w:hAnsi="Times New Roman" w:cs="Times New Roman"/>
          <w:sz w:val="24"/>
          <w:szCs w:val="24"/>
        </w:rPr>
      </w:pPr>
    </w:p>
    <w:p w14:paraId="522B953C" w14:textId="77777777" w:rsidR="00B01620" w:rsidRDefault="00B01620" w:rsidP="009C40C4">
      <w:pPr>
        <w:spacing w:after="0" w:line="360" w:lineRule="auto"/>
        <w:ind w:left="2" w:firstLine="2"/>
        <w:jc w:val="both"/>
        <w:rPr>
          <w:rFonts w:ascii="Times New Roman" w:eastAsia="Times New Roman" w:hAnsi="Times New Roman" w:cs="Times New Roman"/>
          <w:sz w:val="24"/>
          <w:szCs w:val="24"/>
        </w:rPr>
      </w:pPr>
    </w:p>
    <w:p w14:paraId="0E9B71D7" w14:textId="77777777" w:rsidR="00B01620" w:rsidRDefault="00B01620" w:rsidP="009C40C4">
      <w:pPr>
        <w:spacing w:after="0" w:line="360" w:lineRule="auto"/>
        <w:ind w:left="2" w:firstLine="2"/>
        <w:jc w:val="both"/>
        <w:rPr>
          <w:rFonts w:ascii="Times New Roman" w:eastAsia="Times New Roman" w:hAnsi="Times New Roman" w:cs="Times New Roman"/>
          <w:sz w:val="24"/>
          <w:szCs w:val="24"/>
        </w:rPr>
      </w:pPr>
    </w:p>
    <w:p w14:paraId="3429AA37" w14:textId="77777777" w:rsidR="00577AD5" w:rsidRPr="00A6371B" w:rsidRDefault="00577AD5" w:rsidP="007060A6">
      <w:pPr>
        <w:spacing w:after="0" w:line="360" w:lineRule="auto"/>
        <w:jc w:val="both"/>
        <w:rPr>
          <w:rFonts w:ascii="Times New Roman" w:eastAsia="Times New Roman" w:hAnsi="Times New Roman" w:cs="Times New Roman"/>
          <w:sz w:val="24"/>
          <w:szCs w:val="24"/>
          <w:lang w:val="en-US"/>
        </w:rPr>
      </w:pPr>
    </w:p>
    <w:p w14:paraId="5B377482" w14:textId="77777777" w:rsidR="007060A6" w:rsidRPr="00A6371B" w:rsidRDefault="007060A6" w:rsidP="007060A6">
      <w:pPr>
        <w:spacing w:after="0" w:line="360" w:lineRule="auto"/>
        <w:jc w:val="both"/>
        <w:rPr>
          <w:rFonts w:ascii="Times New Roman" w:eastAsia="Times New Roman" w:hAnsi="Times New Roman" w:cs="Times New Roman"/>
          <w:sz w:val="24"/>
          <w:szCs w:val="24"/>
          <w:lang w:val="en-US"/>
        </w:rPr>
      </w:pPr>
    </w:p>
    <w:p w14:paraId="5EBCA5C9" w14:textId="77777777" w:rsidR="007060A6" w:rsidRPr="00A6371B" w:rsidRDefault="007060A6" w:rsidP="007060A6">
      <w:pPr>
        <w:spacing w:after="0" w:line="360" w:lineRule="auto"/>
        <w:jc w:val="both"/>
        <w:rPr>
          <w:rFonts w:ascii="Times New Roman" w:eastAsia="Times New Roman" w:hAnsi="Times New Roman" w:cs="Times New Roman"/>
          <w:sz w:val="24"/>
          <w:szCs w:val="24"/>
          <w:lang w:val="en-US"/>
        </w:rPr>
      </w:pPr>
    </w:p>
    <w:p w14:paraId="0E17614B" w14:textId="77777777" w:rsidR="00B01620" w:rsidRPr="00A6371B" w:rsidRDefault="00B01620" w:rsidP="00BE443F">
      <w:pPr>
        <w:spacing w:after="0" w:line="360" w:lineRule="auto"/>
        <w:jc w:val="both"/>
        <w:rPr>
          <w:rFonts w:ascii="Times New Roman" w:eastAsia="Times New Roman" w:hAnsi="Times New Roman" w:cs="Times New Roman"/>
          <w:sz w:val="24"/>
          <w:szCs w:val="24"/>
          <w:lang w:val="en-US"/>
        </w:rPr>
      </w:pPr>
    </w:p>
    <w:p w14:paraId="43A11FE5" w14:textId="77777777" w:rsidR="00CD510F" w:rsidRPr="00A6371B" w:rsidRDefault="00CD510F" w:rsidP="00BE443F">
      <w:pPr>
        <w:spacing w:after="0" w:line="360" w:lineRule="auto"/>
        <w:jc w:val="both"/>
        <w:rPr>
          <w:rFonts w:ascii="Times New Roman" w:eastAsia="Times New Roman" w:hAnsi="Times New Roman" w:cs="Times New Roman"/>
          <w:sz w:val="24"/>
          <w:szCs w:val="24"/>
          <w:lang w:val="en-US"/>
        </w:rPr>
      </w:pPr>
    </w:p>
    <w:p w14:paraId="4483EF0F" w14:textId="4817F3D9" w:rsidR="00055AB8" w:rsidRDefault="00853685" w:rsidP="008809CA">
      <w:pPr>
        <w:spacing w:after="0" w:line="240" w:lineRule="auto"/>
        <w:jc w:val="center"/>
        <w:rPr>
          <w:rFonts w:ascii="Times New Roman" w:hAnsi="Times New Roman" w:cs="Times New Roman"/>
          <w:b/>
          <w:bCs/>
          <w:sz w:val="24"/>
          <w:szCs w:val="24"/>
        </w:rPr>
      </w:pPr>
      <w:r w:rsidRPr="006531C9">
        <w:rPr>
          <w:rFonts w:ascii="Times New Roman" w:hAnsi="Times New Roman" w:cs="Times New Roman"/>
          <w:b/>
          <w:bCs/>
          <w:sz w:val="24"/>
          <w:szCs w:val="24"/>
        </w:rPr>
        <w:lastRenderedPageBreak/>
        <w:t>CONCLUSION</w:t>
      </w:r>
    </w:p>
    <w:p w14:paraId="1AFC5CF9" w14:textId="77777777" w:rsidR="008809CA" w:rsidRPr="006531C9" w:rsidRDefault="008809CA" w:rsidP="008809CA">
      <w:pPr>
        <w:spacing w:after="0" w:line="240" w:lineRule="auto"/>
        <w:jc w:val="center"/>
        <w:rPr>
          <w:rFonts w:ascii="Times New Roman" w:hAnsi="Times New Roman" w:cs="Times New Roman"/>
          <w:b/>
          <w:bCs/>
          <w:sz w:val="24"/>
          <w:szCs w:val="24"/>
        </w:rPr>
      </w:pPr>
    </w:p>
    <w:p w14:paraId="17C3B27D" w14:textId="2950DD74" w:rsidR="009C40C4" w:rsidRPr="00B01620" w:rsidRDefault="00F94662" w:rsidP="008809CA">
      <w:pPr>
        <w:spacing w:after="0" w:line="240" w:lineRule="auto"/>
        <w:ind w:firstLine="709"/>
        <w:jc w:val="both"/>
        <w:rPr>
          <w:rFonts w:ascii="Times New Roman" w:hAnsi="Times New Roman" w:cs="Times New Roman"/>
          <w:sz w:val="28"/>
          <w:szCs w:val="28"/>
        </w:rPr>
      </w:pPr>
      <w:r w:rsidRPr="00B01620">
        <w:rPr>
          <w:rFonts w:ascii="Times New Roman" w:hAnsi="Times New Roman" w:cs="Times New Roman"/>
          <w:sz w:val="28"/>
          <w:szCs w:val="28"/>
        </w:rPr>
        <w:t>The general results are positive, and, according to a set of goals with all successful targets, including provisions that demonstrate a clear structure for</w:t>
      </w:r>
      <w:r w:rsidR="00ED258B" w:rsidRPr="00B01620">
        <w:rPr>
          <w:rFonts w:ascii="Times New Roman" w:hAnsi="Times New Roman" w:cs="Times New Roman"/>
          <w:sz w:val="28"/>
          <w:szCs w:val="28"/>
        </w:rPr>
        <w:t xml:space="preserve"> this research, we can claim that the ‘Study the antiviral activity of drugs against the SARS-CoV-2</w:t>
      </w:r>
      <w:r w:rsidR="00853685" w:rsidRPr="00B01620">
        <w:rPr>
          <w:rFonts w:ascii="Times New Roman" w:hAnsi="Times New Roman" w:cs="Times New Roman"/>
          <w:i/>
          <w:iCs/>
          <w:sz w:val="28"/>
          <w:szCs w:val="28"/>
        </w:rPr>
        <w:t xml:space="preserve"> virus in vitro’ </w:t>
      </w:r>
      <w:r w:rsidR="00853685" w:rsidRPr="00B01620">
        <w:rPr>
          <w:rFonts w:ascii="Times New Roman" w:hAnsi="Times New Roman" w:cs="Times New Roman"/>
          <w:sz w:val="28"/>
          <w:szCs w:val="28"/>
        </w:rPr>
        <w:t xml:space="preserve">was informative. </w:t>
      </w:r>
      <w:r w:rsidR="008A6D25" w:rsidRPr="00B01620">
        <w:rPr>
          <w:rFonts w:ascii="Times New Roman" w:hAnsi="Times New Roman" w:cs="Times New Roman"/>
          <w:sz w:val="28"/>
          <w:szCs w:val="28"/>
        </w:rPr>
        <w:t>Tenvir (TDF/TAF):</w:t>
      </w:r>
      <w:r w:rsidR="00ED258B" w:rsidRPr="00B01620">
        <w:rPr>
          <w:rFonts w:ascii="Times New Roman" w:hAnsi="Times New Roman" w:cs="Times New Roman"/>
          <w:sz w:val="28"/>
          <w:szCs w:val="28"/>
        </w:rPr>
        <w:t xml:space="preserve"> Tenvir (TDF/TAF) demonstrated the highest efficacy among the tested antivirals, effectively silencing SARS-CoV-2 replication by inhibiting </w:t>
      </w:r>
      <w:r w:rsidR="008A6D25" w:rsidRPr="00B01620">
        <w:rPr>
          <w:rFonts w:ascii="Times New Roman" w:hAnsi="Times New Roman" w:cs="Times New Roman"/>
          <w:sz w:val="28"/>
          <w:szCs w:val="28"/>
        </w:rPr>
        <w:t xml:space="preserve">NSP3 cleavage—a critical step that prevents the assembly of the viral RNA-dependent RNA polymerase (RdRP)—and potentially disrupting nucleoprotein (NP) synthesis. Remarkably, it maintained potency even at a high viral load (MOI 2), </w:t>
      </w:r>
      <w:r w:rsidR="007C7692">
        <w:rPr>
          <w:rFonts w:ascii="Times New Roman" w:hAnsi="Times New Roman" w:cs="Times New Roman"/>
          <w:sz w:val="28"/>
          <w:szCs w:val="28"/>
        </w:rPr>
        <w:t>in contrast to</w:t>
      </w:r>
      <w:r w:rsidR="008A6D25" w:rsidRPr="00B01620">
        <w:rPr>
          <w:rFonts w:ascii="Times New Roman" w:hAnsi="Times New Roman" w:cs="Times New Roman"/>
          <w:sz w:val="28"/>
          <w:szCs w:val="28"/>
        </w:rPr>
        <w:t xml:space="preserve"> the standard experimental MOI of 0.01. Ribavirin </w:t>
      </w:r>
      <w:r w:rsidR="008B2165" w:rsidRPr="00B01620">
        <w:rPr>
          <w:rFonts w:ascii="Times New Roman" w:hAnsi="Times New Roman" w:cs="Times New Roman"/>
          <w:sz w:val="28"/>
          <w:szCs w:val="28"/>
        </w:rPr>
        <w:t xml:space="preserve">and Favipiravir: </w:t>
      </w:r>
      <w:r w:rsidR="007C7692">
        <w:rPr>
          <w:rFonts w:ascii="Times New Roman" w:hAnsi="Times New Roman" w:cs="Times New Roman"/>
          <w:sz w:val="28"/>
          <w:szCs w:val="28"/>
        </w:rPr>
        <w:t>Both</w:t>
      </w:r>
      <w:r w:rsidR="008A6D25" w:rsidRPr="00B01620">
        <w:rPr>
          <w:rFonts w:ascii="Times New Roman" w:hAnsi="Times New Roman" w:cs="Times New Roman"/>
          <w:sz w:val="28"/>
          <w:szCs w:val="28"/>
        </w:rPr>
        <w:t xml:space="preserve"> exhibited lower efficacy at the tested concentrations. For instance, Ribavirin required 205 µM to inhibit SARS-CoV-2 in vitro, compared to the 100 µM dose effective against influenza in prior studies. These findings suggest that higher concentrations or combination therapies may be necessary to achieve viral clearance for SARS-CoV-2. Dexamethasone:</w:t>
      </w:r>
      <w:r w:rsidR="00ED258B" w:rsidRPr="00B01620">
        <w:rPr>
          <w:rFonts w:ascii="Times New Roman" w:hAnsi="Times New Roman" w:cs="Times New Roman"/>
          <w:sz w:val="28"/>
          <w:szCs w:val="28"/>
        </w:rPr>
        <w:t xml:space="preserve"> Dexamethasone demonstrated no direct antiviral activity (as indicated in Tables </w:t>
      </w:r>
      <w:r w:rsidR="00F00219">
        <w:rPr>
          <w:rFonts w:ascii="Times New Roman" w:hAnsi="Times New Roman" w:cs="Times New Roman"/>
          <w:sz w:val="28"/>
          <w:szCs w:val="28"/>
        </w:rPr>
        <w:t>8</w:t>
      </w:r>
      <w:r w:rsidR="00ED258B" w:rsidRPr="00B01620">
        <w:rPr>
          <w:rFonts w:ascii="Times New Roman" w:hAnsi="Times New Roman" w:cs="Times New Roman"/>
          <w:sz w:val="28"/>
          <w:szCs w:val="28"/>
        </w:rPr>
        <w:t xml:space="preserve"> and </w:t>
      </w:r>
      <w:r w:rsidR="00F00219">
        <w:rPr>
          <w:rFonts w:ascii="Times New Roman" w:hAnsi="Times New Roman" w:cs="Times New Roman"/>
          <w:sz w:val="28"/>
          <w:szCs w:val="28"/>
        </w:rPr>
        <w:t>9</w:t>
      </w:r>
      <w:r w:rsidR="00ED258B" w:rsidRPr="00B01620">
        <w:rPr>
          <w:rFonts w:ascii="Times New Roman" w:hAnsi="Times New Roman" w:cs="Times New Roman"/>
          <w:sz w:val="28"/>
          <w:szCs w:val="28"/>
        </w:rPr>
        <w:t>) and induced</w:t>
      </w:r>
      <w:r w:rsidR="008A6D25" w:rsidRPr="00B01620">
        <w:rPr>
          <w:rFonts w:ascii="Times New Roman" w:hAnsi="Times New Roman" w:cs="Times New Roman"/>
          <w:sz w:val="28"/>
          <w:szCs w:val="28"/>
        </w:rPr>
        <w:t xml:space="preserve"> mild cytotoxicity in Vero E6 cells at high doses. While it supports immune modulation in severe COVID-19 cases (e.g., reducing lung inflammation), its immunosuppressive risks make it unsuitable for early-stage treatment or immunocompromised patients. Hydroxychloroquine:</w:t>
      </w:r>
      <w:r w:rsidR="00396B70" w:rsidRPr="00B01620">
        <w:rPr>
          <w:rFonts w:ascii="Times New Roman" w:hAnsi="Times New Roman" w:cs="Times New Roman"/>
          <w:sz w:val="28"/>
          <w:szCs w:val="28"/>
        </w:rPr>
        <w:t xml:space="preserve"> Although hydroxychloroquine demonstrated activity in kidney cell cultures, it proved to be </w:t>
      </w:r>
      <w:r w:rsidR="00ED258B" w:rsidRPr="00B01620">
        <w:rPr>
          <w:rFonts w:ascii="Times New Roman" w:hAnsi="Times New Roman" w:cs="Times New Roman"/>
          <w:sz w:val="28"/>
          <w:szCs w:val="28"/>
        </w:rPr>
        <w:t>clinically ineffective</w:t>
      </w:r>
      <w:r w:rsidR="008A6D25" w:rsidRPr="00B01620">
        <w:rPr>
          <w:rFonts w:ascii="Times New Roman" w:hAnsi="Times New Roman" w:cs="Times New Roman"/>
          <w:sz w:val="28"/>
          <w:szCs w:val="28"/>
        </w:rPr>
        <w:t>. It fails to target lung-specific pathways involving</w:t>
      </w:r>
      <w:r w:rsidR="00ED258B" w:rsidRPr="00B01620">
        <w:rPr>
          <w:rFonts w:ascii="Times New Roman" w:hAnsi="Times New Roman" w:cs="Times New Roman"/>
          <w:sz w:val="28"/>
          <w:szCs w:val="28"/>
        </w:rPr>
        <w:t xml:space="preserve"> TMPRSS2 and ACE2, which are crucial</w:t>
      </w:r>
      <w:r w:rsidR="008A6D25" w:rsidRPr="00B01620">
        <w:rPr>
          <w:rFonts w:ascii="Times New Roman" w:hAnsi="Times New Roman" w:cs="Times New Roman"/>
          <w:sz w:val="28"/>
          <w:szCs w:val="28"/>
        </w:rPr>
        <w:t xml:space="preserve"> for SARS-CoV-2 entry into respiratory cells. Its misuse during the pandemic highlights the need for tissue-specific antiviral testing. Experimental Context: MOI 2</w:t>
      </w:r>
      <w:r w:rsidR="00396B70" w:rsidRPr="00B01620">
        <w:rPr>
          <w:rFonts w:ascii="Times New Roman" w:hAnsi="Times New Roman" w:cs="Times New Roman"/>
          <w:sz w:val="28"/>
          <w:szCs w:val="28"/>
        </w:rPr>
        <w:t xml:space="preserve"> - The high viral load (MOI 2) was necessitated by laboratory constraints, such as limited viral stock volume (200 µL</w:t>
      </w:r>
      <w:r w:rsidR="008A6D25" w:rsidRPr="00B01620">
        <w:rPr>
          <w:rFonts w:ascii="Times New Roman" w:hAnsi="Times New Roman" w:cs="Times New Roman"/>
          <w:sz w:val="28"/>
          <w:szCs w:val="28"/>
        </w:rPr>
        <w:t xml:space="preserve">). While this elevated MOI risked rapid cell death, it underscored Tenofovir’s robust antiviral capability under stringent conditions. </w:t>
      </w:r>
    </w:p>
    <w:p w14:paraId="5A520B76" w14:textId="1EA99099" w:rsidR="008A6D25" w:rsidRPr="00B01620" w:rsidRDefault="008A6D25" w:rsidP="00B01620">
      <w:pPr>
        <w:spacing w:after="0" w:line="240" w:lineRule="auto"/>
        <w:ind w:firstLine="709"/>
        <w:jc w:val="both"/>
        <w:rPr>
          <w:rFonts w:ascii="Times New Roman" w:hAnsi="Times New Roman" w:cs="Times New Roman"/>
          <w:sz w:val="28"/>
          <w:szCs w:val="28"/>
        </w:rPr>
      </w:pPr>
      <w:r w:rsidRPr="00B01620">
        <w:rPr>
          <w:rFonts w:ascii="Times New Roman" w:hAnsi="Times New Roman" w:cs="Times New Roman"/>
          <w:sz w:val="28"/>
          <w:szCs w:val="28"/>
        </w:rPr>
        <w:t xml:space="preserve">Cytotoxicity: Tenofovir displayed the safest profile at clinically relevant doses, whereas Ribavirin posed significant toxicity risks (e.g., </w:t>
      </w:r>
      <w:r w:rsidR="00203AA6" w:rsidRPr="00B01620">
        <w:rPr>
          <w:rFonts w:ascii="Times New Roman" w:hAnsi="Times New Roman" w:cs="Times New Roman"/>
          <w:sz w:val="28"/>
          <w:szCs w:val="28"/>
        </w:rPr>
        <w:t>haematological</w:t>
      </w:r>
      <w:r w:rsidRPr="00B01620">
        <w:rPr>
          <w:rFonts w:ascii="Times New Roman" w:hAnsi="Times New Roman" w:cs="Times New Roman"/>
          <w:sz w:val="28"/>
          <w:szCs w:val="28"/>
        </w:rPr>
        <w:t xml:space="preserve"> and organ damage). Favipiravir offered a balance between moderate antiviral efficacy and low cytotoxicity. Mechanistic Insights: RdRP Inhibition: The RNA-dependent RNA polymerase (RdRP), encoded by the conserved ORF1b gene, remains a stable antiviral target due to its proofreading activity, which limits mutation rates. Purine </w:t>
      </w:r>
      <w:r w:rsidR="00203AA6" w:rsidRPr="00B01620">
        <w:rPr>
          <w:rFonts w:ascii="Times New Roman" w:hAnsi="Times New Roman" w:cs="Times New Roman"/>
          <w:sz w:val="28"/>
          <w:szCs w:val="28"/>
        </w:rPr>
        <w:t>analogues, such as tenofovir,</w:t>
      </w:r>
      <w:r w:rsidRPr="00B01620">
        <w:rPr>
          <w:rFonts w:ascii="Times New Roman" w:hAnsi="Times New Roman" w:cs="Times New Roman"/>
          <w:sz w:val="28"/>
          <w:szCs w:val="28"/>
        </w:rPr>
        <w:t xml:space="preserve"> disrupt viral RNA synthesis </w:t>
      </w:r>
      <w:r w:rsidR="007C7692">
        <w:rPr>
          <w:rFonts w:ascii="Times New Roman" w:hAnsi="Times New Roman" w:cs="Times New Roman"/>
          <w:sz w:val="28"/>
          <w:szCs w:val="28"/>
        </w:rPr>
        <w:t>via</w:t>
      </w:r>
      <w:r w:rsidR="00F94662" w:rsidRPr="00B01620">
        <w:rPr>
          <w:rFonts w:ascii="Times New Roman" w:hAnsi="Times New Roman" w:cs="Times New Roman"/>
          <w:sz w:val="28"/>
          <w:szCs w:val="28"/>
        </w:rPr>
        <w:t xml:space="preserve"> </w:t>
      </w:r>
      <w:r w:rsidRPr="00B01620">
        <w:rPr>
          <w:rFonts w:ascii="Times New Roman" w:hAnsi="Times New Roman" w:cs="Times New Roman"/>
          <w:sz w:val="28"/>
          <w:szCs w:val="28"/>
        </w:rPr>
        <w:t>lethal mutagenesis. PCR Limitations:</w:t>
      </w:r>
      <w:r w:rsidR="00396B70" w:rsidRPr="00B01620">
        <w:rPr>
          <w:rFonts w:ascii="Times New Roman" w:hAnsi="Times New Roman" w:cs="Times New Roman"/>
          <w:sz w:val="28"/>
          <w:szCs w:val="28"/>
        </w:rPr>
        <w:t xml:space="preserve"> PCR diagnostics can detect non-infectious viral RNA fragments up to 21 days post-infection, </w:t>
      </w:r>
      <w:r w:rsidR="007C7692">
        <w:rPr>
          <w:rFonts w:ascii="Times New Roman" w:hAnsi="Times New Roman" w:cs="Times New Roman"/>
          <w:sz w:val="28"/>
          <w:szCs w:val="28"/>
        </w:rPr>
        <w:t>potentially leading</w:t>
      </w:r>
      <w:r w:rsidRPr="00B01620">
        <w:rPr>
          <w:rFonts w:ascii="Times New Roman" w:hAnsi="Times New Roman" w:cs="Times New Roman"/>
          <w:sz w:val="28"/>
          <w:szCs w:val="28"/>
        </w:rPr>
        <w:t xml:space="preserve"> to false positives. Infectivity correlates with</w:t>
      </w:r>
      <w:r w:rsidR="00396B70" w:rsidRPr="00B01620">
        <w:rPr>
          <w:rFonts w:ascii="Times New Roman" w:hAnsi="Times New Roman" w:cs="Times New Roman"/>
          <w:sz w:val="28"/>
          <w:szCs w:val="28"/>
        </w:rPr>
        <w:t xml:space="preserve"> CT values: samples with CT values ≤35 indicate active transmissibility, while those with CT values≥</w:t>
      </w:r>
      <w:r w:rsidR="00EC77E2" w:rsidRPr="00B01620">
        <w:rPr>
          <w:rFonts w:ascii="Times New Roman" w:hAnsi="Times New Roman" w:cs="Times New Roman"/>
          <w:sz w:val="28"/>
          <w:szCs w:val="28"/>
        </w:rPr>
        <w:t>4</w:t>
      </w:r>
      <w:r w:rsidR="00396B70" w:rsidRPr="00B01620">
        <w:rPr>
          <w:rFonts w:ascii="Times New Roman" w:hAnsi="Times New Roman" w:cs="Times New Roman"/>
          <w:sz w:val="28"/>
          <w:szCs w:val="28"/>
        </w:rPr>
        <w:t>5 reflect</w:t>
      </w:r>
      <w:r w:rsidRPr="00B01620">
        <w:rPr>
          <w:rFonts w:ascii="Times New Roman" w:hAnsi="Times New Roman" w:cs="Times New Roman"/>
          <w:sz w:val="28"/>
          <w:szCs w:val="28"/>
        </w:rPr>
        <w:t xml:space="preserve"> non-infectious viral debris. Recommendations: Lung Cell Models</w:t>
      </w:r>
      <w:r w:rsidR="0076262C" w:rsidRPr="00B01620">
        <w:rPr>
          <w:rFonts w:ascii="Times New Roman" w:hAnsi="Times New Roman" w:cs="Times New Roman"/>
          <w:sz w:val="28"/>
          <w:szCs w:val="28"/>
        </w:rPr>
        <w:t xml:space="preserve"> - Antiviral efficacy should be validated in lung cell cultures to account for ACE2/TMPRSS2 expression, which is crucial</w:t>
      </w:r>
      <w:r w:rsidRPr="00B01620">
        <w:rPr>
          <w:rFonts w:ascii="Times New Roman" w:hAnsi="Times New Roman" w:cs="Times New Roman"/>
          <w:sz w:val="28"/>
          <w:szCs w:val="28"/>
        </w:rPr>
        <w:t xml:space="preserve"> for clinical relevance. Combination Therapies:</w:t>
      </w:r>
      <w:r w:rsidR="00D47299" w:rsidRPr="00B01620">
        <w:rPr>
          <w:rFonts w:ascii="Times New Roman" w:hAnsi="Times New Roman" w:cs="Times New Roman"/>
          <w:sz w:val="28"/>
          <w:szCs w:val="28"/>
        </w:rPr>
        <w:t xml:space="preserve"> Pairing agents like Ribavirin with Tenofovir could enhance efficacy and reduce the risk of resistance</w:t>
      </w:r>
      <w:r w:rsidRPr="00B01620">
        <w:rPr>
          <w:rFonts w:ascii="Times New Roman" w:hAnsi="Times New Roman" w:cs="Times New Roman"/>
          <w:sz w:val="28"/>
          <w:szCs w:val="28"/>
        </w:rPr>
        <w:t xml:space="preserve">. Dose </w:t>
      </w:r>
      <w:r w:rsidR="00F56149" w:rsidRPr="00B01620">
        <w:rPr>
          <w:rFonts w:ascii="Times New Roman" w:hAnsi="Times New Roman" w:cs="Times New Roman"/>
          <w:sz w:val="28"/>
          <w:szCs w:val="28"/>
        </w:rPr>
        <w:t>optimisation</w:t>
      </w:r>
      <w:r w:rsidRPr="00B01620">
        <w:rPr>
          <w:rFonts w:ascii="Times New Roman" w:hAnsi="Times New Roman" w:cs="Times New Roman"/>
          <w:sz w:val="28"/>
          <w:szCs w:val="28"/>
        </w:rPr>
        <w:t>:</w:t>
      </w:r>
      <w:r w:rsidR="00D47299" w:rsidRPr="00B01620">
        <w:rPr>
          <w:rFonts w:ascii="Times New Roman" w:hAnsi="Times New Roman" w:cs="Times New Roman"/>
          <w:sz w:val="28"/>
          <w:szCs w:val="28"/>
        </w:rPr>
        <w:t xml:space="preserve"> Higher concentrations of Ribavirin and Favipiravir should be explored in vitro, with careful monitoring of toxicity</w:t>
      </w:r>
      <w:r w:rsidRPr="00B01620">
        <w:rPr>
          <w:rFonts w:ascii="Times New Roman" w:hAnsi="Times New Roman" w:cs="Times New Roman"/>
          <w:sz w:val="28"/>
          <w:szCs w:val="28"/>
        </w:rPr>
        <w:t xml:space="preserve">. Tenofovir exhibits </w:t>
      </w:r>
      <w:r w:rsidR="00396B70" w:rsidRPr="00B01620">
        <w:rPr>
          <w:rFonts w:ascii="Times New Roman" w:hAnsi="Times New Roman" w:cs="Times New Roman"/>
          <w:sz w:val="28"/>
          <w:szCs w:val="28"/>
        </w:rPr>
        <w:t>robust anti-SARS-CoV-2 activity against variants from Kazakhstan</w:t>
      </w:r>
      <w:r w:rsidRPr="00B01620">
        <w:rPr>
          <w:rFonts w:ascii="Times New Roman" w:hAnsi="Times New Roman" w:cs="Times New Roman"/>
          <w:sz w:val="28"/>
          <w:szCs w:val="28"/>
        </w:rPr>
        <w:t xml:space="preserve">, </w:t>
      </w:r>
      <w:r w:rsidRPr="00B01620">
        <w:rPr>
          <w:rFonts w:ascii="Times New Roman" w:hAnsi="Times New Roman" w:cs="Times New Roman"/>
          <w:sz w:val="28"/>
          <w:szCs w:val="28"/>
        </w:rPr>
        <w:lastRenderedPageBreak/>
        <w:t xml:space="preserve">but its clinical potential requires validation in lung-specific models. Additionally, context-aware interpretation of PCR results (e.g., CT values) is essential to avoid misdiagnosis and </w:t>
      </w:r>
      <w:r w:rsidR="00F96CA2" w:rsidRPr="00B01620">
        <w:rPr>
          <w:rFonts w:ascii="Times New Roman" w:hAnsi="Times New Roman" w:cs="Times New Roman"/>
          <w:sz w:val="28"/>
          <w:szCs w:val="28"/>
        </w:rPr>
        <w:t>optimise</w:t>
      </w:r>
      <w:r w:rsidRPr="00B01620">
        <w:rPr>
          <w:rFonts w:ascii="Times New Roman" w:hAnsi="Times New Roman" w:cs="Times New Roman"/>
          <w:sz w:val="28"/>
          <w:szCs w:val="28"/>
        </w:rPr>
        <w:t xml:space="preserve"> treatment strategies.</w:t>
      </w:r>
    </w:p>
    <w:p w14:paraId="0A708792" w14:textId="5B987D20" w:rsidR="00185232" w:rsidRPr="00B01620" w:rsidRDefault="00185232" w:rsidP="00CD510F">
      <w:pPr>
        <w:spacing w:after="0" w:line="240" w:lineRule="auto"/>
        <w:ind w:firstLine="709"/>
        <w:jc w:val="both"/>
        <w:rPr>
          <w:rFonts w:ascii="Times New Roman" w:hAnsi="Times New Roman" w:cs="Times New Roman"/>
          <w:b/>
          <w:bCs/>
          <w:sz w:val="28"/>
          <w:szCs w:val="28"/>
        </w:rPr>
      </w:pPr>
      <w:r w:rsidRPr="00B01620">
        <w:rPr>
          <w:rFonts w:ascii="Times New Roman" w:hAnsi="Times New Roman" w:cs="Times New Roman"/>
          <w:b/>
          <w:bCs/>
          <w:sz w:val="28"/>
          <w:szCs w:val="28"/>
        </w:rPr>
        <w:t xml:space="preserve">The main dissertational results and </w:t>
      </w:r>
      <w:r w:rsidR="00CD114A" w:rsidRPr="00B01620">
        <w:rPr>
          <w:rFonts w:ascii="Times New Roman" w:hAnsi="Times New Roman" w:cs="Times New Roman"/>
          <w:b/>
          <w:bCs/>
          <w:sz w:val="28"/>
          <w:szCs w:val="28"/>
        </w:rPr>
        <w:t>their</w:t>
      </w:r>
      <w:r w:rsidRPr="00B01620">
        <w:rPr>
          <w:rFonts w:ascii="Times New Roman" w:hAnsi="Times New Roman" w:cs="Times New Roman"/>
          <w:b/>
          <w:bCs/>
          <w:sz w:val="28"/>
          <w:szCs w:val="28"/>
        </w:rPr>
        <w:t xml:space="preserve"> scientific influence: </w:t>
      </w:r>
    </w:p>
    <w:p w14:paraId="1A0D9BB2" w14:textId="770C2CC1" w:rsidR="00185232" w:rsidRPr="00B01620" w:rsidRDefault="00185232" w:rsidP="00B01620">
      <w:pPr>
        <w:pStyle w:val="af1"/>
        <w:spacing w:after="0" w:line="240" w:lineRule="auto"/>
        <w:jc w:val="both"/>
        <w:rPr>
          <w:rFonts w:ascii="Times New Roman" w:hAnsi="Times New Roman" w:cs="Times New Roman"/>
          <w:sz w:val="28"/>
          <w:szCs w:val="28"/>
        </w:rPr>
      </w:pPr>
      <w:r w:rsidRPr="00B01620">
        <w:rPr>
          <w:rFonts w:ascii="Times New Roman" w:hAnsi="Times New Roman" w:cs="Times New Roman"/>
          <w:sz w:val="28"/>
          <w:szCs w:val="28"/>
        </w:rPr>
        <w:t>1</w:t>
      </w:r>
      <w:r w:rsidR="00CD510F" w:rsidRPr="00CD510F">
        <w:rPr>
          <w:rFonts w:ascii="Times New Roman" w:hAnsi="Times New Roman" w:cs="Times New Roman"/>
          <w:sz w:val="28"/>
          <w:szCs w:val="28"/>
          <w:lang w:val="en-US"/>
        </w:rPr>
        <w:t>.</w:t>
      </w:r>
      <w:r w:rsidR="00CD510F">
        <w:rPr>
          <w:rFonts w:ascii="Times New Roman" w:hAnsi="Times New Roman" w:cs="Times New Roman"/>
          <w:sz w:val="28"/>
          <w:szCs w:val="28"/>
          <w:lang w:val="en-US"/>
        </w:rPr>
        <w:t xml:space="preserve"> </w:t>
      </w:r>
      <w:r w:rsidR="00CD510F" w:rsidRPr="00CD510F">
        <w:rPr>
          <w:rFonts w:ascii="Times New Roman" w:hAnsi="Times New Roman" w:cs="Times New Roman"/>
          <w:sz w:val="28"/>
          <w:szCs w:val="28"/>
          <w:lang w:val="en-US"/>
        </w:rPr>
        <w:t xml:space="preserve"> </w:t>
      </w:r>
      <w:r w:rsidR="00E50BB2" w:rsidRPr="00B01620">
        <w:rPr>
          <w:rFonts w:ascii="Times New Roman" w:hAnsi="Times New Roman" w:cs="Times New Roman"/>
          <w:sz w:val="28"/>
          <w:szCs w:val="28"/>
        </w:rPr>
        <w:t xml:space="preserve">The eight strains from a COVID-19 positive patient’s BALF were isolated, and the viral load (MOI of 2) of </w:t>
      </w:r>
      <w:r w:rsidR="00E50BB2" w:rsidRPr="00B01620">
        <w:rPr>
          <w:rFonts w:ascii="Times New Roman" w:hAnsi="Times New Roman" w:cs="Times New Roman"/>
          <w:iCs/>
          <w:sz w:val="28"/>
          <w:szCs w:val="28"/>
        </w:rPr>
        <w:t xml:space="preserve">SARS-CoV-2/human/KAZ/Britain/2021 and SARS-CoV-2/human/KAZ/B1.1/2021 Alpha Variant </w:t>
      </w:r>
      <w:r w:rsidR="00E50BB2" w:rsidRPr="00B01620">
        <w:rPr>
          <w:rFonts w:ascii="Times New Roman" w:hAnsi="Times New Roman" w:cs="Times New Roman"/>
          <w:sz w:val="28"/>
          <w:szCs w:val="28"/>
        </w:rPr>
        <w:t xml:space="preserve"> </w:t>
      </w:r>
      <w:r w:rsidRPr="00B01620">
        <w:rPr>
          <w:rFonts w:ascii="Times New Roman" w:hAnsi="Times New Roman" w:cs="Times New Roman"/>
          <w:sz w:val="28"/>
          <w:szCs w:val="28"/>
        </w:rPr>
        <w:t xml:space="preserve">  </w:t>
      </w:r>
    </w:p>
    <w:p w14:paraId="12051BAE" w14:textId="181BA16A" w:rsidR="00E9397E" w:rsidRPr="00B01620" w:rsidRDefault="00185232" w:rsidP="00B01620">
      <w:pPr>
        <w:pStyle w:val="af1"/>
        <w:spacing w:after="0" w:line="240" w:lineRule="auto"/>
        <w:jc w:val="both"/>
        <w:rPr>
          <w:rFonts w:ascii="Times New Roman" w:hAnsi="Times New Roman" w:cs="Times New Roman"/>
          <w:sz w:val="28"/>
          <w:szCs w:val="28"/>
        </w:rPr>
      </w:pPr>
      <w:r w:rsidRPr="00B01620">
        <w:rPr>
          <w:rFonts w:ascii="Times New Roman" w:hAnsi="Times New Roman" w:cs="Times New Roman"/>
          <w:sz w:val="28"/>
          <w:szCs w:val="28"/>
        </w:rPr>
        <w:t>2</w:t>
      </w:r>
      <w:r w:rsidR="00CD510F" w:rsidRPr="00CD510F">
        <w:rPr>
          <w:rFonts w:ascii="Times New Roman" w:hAnsi="Times New Roman" w:cs="Times New Roman"/>
          <w:sz w:val="28"/>
          <w:szCs w:val="28"/>
          <w:lang w:val="en-US"/>
        </w:rPr>
        <w:t>.</w:t>
      </w:r>
      <w:r w:rsidRPr="00B01620">
        <w:rPr>
          <w:rFonts w:ascii="Times New Roman" w:hAnsi="Times New Roman" w:cs="Times New Roman"/>
          <w:sz w:val="28"/>
          <w:szCs w:val="28"/>
        </w:rPr>
        <w:t xml:space="preserve"> </w:t>
      </w:r>
      <w:r w:rsidR="00E9397E" w:rsidRPr="00B01620">
        <w:rPr>
          <w:rFonts w:ascii="Times New Roman" w:hAnsi="Times New Roman" w:cs="Times New Roman"/>
          <w:iCs/>
          <w:sz w:val="28"/>
          <w:szCs w:val="28"/>
        </w:rPr>
        <w:t>The NSP12’s “genetic conservatism” (primer pairs: 11-16) of the Alpha variant</w:t>
      </w:r>
      <w:r w:rsidR="003D4F01" w:rsidRPr="00B01620">
        <w:rPr>
          <w:rFonts w:ascii="Times New Roman" w:hAnsi="Times New Roman" w:cs="Times New Roman"/>
          <w:iCs/>
          <w:sz w:val="28"/>
          <w:szCs w:val="28"/>
        </w:rPr>
        <w:t xml:space="preserve"> was identified</w:t>
      </w:r>
      <w:r w:rsidR="00E9397E" w:rsidRPr="00B01620">
        <w:rPr>
          <w:rFonts w:ascii="Times New Roman" w:hAnsi="Times New Roman" w:cs="Times New Roman"/>
          <w:iCs/>
          <w:sz w:val="28"/>
          <w:szCs w:val="28"/>
        </w:rPr>
        <w:t>, which was isolated in Kazakhstan, by comparing it with the original Wuhan strain in the ORF1b region</w:t>
      </w:r>
    </w:p>
    <w:p w14:paraId="78C02716" w14:textId="6023FB63" w:rsidR="00185232" w:rsidRPr="00B01620" w:rsidRDefault="00185232" w:rsidP="00B01620">
      <w:pPr>
        <w:pStyle w:val="af1"/>
        <w:spacing w:after="0" w:line="240" w:lineRule="auto"/>
        <w:jc w:val="both"/>
        <w:rPr>
          <w:rFonts w:ascii="Times New Roman" w:hAnsi="Times New Roman" w:cs="Times New Roman"/>
          <w:sz w:val="28"/>
          <w:szCs w:val="28"/>
        </w:rPr>
      </w:pPr>
      <w:r w:rsidRPr="00B01620">
        <w:rPr>
          <w:rFonts w:ascii="Times New Roman" w:hAnsi="Times New Roman" w:cs="Times New Roman"/>
          <w:sz w:val="28"/>
          <w:szCs w:val="28"/>
        </w:rPr>
        <w:t>3</w:t>
      </w:r>
      <w:r w:rsidR="00CD510F" w:rsidRPr="00CD510F">
        <w:rPr>
          <w:rFonts w:ascii="Times New Roman" w:hAnsi="Times New Roman" w:cs="Times New Roman"/>
          <w:sz w:val="28"/>
          <w:szCs w:val="28"/>
          <w:lang w:val="en-US"/>
        </w:rPr>
        <w:t>.</w:t>
      </w:r>
      <w:r w:rsidRPr="00B01620">
        <w:rPr>
          <w:rFonts w:ascii="Times New Roman" w:hAnsi="Times New Roman" w:cs="Times New Roman"/>
          <w:sz w:val="28"/>
          <w:szCs w:val="28"/>
        </w:rPr>
        <w:t xml:space="preserve">  The cytotoxicity - safe concentration of Tenofovir was found to be - 50µg/ml or 174µM</w:t>
      </w:r>
      <w:r w:rsidR="00203AA6" w:rsidRPr="00B01620">
        <w:rPr>
          <w:rFonts w:ascii="Times New Roman" w:hAnsi="Times New Roman" w:cs="Times New Roman"/>
          <w:sz w:val="28"/>
          <w:szCs w:val="28"/>
        </w:rPr>
        <w:t>,</w:t>
      </w:r>
      <w:r w:rsidRPr="00B01620">
        <w:rPr>
          <w:rFonts w:ascii="Times New Roman" w:hAnsi="Times New Roman" w:cs="Times New Roman"/>
          <w:sz w:val="28"/>
          <w:szCs w:val="28"/>
        </w:rPr>
        <w:t xml:space="preserve"> both for TDF and TAF (10nM is much safer than TDF’s) – for IC</w:t>
      </w:r>
      <w:r w:rsidRPr="00B01620">
        <w:rPr>
          <w:rFonts w:ascii="Times New Roman" w:hAnsi="Times New Roman" w:cs="Times New Roman"/>
          <w:sz w:val="28"/>
          <w:szCs w:val="28"/>
          <w:vertAlign w:val="subscript"/>
        </w:rPr>
        <w:t>100</w:t>
      </w:r>
      <w:r w:rsidRPr="00B01620">
        <w:rPr>
          <w:rFonts w:ascii="Times New Roman" w:hAnsi="Times New Roman" w:cs="Times New Roman"/>
          <w:sz w:val="28"/>
          <w:szCs w:val="28"/>
        </w:rPr>
        <w:t xml:space="preserve">. Furthermore, </w:t>
      </w:r>
      <w:r w:rsidR="007C7692">
        <w:rPr>
          <w:rFonts w:ascii="Times New Roman" w:hAnsi="Times New Roman" w:cs="Times New Roman"/>
          <w:sz w:val="28"/>
          <w:szCs w:val="28"/>
        </w:rPr>
        <w:t xml:space="preserve">evaluating Tenofovir, Favipiravir, Ribavirin, and Dexamethasone using MTT and CCK-8 cell viability assays in the context of SARS-CoV-2 infection provides critical insights into their </w:t>
      </w:r>
      <w:r w:rsidRPr="00B01620">
        <w:rPr>
          <w:rFonts w:ascii="Times New Roman" w:hAnsi="Times New Roman" w:cs="Times New Roman"/>
          <w:sz w:val="28"/>
          <w:szCs w:val="28"/>
        </w:rPr>
        <w:t xml:space="preserve">antiviral efficacy and cytotoxicity. These assays, which measure mitochondrial activity (MTT) and cellular dehydrogenases (CCK8), </w:t>
      </w:r>
      <w:r w:rsidR="008638C6" w:rsidRPr="00B01620">
        <w:rPr>
          <w:rFonts w:ascii="Times New Roman" w:hAnsi="Times New Roman" w:cs="Times New Roman"/>
          <w:sz w:val="28"/>
          <w:szCs w:val="28"/>
        </w:rPr>
        <w:t xml:space="preserve">provide a robust framework for quantifying </w:t>
      </w:r>
      <w:r w:rsidR="00217FC2" w:rsidRPr="00B01620">
        <w:rPr>
          <w:rFonts w:ascii="Times New Roman" w:hAnsi="Times New Roman" w:cs="Times New Roman"/>
          <w:sz w:val="28"/>
          <w:szCs w:val="28"/>
        </w:rPr>
        <w:t xml:space="preserve">the effects of drugs </w:t>
      </w:r>
      <w:r w:rsidR="008638C6" w:rsidRPr="00B01620">
        <w:rPr>
          <w:rFonts w:ascii="Times New Roman" w:hAnsi="Times New Roman" w:cs="Times New Roman"/>
          <w:sz w:val="28"/>
          <w:szCs w:val="28"/>
        </w:rPr>
        <w:t>on cell viability and antiviral activity in vitro, particularly in models such as</w:t>
      </w:r>
      <w:r w:rsidRPr="00B01620">
        <w:rPr>
          <w:rFonts w:ascii="Times New Roman" w:hAnsi="Times New Roman" w:cs="Times New Roman"/>
          <w:sz w:val="28"/>
          <w:szCs w:val="28"/>
        </w:rPr>
        <w:t xml:space="preserve"> Vero E6 or other susceptible cell lines</w:t>
      </w:r>
    </w:p>
    <w:p w14:paraId="7EA87ED5" w14:textId="1BB57457" w:rsidR="00185232" w:rsidRPr="00B01620" w:rsidRDefault="00185232" w:rsidP="00B01620">
      <w:pPr>
        <w:pStyle w:val="af1"/>
        <w:spacing w:after="0" w:line="240" w:lineRule="auto"/>
        <w:jc w:val="both"/>
        <w:rPr>
          <w:rFonts w:ascii="Times New Roman" w:hAnsi="Times New Roman" w:cs="Times New Roman"/>
          <w:sz w:val="28"/>
          <w:szCs w:val="28"/>
        </w:rPr>
      </w:pPr>
      <w:r w:rsidRPr="00B01620">
        <w:rPr>
          <w:rFonts w:ascii="Times New Roman" w:hAnsi="Times New Roman" w:cs="Times New Roman"/>
          <w:sz w:val="28"/>
          <w:szCs w:val="28"/>
        </w:rPr>
        <w:t>4</w:t>
      </w:r>
      <w:r w:rsidR="00CD510F" w:rsidRPr="00CD510F">
        <w:rPr>
          <w:rFonts w:ascii="Times New Roman" w:hAnsi="Times New Roman" w:cs="Times New Roman"/>
          <w:sz w:val="28"/>
          <w:szCs w:val="28"/>
          <w:lang w:val="en-US"/>
        </w:rPr>
        <w:t>.</w:t>
      </w:r>
      <w:r w:rsidR="00CD510F">
        <w:rPr>
          <w:rFonts w:ascii="Times New Roman" w:hAnsi="Times New Roman" w:cs="Times New Roman"/>
          <w:sz w:val="28"/>
          <w:szCs w:val="28"/>
          <w:lang w:val="en-US"/>
        </w:rPr>
        <w:t xml:space="preserve"> </w:t>
      </w:r>
      <w:r w:rsidRPr="00B01620">
        <w:rPr>
          <w:rFonts w:ascii="Times New Roman" w:hAnsi="Times New Roman" w:cs="Times New Roman"/>
          <w:sz w:val="28"/>
          <w:szCs w:val="28"/>
        </w:rPr>
        <w:t>Tenvir (Tenofovir) is the most effective and potent antiviral drug among the three selected ones</w:t>
      </w:r>
      <w:r w:rsidR="00B9336B" w:rsidRPr="00B01620">
        <w:rPr>
          <w:rFonts w:ascii="Times New Roman" w:hAnsi="Times New Roman" w:cs="Times New Roman"/>
          <w:sz w:val="28"/>
          <w:szCs w:val="28"/>
        </w:rPr>
        <w:t>,</w:t>
      </w:r>
      <w:r w:rsidRPr="00B01620">
        <w:rPr>
          <w:rFonts w:ascii="Times New Roman" w:hAnsi="Times New Roman" w:cs="Times New Roman"/>
          <w:sz w:val="28"/>
          <w:szCs w:val="28"/>
        </w:rPr>
        <w:t xml:space="preserve"> </w:t>
      </w:r>
      <w:r w:rsidR="00487A1F" w:rsidRPr="00B01620">
        <w:rPr>
          <w:rFonts w:ascii="Times New Roman" w:hAnsi="Times New Roman" w:cs="Times New Roman"/>
          <w:sz w:val="28"/>
          <w:szCs w:val="28"/>
        </w:rPr>
        <w:t xml:space="preserve">at </w:t>
      </w:r>
      <w:r w:rsidR="00203AA6" w:rsidRPr="00B01620">
        <w:rPr>
          <w:rFonts w:ascii="Times New Roman" w:hAnsi="Times New Roman" w:cs="Times New Roman"/>
          <w:sz w:val="28"/>
          <w:szCs w:val="28"/>
        </w:rPr>
        <w:t>a dose of 50μg/mL as well as at 25 μg /mL.</w:t>
      </w:r>
      <w:r w:rsidR="006E5306" w:rsidRPr="00B01620">
        <w:rPr>
          <w:rFonts w:ascii="Times New Roman" w:hAnsi="Times New Roman" w:cs="Times New Roman"/>
          <w:sz w:val="28"/>
          <w:szCs w:val="28"/>
        </w:rPr>
        <w:t xml:space="preserve"> </w:t>
      </w:r>
      <w:r w:rsidRPr="00B01620">
        <w:rPr>
          <w:rFonts w:ascii="Times New Roman" w:hAnsi="Times New Roman" w:cs="Times New Roman"/>
          <w:sz w:val="28"/>
          <w:szCs w:val="28"/>
        </w:rPr>
        <w:t xml:space="preserve">Accurate and proper usage can easily </w:t>
      </w:r>
      <w:r w:rsidR="0010518C" w:rsidRPr="00B01620">
        <w:rPr>
          <w:rFonts w:ascii="Times New Roman" w:hAnsi="Times New Roman" w:cs="Times New Roman"/>
          <w:sz w:val="28"/>
          <w:szCs w:val="28"/>
        </w:rPr>
        <w:t xml:space="preserve">distinguish between the progression of COVID-19 </w:t>
      </w:r>
      <w:r w:rsidRPr="00B01620">
        <w:rPr>
          <w:rFonts w:ascii="Times New Roman" w:hAnsi="Times New Roman" w:cs="Times New Roman"/>
          <w:sz w:val="28"/>
          <w:szCs w:val="28"/>
        </w:rPr>
        <w:t>into mild and moderate illness stages.</w:t>
      </w:r>
    </w:p>
    <w:p w14:paraId="2116BDB9" w14:textId="1B9F33BE" w:rsidR="00185232" w:rsidRPr="00B01620" w:rsidRDefault="00185232" w:rsidP="00B01620">
      <w:pPr>
        <w:pStyle w:val="af1"/>
        <w:spacing w:after="0" w:line="240" w:lineRule="auto"/>
        <w:jc w:val="both"/>
        <w:rPr>
          <w:rFonts w:ascii="Times New Roman" w:hAnsi="Times New Roman" w:cs="Times New Roman"/>
          <w:sz w:val="28"/>
          <w:szCs w:val="28"/>
        </w:rPr>
      </w:pPr>
      <w:r w:rsidRPr="00B01620">
        <w:rPr>
          <w:rFonts w:ascii="Times New Roman" w:hAnsi="Times New Roman" w:cs="Times New Roman"/>
          <w:sz w:val="28"/>
          <w:szCs w:val="28"/>
        </w:rPr>
        <w:t xml:space="preserve"> Tenvir (Tenofovir) is a potent antiviral drug among the four selected </w:t>
      </w:r>
      <w:r w:rsidR="007C7692">
        <w:rPr>
          <w:rFonts w:ascii="Times New Roman" w:hAnsi="Times New Roman" w:cs="Times New Roman"/>
          <w:sz w:val="28"/>
          <w:szCs w:val="28"/>
        </w:rPr>
        <w:t>drugs against the SARS-CoV-2/human/KAZ/B1.1/2021</w:t>
      </w:r>
      <w:r w:rsidRPr="00B01620">
        <w:rPr>
          <w:rFonts w:ascii="Times New Roman" w:hAnsi="Times New Roman" w:cs="Times New Roman"/>
          <w:sz w:val="28"/>
          <w:szCs w:val="28"/>
        </w:rPr>
        <w:t xml:space="preserve"> Alpha variant strain</w:t>
      </w:r>
      <w:r w:rsidR="00352521" w:rsidRPr="00B01620">
        <w:rPr>
          <w:rFonts w:ascii="Times New Roman" w:hAnsi="Times New Roman" w:cs="Times New Roman"/>
          <w:sz w:val="28"/>
          <w:szCs w:val="28"/>
        </w:rPr>
        <w:t>. Its</w:t>
      </w:r>
      <w:r w:rsidRPr="00B01620">
        <w:rPr>
          <w:rFonts w:ascii="Times New Roman" w:hAnsi="Times New Roman" w:cs="Times New Roman"/>
          <w:sz w:val="28"/>
          <w:szCs w:val="28"/>
        </w:rPr>
        <w:t xml:space="preserve"> </w:t>
      </w:r>
      <w:r w:rsidR="007C7692">
        <w:rPr>
          <w:rFonts w:ascii="Times New Roman" w:hAnsi="Times New Roman" w:cs="Times New Roman"/>
          <w:sz w:val="28"/>
          <w:szCs w:val="28"/>
        </w:rPr>
        <w:t>optimal cytopathic viral load was observed</w:t>
      </w:r>
      <w:r w:rsidRPr="00B01620">
        <w:rPr>
          <w:rFonts w:ascii="Times New Roman" w:hAnsi="Times New Roman" w:cs="Times New Roman"/>
          <w:sz w:val="28"/>
          <w:szCs w:val="28"/>
        </w:rPr>
        <w:t xml:space="preserve"> at </w:t>
      </w:r>
      <w:r w:rsidR="00B132B2" w:rsidRPr="00B01620">
        <w:rPr>
          <w:rFonts w:ascii="Times New Roman" w:hAnsi="Times New Roman" w:cs="Times New Roman"/>
          <w:sz w:val="28"/>
          <w:szCs w:val="28"/>
        </w:rPr>
        <w:t>a multiplicity of infection (MOI) of</w:t>
      </w:r>
      <w:r w:rsidRPr="00B01620">
        <w:rPr>
          <w:rFonts w:ascii="Times New Roman" w:hAnsi="Times New Roman" w:cs="Times New Roman"/>
          <w:sz w:val="28"/>
          <w:szCs w:val="28"/>
        </w:rPr>
        <w:t xml:space="preserve"> 2. The EC</w:t>
      </w:r>
      <w:r w:rsidRPr="00B01620">
        <w:rPr>
          <w:rFonts w:ascii="Times New Roman" w:hAnsi="Times New Roman" w:cs="Times New Roman"/>
          <w:sz w:val="28"/>
          <w:szCs w:val="28"/>
          <w:vertAlign w:val="subscript"/>
        </w:rPr>
        <w:t>50</w:t>
      </w:r>
      <w:r w:rsidRPr="00B01620">
        <w:rPr>
          <w:rFonts w:ascii="Times New Roman" w:hAnsi="Times New Roman" w:cs="Times New Roman"/>
          <w:sz w:val="28"/>
          <w:szCs w:val="28"/>
        </w:rPr>
        <w:t xml:space="preserve"> in Tenvir’s exposure</w:t>
      </w:r>
      <w:r w:rsidR="00D826D0" w:rsidRPr="00B01620">
        <w:rPr>
          <w:rFonts w:ascii="Times New Roman" w:hAnsi="Times New Roman" w:cs="Times New Roman"/>
          <w:sz w:val="28"/>
          <w:szCs w:val="28"/>
        </w:rPr>
        <w:t xml:space="preserve"> (TDF)</w:t>
      </w:r>
      <w:r w:rsidRPr="00B01620">
        <w:rPr>
          <w:rFonts w:ascii="Times New Roman" w:hAnsi="Times New Roman" w:cs="Times New Roman"/>
          <w:sz w:val="28"/>
          <w:szCs w:val="28"/>
        </w:rPr>
        <w:t xml:space="preserve"> was not detected </w:t>
      </w:r>
      <w:r w:rsidR="00A40409" w:rsidRPr="00B01620">
        <w:rPr>
          <w:rFonts w:ascii="Times New Roman" w:hAnsi="Times New Roman" w:cs="Times New Roman"/>
          <w:sz w:val="28"/>
          <w:szCs w:val="28"/>
        </w:rPr>
        <w:t xml:space="preserve">due to high cytotoxicity in renal Vero E6 cells; we obtained only an ECmax/ICmax at 50 </w:t>
      </w:r>
      <w:r w:rsidRPr="00B01620">
        <w:rPr>
          <w:rFonts w:ascii="Times New Roman" w:hAnsi="Times New Roman" w:cs="Times New Roman"/>
          <w:sz w:val="28"/>
          <w:szCs w:val="28"/>
        </w:rPr>
        <w:t xml:space="preserve">µg/ml. </w:t>
      </w:r>
      <w:r w:rsidR="00A40409" w:rsidRPr="00B01620">
        <w:rPr>
          <w:rFonts w:ascii="Times New Roman" w:hAnsi="Times New Roman" w:cs="Times New Roman"/>
          <w:sz w:val="28"/>
          <w:szCs w:val="28"/>
        </w:rPr>
        <w:t>The approximate</w:t>
      </w:r>
      <w:r w:rsidR="008638C6" w:rsidRPr="00B01620">
        <w:rPr>
          <w:rFonts w:ascii="Times New Roman" w:hAnsi="Times New Roman" w:cs="Times New Roman"/>
          <w:sz w:val="28"/>
          <w:szCs w:val="28"/>
        </w:rPr>
        <w:t xml:space="preserve"> </w:t>
      </w:r>
      <w:r w:rsidR="007C7692">
        <w:rPr>
          <w:rFonts w:ascii="Times New Roman" w:hAnsi="Times New Roman" w:cs="Times New Roman"/>
          <w:sz w:val="28"/>
          <w:szCs w:val="28"/>
        </w:rPr>
        <w:t>EC50 is 0.5 µg/mL (1.74 µM) for</w:t>
      </w:r>
      <w:r w:rsidRPr="00B01620">
        <w:rPr>
          <w:rFonts w:ascii="Times New Roman" w:hAnsi="Times New Roman" w:cs="Times New Roman"/>
          <w:sz w:val="28"/>
          <w:szCs w:val="28"/>
        </w:rPr>
        <w:t xml:space="preserve"> tableted Tenvir (TDF).   </w:t>
      </w:r>
    </w:p>
    <w:p w14:paraId="00791DEE" w14:textId="7CA734B8" w:rsidR="00185232" w:rsidRPr="00B01620" w:rsidRDefault="00185232" w:rsidP="00B01620">
      <w:pPr>
        <w:pStyle w:val="af1"/>
        <w:spacing w:after="0" w:line="240" w:lineRule="auto"/>
        <w:jc w:val="both"/>
        <w:rPr>
          <w:rFonts w:ascii="Times New Roman" w:hAnsi="Times New Roman" w:cs="Times New Roman"/>
          <w:sz w:val="28"/>
          <w:szCs w:val="28"/>
        </w:rPr>
      </w:pPr>
      <w:r w:rsidRPr="00B01620">
        <w:rPr>
          <w:rFonts w:ascii="Times New Roman" w:hAnsi="Times New Roman" w:cs="Times New Roman"/>
          <w:sz w:val="28"/>
          <w:szCs w:val="28"/>
        </w:rPr>
        <w:t>5</w:t>
      </w:r>
      <w:r w:rsidR="00CD510F" w:rsidRPr="00CD510F">
        <w:rPr>
          <w:rFonts w:ascii="Times New Roman" w:hAnsi="Times New Roman" w:cs="Times New Roman"/>
          <w:sz w:val="28"/>
          <w:szCs w:val="28"/>
          <w:lang w:val="en-US"/>
        </w:rPr>
        <w:t>.</w:t>
      </w:r>
      <w:r w:rsidRPr="00B01620">
        <w:rPr>
          <w:rFonts w:ascii="Times New Roman" w:hAnsi="Times New Roman" w:cs="Times New Roman"/>
          <w:sz w:val="28"/>
          <w:szCs w:val="28"/>
        </w:rPr>
        <w:t xml:space="preserve"> The Inhibition coefficient IC</w:t>
      </w:r>
      <w:r w:rsidRPr="00B01620">
        <w:rPr>
          <w:rFonts w:ascii="Times New Roman" w:hAnsi="Times New Roman" w:cs="Times New Roman"/>
          <w:sz w:val="28"/>
          <w:szCs w:val="28"/>
          <w:vertAlign w:val="subscript"/>
        </w:rPr>
        <w:t>10</w:t>
      </w:r>
      <w:r w:rsidRPr="00B01620">
        <w:rPr>
          <w:rFonts w:ascii="Times New Roman" w:hAnsi="Times New Roman" w:cs="Times New Roman"/>
          <w:sz w:val="28"/>
          <w:szCs w:val="28"/>
        </w:rPr>
        <w:t xml:space="preserve"> →IC</w:t>
      </w:r>
      <w:r w:rsidRPr="00B01620">
        <w:rPr>
          <w:rFonts w:ascii="Times New Roman" w:hAnsi="Times New Roman" w:cs="Times New Roman"/>
          <w:sz w:val="28"/>
          <w:szCs w:val="28"/>
          <w:vertAlign w:val="subscript"/>
        </w:rPr>
        <w:t>50</w:t>
      </w:r>
      <w:r w:rsidRPr="00B01620">
        <w:rPr>
          <w:rFonts w:ascii="Times New Roman" w:hAnsi="Times New Roman" w:cs="Times New Roman"/>
          <w:sz w:val="28"/>
          <w:szCs w:val="28"/>
        </w:rPr>
        <w:t xml:space="preserve"> → IC</w:t>
      </w:r>
      <w:r w:rsidRPr="00B01620">
        <w:rPr>
          <w:rFonts w:ascii="Times New Roman" w:hAnsi="Times New Roman" w:cs="Times New Roman"/>
          <w:sz w:val="28"/>
          <w:szCs w:val="28"/>
          <w:vertAlign w:val="subscript"/>
        </w:rPr>
        <w:t xml:space="preserve">100 </w:t>
      </w:r>
      <w:r w:rsidRPr="00B01620">
        <w:rPr>
          <w:rFonts w:ascii="Times New Roman" w:hAnsi="Times New Roman" w:cs="Times New Roman"/>
          <w:sz w:val="28"/>
          <w:szCs w:val="28"/>
        </w:rPr>
        <w:t>-Range was determined</w:t>
      </w:r>
      <w:r w:rsidR="00E531B4" w:rsidRPr="00B01620">
        <w:rPr>
          <w:rFonts w:ascii="Times New Roman" w:hAnsi="Times New Roman" w:cs="Times New Roman"/>
          <w:sz w:val="28"/>
          <w:szCs w:val="28"/>
        </w:rPr>
        <w:t xml:space="preserve"> only in China, where the stock and pure TAF had an </w:t>
      </w:r>
      <w:r w:rsidRPr="00B01620">
        <w:rPr>
          <w:rFonts w:ascii="Times New Roman" w:hAnsi="Times New Roman" w:cs="Times New Roman"/>
          <w:sz w:val="28"/>
          <w:szCs w:val="28"/>
        </w:rPr>
        <w:t xml:space="preserve">acceptable SI (selectivity index). </w:t>
      </w:r>
    </w:p>
    <w:p w14:paraId="50348807" w14:textId="7B191B74" w:rsidR="00A3058E" w:rsidRPr="00A6371B" w:rsidRDefault="00185232" w:rsidP="00CD510F">
      <w:pPr>
        <w:pStyle w:val="af1"/>
        <w:spacing w:after="0" w:line="240" w:lineRule="auto"/>
        <w:jc w:val="both"/>
        <w:rPr>
          <w:rFonts w:ascii="Times New Roman" w:hAnsi="Times New Roman" w:cs="Times New Roman"/>
          <w:sz w:val="28"/>
          <w:szCs w:val="28"/>
          <w:lang w:val="en-US"/>
        </w:rPr>
      </w:pPr>
      <w:r w:rsidRPr="00B01620">
        <w:rPr>
          <w:rFonts w:ascii="Times New Roman" w:hAnsi="Times New Roman" w:cs="Times New Roman"/>
          <w:sz w:val="28"/>
          <w:szCs w:val="28"/>
        </w:rPr>
        <w:t>6</w:t>
      </w:r>
      <w:r w:rsidR="00CD510F" w:rsidRPr="00CD510F">
        <w:rPr>
          <w:rFonts w:ascii="Times New Roman" w:hAnsi="Times New Roman" w:cs="Times New Roman"/>
          <w:sz w:val="28"/>
          <w:szCs w:val="28"/>
          <w:lang w:val="en-US"/>
        </w:rPr>
        <w:t>.</w:t>
      </w:r>
      <w:r w:rsidRPr="00B01620">
        <w:rPr>
          <w:rFonts w:ascii="Times New Roman" w:hAnsi="Times New Roman" w:cs="Times New Roman"/>
          <w:sz w:val="28"/>
          <w:szCs w:val="28"/>
        </w:rPr>
        <w:t xml:space="preserve"> </w:t>
      </w:r>
      <w:r w:rsidR="00A3058E" w:rsidRPr="00B01620">
        <w:rPr>
          <w:rFonts w:ascii="Times New Roman" w:hAnsi="Times New Roman" w:cs="Times New Roman"/>
          <w:sz w:val="28"/>
          <w:szCs w:val="28"/>
        </w:rPr>
        <w:t xml:space="preserve">Preclinical studies in wild-type mice </w:t>
      </w:r>
      <w:r w:rsidR="0010518C" w:rsidRPr="00B01620">
        <w:rPr>
          <w:rFonts w:ascii="Times New Roman" w:hAnsi="Times New Roman" w:cs="Times New Roman"/>
          <w:sz w:val="28"/>
          <w:szCs w:val="28"/>
        </w:rPr>
        <w:t>of the antiviral innate immunity by injecting recombinant mouse IL-33, confirming the activation of CD90 and CD117 lymphoid cells in the lungs.</w:t>
      </w:r>
    </w:p>
    <w:p w14:paraId="4DD9CFA9" w14:textId="41233C4C" w:rsidR="00226539" w:rsidRPr="00B01620" w:rsidRDefault="00853685" w:rsidP="00961D0A">
      <w:pPr>
        <w:pStyle w:val="af1"/>
        <w:spacing w:after="0" w:line="240" w:lineRule="auto"/>
        <w:ind w:leftChars="-1" w:left="-2" w:firstLine="710"/>
        <w:jc w:val="both"/>
        <w:rPr>
          <w:rFonts w:ascii="Times New Roman" w:hAnsi="Times New Roman" w:cs="Times New Roman"/>
          <w:b/>
          <w:bCs/>
          <w:sz w:val="28"/>
          <w:szCs w:val="28"/>
        </w:rPr>
      </w:pPr>
      <w:r w:rsidRPr="00B01620">
        <w:rPr>
          <w:rFonts w:ascii="Times New Roman" w:hAnsi="Times New Roman" w:cs="Times New Roman"/>
          <w:b/>
          <w:bCs/>
          <w:sz w:val="28"/>
          <w:szCs w:val="28"/>
        </w:rPr>
        <w:t xml:space="preserve">Recommendations for </w:t>
      </w:r>
      <w:r w:rsidR="00B132B2" w:rsidRPr="00B01620">
        <w:rPr>
          <w:rFonts w:ascii="Times New Roman" w:hAnsi="Times New Roman" w:cs="Times New Roman"/>
          <w:b/>
          <w:bCs/>
          <w:sz w:val="28"/>
          <w:szCs w:val="28"/>
        </w:rPr>
        <w:t xml:space="preserve">the </w:t>
      </w:r>
      <w:r w:rsidRPr="00B01620">
        <w:rPr>
          <w:rFonts w:ascii="Times New Roman" w:hAnsi="Times New Roman" w:cs="Times New Roman"/>
          <w:b/>
          <w:bCs/>
          <w:sz w:val="28"/>
          <w:szCs w:val="28"/>
        </w:rPr>
        <w:t xml:space="preserve">specific use of results       </w:t>
      </w:r>
    </w:p>
    <w:p w14:paraId="59A32FC5" w14:textId="58A84C4F" w:rsidR="0022741E" w:rsidRPr="00B01620" w:rsidRDefault="00853685" w:rsidP="00B01620">
      <w:pPr>
        <w:spacing w:after="0" w:line="240" w:lineRule="auto"/>
        <w:ind w:firstLine="708"/>
        <w:jc w:val="both"/>
        <w:rPr>
          <w:rFonts w:ascii="Times New Roman" w:hAnsi="Times New Roman" w:cs="Times New Roman"/>
          <w:sz w:val="28"/>
          <w:szCs w:val="28"/>
        </w:rPr>
      </w:pPr>
      <w:r w:rsidRPr="00B01620">
        <w:rPr>
          <w:rFonts w:ascii="Times New Roman" w:hAnsi="Times New Roman" w:cs="Times New Roman"/>
          <w:sz w:val="28"/>
          <w:szCs w:val="28"/>
        </w:rPr>
        <w:t>The purine analogues</w:t>
      </w:r>
      <w:r w:rsidR="00A40409" w:rsidRPr="00B01620">
        <w:rPr>
          <w:rFonts w:ascii="Times New Roman" w:hAnsi="Times New Roman" w:cs="Times New Roman"/>
          <w:sz w:val="28"/>
          <w:szCs w:val="28"/>
        </w:rPr>
        <w:t xml:space="preserve"> Tenvir (tenofovir-TDF and TAF), Ribavirin, and Fabiflu (Favipiravir) are effective against SARS-CoV-2/human/KAZ/B1.1/2021 Alpha Variant and are highly likely to be effective against any strain of concern of the </w:t>
      </w:r>
      <w:r w:rsidR="0022741E" w:rsidRPr="00B01620">
        <w:rPr>
          <w:rFonts w:ascii="Times New Roman" w:hAnsi="Times New Roman" w:cs="Times New Roman"/>
          <w:sz w:val="28"/>
          <w:szCs w:val="28"/>
        </w:rPr>
        <w:t>SARS-CoV-2</w:t>
      </w:r>
      <w:r w:rsidRPr="00B01620">
        <w:rPr>
          <w:rFonts w:ascii="Times New Roman" w:hAnsi="Times New Roman" w:cs="Times New Roman"/>
          <w:sz w:val="28"/>
          <w:szCs w:val="28"/>
        </w:rPr>
        <w:t xml:space="preserve"> virus. Therefore, they are recommended for clinical treatment against COVID-19 in mild and moderate stages of progression. All four studied drugs could treat COVID-19-infected patients</w:t>
      </w:r>
      <w:r w:rsidR="00072DAE" w:rsidRPr="00B01620">
        <w:rPr>
          <w:rFonts w:ascii="Times New Roman" w:hAnsi="Times New Roman" w:cs="Times New Roman"/>
          <w:sz w:val="28"/>
          <w:szCs w:val="28"/>
        </w:rPr>
        <w:t xml:space="preserve">, </w:t>
      </w:r>
      <w:r w:rsidR="0022741E" w:rsidRPr="00B01620">
        <w:rPr>
          <w:rFonts w:ascii="Times New Roman" w:hAnsi="Times New Roman" w:cs="Times New Roman"/>
          <w:sz w:val="28"/>
          <w:szCs w:val="28"/>
        </w:rPr>
        <w:t>as well as other pandemic-related outbreaks and seasonal Influenza A and B-like infections,</w:t>
      </w:r>
      <w:r w:rsidR="00481EA7" w:rsidRPr="00B01620">
        <w:rPr>
          <w:rFonts w:ascii="Times New Roman" w:hAnsi="Times New Roman" w:cs="Times New Roman"/>
          <w:sz w:val="28"/>
          <w:szCs w:val="28"/>
        </w:rPr>
        <w:t xml:space="preserve"> within a proper antiviral </w:t>
      </w:r>
      <w:r w:rsidRPr="00B01620">
        <w:rPr>
          <w:rFonts w:ascii="Times New Roman" w:hAnsi="Times New Roman" w:cs="Times New Roman"/>
          <w:sz w:val="28"/>
          <w:szCs w:val="28"/>
        </w:rPr>
        <w:t>time window.</w:t>
      </w:r>
      <w:r w:rsidR="00E531B4" w:rsidRPr="00B01620">
        <w:rPr>
          <w:rFonts w:ascii="Times New Roman" w:hAnsi="Times New Roman" w:cs="Times New Roman"/>
          <w:sz w:val="28"/>
          <w:szCs w:val="28"/>
        </w:rPr>
        <w:t xml:space="preserve"> </w:t>
      </w:r>
      <w:r w:rsidRPr="00B01620">
        <w:rPr>
          <w:rFonts w:ascii="Times New Roman" w:hAnsi="Times New Roman" w:cs="Times New Roman"/>
          <w:sz w:val="28"/>
          <w:szCs w:val="28"/>
        </w:rPr>
        <w:t xml:space="preserve">The methodological recommendations for optimal parameters of cytotoxicity tests could </w:t>
      </w:r>
      <w:r w:rsidRPr="00B01620">
        <w:rPr>
          <w:rFonts w:ascii="Times New Roman" w:hAnsi="Times New Roman" w:cs="Times New Roman"/>
          <w:sz w:val="28"/>
          <w:szCs w:val="28"/>
        </w:rPr>
        <w:lastRenderedPageBreak/>
        <w:t xml:space="preserve">help conduct similar studies </w:t>
      </w:r>
      <w:r w:rsidR="007C7692">
        <w:rPr>
          <w:rFonts w:ascii="Times New Roman" w:hAnsi="Times New Roman" w:cs="Times New Roman"/>
          <w:sz w:val="28"/>
          <w:szCs w:val="28"/>
        </w:rPr>
        <w:t>on other antiviral activity structures and combinations, as well as in different cell cultures, such as</w:t>
      </w:r>
      <w:r w:rsidRPr="00B01620">
        <w:rPr>
          <w:rFonts w:ascii="Times New Roman" w:hAnsi="Times New Roman" w:cs="Times New Roman"/>
          <w:sz w:val="28"/>
          <w:szCs w:val="28"/>
        </w:rPr>
        <w:t xml:space="preserve"> respiratory tract tissue models, as suggested in the concluding part.  </w:t>
      </w:r>
      <w:r w:rsidR="00440AD7" w:rsidRPr="00B01620">
        <w:rPr>
          <w:rFonts w:ascii="Times New Roman" w:hAnsi="Times New Roman" w:cs="Times New Roman"/>
          <w:sz w:val="28"/>
          <w:szCs w:val="28"/>
        </w:rPr>
        <w:t xml:space="preserve">The tenofovir </w:t>
      </w:r>
      <w:r w:rsidR="008F402B" w:rsidRPr="00B01620">
        <w:rPr>
          <w:rFonts w:ascii="Times New Roman" w:hAnsi="Times New Roman" w:cs="Times New Roman"/>
          <w:sz w:val="28"/>
          <w:szCs w:val="28"/>
        </w:rPr>
        <w:t xml:space="preserve">TDF prodrug </w:t>
      </w:r>
      <w:r w:rsidR="007C7692">
        <w:rPr>
          <w:rFonts w:ascii="Times New Roman" w:hAnsi="Times New Roman" w:cs="Times New Roman"/>
          <w:sz w:val="28"/>
          <w:szCs w:val="28"/>
        </w:rPr>
        <w:t xml:space="preserve">we were working with in Kazakhstan showed 99% viral inhibition only at </w:t>
      </w:r>
      <w:r w:rsidR="008F402B" w:rsidRPr="00B01620">
        <w:rPr>
          <w:rFonts w:ascii="Times New Roman" w:hAnsi="Times New Roman" w:cs="Times New Roman"/>
          <w:sz w:val="28"/>
          <w:szCs w:val="28"/>
        </w:rPr>
        <w:t>50 µg/mL. However</w:t>
      </w:r>
      <w:r w:rsidR="00390B7B" w:rsidRPr="00B01620">
        <w:rPr>
          <w:rFonts w:ascii="Times New Roman" w:hAnsi="Times New Roman" w:cs="Times New Roman"/>
          <w:sz w:val="28"/>
          <w:szCs w:val="28"/>
        </w:rPr>
        <w:t>, if we had diluted this prodrug to 25 µg/mL, we would have achieved 99% inhibition,</w:t>
      </w:r>
      <w:r w:rsidR="00CB39DC" w:rsidRPr="00B01620">
        <w:rPr>
          <w:rFonts w:ascii="Times New Roman" w:hAnsi="Times New Roman" w:cs="Times New Roman"/>
          <w:sz w:val="28"/>
          <w:szCs w:val="28"/>
        </w:rPr>
        <w:t xml:space="preserve"> </w:t>
      </w:r>
      <w:r w:rsidR="007C7692">
        <w:rPr>
          <w:rFonts w:ascii="Times New Roman" w:hAnsi="Times New Roman" w:cs="Times New Roman"/>
          <w:sz w:val="28"/>
          <w:szCs w:val="28"/>
        </w:rPr>
        <w:t>with better cell survival</w:t>
      </w:r>
      <w:r w:rsidR="008D5EAA" w:rsidRPr="00B01620">
        <w:rPr>
          <w:rFonts w:ascii="Times New Roman" w:hAnsi="Times New Roman" w:cs="Times New Roman"/>
          <w:sz w:val="28"/>
          <w:szCs w:val="28"/>
        </w:rPr>
        <w:t>.</w:t>
      </w:r>
      <w:r w:rsidR="00D37E55" w:rsidRPr="00B01620">
        <w:rPr>
          <w:rFonts w:ascii="Times New Roman" w:hAnsi="Times New Roman" w:cs="Times New Roman"/>
          <w:sz w:val="28"/>
          <w:szCs w:val="28"/>
        </w:rPr>
        <w:t xml:space="preserve"> </w:t>
      </w:r>
      <w:r w:rsidR="00440AD7" w:rsidRPr="00B01620">
        <w:rPr>
          <w:rFonts w:ascii="Times New Roman" w:hAnsi="Times New Roman" w:cs="Times New Roman"/>
          <w:sz w:val="28"/>
          <w:szCs w:val="28"/>
        </w:rPr>
        <w:t xml:space="preserve"> </w:t>
      </w:r>
      <w:r w:rsidR="0097771B" w:rsidRPr="00B01620">
        <w:rPr>
          <w:rFonts w:ascii="Times New Roman" w:hAnsi="Times New Roman" w:cs="Times New Roman"/>
          <w:sz w:val="28"/>
          <w:szCs w:val="28"/>
        </w:rPr>
        <w:t>However,</w:t>
      </w:r>
      <w:r w:rsidR="0083329F" w:rsidRPr="00B01620">
        <w:rPr>
          <w:rFonts w:ascii="Times New Roman" w:hAnsi="Times New Roman" w:cs="Times New Roman"/>
          <w:sz w:val="28"/>
          <w:szCs w:val="28"/>
        </w:rPr>
        <w:t xml:space="preserve"> we </w:t>
      </w:r>
      <w:r w:rsidR="00635B09" w:rsidRPr="00B01620">
        <w:rPr>
          <w:rFonts w:ascii="Times New Roman" w:hAnsi="Times New Roman" w:cs="Times New Roman"/>
          <w:sz w:val="28"/>
          <w:szCs w:val="28"/>
        </w:rPr>
        <w:t xml:space="preserve">must </w:t>
      </w:r>
      <w:r w:rsidR="008F402B" w:rsidRPr="00B01620">
        <w:rPr>
          <w:rFonts w:ascii="Times New Roman" w:hAnsi="Times New Roman" w:cs="Times New Roman"/>
          <w:sz w:val="28"/>
          <w:szCs w:val="28"/>
        </w:rPr>
        <w:t>acknowledge that the selected antivirals may have reacted differently against SARS-CoV-2 and could be more suitable for human treatment. For</w:t>
      </w:r>
      <w:r w:rsidR="00635B09" w:rsidRPr="00B01620">
        <w:rPr>
          <w:rFonts w:ascii="Times New Roman" w:hAnsi="Times New Roman" w:cs="Times New Roman"/>
          <w:sz w:val="28"/>
          <w:szCs w:val="28"/>
        </w:rPr>
        <w:t xml:space="preserve"> this purpose, we suggest testing these antivirals </w:t>
      </w:r>
      <w:r w:rsidR="00BE443F">
        <w:rPr>
          <w:rFonts w:ascii="Times New Roman" w:hAnsi="Times New Roman" w:cs="Times New Roman"/>
          <w:sz w:val="28"/>
          <w:szCs w:val="28"/>
        </w:rPr>
        <w:t>in human HeLa cells</w:t>
      </w:r>
      <w:r w:rsidR="0097771B" w:rsidRPr="00B01620">
        <w:rPr>
          <w:rFonts w:ascii="Times New Roman" w:hAnsi="Times New Roman" w:cs="Times New Roman"/>
          <w:sz w:val="28"/>
          <w:szCs w:val="28"/>
        </w:rPr>
        <w:t xml:space="preserve">. </w:t>
      </w:r>
      <w:r w:rsidR="00C96BB1" w:rsidRPr="00B01620">
        <w:rPr>
          <w:rFonts w:ascii="Times New Roman" w:hAnsi="Times New Roman" w:cs="Times New Roman"/>
          <w:sz w:val="28"/>
          <w:szCs w:val="28"/>
        </w:rPr>
        <w:t xml:space="preserve"> </w:t>
      </w:r>
    </w:p>
    <w:p w14:paraId="13C43149" w14:textId="646C740D" w:rsidR="00226539" w:rsidRPr="00B01620" w:rsidRDefault="00853685" w:rsidP="00961D0A">
      <w:pPr>
        <w:spacing w:after="0" w:line="240" w:lineRule="auto"/>
        <w:ind w:firstLine="708"/>
        <w:jc w:val="both"/>
        <w:rPr>
          <w:rFonts w:ascii="Times New Roman" w:hAnsi="Times New Roman" w:cs="Times New Roman"/>
          <w:b/>
          <w:bCs/>
          <w:sz w:val="28"/>
          <w:szCs w:val="28"/>
        </w:rPr>
      </w:pPr>
      <w:r w:rsidRPr="00B01620">
        <w:rPr>
          <w:rFonts w:ascii="Times New Roman" w:hAnsi="Times New Roman" w:cs="Times New Roman"/>
          <w:b/>
          <w:bCs/>
          <w:sz w:val="28"/>
          <w:szCs w:val="28"/>
        </w:rPr>
        <w:t>Assessment of the scientific level of the work performed</w:t>
      </w:r>
      <w:r w:rsidR="0022741E" w:rsidRPr="00B01620">
        <w:rPr>
          <w:rFonts w:ascii="Times New Roman" w:hAnsi="Times New Roman" w:cs="Times New Roman"/>
          <w:b/>
          <w:bCs/>
          <w:sz w:val="28"/>
          <w:szCs w:val="28"/>
        </w:rPr>
        <w:t>.</w:t>
      </w:r>
    </w:p>
    <w:p w14:paraId="576971A3" w14:textId="22FB74EB" w:rsidR="002C203A" w:rsidRPr="00B01620" w:rsidRDefault="00853685" w:rsidP="00B01620">
      <w:pPr>
        <w:spacing w:after="0" w:line="240" w:lineRule="auto"/>
        <w:ind w:firstLine="708"/>
        <w:jc w:val="both"/>
        <w:rPr>
          <w:rFonts w:ascii="Times New Roman" w:hAnsi="Times New Roman" w:cs="Times New Roman"/>
          <w:sz w:val="28"/>
          <w:szCs w:val="28"/>
        </w:rPr>
      </w:pPr>
      <w:r w:rsidRPr="00B01620">
        <w:rPr>
          <w:rFonts w:ascii="Times New Roman" w:hAnsi="Times New Roman" w:cs="Times New Roman"/>
          <w:sz w:val="28"/>
          <w:szCs w:val="28"/>
        </w:rPr>
        <w:t xml:space="preserve">The scientific </w:t>
      </w:r>
      <w:r w:rsidR="007C7692">
        <w:rPr>
          <w:rFonts w:ascii="Times New Roman" w:hAnsi="Times New Roman" w:cs="Times New Roman"/>
          <w:sz w:val="28"/>
          <w:szCs w:val="28"/>
        </w:rPr>
        <w:t xml:space="preserve">quality of the provided work meets international research standards in this </w:t>
      </w:r>
      <w:r w:rsidRPr="00B01620">
        <w:rPr>
          <w:rFonts w:ascii="Times New Roman" w:hAnsi="Times New Roman" w:cs="Times New Roman"/>
          <w:sz w:val="28"/>
          <w:szCs w:val="28"/>
        </w:rPr>
        <w:t xml:space="preserve">field. The work </w:t>
      </w:r>
      <w:r w:rsidR="00072DAE" w:rsidRPr="00B01620">
        <w:rPr>
          <w:rFonts w:ascii="Times New Roman" w:hAnsi="Times New Roman" w:cs="Times New Roman"/>
          <w:sz w:val="28"/>
          <w:szCs w:val="28"/>
        </w:rPr>
        <w:t>used</w:t>
      </w:r>
      <w:r w:rsidR="00A40409" w:rsidRPr="00B01620">
        <w:rPr>
          <w:rFonts w:ascii="Times New Roman" w:hAnsi="Times New Roman" w:cs="Times New Roman"/>
          <w:sz w:val="28"/>
          <w:szCs w:val="28"/>
        </w:rPr>
        <w:t xml:space="preserve"> appropriate virological, biochemical, and molecular genetic</w:t>
      </w:r>
      <w:r w:rsidRPr="00B01620">
        <w:rPr>
          <w:rFonts w:ascii="Times New Roman" w:hAnsi="Times New Roman" w:cs="Times New Roman"/>
          <w:sz w:val="28"/>
          <w:szCs w:val="28"/>
        </w:rPr>
        <w:t xml:space="preserve"> methods. The antiviral effects on viral </w:t>
      </w:r>
      <w:r w:rsidR="00BE443F">
        <w:rPr>
          <w:rFonts w:ascii="Times New Roman" w:hAnsi="Times New Roman" w:cs="Times New Roman"/>
          <w:sz w:val="28"/>
          <w:szCs w:val="28"/>
        </w:rPr>
        <w:t>replication and the range of cytotoxicity were investigated</w:t>
      </w:r>
      <w:r w:rsidRPr="00B01620">
        <w:rPr>
          <w:rFonts w:ascii="Times New Roman" w:hAnsi="Times New Roman" w:cs="Times New Roman"/>
          <w:sz w:val="28"/>
          <w:szCs w:val="28"/>
        </w:rPr>
        <w:t xml:space="preserve">. </w:t>
      </w:r>
      <w:r w:rsidR="00573EF0" w:rsidRPr="00B01620">
        <w:rPr>
          <w:rFonts w:ascii="Times New Roman" w:hAnsi="Times New Roman" w:cs="Times New Roman"/>
          <w:sz w:val="28"/>
          <w:szCs w:val="28"/>
        </w:rPr>
        <w:t xml:space="preserve">This study underscores the importance of integrating cytotoxicity and antiviral assays in early-stage drug screening. The combination of CCK-8 and MTT methodologies </w:t>
      </w:r>
      <w:r w:rsidR="00A40409" w:rsidRPr="00B01620">
        <w:rPr>
          <w:rFonts w:ascii="Times New Roman" w:hAnsi="Times New Roman" w:cs="Times New Roman"/>
          <w:sz w:val="28"/>
          <w:szCs w:val="28"/>
        </w:rPr>
        <w:t>provides a robust framework for identifying safe and</w:t>
      </w:r>
      <w:r w:rsidR="00573EF0" w:rsidRPr="00B01620">
        <w:rPr>
          <w:rFonts w:ascii="Times New Roman" w:hAnsi="Times New Roman" w:cs="Times New Roman"/>
          <w:sz w:val="28"/>
          <w:szCs w:val="28"/>
        </w:rPr>
        <w:t xml:space="preserve"> potent antiviral candidates, paving the way for advancing promising therapeutics into preclinical development.</w:t>
      </w:r>
    </w:p>
    <w:p w14:paraId="6D5336E1" w14:textId="77777777" w:rsidR="009504B6" w:rsidRPr="00B01620" w:rsidRDefault="009504B6" w:rsidP="00B01620">
      <w:pPr>
        <w:pStyle w:val="af1"/>
        <w:spacing w:after="0" w:line="240" w:lineRule="auto"/>
        <w:ind w:firstLineChars="709" w:firstLine="1985"/>
        <w:jc w:val="both"/>
        <w:rPr>
          <w:rFonts w:ascii="Times New Roman" w:hAnsi="Times New Roman" w:cs="Times New Roman"/>
          <w:sz w:val="28"/>
          <w:szCs w:val="28"/>
        </w:rPr>
      </w:pPr>
    </w:p>
    <w:p w14:paraId="78EB9747" w14:textId="77777777" w:rsidR="009504B6" w:rsidRPr="00003FFC" w:rsidRDefault="009504B6" w:rsidP="009C40C4">
      <w:pPr>
        <w:pStyle w:val="af1"/>
        <w:spacing w:after="0" w:line="360" w:lineRule="auto"/>
        <w:ind w:firstLineChars="709" w:firstLine="1702"/>
        <w:jc w:val="both"/>
        <w:rPr>
          <w:rFonts w:ascii="Times New Roman" w:hAnsi="Times New Roman" w:cs="Times New Roman"/>
          <w:sz w:val="24"/>
          <w:szCs w:val="24"/>
        </w:rPr>
      </w:pPr>
    </w:p>
    <w:p w14:paraId="7D44B03F" w14:textId="77777777" w:rsidR="009504B6" w:rsidRDefault="009504B6" w:rsidP="009C40C4">
      <w:pPr>
        <w:pStyle w:val="af1"/>
        <w:spacing w:after="0" w:line="360" w:lineRule="auto"/>
        <w:ind w:firstLineChars="709" w:firstLine="1702"/>
        <w:jc w:val="both"/>
        <w:rPr>
          <w:rFonts w:ascii="Times New Roman" w:hAnsi="Times New Roman" w:cs="Times New Roman"/>
          <w:sz w:val="24"/>
          <w:szCs w:val="24"/>
        </w:rPr>
      </w:pPr>
    </w:p>
    <w:p w14:paraId="0657B0CC" w14:textId="77777777" w:rsidR="009C40C4" w:rsidRPr="00003FFC" w:rsidRDefault="009C40C4" w:rsidP="00003FFC">
      <w:pPr>
        <w:pStyle w:val="af1"/>
        <w:spacing w:after="0" w:line="360" w:lineRule="auto"/>
        <w:ind w:firstLineChars="709" w:firstLine="1702"/>
        <w:jc w:val="both"/>
        <w:rPr>
          <w:rFonts w:ascii="Times New Roman" w:hAnsi="Times New Roman" w:cs="Times New Roman"/>
          <w:sz w:val="24"/>
          <w:szCs w:val="24"/>
        </w:rPr>
      </w:pPr>
    </w:p>
    <w:p w14:paraId="35ECE8FD" w14:textId="77777777" w:rsidR="0022741E" w:rsidRDefault="0022741E" w:rsidP="00003FFC">
      <w:pPr>
        <w:spacing w:after="0" w:line="360" w:lineRule="auto"/>
        <w:jc w:val="both"/>
        <w:rPr>
          <w:rFonts w:ascii="Times New Roman" w:hAnsi="Times New Roman" w:cs="Times New Roman"/>
          <w:b/>
          <w:bCs/>
          <w:sz w:val="24"/>
          <w:szCs w:val="24"/>
        </w:rPr>
      </w:pPr>
    </w:p>
    <w:p w14:paraId="6AF0B14C" w14:textId="77777777" w:rsidR="00B01620" w:rsidRDefault="00B01620" w:rsidP="00003FFC">
      <w:pPr>
        <w:spacing w:after="0" w:line="360" w:lineRule="auto"/>
        <w:jc w:val="both"/>
        <w:rPr>
          <w:rFonts w:ascii="Times New Roman" w:hAnsi="Times New Roman" w:cs="Times New Roman"/>
          <w:b/>
          <w:bCs/>
          <w:sz w:val="24"/>
          <w:szCs w:val="24"/>
        </w:rPr>
      </w:pPr>
    </w:p>
    <w:p w14:paraId="483A0624" w14:textId="77777777" w:rsidR="00B01620" w:rsidRDefault="00B01620" w:rsidP="00003FFC">
      <w:pPr>
        <w:spacing w:after="0" w:line="360" w:lineRule="auto"/>
        <w:jc w:val="both"/>
        <w:rPr>
          <w:rFonts w:ascii="Times New Roman" w:hAnsi="Times New Roman" w:cs="Times New Roman"/>
          <w:b/>
          <w:bCs/>
          <w:sz w:val="24"/>
          <w:szCs w:val="24"/>
        </w:rPr>
      </w:pPr>
    </w:p>
    <w:p w14:paraId="2AD372A0" w14:textId="77777777" w:rsidR="00B01620" w:rsidRDefault="00B01620" w:rsidP="00003FFC">
      <w:pPr>
        <w:spacing w:after="0" w:line="360" w:lineRule="auto"/>
        <w:jc w:val="both"/>
        <w:rPr>
          <w:rFonts w:ascii="Times New Roman" w:hAnsi="Times New Roman" w:cs="Times New Roman"/>
          <w:b/>
          <w:bCs/>
          <w:sz w:val="24"/>
          <w:szCs w:val="24"/>
        </w:rPr>
      </w:pPr>
    </w:p>
    <w:p w14:paraId="33DFEEC5" w14:textId="77777777" w:rsidR="00B01620" w:rsidRDefault="00B01620" w:rsidP="00003FFC">
      <w:pPr>
        <w:spacing w:after="0" w:line="360" w:lineRule="auto"/>
        <w:jc w:val="both"/>
        <w:rPr>
          <w:rFonts w:ascii="Times New Roman" w:hAnsi="Times New Roman" w:cs="Times New Roman"/>
          <w:b/>
          <w:bCs/>
          <w:sz w:val="24"/>
          <w:szCs w:val="24"/>
        </w:rPr>
      </w:pPr>
    </w:p>
    <w:p w14:paraId="64143D96" w14:textId="77777777" w:rsidR="00B01620" w:rsidRDefault="00B01620" w:rsidP="00003FFC">
      <w:pPr>
        <w:spacing w:after="0" w:line="360" w:lineRule="auto"/>
        <w:jc w:val="both"/>
        <w:rPr>
          <w:rFonts w:ascii="Times New Roman" w:hAnsi="Times New Roman" w:cs="Times New Roman"/>
          <w:b/>
          <w:bCs/>
          <w:sz w:val="24"/>
          <w:szCs w:val="24"/>
        </w:rPr>
      </w:pPr>
    </w:p>
    <w:p w14:paraId="42DFF7AA" w14:textId="77777777" w:rsidR="00B01620" w:rsidRDefault="00B01620" w:rsidP="00003FFC">
      <w:pPr>
        <w:spacing w:after="0" w:line="360" w:lineRule="auto"/>
        <w:jc w:val="both"/>
        <w:rPr>
          <w:rFonts w:ascii="Times New Roman" w:hAnsi="Times New Roman" w:cs="Times New Roman"/>
          <w:b/>
          <w:bCs/>
          <w:sz w:val="24"/>
          <w:szCs w:val="24"/>
        </w:rPr>
      </w:pPr>
    </w:p>
    <w:p w14:paraId="4C22DA6D" w14:textId="77777777" w:rsidR="00B01620" w:rsidRDefault="00B01620" w:rsidP="00003FFC">
      <w:pPr>
        <w:spacing w:after="0" w:line="360" w:lineRule="auto"/>
        <w:jc w:val="both"/>
        <w:rPr>
          <w:rFonts w:ascii="Times New Roman" w:hAnsi="Times New Roman" w:cs="Times New Roman"/>
          <w:b/>
          <w:bCs/>
          <w:sz w:val="24"/>
          <w:szCs w:val="24"/>
        </w:rPr>
      </w:pPr>
    </w:p>
    <w:p w14:paraId="73A4847A" w14:textId="77777777" w:rsidR="00B01620" w:rsidRDefault="00B01620" w:rsidP="00003FFC">
      <w:pPr>
        <w:spacing w:after="0" w:line="360" w:lineRule="auto"/>
        <w:jc w:val="both"/>
        <w:rPr>
          <w:rFonts w:ascii="Times New Roman" w:hAnsi="Times New Roman" w:cs="Times New Roman"/>
          <w:b/>
          <w:bCs/>
          <w:sz w:val="24"/>
          <w:szCs w:val="24"/>
        </w:rPr>
      </w:pPr>
    </w:p>
    <w:p w14:paraId="53CE6077" w14:textId="77777777" w:rsidR="00B01620" w:rsidRDefault="00B01620" w:rsidP="00003FFC">
      <w:pPr>
        <w:spacing w:after="0" w:line="360" w:lineRule="auto"/>
        <w:jc w:val="both"/>
        <w:rPr>
          <w:rFonts w:ascii="Times New Roman" w:hAnsi="Times New Roman" w:cs="Times New Roman"/>
          <w:b/>
          <w:bCs/>
          <w:sz w:val="24"/>
          <w:szCs w:val="24"/>
        </w:rPr>
      </w:pPr>
    </w:p>
    <w:p w14:paraId="4F76FBEC" w14:textId="77777777" w:rsidR="00B01620" w:rsidRDefault="00B01620" w:rsidP="00003FFC">
      <w:pPr>
        <w:spacing w:after="0" w:line="360" w:lineRule="auto"/>
        <w:jc w:val="both"/>
        <w:rPr>
          <w:rFonts w:ascii="Times New Roman" w:hAnsi="Times New Roman" w:cs="Times New Roman"/>
          <w:b/>
          <w:bCs/>
          <w:sz w:val="24"/>
          <w:szCs w:val="24"/>
        </w:rPr>
      </w:pPr>
    </w:p>
    <w:p w14:paraId="266531BD" w14:textId="77777777" w:rsidR="00B01620" w:rsidRDefault="00B01620" w:rsidP="00003FFC">
      <w:pPr>
        <w:spacing w:after="0" w:line="360" w:lineRule="auto"/>
        <w:jc w:val="both"/>
        <w:rPr>
          <w:rFonts w:ascii="Times New Roman" w:hAnsi="Times New Roman" w:cs="Times New Roman"/>
          <w:b/>
          <w:bCs/>
          <w:sz w:val="24"/>
          <w:szCs w:val="24"/>
        </w:rPr>
      </w:pPr>
    </w:p>
    <w:p w14:paraId="7B01C5ED" w14:textId="77777777" w:rsidR="00B01620" w:rsidRDefault="00B01620" w:rsidP="00003FFC">
      <w:pPr>
        <w:spacing w:after="0" w:line="360" w:lineRule="auto"/>
        <w:jc w:val="both"/>
        <w:rPr>
          <w:rFonts w:ascii="Times New Roman" w:hAnsi="Times New Roman" w:cs="Times New Roman"/>
          <w:b/>
          <w:bCs/>
          <w:sz w:val="24"/>
          <w:szCs w:val="24"/>
        </w:rPr>
      </w:pPr>
    </w:p>
    <w:p w14:paraId="4473995B" w14:textId="77777777" w:rsidR="00BE443F" w:rsidRDefault="00BE443F" w:rsidP="00003FFC">
      <w:pPr>
        <w:spacing w:after="0" w:line="360" w:lineRule="auto"/>
        <w:jc w:val="both"/>
        <w:rPr>
          <w:rFonts w:ascii="Times New Roman" w:hAnsi="Times New Roman" w:cs="Times New Roman"/>
          <w:b/>
          <w:bCs/>
          <w:sz w:val="24"/>
          <w:szCs w:val="24"/>
        </w:rPr>
      </w:pPr>
    </w:p>
    <w:p w14:paraId="0A30FEA9" w14:textId="77777777" w:rsidR="00B01620" w:rsidRPr="00A6371B" w:rsidRDefault="00B01620" w:rsidP="00003FFC">
      <w:pPr>
        <w:spacing w:after="0" w:line="360" w:lineRule="auto"/>
        <w:jc w:val="both"/>
        <w:rPr>
          <w:rFonts w:ascii="Times New Roman" w:hAnsi="Times New Roman" w:cs="Times New Roman"/>
          <w:b/>
          <w:bCs/>
          <w:sz w:val="24"/>
          <w:szCs w:val="24"/>
          <w:lang w:val="en-US"/>
        </w:rPr>
      </w:pPr>
    </w:p>
    <w:p w14:paraId="6468C8D6" w14:textId="77777777" w:rsidR="00961D0A" w:rsidRPr="00A6371B" w:rsidRDefault="00961D0A" w:rsidP="00003FFC">
      <w:pPr>
        <w:spacing w:after="0" w:line="360" w:lineRule="auto"/>
        <w:jc w:val="both"/>
        <w:rPr>
          <w:rFonts w:ascii="Times New Roman" w:hAnsi="Times New Roman" w:cs="Times New Roman"/>
          <w:b/>
          <w:bCs/>
          <w:sz w:val="24"/>
          <w:szCs w:val="24"/>
          <w:lang w:val="en-US"/>
        </w:rPr>
      </w:pPr>
    </w:p>
    <w:p w14:paraId="4B5A99B6" w14:textId="77777777" w:rsidR="00FA196C" w:rsidRPr="00A6371B" w:rsidRDefault="00FA196C" w:rsidP="00003FFC">
      <w:pPr>
        <w:spacing w:after="0" w:line="360" w:lineRule="auto"/>
        <w:jc w:val="both"/>
        <w:rPr>
          <w:rFonts w:ascii="Times New Roman" w:hAnsi="Times New Roman" w:cs="Times New Roman"/>
          <w:b/>
          <w:bCs/>
          <w:sz w:val="24"/>
          <w:szCs w:val="24"/>
          <w:lang w:val="en-US"/>
        </w:rPr>
      </w:pPr>
    </w:p>
    <w:p w14:paraId="7EEB55D1" w14:textId="77777777" w:rsidR="008F43D0" w:rsidRPr="00A6371B" w:rsidRDefault="008F43D0" w:rsidP="00003FFC">
      <w:pPr>
        <w:spacing w:after="0" w:line="360" w:lineRule="auto"/>
        <w:jc w:val="both"/>
        <w:rPr>
          <w:rFonts w:ascii="Times New Roman" w:hAnsi="Times New Roman" w:cs="Times New Roman"/>
          <w:b/>
          <w:bCs/>
          <w:sz w:val="24"/>
          <w:szCs w:val="24"/>
          <w:lang w:val="en-US"/>
        </w:rPr>
      </w:pPr>
    </w:p>
    <w:p w14:paraId="26D1B257" w14:textId="77777777" w:rsidR="00226539" w:rsidRPr="00B01620" w:rsidRDefault="00853685" w:rsidP="008809CA">
      <w:pPr>
        <w:spacing w:after="0" w:line="240" w:lineRule="auto"/>
        <w:jc w:val="center"/>
        <w:rPr>
          <w:rFonts w:ascii="Times New Roman" w:hAnsi="Times New Roman" w:cs="Times New Roman"/>
          <w:b/>
          <w:bCs/>
          <w:sz w:val="28"/>
          <w:szCs w:val="28"/>
        </w:rPr>
      </w:pPr>
      <w:r w:rsidRPr="00B01620">
        <w:rPr>
          <w:rFonts w:ascii="Times New Roman" w:hAnsi="Times New Roman" w:cs="Times New Roman"/>
          <w:b/>
          <w:bCs/>
          <w:sz w:val="28"/>
          <w:szCs w:val="28"/>
        </w:rPr>
        <w:lastRenderedPageBreak/>
        <w:t>REFERENCE</w:t>
      </w:r>
    </w:p>
    <w:p w14:paraId="4B2A4C9B" w14:textId="77777777" w:rsidR="009C40C4" w:rsidRPr="00B01620" w:rsidRDefault="009C40C4" w:rsidP="008809CA">
      <w:pPr>
        <w:spacing w:after="0" w:line="240" w:lineRule="auto"/>
        <w:jc w:val="center"/>
        <w:rPr>
          <w:rFonts w:ascii="Times New Roman" w:hAnsi="Times New Roman" w:cs="Times New Roman"/>
          <w:sz w:val="28"/>
          <w:szCs w:val="28"/>
        </w:rPr>
      </w:pPr>
    </w:p>
    <w:p w14:paraId="55B38427" w14:textId="37037324" w:rsidR="00226539" w:rsidRPr="00B01620" w:rsidRDefault="00853685" w:rsidP="008809CA">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World Health </w:t>
      </w:r>
      <w:r w:rsidR="006F778E" w:rsidRPr="00B01620">
        <w:rPr>
          <w:rFonts w:ascii="Times New Roman" w:hAnsi="Times New Roman" w:cs="Times New Roman"/>
          <w:sz w:val="28"/>
          <w:szCs w:val="28"/>
        </w:rPr>
        <w:t xml:space="preserve">Organisation, </w:t>
      </w:r>
      <w:r w:rsidRPr="00B01620">
        <w:rPr>
          <w:rFonts w:ascii="Times New Roman" w:hAnsi="Times New Roman" w:cs="Times New Roman"/>
          <w:sz w:val="28"/>
          <w:szCs w:val="28"/>
        </w:rPr>
        <w:t xml:space="preserve">2020. Coronavirus disease (COVID-19) weekly epidemiological update and weekly operational update. https://www.who.int/ emergencies/diseases/novel-coronavirus-2019/situation-reports.  </w:t>
      </w:r>
    </w:p>
    <w:p w14:paraId="62E1B01F"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Jia Y, Shen G, Nguyen S, Zhang Y, Huang K-S, Ho H-Y, Hor W-S, Yang C-H, Bruning JB, Li C, Wang W-L. Analysis of the mutation dynamics of SARS-CoV-2 reveals the spread history and emergence of RBD mutant with lower ACE2 binding affinity// </w:t>
      </w:r>
      <w:proofErr w:type="gramStart"/>
      <w:r w:rsidRPr="00B01620">
        <w:rPr>
          <w:rFonts w:ascii="Times New Roman" w:hAnsi="Times New Roman" w:cs="Times New Roman"/>
          <w:sz w:val="28"/>
          <w:szCs w:val="28"/>
        </w:rPr>
        <w:t>BioRxiv,-</w:t>
      </w:r>
      <w:proofErr w:type="gramEnd"/>
      <w:r w:rsidRPr="00B01620">
        <w:rPr>
          <w:rFonts w:ascii="Times New Roman" w:hAnsi="Times New Roman" w:cs="Times New Roman"/>
          <w:sz w:val="28"/>
          <w:szCs w:val="28"/>
        </w:rPr>
        <w:t xml:space="preserve"> 2020. - </w:t>
      </w:r>
      <w:bookmarkStart w:id="54" w:name="_Hlk159579343"/>
      <w:r w:rsidRPr="00B01620">
        <w:rPr>
          <w:rFonts w:ascii="Times New Roman" w:hAnsi="Times New Roman" w:cs="Times New Roman"/>
          <w:sz w:val="28"/>
          <w:szCs w:val="28"/>
        </w:rPr>
        <w:t>Vol.3. - P. 2028-2038.</w:t>
      </w:r>
      <w:bookmarkEnd w:id="54"/>
      <w:r w:rsidRPr="00B01620">
        <w:rPr>
          <w:rFonts w:ascii="Times New Roman" w:hAnsi="Times New Roman" w:cs="Times New Roman"/>
          <w:sz w:val="28"/>
          <w:szCs w:val="28"/>
        </w:rPr>
        <w:t xml:space="preserve"> </w:t>
      </w:r>
      <w:hyperlink r:id="rId103" w:history="1">
        <w:r w:rsidR="00226539" w:rsidRPr="00B01620">
          <w:rPr>
            <w:rStyle w:val="a5"/>
            <w:rFonts w:ascii="Times New Roman" w:hAnsi="Times New Roman" w:cs="Times New Roman"/>
            <w:sz w:val="28"/>
            <w:szCs w:val="28"/>
          </w:rPr>
          <w:t>https://www.biorxiv.org/content/10.1101/2020.04.09.034942v2</w:t>
        </w:r>
      </w:hyperlink>
      <w:r w:rsidRPr="00B01620">
        <w:rPr>
          <w:rFonts w:ascii="Times New Roman" w:hAnsi="Times New Roman" w:cs="Times New Roman"/>
          <w:sz w:val="28"/>
          <w:szCs w:val="28"/>
        </w:rPr>
        <w:t xml:space="preserve">. </w:t>
      </w:r>
    </w:p>
    <w:p w14:paraId="072E7AF1"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Chiara M, Horner DS, </w:t>
      </w:r>
      <w:proofErr w:type="spellStart"/>
      <w:r w:rsidRPr="00B01620">
        <w:rPr>
          <w:rFonts w:ascii="Times New Roman" w:hAnsi="Times New Roman" w:cs="Times New Roman"/>
          <w:sz w:val="28"/>
          <w:szCs w:val="28"/>
        </w:rPr>
        <w:t>Gissi</w:t>
      </w:r>
      <w:proofErr w:type="spellEnd"/>
      <w:r w:rsidRPr="00B01620">
        <w:rPr>
          <w:rFonts w:ascii="Times New Roman" w:hAnsi="Times New Roman" w:cs="Times New Roman"/>
          <w:sz w:val="28"/>
          <w:szCs w:val="28"/>
        </w:rPr>
        <w:t xml:space="preserve"> C, </w:t>
      </w:r>
      <w:proofErr w:type="spellStart"/>
      <w:r w:rsidRPr="00B01620">
        <w:rPr>
          <w:rFonts w:ascii="Times New Roman" w:hAnsi="Times New Roman" w:cs="Times New Roman"/>
          <w:sz w:val="28"/>
          <w:szCs w:val="28"/>
        </w:rPr>
        <w:t>Pesole</w:t>
      </w:r>
      <w:proofErr w:type="spellEnd"/>
      <w:r w:rsidRPr="00B01620">
        <w:rPr>
          <w:rFonts w:ascii="Times New Roman" w:hAnsi="Times New Roman" w:cs="Times New Roman"/>
          <w:sz w:val="28"/>
          <w:szCs w:val="28"/>
        </w:rPr>
        <w:t xml:space="preserve"> G. Comparative genomics suggests limited variability and similar evolutionary patterns between major clades of SARS-CoV-</w:t>
      </w:r>
      <w:proofErr w:type="gramStart"/>
      <w:r w:rsidRPr="00B01620">
        <w:rPr>
          <w:rFonts w:ascii="Times New Roman" w:hAnsi="Times New Roman" w:cs="Times New Roman"/>
          <w:sz w:val="28"/>
          <w:szCs w:val="28"/>
        </w:rPr>
        <w:t>2./</w:t>
      </w:r>
      <w:proofErr w:type="gramEnd"/>
      <w:r w:rsidRPr="00B01620">
        <w:rPr>
          <w:rFonts w:ascii="Times New Roman" w:hAnsi="Times New Roman" w:cs="Times New Roman"/>
          <w:sz w:val="28"/>
          <w:szCs w:val="28"/>
        </w:rPr>
        <w:t xml:space="preserve">/ BioRxiv, - 2020. Vol.4. - P. 102-1035. </w:t>
      </w:r>
      <w:hyperlink r:id="rId104" w:history="1">
        <w:r w:rsidR="00226539" w:rsidRPr="00B01620">
          <w:rPr>
            <w:rStyle w:val="a5"/>
            <w:rFonts w:ascii="Times New Roman" w:hAnsi="Times New Roman" w:cs="Times New Roman"/>
            <w:sz w:val="28"/>
            <w:szCs w:val="28"/>
          </w:rPr>
          <w:t>https://doi.org/10.1101/2020.03.30.016790</w:t>
        </w:r>
      </w:hyperlink>
      <w:r w:rsidRPr="00B01620">
        <w:rPr>
          <w:rFonts w:ascii="Times New Roman" w:hAnsi="Times New Roman" w:cs="Times New Roman"/>
          <w:sz w:val="28"/>
          <w:szCs w:val="28"/>
        </w:rPr>
        <w:t xml:space="preserve">.  </w:t>
      </w:r>
    </w:p>
    <w:p w14:paraId="1D2F35B0"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 </w:t>
      </w:r>
      <w:proofErr w:type="spellStart"/>
      <w:r w:rsidRPr="00B01620">
        <w:rPr>
          <w:rFonts w:ascii="Times New Roman" w:hAnsi="Times New Roman" w:cs="Times New Roman"/>
          <w:sz w:val="28"/>
          <w:szCs w:val="28"/>
        </w:rPr>
        <w:t>Lvan</w:t>
      </w:r>
      <w:proofErr w:type="spellEnd"/>
      <w:r w:rsidRPr="00B01620">
        <w:rPr>
          <w:rFonts w:ascii="Times New Roman" w:hAnsi="Times New Roman" w:cs="Times New Roman"/>
          <w:sz w:val="28"/>
          <w:szCs w:val="28"/>
        </w:rPr>
        <w:t xml:space="preserve"> Dorp, </w:t>
      </w:r>
      <w:proofErr w:type="spellStart"/>
      <w:r w:rsidRPr="00B01620">
        <w:rPr>
          <w:rFonts w:ascii="Times New Roman" w:hAnsi="Times New Roman" w:cs="Times New Roman"/>
          <w:sz w:val="28"/>
          <w:szCs w:val="28"/>
        </w:rPr>
        <w:t>Acman</w:t>
      </w:r>
      <w:proofErr w:type="spellEnd"/>
      <w:r w:rsidRPr="00B01620">
        <w:rPr>
          <w:rFonts w:ascii="Times New Roman" w:hAnsi="Times New Roman" w:cs="Times New Roman"/>
          <w:sz w:val="28"/>
          <w:szCs w:val="28"/>
        </w:rPr>
        <w:t xml:space="preserve"> M, Richard D, Shaw LP, Ford CE, Ormond L, Owen CJ, Pang J, Tan CCS, Boshier FAT, Ortiz AT, </w:t>
      </w:r>
      <w:proofErr w:type="spellStart"/>
      <w:r w:rsidRPr="00B01620">
        <w:rPr>
          <w:rFonts w:ascii="Times New Roman" w:hAnsi="Times New Roman" w:cs="Times New Roman"/>
          <w:sz w:val="28"/>
          <w:szCs w:val="28"/>
        </w:rPr>
        <w:t>Balloux</w:t>
      </w:r>
      <w:proofErr w:type="spellEnd"/>
      <w:r w:rsidRPr="00B01620">
        <w:rPr>
          <w:rFonts w:ascii="Times New Roman" w:hAnsi="Times New Roman" w:cs="Times New Roman"/>
          <w:sz w:val="28"/>
          <w:szCs w:val="28"/>
        </w:rPr>
        <w:t xml:space="preserve"> F. Emergence of genomic diversity and recurrent mutations in SARS-CoV-2. //Infect Genet Evol, -2020. - Vol. 83.-P.104-111. </w:t>
      </w:r>
      <w:hyperlink r:id="rId105" w:tgtFrame="_blank" w:tooltip="Persistent link using digital object identifier" w:history="1">
        <w:r w:rsidR="00226539" w:rsidRPr="00B01620">
          <w:rPr>
            <w:rStyle w:val="a5"/>
            <w:rFonts w:ascii="Times New Roman" w:hAnsi="Times New Roman" w:cs="Times New Roman"/>
            <w:sz w:val="28"/>
            <w:szCs w:val="28"/>
          </w:rPr>
          <w:t>https://doi.org/10.1016/j.meegid.2020.104351</w:t>
        </w:r>
      </w:hyperlink>
      <w:r w:rsidRPr="00B01620">
        <w:rPr>
          <w:rFonts w:ascii="Times New Roman" w:hAnsi="Times New Roman" w:cs="Times New Roman"/>
          <w:sz w:val="28"/>
          <w:szCs w:val="28"/>
        </w:rPr>
        <w:t>.</w:t>
      </w:r>
    </w:p>
    <w:p w14:paraId="372B5503"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Walls AC, Park Y-J, Tortorici MA, Wall A, McGuire AT, </w:t>
      </w:r>
      <w:proofErr w:type="spellStart"/>
      <w:r w:rsidRPr="00B01620">
        <w:rPr>
          <w:rFonts w:ascii="Times New Roman" w:hAnsi="Times New Roman" w:cs="Times New Roman"/>
          <w:sz w:val="28"/>
          <w:szCs w:val="28"/>
        </w:rPr>
        <w:t>Veesler</w:t>
      </w:r>
      <w:proofErr w:type="spellEnd"/>
      <w:r w:rsidRPr="00B01620">
        <w:rPr>
          <w:rFonts w:ascii="Times New Roman" w:hAnsi="Times New Roman" w:cs="Times New Roman"/>
          <w:sz w:val="28"/>
          <w:szCs w:val="28"/>
        </w:rPr>
        <w:t xml:space="preserve"> D.  Structure, function, and antigenicity of the SARS-CoV-2 spike glycoprotein. // Cell, -2020.-Vol.181.-P. 281–292. </w:t>
      </w:r>
      <w:hyperlink r:id="rId106" w:history="1">
        <w:r w:rsidR="00226539" w:rsidRPr="00B01620">
          <w:rPr>
            <w:rStyle w:val="a5"/>
            <w:rFonts w:ascii="Times New Roman" w:hAnsi="Times New Roman" w:cs="Times New Roman"/>
            <w:sz w:val="28"/>
            <w:szCs w:val="28"/>
          </w:rPr>
          <w:t>https://doi.org/10.1016/j.cell.2020.02.058</w:t>
        </w:r>
      </w:hyperlink>
      <w:r w:rsidRPr="00B01620">
        <w:rPr>
          <w:rFonts w:ascii="Times New Roman" w:hAnsi="Times New Roman" w:cs="Times New Roman"/>
          <w:sz w:val="28"/>
          <w:szCs w:val="28"/>
        </w:rPr>
        <w:t xml:space="preserve">. </w:t>
      </w:r>
    </w:p>
    <w:p w14:paraId="14693726"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proofErr w:type="spellStart"/>
      <w:r w:rsidRPr="00B01620">
        <w:rPr>
          <w:rFonts w:ascii="Times New Roman" w:hAnsi="Times New Roman" w:cs="Times New Roman"/>
          <w:sz w:val="28"/>
          <w:szCs w:val="28"/>
        </w:rPr>
        <w:t>Zhugunissov</w:t>
      </w:r>
      <w:proofErr w:type="spellEnd"/>
      <w:r w:rsidRPr="00B01620">
        <w:rPr>
          <w:rFonts w:ascii="Times New Roman" w:hAnsi="Times New Roman" w:cs="Times New Roman"/>
          <w:sz w:val="28"/>
          <w:szCs w:val="28"/>
        </w:rPr>
        <w:t xml:space="preserve"> K, Zakarya K, </w:t>
      </w:r>
      <w:proofErr w:type="spellStart"/>
      <w:r w:rsidRPr="00B01620">
        <w:rPr>
          <w:rFonts w:ascii="Times New Roman" w:hAnsi="Times New Roman" w:cs="Times New Roman"/>
          <w:sz w:val="28"/>
          <w:szCs w:val="28"/>
        </w:rPr>
        <w:t>Khairullin</w:t>
      </w:r>
      <w:proofErr w:type="spellEnd"/>
      <w:r w:rsidRPr="00B01620">
        <w:rPr>
          <w:rFonts w:ascii="Times New Roman" w:hAnsi="Times New Roman" w:cs="Times New Roman"/>
          <w:sz w:val="28"/>
          <w:szCs w:val="28"/>
        </w:rPr>
        <w:t xml:space="preserve"> B, </w:t>
      </w:r>
      <w:proofErr w:type="spellStart"/>
      <w:r w:rsidRPr="00B01620">
        <w:rPr>
          <w:rFonts w:ascii="Times New Roman" w:hAnsi="Times New Roman" w:cs="Times New Roman"/>
          <w:sz w:val="28"/>
          <w:szCs w:val="28"/>
        </w:rPr>
        <w:t>Orynbayev</w:t>
      </w:r>
      <w:proofErr w:type="spellEnd"/>
      <w:r w:rsidRPr="00B01620">
        <w:rPr>
          <w:rFonts w:ascii="Times New Roman" w:hAnsi="Times New Roman" w:cs="Times New Roman"/>
          <w:sz w:val="28"/>
          <w:szCs w:val="28"/>
        </w:rPr>
        <w:t xml:space="preserve"> M, </w:t>
      </w:r>
      <w:proofErr w:type="spellStart"/>
      <w:r w:rsidRPr="00B01620">
        <w:rPr>
          <w:rFonts w:ascii="Times New Roman" w:hAnsi="Times New Roman" w:cs="Times New Roman"/>
          <w:sz w:val="28"/>
          <w:szCs w:val="28"/>
        </w:rPr>
        <w:t>Abduraimov</w:t>
      </w:r>
      <w:proofErr w:type="spellEnd"/>
      <w:r w:rsidRPr="00B01620">
        <w:rPr>
          <w:rFonts w:ascii="Times New Roman" w:hAnsi="Times New Roman" w:cs="Times New Roman"/>
          <w:sz w:val="28"/>
          <w:szCs w:val="28"/>
        </w:rPr>
        <w:t xml:space="preserve"> Y, </w:t>
      </w:r>
      <w:proofErr w:type="spellStart"/>
      <w:r w:rsidRPr="00B01620">
        <w:rPr>
          <w:rFonts w:ascii="Times New Roman" w:hAnsi="Times New Roman" w:cs="Times New Roman"/>
          <w:sz w:val="28"/>
          <w:szCs w:val="28"/>
        </w:rPr>
        <w:t>Kassenov</w:t>
      </w:r>
      <w:proofErr w:type="spellEnd"/>
      <w:r w:rsidRPr="00B01620">
        <w:rPr>
          <w:rFonts w:ascii="Times New Roman" w:hAnsi="Times New Roman" w:cs="Times New Roman"/>
          <w:sz w:val="28"/>
          <w:szCs w:val="28"/>
        </w:rPr>
        <w:t xml:space="preserve"> M, </w:t>
      </w:r>
      <w:proofErr w:type="spellStart"/>
      <w:r w:rsidRPr="00B01620">
        <w:rPr>
          <w:rFonts w:ascii="Times New Roman" w:hAnsi="Times New Roman" w:cs="Times New Roman"/>
          <w:sz w:val="28"/>
          <w:szCs w:val="28"/>
        </w:rPr>
        <w:t>Sultankulova</w:t>
      </w:r>
      <w:proofErr w:type="spellEnd"/>
      <w:r w:rsidRPr="00B01620">
        <w:rPr>
          <w:rFonts w:ascii="Times New Roman" w:hAnsi="Times New Roman" w:cs="Times New Roman"/>
          <w:sz w:val="28"/>
          <w:szCs w:val="28"/>
        </w:rPr>
        <w:t xml:space="preserve"> K, </w:t>
      </w:r>
      <w:proofErr w:type="spellStart"/>
      <w:r w:rsidRPr="00B01620">
        <w:rPr>
          <w:rFonts w:ascii="Times New Roman" w:hAnsi="Times New Roman" w:cs="Times New Roman"/>
          <w:sz w:val="28"/>
          <w:szCs w:val="28"/>
        </w:rPr>
        <w:t>Kerimbayev</w:t>
      </w:r>
      <w:proofErr w:type="spellEnd"/>
      <w:r w:rsidRPr="00B01620">
        <w:rPr>
          <w:rFonts w:ascii="Times New Roman" w:hAnsi="Times New Roman" w:cs="Times New Roman"/>
          <w:sz w:val="28"/>
          <w:szCs w:val="28"/>
        </w:rPr>
        <w:t xml:space="preserve"> A, </w:t>
      </w:r>
      <w:proofErr w:type="spellStart"/>
      <w:r w:rsidRPr="00B01620">
        <w:rPr>
          <w:rFonts w:ascii="Times New Roman" w:hAnsi="Times New Roman" w:cs="Times New Roman"/>
          <w:sz w:val="28"/>
          <w:szCs w:val="28"/>
        </w:rPr>
        <w:t>Nurabayev</w:t>
      </w:r>
      <w:proofErr w:type="spellEnd"/>
      <w:r w:rsidRPr="00B01620">
        <w:rPr>
          <w:rFonts w:ascii="Times New Roman" w:hAnsi="Times New Roman" w:cs="Times New Roman"/>
          <w:sz w:val="28"/>
          <w:szCs w:val="28"/>
        </w:rPr>
        <w:t xml:space="preserve"> S, </w:t>
      </w:r>
      <w:proofErr w:type="spellStart"/>
      <w:r w:rsidRPr="00B01620">
        <w:rPr>
          <w:rFonts w:ascii="Times New Roman" w:hAnsi="Times New Roman" w:cs="Times New Roman"/>
          <w:sz w:val="28"/>
          <w:szCs w:val="28"/>
        </w:rPr>
        <w:t>Myrzakhmetova</w:t>
      </w:r>
      <w:proofErr w:type="spellEnd"/>
      <w:r w:rsidRPr="00B01620">
        <w:rPr>
          <w:rFonts w:ascii="Times New Roman" w:hAnsi="Times New Roman" w:cs="Times New Roman"/>
          <w:sz w:val="28"/>
          <w:szCs w:val="28"/>
        </w:rPr>
        <w:t xml:space="preserve"> B, </w:t>
      </w:r>
      <w:proofErr w:type="spellStart"/>
      <w:r w:rsidRPr="00B01620">
        <w:rPr>
          <w:rFonts w:ascii="Times New Roman" w:hAnsi="Times New Roman" w:cs="Times New Roman"/>
          <w:sz w:val="28"/>
          <w:szCs w:val="28"/>
        </w:rPr>
        <w:t>Nakhanov</w:t>
      </w:r>
      <w:proofErr w:type="spellEnd"/>
      <w:r w:rsidRPr="00B01620">
        <w:rPr>
          <w:rFonts w:ascii="Times New Roman" w:hAnsi="Times New Roman" w:cs="Times New Roman"/>
          <w:sz w:val="28"/>
          <w:szCs w:val="28"/>
        </w:rPr>
        <w:t xml:space="preserve"> A, </w:t>
      </w:r>
      <w:proofErr w:type="spellStart"/>
      <w:r w:rsidRPr="00B01620">
        <w:rPr>
          <w:rFonts w:ascii="Times New Roman" w:hAnsi="Times New Roman" w:cs="Times New Roman"/>
          <w:sz w:val="28"/>
          <w:szCs w:val="28"/>
        </w:rPr>
        <w:t>Nurpeisova</w:t>
      </w:r>
      <w:proofErr w:type="spellEnd"/>
      <w:r w:rsidRPr="00B01620">
        <w:rPr>
          <w:rFonts w:ascii="Times New Roman" w:hAnsi="Times New Roman" w:cs="Times New Roman"/>
          <w:sz w:val="28"/>
          <w:szCs w:val="28"/>
        </w:rPr>
        <w:t xml:space="preserve"> A, </w:t>
      </w:r>
      <w:proofErr w:type="spellStart"/>
      <w:r w:rsidRPr="00B01620">
        <w:rPr>
          <w:rFonts w:ascii="Times New Roman" w:hAnsi="Times New Roman" w:cs="Times New Roman"/>
          <w:sz w:val="28"/>
          <w:szCs w:val="28"/>
        </w:rPr>
        <w:t>Chervyakova</w:t>
      </w:r>
      <w:proofErr w:type="spellEnd"/>
      <w:r w:rsidRPr="00B01620">
        <w:rPr>
          <w:rFonts w:ascii="Times New Roman" w:hAnsi="Times New Roman" w:cs="Times New Roman"/>
          <w:sz w:val="28"/>
          <w:szCs w:val="28"/>
        </w:rPr>
        <w:t xml:space="preserve"> O, </w:t>
      </w:r>
      <w:proofErr w:type="spellStart"/>
      <w:r w:rsidRPr="00B01620">
        <w:rPr>
          <w:rFonts w:ascii="Times New Roman" w:hAnsi="Times New Roman" w:cs="Times New Roman"/>
          <w:sz w:val="28"/>
          <w:szCs w:val="28"/>
        </w:rPr>
        <w:t>Assanzhanova</w:t>
      </w:r>
      <w:proofErr w:type="spellEnd"/>
      <w:r w:rsidRPr="00B01620">
        <w:rPr>
          <w:rFonts w:ascii="Times New Roman" w:hAnsi="Times New Roman" w:cs="Times New Roman"/>
          <w:sz w:val="28"/>
          <w:szCs w:val="28"/>
        </w:rPr>
        <w:t xml:space="preserve"> N, </w:t>
      </w:r>
      <w:proofErr w:type="spellStart"/>
      <w:r w:rsidRPr="00B01620">
        <w:rPr>
          <w:rFonts w:ascii="Times New Roman" w:hAnsi="Times New Roman" w:cs="Times New Roman"/>
          <w:sz w:val="28"/>
          <w:szCs w:val="28"/>
        </w:rPr>
        <w:t>Burashev</w:t>
      </w:r>
      <w:proofErr w:type="spellEnd"/>
      <w:r w:rsidRPr="00B01620">
        <w:rPr>
          <w:rFonts w:ascii="Times New Roman" w:hAnsi="Times New Roman" w:cs="Times New Roman"/>
          <w:sz w:val="28"/>
          <w:szCs w:val="28"/>
        </w:rPr>
        <w:t xml:space="preserve"> Y, </w:t>
      </w:r>
      <w:proofErr w:type="spellStart"/>
      <w:r w:rsidRPr="00B01620">
        <w:rPr>
          <w:rFonts w:ascii="Times New Roman" w:hAnsi="Times New Roman" w:cs="Times New Roman"/>
          <w:sz w:val="28"/>
          <w:szCs w:val="28"/>
        </w:rPr>
        <w:t>Mambetaliyev</w:t>
      </w:r>
      <w:proofErr w:type="spellEnd"/>
      <w:r w:rsidRPr="00B01620">
        <w:rPr>
          <w:rFonts w:ascii="Times New Roman" w:hAnsi="Times New Roman" w:cs="Times New Roman"/>
          <w:sz w:val="28"/>
          <w:szCs w:val="28"/>
        </w:rPr>
        <w:t xml:space="preserve"> M, </w:t>
      </w:r>
      <w:proofErr w:type="spellStart"/>
      <w:r w:rsidRPr="00B01620">
        <w:rPr>
          <w:rFonts w:ascii="Times New Roman" w:hAnsi="Times New Roman" w:cs="Times New Roman"/>
          <w:sz w:val="28"/>
          <w:szCs w:val="28"/>
        </w:rPr>
        <w:t>Azanbekova</w:t>
      </w:r>
      <w:proofErr w:type="spellEnd"/>
      <w:r w:rsidRPr="00B01620">
        <w:rPr>
          <w:rFonts w:ascii="Times New Roman" w:hAnsi="Times New Roman" w:cs="Times New Roman"/>
          <w:sz w:val="28"/>
          <w:szCs w:val="28"/>
        </w:rPr>
        <w:t xml:space="preserve"> M, </w:t>
      </w:r>
      <w:proofErr w:type="spellStart"/>
      <w:r w:rsidRPr="00B01620">
        <w:rPr>
          <w:rFonts w:ascii="Times New Roman" w:hAnsi="Times New Roman" w:cs="Times New Roman"/>
          <w:sz w:val="28"/>
          <w:szCs w:val="28"/>
        </w:rPr>
        <w:t>Kopeyev</w:t>
      </w:r>
      <w:proofErr w:type="spellEnd"/>
      <w:r w:rsidRPr="00B01620">
        <w:rPr>
          <w:rFonts w:ascii="Times New Roman" w:hAnsi="Times New Roman" w:cs="Times New Roman"/>
          <w:sz w:val="28"/>
          <w:szCs w:val="28"/>
        </w:rPr>
        <w:t xml:space="preserve"> S, </w:t>
      </w:r>
      <w:proofErr w:type="spellStart"/>
      <w:r w:rsidRPr="00B01620">
        <w:rPr>
          <w:rFonts w:ascii="Times New Roman" w:hAnsi="Times New Roman" w:cs="Times New Roman"/>
          <w:sz w:val="28"/>
          <w:szCs w:val="28"/>
        </w:rPr>
        <w:t>Kozhabergenov</w:t>
      </w:r>
      <w:proofErr w:type="spellEnd"/>
      <w:r w:rsidRPr="00B01620">
        <w:rPr>
          <w:rFonts w:ascii="Times New Roman" w:hAnsi="Times New Roman" w:cs="Times New Roman"/>
          <w:sz w:val="28"/>
          <w:szCs w:val="28"/>
        </w:rPr>
        <w:t xml:space="preserve"> N, </w:t>
      </w:r>
      <w:proofErr w:type="spellStart"/>
      <w:r w:rsidRPr="00B01620">
        <w:rPr>
          <w:rFonts w:ascii="Times New Roman" w:hAnsi="Times New Roman" w:cs="Times New Roman"/>
          <w:sz w:val="28"/>
          <w:szCs w:val="28"/>
        </w:rPr>
        <w:t>Issabek</w:t>
      </w:r>
      <w:proofErr w:type="spellEnd"/>
      <w:r w:rsidRPr="00B01620">
        <w:rPr>
          <w:rFonts w:ascii="Times New Roman" w:hAnsi="Times New Roman" w:cs="Times New Roman"/>
          <w:sz w:val="28"/>
          <w:szCs w:val="28"/>
        </w:rPr>
        <w:t xml:space="preserve"> A, </w:t>
      </w:r>
      <w:proofErr w:type="spellStart"/>
      <w:r w:rsidRPr="00B01620">
        <w:rPr>
          <w:rFonts w:ascii="Times New Roman" w:hAnsi="Times New Roman" w:cs="Times New Roman"/>
          <w:sz w:val="28"/>
          <w:szCs w:val="28"/>
        </w:rPr>
        <w:t>Tuyskanova</w:t>
      </w:r>
      <w:proofErr w:type="spellEnd"/>
      <w:r w:rsidRPr="00B01620">
        <w:rPr>
          <w:rFonts w:ascii="Times New Roman" w:hAnsi="Times New Roman" w:cs="Times New Roman"/>
          <w:sz w:val="28"/>
          <w:szCs w:val="28"/>
        </w:rPr>
        <w:t xml:space="preserve"> M, </w:t>
      </w:r>
      <w:proofErr w:type="spellStart"/>
      <w:r w:rsidRPr="00B01620">
        <w:rPr>
          <w:rFonts w:ascii="Times New Roman" w:hAnsi="Times New Roman" w:cs="Times New Roman"/>
          <w:sz w:val="28"/>
          <w:szCs w:val="28"/>
        </w:rPr>
        <w:t>Kutumbetov</w:t>
      </w:r>
      <w:proofErr w:type="spellEnd"/>
      <w:r w:rsidRPr="00B01620">
        <w:rPr>
          <w:rFonts w:ascii="Times New Roman" w:hAnsi="Times New Roman" w:cs="Times New Roman"/>
          <w:sz w:val="28"/>
          <w:szCs w:val="28"/>
        </w:rPr>
        <w:t xml:space="preserve"> L. Development of the inactivated </w:t>
      </w:r>
      <w:proofErr w:type="spellStart"/>
      <w:r w:rsidRPr="00B01620">
        <w:rPr>
          <w:rFonts w:ascii="Times New Roman" w:hAnsi="Times New Roman" w:cs="Times New Roman"/>
          <w:sz w:val="28"/>
          <w:szCs w:val="28"/>
        </w:rPr>
        <w:t>QazCovid</w:t>
      </w:r>
      <w:proofErr w:type="spellEnd"/>
      <w:r w:rsidRPr="00B01620">
        <w:rPr>
          <w:rFonts w:ascii="Times New Roman" w:hAnsi="Times New Roman" w:cs="Times New Roman"/>
          <w:sz w:val="28"/>
          <w:szCs w:val="28"/>
        </w:rPr>
        <w:t xml:space="preserve">-in vaccine: protective efficacy of the vaccine in Syrian hamsters. // Front Microbiol, - 2021.-Vol. 12.-P.720-727. </w:t>
      </w:r>
      <w:hyperlink r:id="rId107" w:history="1">
        <w:r w:rsidR="00226539" w:rsidRPr="00B01620">
          <w:rPr>
            <w:rStyle w:val="a5"/>
            <w:rFonts w:ascii="Times New Roman" w:hAnsi="Times New Roman" w:cs="Times New Roman"/>
            <w:sz w:val="28"/>
            <w:szCs w:val="28"/>
          </w:rPr>
          <w:t>https://doi.org/10.3389/fmicb.2021.623171</w:t>
        </w:r>
      </w:hyperlink>
      <w:r w:rsidRPr="00B01620">
        <w:rPr>
          <w:rFonts w:ascii="Times New Roman" w:hAnsi="Times New Roman" w:cs="Times New Roman"/>
          <w:sz w:val="28"/>
          <w:szCs w:val="28"/>
        </w:rPr>
        <w:t xml:space="preserve">. </w:t>
      </w:r>
    </w:p>
    <w:p w14:paraId="2375653A"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 Johns Hopkins University. COVID-19 data repository by the </w:t>
      </w:r>
      <w:proofErr w:type="spellStart"/>
      <w:r w:rsidRPr="00B01620">
        <w:rPr>
          <w:rFonts w:ascii="Times New Roman" w:hAnsi="Times New Roman" w:cs="Times New Roman"/>
          <w:sz w:val="28"/>
          <w:szCs w:val="28"/>
        </w:rPr>
        <w:t>Center</w:t>
      </w:r>
      <w:proofErr w:type="spellEnd"/>
      <w:r w:rsidRPr="00B01620">
        <w:rPr>
          <w:rFonts w:ascii="Times New Roman" w:hAnsi="Times New Roman" w:cs="Times New Roman"/>
          <w:sz w:val="28"/>
          <w:szCs w:val="28"/>
        </w:rPr>
        <w:t xml:space="preserve"> for Systems Science and Engineering (CSSE). //at Johns Hopkins University, - 2019.     </w:t>
      </w:r>
      <w:hyperlink r:id="rId108" w:history="1">
        <w:r w:rsidR="00226539" w:rsidRPr="00B01620">
          <w:rPr>
            <w:rStyle w:val="a5"/>
            <w:rFonts w:ascii="Times New Roman" w:hAnsi="Times New Roman" w:cs="Times New Roman"/>
            <w:sz w:val="28"/>
            <w:szCs w:val="28"/>
          </w:rPr>
          <w:t>https://github.com/CSSEGISandData/COVID-19. Retrieved 15 October 2022</w:t>
        </w:r>
      </w:hyperlink>
      <w:r w:rsidRPr="00B01620">
        <w:rPr>
          <w:rFonts w:ascii="Times New Roman" w:hAnsi="Times New Roman" w:cs="Times New Roman"/>
          <w:sz w:val="28"/>
          <w:szCs w:val="28"/>
        </w:rPr>
        <w:t xml:space="preserve">.). </w:t>
      </w:r>
    </w:p>
    <w:p w14:paraId="69B9334A"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proofErr w:type="spellStart"/>
      <w:r w:rsidRPr="00B01620">
        <w:rPr>
          <w:rFonts w:ascii="Times New Roman" w:hAnsi="Times New Roman" w:cs="Times New Roman"/>
          <w:sz w:val="28"/>
          <w:szCs w:val="28"/>
        </w:rPr>
        <w:t>Gorbalenya</w:t>
      </w:r>
      <w:proofErr w:type="spellEnd"/>
      <w:r w:rsidRPr="00B01620">
        <w:rPr>
          <w:rFonts w:ascii="Times New Roman" w:hAnsi="Times New Roman" w:cs="Times New Roman"/>
          <w:sz w:val="28"/>
          <w:szCs w:val="28"/>
        </w:rPr>
        <w:t xml:space="preserve">, A.E. et al. The species severe acute respiratory syndrome-related coronavirus: classifying 2019-nCoV and naming it SARS-CoV-2. // Nat. Microbiol, - 2020. -Vol. 5.-P. 536–544. </w:t>
      </w:r>
      <w:hyperlink r:id="rId109" w:history="1">
        <w:r w:rsidR="00226539" w:rsidRPr="00B01620">
          <w:rPr>
            <w:rStyle w:val="a5"/>
            <w:rFonts w:ascii="Times New Roman" w:hAnsi="Times New Roman" w:cs="Times New Roman"/>
            <w:sz w:val="28"/>
            <w:szCs w:val="28"/>
          </w:rPr>
          <w:t>https://www.nature.com/articles/s41564-020-0695-z</w:t>
        </w:r>
      </w:hyperlink>
      <w:r w:rsidRPr="00B01620">
        <w:rPr>
          <w:rFonts w:ascii="Times New Roman" w:hAnsi="Times New Roman" w:cs="Times New Roman"/>
          <w:sz w:val="28"/>
          <w:szCs w:val="28"/>
        </w:rPr>
        <w:t xml:space="preserve">. </w:t>
      </w:r>
    </w:p>
    <w:p w14:paraId="00F19A31"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bookmarkStart w:id="55" w:name="_Hlk158022343"/>
      <w:r w:rsidRPr="00B01620">
        <w:rPr>
          <w:rFonts w:ascii="Times New Roman" w:hAnsi="Times New Roman" w:cs="Times New Roman"/>
          <w:sz w:val="28"/>
          <w:szCs w:val="28"/>
        </w:rPr>
        <w:t xml:space="preserve">Lu, R. et al. Genomic characterization and epidemiology of 2019 novel coronavirus: implications for virus origins and receptor binding. //Lancet, -2020.-Vol. 395. - P.  565–574. </w:t>
      </w:r>
      <w:hyperlink r:id="rId110" w:history="1">
        <w:r w:rsidR="00226539" w:rsidRPr="00B01620">
          <w:rPr>
            <w:rStyle w:val="a5"/>
            <w:rFonts w:ascii="Times New Roman" w:hAnsi="Times New Roman" w:cs="Times New Roman"/>
            <w:sz w:val="28"/>
            <w:szCs w:val="28"/>
          </w:rPr>
          <w:t>https://doi.org/10.1016/S0140-6736(20)30251-8</w:t>
        </w:r>
      </w:hyperlink>
      <w:r w:rsidRPr="00B01620">
        <w:rPr>
          <w:rFonts w:ascii="Times New Roman" w:hAnsi="Times New Roman" w:cs="Times New Roman"/>
          <w:sz w:val="28"/>
          <w:szCs w:val="28"/>
        </w:rPr>
        <w:t xml:space="preserve">. </w:t>
      </w:r>
    </w:p>
    <w:bookmarkEnd w:id="55"/>
    <w:p w14:paraId="4FB50A63"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Zhang YZ, Holmes EC. A Genomic Perspective on the Origin and Emergence of SARS-CoV-2. //Cell, -2020. -Vol. 16.- P. 223-227. </w:t>
      </w:r>
      <w:hyperlink r:id="rId111" w:history="1">
        <w:r w:rsidR="00226539" w:rsidRPr="00B01620">
          <w:rPr>
            <w:rStyle w:val="a5"/>
            <w:rFonts w:ascii="Times New Roman" w:hAnsi="Times New Roman" w:cs="Times New Roman"/>
            <w:sz w:val="28"/>
            <w:szCs w:val="28"/>
          </w:rPr>
          <w:t>https://doi.org/10.1016/j.cell.2020.03.035</w:t>
        </w:r>
      </w:hyperlink>
      <w:r w:rsidRPr="00B01620">
        <w:rPr>
          <w:rFonts w:ascii="Times New Roman" w:hAnsi="Times New Roman" w:cs="Times New Roman"/>
          <w:sz w:val="28"/>
          <w:szCs w:val="28"/>
        </w:rPr>
        <w:t xml:space="preserve">. </w:t>
      </w:r>
    </w:p>
    <w:p w14:paraId="6F5C67D5"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 Zhang W, Cao S, Martin JL, Mueller JD, Mansky LM. Morphology and ultrastructure of retrovirus particles. // AIMS </w:t>
      </w:r>
      <w:proofErr w:type="spellStart"/>
      <w:r w:rsidRPr="00B01620">
        <w:rPr>
          <w:rFonts w:ascii="Times New Roman" w:hAnsi="Times New Roman" w:cs="Times New Roman"/>
          <w:sz w:val="28"/>
          <w:szCs w:val="28"/>
        </w:rPr>
        <w:t>Biophys</w:t>
      </w:r>
      <w:proofErr w:type="spellEnd"/>
      <w:r w:rsidRPr="00B01620">
        <w:rPr>
          <w:rFonts w:ascii="Times New Roman" w:hAnsi="Times New Roman" w:cs="Times New Roman"/>
          <w:sz w:val="28"/>
          <w:szCs w:val="28"/>
        </w:rPr>
        <w:t xml:space="preserve">, - 2015. -Vol.2.-P. 343-369. </w:t>
      </w:r>
      <w:hyperlink r:id="rId112" w:history="1">
        <w:r w:rsidR="00226539" w:rsidRPr="00B01620">
          <w:rPr>
            <w:rStyle w:val="a5"/>
            <w:rFonts w:ascii="Times New Roman" w:hAnsi="Times New Roman" w:cs="Times New Roman"/>
            <w:sz w:val="28"/>
            <w:szCs w:val="28"/>
          </w:rPr>
          <w:t>https://doi.org/10.3934/biophy.2015.3.343</w:t>
        </w:r>
      </w:hyperlink>
      <w:r w:rsidRPr="00B01620">
        <w:rPr>
          <w:rFonts w:ascii="Times New Roman" w:hAnsi="Times New Roman" w:cs="Times New Roman"/>
          <w:sz w:val="28"/>
          <w:szCs w:val="28"/>
        </w:rPr>
        <w:t xml:space="preserve">. </w:t>
      </w:r>
    </w:p>
    <w:p w14:paraId="470842F3"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lastRenderedPageBreak/>
        <w:t xml:space="preserve">Wyatt R, </w:t>
      </w:r>
      <w:proofErr w:type="spellStart"/>
      <w:r w:rsidRPr="00B01620">
        <w:rPr>
          <w:rFonts w:ascii="Times New Roman" w:hAnsi="Times New Roman" w:cs="Times New Roman"/>
          <w:sz w:val="28"/>
          <w:szCs w:val="28"/>
        </w:rPr>
        <w:t>Sodroski</w:t>
      </w:r>
      <w:proofErr w:type="spellEnd"/>
      <w:r w:rsidRPr="00B01620">
        <w:rPr>
          <w:rFonts w:ascii="Times New Roman" w:hAnsi="Times New Roman" w:cs="Times New Roman"/>
          <w:sz w:val="28"/>
          <w:szCs w:val="28"/>
        </w:rPr>
        <w:t xml:space="preserve"> J. The HIV-1 envelope glycoproteins: </w:t>
      </w:r>
      <w:proofErr w:type="spellStart"/>
      <w:r w:rsidRPr="00B01620">
        <w:rPr>
          <w:rFonts w:ascii="Times New Roman" w:hAnsi="Times New Roman" w:cs="Times New Roman"/>
          <w:sz w:val="28"/>
          <w:szCs w:val="28"/>
        </w:rPr>
        <w:t>Fusogens</w:t>
      </w:r>
      <w:proofErr w:type="spellEnd"/>
      <w:r w:rsidRPr="00B01620">
        <w:rPr>
          <w:rFonts w:ascii="Times New Roman" w:hAnsi="Times New Roman" w:cs="Times New Roman"/>
          <w:sz w:val="28"/>
          <w:szCs w:val="28"/>
        </w:rPr>
        <w:t>, antigens, and immunogens. // Science, -1998. -Vol. 280.- P.1884-1888.</w:t>
      </w:r>
    </w:p>
    <w:p w14:paraId="22FD45C3"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Wang, D. et al.  Clinical characteristics of 138 hospitalized patients with 2019 novel coronavirus-infected pneumonia in Wuhan, China. // JAMA, - 2020.-Vol.323.-P. 1061–1069. </w:t>
      </w:r>
      <w:hyperlink r:id="rId113" w:history="1">
        <w:r w:rsidR="00226539" w:rsidRPr="00B01620">
          <w:rPr>
            <w:rStyle w:val="a5"/>
            <w:rFonts w:ascii="Times New Roman" w:hAnsi="Times New Roman" w:cs="Times New Roman"/>
            <w:sz w:val="28"/>
            <w:szCs w:val="28"/>
          </w:rPr>
          <w:t>https://doi.org/10.1001/jama.2020.1585</w:t>
        </w:r>
      </w:hyperlink>
      <w:r w:rsidRPr="00B01620">
        <w:rPr>
          <w:rFonts w:ascii="Times New Roman" w:hAnsi="Times New Roman" w:cs="Times New Roman"/>
          <w:sz w:val="28"/>
          <w:szCs w:val="28"/>
        </w:rPr>
        <w:t xml:space="preserve">. </w:t>
      </w:r>
    </w:p>
    <w:p w14:paraId="696A0960"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Li, Q. et al. Early transmission dynamics in Wuhan, China, of novel coronavirus-infected pneumonia. // N. Engl. J. Med, -2020.-Vol. 382.- P. 1199–1207.  </w:t>
      </w:r>
      <w:hyperlink r:id="rId114" w:history="1">
        <w:r w:rsidR="00226539" w:rsidRPr="00B01620">
          <w:rPr>
            <w:rStyle w:val="a5"/>
            <w:rFonts w:ascii="Times New Roman" w:hAnsi="Times New Roman" w:cs="Times New Roman"/>
            <w:sz w:val="28"/>
            <w:szCs w:val="28"/>
          </w:rPr>
          <w:t>https://www.nejm.org/doi/full/10.1056/nejmoa2001316</w:t>
        </w:r>
      </w:hyperlink>
      <w:r w:rsidRPr="00B01620">
        <w:rPr>
          <w:rFonts w:ascii="Times New Roman" w:hAnsi="Times New Roman" w:cs="Times New Roman"/>
          <w:sz w:val="28"/>
          <w:szCs w:val="28"/>
        </w:rPr>
        <w:t>.</w:t>
      </w:r>
    </w:p>
    <w:p w14:paraId="23F6A947"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Chan, J.F.W., et al.  A familial cluster of pneumonia associated with the 2019 novel coronavirus indicating person-to-person transmission: a study of a family cluster. // Lancet, – 2020.-Vol. 395.- P.  514–523. </w:t>
      </w:r>
      <w:hyperlink r:id="rId115" w:history="1">
        <w:r w:rsidR="00226539" w:rsidRPr="00B01620">
          <w:rPr>
            <w:rStyle w:val="a5"/>
            <w:rFonts w:ascii="Times New Roman" w:hAnsi="Times New Roman" w:cs="Times New Roman"/>
            <w:sz w:val="28"/>
            <w:szCs w:val="28"/>
          </w:rPr>
          <w:t>https://doi.org/10.1016/S0140-6736(20)30154-9</w:t>
        </w:r>
      </w:hyperlink>
      <w:r w:rsidRPr="00B01620">
        <w:rPr>
          <w:rFonts w:ascii="Times New Roman" w:hAnsi="Times New Roman" w:cs="Times New Roman"/>
          <w:sz w:val="28"/>
          <w:szCs w:val="28"/>
        </w:rPr>
        <w:t xml:space="preserve">. </w:t>
      </w:r>
    </w:p>
    <w:p w14:paraId="48C8D6DE"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Clinical management of COVID-19. // WHO, – 2022. -P. 35- 62.</w:t>
      </w:r>
    </w:p>
    <w:p w14:paraId="5BE7E6D4" w14:textId="7EBDB45F"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proofErr w:type="spellStart"/>
      <w:r w:rsidRPr="00B01620">
        <w:rPr>
          <w:rFonts w:ascii="Times New Roman" w:hAnsi="Times New Roman" w:cs="Times New Roman"/>
          <w:sz w:val="28"/>
          <w:szCs w:val="28"/>
        </w:rPr>
        <w:t>Burashev</w:t>
      </w:r>
      <w:proofErr w:type="spellEnd"/>
      <w:r w:rsidRPr="00B01620">
        <w:rPr>
          <w:rFonts w:ascii="Times New Roman" w:hAnsi="Times New Roman" w:cs="Times New Roman"/>
          <w:sz w:val="28"/>
          <w:szCs w:val="28"/>
        </w:rPr>
        <w:t xml:space="preserve"> Y.</w:t>
      </w:r>
      <w:r w:rsidR="00F56898" w:rsidRPr="00B01620">
        <w:rPr>
          <w:rFonts w:ascii="Times New Roman" w:hAnsi="Times New Roman" w:cs="Times New Roman"/>
          <w:sz w:val="28"/>
          <w:szCs w:val="28"/>
        </w:rPr>
        <w:t>, Khaidarov S.,</w:t>
      </w:r>
      <w:r w:rsidRPr="00B01620">
        <w:rPr>
          <w:rFonts w:ascii="Times New Roman" w:hAnsi="Times New Roman" w:cs="Times New Roman"/>
          <w:sz w:val="28"/>
          <w:szCs w:val="28"/>
        </w:rPr>
        <w:t xml:space="preserve"> et al. Coding Complete Genome Sequence of the SARS-CoV-2 Virus Strain, Variant B.1.1, Sampled from Kazakhstan. // Microbiology Resource Announcements, - 2022.-Vol.12.-№12. – online: </w:t>
      </w:r>
      <w:hyperlink r:id="rId116" w:history="1">
        <w:r w:rsidR="00226539" w:rsidRPr="00B01620">
          <w:rPr>
            <w:rStyle w:val="a5"/>
            <w:rFonts w:ascii="Times New Roman" w:hAnsi="Times New Roman" w:cs="Times New Roman"/>
            <w:sz w:val="28"/>
            <w:szCs w:val="28"/>
          </w:rPr>
          <w:t>https://journals.asm.org/doi/10.1128/mra.01114-22</w:t>
        </w:r>
      </w:hyperlink>
      <w:r w:rsidRPr="00B01620">
        <w:rPr>
          <w:rFonts w:ascii="Times New Roman" w:hAnsi="Times New Roman" w:cs="Times New Roman"/>
          <w:sz w:val="28"/>
          <w:szCs w:val="28"/>
        </w:rPr>
        <w:t>.</w:t>
      </w:r>
    </w:p>
    <w:p w14:paraId="6A8F273C"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Wu, F. et al. A new coronavirus associated with human respiratory disease in China. // Nature, - 2020. Vol.579. P. 265–269. </w:t>
      </w:r>
      <w:hyperlink r:id="rId117" w:history="1">
        <w:r w:rsidR="00226539" w:rsidRPr="00B01620">
          <w:rPr>
            <w:rStyle w:val="a5"/>
            <w:rFonts w:ascii="Times New Roman" w:hAnsi="Times New Roman" w:cs="Times New Roman"/>
            <w:sz w:val="28"/>
            <w:szCs w:val="28"/>
          </w:rPr>
          <w:t>https://www.nature.com/articles/s41586-020-2008-3</w:t>
        </w:r>
      </w:hyperlink>
      <w:r w:rsidRPr="00B01620">
        <w:rPr>
          <w:rFonts w:ascii="Times New Roman" w:hAnsi="Times New Roman" w:cs="Times New Roman"/>
          <w:sz w:val="28"/>
          <w:szCs w:val="28"/>
        </w:rPr>
        <w:t xml:space="preserve">. </w:t>
      </w:r>
    </w:p>
    <w:p w14:paraId="10E108EF"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Hoffmann, M. et al.  SARS-CoV-2 cell entry depends on ACE2 and TMPRSS2 and is blocked by a clinically proven protease inhibitor. // Cell, - 2020. -Vol.181.-P. 271–280. </w:t>
      </w:r>
      <w:hyperlink r:id="rId118" w:history="1">
        <w:r w:rsidR="00226539" w:rsidRPr="00B01620">
          <w:rPr>
            <w:rStyle w:val="a5"/>
            <w:rFonts w:ascii="Times New Roman" w:hAnsi="Times New Roman" w:cs="Times New Roman"/>
            <w:sz w:val="28"/>
            <w:szCs w:val="28"/>
          </w:rPr>
          <w:t>https://doi.org/10.1016%2Fj.cell.2020.02.052</w:t>
        </w:r>
      </w:hyperlink>
      <w:r w:rsidRPr="00B01620">
        <w:rPr>
          <w:rFonts w:ascii="Times New Roman" w:hAnsi="Times New Roman" w:cs="Times New Roman"/>
          <w:sz w:val="28"/>
          <w:szCs w:val="28"/>
        </w:rPr>
        <w:t xml:space="preserve">. </w:t>
      </w:r>
    </w:p>
    <w:p w14:paraId="24206E06"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Perlman, S. and Netland, J.  Coronaviruses post-SARS: update on replication and pathogenesis. // Nat. Rev. Microbiol, -2009.-Vol. 7. - P. 439–450. </w:t>
      </w:r>
      <w:hyperlink r:id="rId119" w:history="1">
        <w:r w:rsidR="00226539" w:rsidRPr="00B01620">
          <w:rPr>
            <w:rStyle w:val="a5"/>
            <w:rFonts w:ascii="Times New Roman" w:hAnsi="Times New Roman" w:cs="Times New Roman"/>
            <w:sz w:val="28"/>
            <w:szCs w:val="28"/>
          </w:rPr>
          <w:t>https://www.nature.com/articles/nrmicro2147</w:t>
        </w:r>
      </w:hyperlink>
      <w:r w:rsidRPr="00B01620">
        <w:rPr>
          <w:rFonts w:ascii="Times New Roman" w:hAnsi="Times New Roman" w:cs="Times New Roman"/>
          <w:sz w:val="28"/>
          <w:szCs w:val="28"/>
        </w:rPr>
        <w:t xml:space="preserve">. </w:t>
      </w:r>
    </w:p>
    <w:p w14:paraId="0B29B4AC"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proofErr w:type="spellStart"/>
      <w:r w:rsidRPr="00B01620">
        <w:rPr>
          <w:rFonts w:ascii="Times New Roman" w:hAnsi="Times New Roman" w:cs="Times New Roman"/>
          <w:sz w:val="28"/>
          <w:szCs w:val="28"/>
          <w:lang w:val="de-DE"/>
        </w:rPr>
        <w:t>Snijder</w:t>
      </w:r>
      <w:proofErr w:type="spellEnd"/>
      <w:r w:rsidRPr="00B01620">
        <w:rPr>
          <w:rFonts w:ascii="Times New Roman" w:hAnsi="Times New Roman" w:cs="Times New Roman"/>
          <w:sz w:val="28"/>
          <w:szCs w:val="28"/>
          <w:lang w:val="de-DE"/>
        </w:rPr>
        <w:t xml:space="preserve">, E.J. et al. </w:t>
      </w:r>
      <w:r w:rsidRPr="00B01620">
        <w:rPr>
          <w:rFonts w:ascii="Times New Roman" w:hAnsi="Times New Roman" w:cs="Times New Roman"/>
          <w:sz w:val="28"/>
          <w:szCs w:val="28"/>
        </w:rPr>
        <w:t xml:space="preserve">Ultrastructure and origin of membrane vesicles associated with the severe acute respiratory syndrome coronavirus replication complex. // J. </w:t>
      </w:r>
      <w:proofErr w:type="spellStart"/>
      <w:r w:rsidRPr="00B01620">
        <w:rPr>
          <w:rFonts w:ascii="Times New Roman" w:hAnsi="Times New Roman" w:cs="Times New Roman"/>
          <w:sz w:val="28"/>
          <w:szCs w:val="28"/>
        </w:rPr>
        <w:t>Virol</w:t>
      </w:r>
      <w:proofErr w:type="spellEnd"/>
      <w:r w:rsidRPr="00B01620">
        <w:rPr>
          <w:rFonts w:ascii="Times New Roman" w:hAnsi="Times New Roman" w:cs="Times New Roman"/>
          <w:sz w:val="28"/>
          <w:szCs w:val="28"/>
        </w:rPr>
        <w:t xml:space="preserve">, -2006.-Vol. 80. - P.5927–5940.doi: </w:t>
      </w:r>
      <w:hyperlink r:id="rId120" w:tgtFrame="_blank" w:history="1">
        <w:r w:rsidR="00226539" w:rsidRPr="00B01620">
          <w:rPr>
            <w:rStyle w:val="a5"/>
            <w:rFonts w:ascii="Times New Roman" w:hAnsi="Times New Roman" w:cs="Times New Roman"/>
            <w:sz w:val="28"/>
            <w:szCs w:val="28"/>
          </w:rPr>
          <w:t>10.1128/JVI.02501-05</w:t>
        </w:r>
      </w:hyperlink>
      <w:r w:rsidRPr="00B01620">
        <w:rPr>
          <w:rFonts w:ascii="Times New Roman" w:hAnsi="Times New Roman" w:cs="Times New Roman"/>
          <w:sz w:val="28"/>
          <w:szCs w:val="28"/>
        </w:rPr>
        <w:t>.</w:t>
      </w:r>
    </w:p>
    <w:p w14:paraId="5A04F1D1"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Wu, H.-Y. and Brian, D.A. Subgenomic messenger RNA amplification in coronaviruses. // Proc. Natl. Acad. Sci. U. S. A, -2010.-Vol. 107.- P.12257–12262. </w:t>
      </w:r>
      <w:hyperlink r:id="rId121" w:history="1">
        <w:r w:rsidR="00226539" w:rsidRPr="00B01620">
          <w:rPr>
            <w:rStyle w:val="a5"/>
            <w:rFonts w:ascii="Times New Roman" w:hAnsi="Times New Roman" w:cs="Times New Roman"/>
            <w:sz w:val="28"/>
            <w:szCs w:val="28"/>
          </w:rPr>
          <w:t>https://doi.org/10.1073/pnas.1000378107</w:t>
        </w:r>
      </w:hyperlink>
      <w:r w:rsidRPr="00B01620">
        <w:rPr>
          <w:rFonts w:ascii="Times New Roman" w:hAnsi="Times New Roman" w:cs="Times New Roman"/>
          <w:sz w:val="28"/>
          <w:szCs w:val="28"/>
        </w:rPr>
        <w:t xml:space="preserve">. </w:t>
      </w:r>
    </w:p>
    <w:p w14:paraId="0ABDB5C5"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Shailendra K. Saxena and Sai V. Chitti. Molecular Biology and Pathogenesis of Retroviruses. // Advances in Molecular Retrovirology, – 2016. - Vol. 12.- P. 9-24. </w:t>
      </w:r>
      <w:proofErr w:type="spellStart"/>
      <w:r w:rsidRPr="00B01620">
        <w:rPr>
          <w:rFonts w:ascii="Times New Roman" w:hAnsi="Times New Roman" w:cs="Times New Roman"/>
          <w:sz w:val="28"/>
          <w:szCs w:val="28"/>
        </w:rPr>
        <w:t>doi</w:t>
      </w:r>
      <w:proofErr w:type="spellEnd"/>
      <w:r w:rsidRPr="00B01620">
        <w:rPr>
          <w:rFonts w:ascii="Times New Roman" w:hAnsi="Times New Roman" w:cs="Times New Roman"/>
          <w:sz w:val="28"/>
          <w:szCs w:val="28"/>
        </w:rPr>
        <w:t xml:space="preserve">: 10.5772/62885. </w:t>
      </w:r>
    </w:p>
    <w:p w14:paraId="2AF30E0D"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Varmus H. Retroviruses. // Science, -1988.- Vol.240.- P.1427-1435.</w:t>
      </w:r>
    </w:p>
    <w:p w14:paraId="496EC723" w14:textId="77777777" w:rsidR="00226539" w:rsidRPr="00B01620" w:rsidRDefault="00853685" w:rsidP="00524D6E">
      <w:pPr>
        <w:pStyle w:val="af1"/>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Coffin JM. Structure and classification of retroviruses. // In: Levy, JA. The Retroviridae (First edition). New York: Plenum, - 1992. -ISBN 0-306-44074-1.-Vol.3, №3.- P. 20.</w:t>
      </w:r>
    </w:p>
    <w:p w14:paraId="39DA6F51"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Rabson AB, Graves BJ. Synthesis and processing of viral RNA. In: Coffin JM, Hughes SH, Varmus HE, editors. // Retroviruses. Cold Spring Harbor (NY): Cold Spring Harbor Laboratory Press. -1997. - Vol.1.- P.223-236. </w:t>
      </w:r>
    </w:p>
    <w:p w14:paraId="0BED5BF5"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lastRenderedPageBreak/>
        <w:t xml:space="preserve">Bharat TA, Davey NE, Ulbrich P, Riches JD, de Marco A, </w:t>
      </w:r>
      <w:proofErr w:type="spellStart"/>
      <w:r w:rsidRPr="00B01620">
        <w:rPr>
          <w:rFonts w:ascii="Times New Roman" w:hAnsi="Times New Roman" w:cs="Times New Roman"/>
          <w:sz w:val="28"/>
          <w:szCs w:val="28"/>
        </w:rPr>
        <w:t>Rumlova</w:t>
      </w:r>
      <w:proofErr w:type="spellEnd"/>
      <w:r w:rsidRPr="00B01620">
        <w:rPr>
          <w:rFonts w:ascii="Times New Roman" w:hAnsi="Times New Roman" w:cs="Times New Roman"/>
          <w:sz w:val="28"/>
          <w:szCs w:val="28"/>
        </w:rPr>
        <w:t xml:space="preserve"> M, Sachse C, Ruml T, Briggs JA. Structure of the immature retroviral capsid at 8 Å resolution by </w:t>
      </w:r>
      <w:proofErr w:type="spellStart"/>
      <w:r w:rsidRPr="00B01620">
        <w:rPr>
          <w:rFonts w:ascii="Times New Roman" w:hAnsi="Times New Roman" w:cs="Times New Roman"/>
          <w:sz w:val="28"/>
          <w:szCs w:val="28"/>
        </w:rPr>
        <w:t>cryoelectron</w:t>
      </w:r>
      <w:proofErr w:type="spellEnd"/>
      <w:r w:rsidRPr="00B01620">
        <w:rPr>
          <w:rFonts w:ascii="Times New Roman" w:hAnsi="Times New Roman" w:cs="Times New Roman"/>
          <w:sz w:val="28"/>
          <w:szCs w:val="28"/>
        </w:rPr>
        <w:t xml:space="preserve"> microscopy. // Nature, – 2012. Vol. 487.-P. 385-389.</w:t>
      </w:r>
    </w:p>
    <w:p w14:paraId="2BED7E34"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Clinical management of COVID-19 15</w:t>
      </w:r>
      <w:r w:rsidRPr="00B01620">
        <w:rPr>
          <w:rFonts w:ascii="Times New Roman" w:hAnsi="Times New Roman" w:cs="Times New Roman"/>
          <w:sz w:val="28"/>
          <w:szCs w:val="28"/>
          <w:vertAlign w:val="superscript"/>
        </w:rPr>
        <w:t>th</w:t>
      </w:r>
      <w:r w:rsidRPr="00B01620">
        <w:rPr>
          <w:rFonts w:ascii="Times New Roman" w:hAnsi="Times New Roman" w:cs="Times New Roman"/>
          <w:sz w:val="28"/>
          <w:szCs w:val="28"/>
        </w:rPr>
        <w:t xml:space="preserve"> September 2022, WHO, - P.110.</w:t>
      </w:r>
    </w:p>
    <w:p w14:paraId="510F4D35"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Clinical management of COVID-19 15th September 2022, WHO, - P.113-115.</w:t>
      </w:r>
    </w:p>
    <w:p w14:paraId="5311CC8F"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Marilyn J. Roossinck, Viren. // Springer, -2020. Vol.1, №2 -P. 28-32.  </w:t>
      </w:r>
      <w:hyperlink r:id="rId122" w:history="1">
        <w:r w:rsidR="00226539" w:rsidRPr="00B01620">
          <w:rPr>
            <w:rStyle w:val="a5"/>
            <w:rFonts w:ascii="Times New Roman" w:hAnsi="Times New Roman" w:cs="Times New Roman"/>
            <w:color w:val="auto"/>
            <w:sz w:val="28"/>
            <w:szCs w:val="28"/>
            <w:u w:val="none"/>
          </w:rPr>
          <w:t>https://link.springer.com/book/10.1007/978-3-662-61684-0</w:t>
        </w:r>
      </w:hyperlink>
      <w:r w:rsidRPr="00B01620">
        <w:rPr>
          <w:rFonts w:ascii="Times New Roman" w:hAnsi="Times New Roman" w:cs="Times New Roman"/>
          <w:sz w:val="28"/>
          <w:szCs w:val="28"/>
        </w:rPr>
        <w:t xml:space="preserve">. </w:t>
      </w:r>
    </w:p>
    <w:p w14:paraId="6CE16FC6"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Lu, R. et al. Genomic characterization and epidemiology of 2019 novel coronavirus: implications for virus origins and receptor binding. // Lancet, - 2020. - Vol.  395. -P. 565–574.</w:t>
      </w:r>
    </w:p>
    <w:p w14:paraId="1F89F95D"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Zhang, Y.Z. and Holmes, E.C.  A genomic perspective on the origin and emergence of SARS-CoV-2. // Cell, - 2020.-Vol. 181.-P. 223–227.</w:t>
      </w:r>
    </w:p>
    <w:p w14:paraId="0B303723"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Roe M.K. et al., Targeting novel structural and functional features of coronavirus protease nsp5 (3CL</w:t>
      </w:r>
      <w:r w:rsidRPr="00B01620">
        <w:rPr>
          <w:rFonts w:ascii="Times New Roman" w:hAnsi="Times New Roman" w:cs="Times New Roman"/>
          <w:sz w:val="28"/>
          <w:szCs w:val="28"/>
          <w:vertAlign w:val="superscript"/>
        </w:rPr>
        <w:t>pro</w:t>
      </w:r>
      <w:r w:rsidRPr="00B01620">
        <w:rPr>
          <w:rFonts w:ascii="Times New Roman" w:hAnsi="Times New Roman" w:cs="Times New Roman"/>
          <w:sz w:val="28"/>
          <w:szCs w:val="28"/>
        </w:rPr>
        <w:t>, M</w:t>
      </w:r>
      <w:r w:rsidRPr="00B01620">
        <w:rPr>
          <w:rFonts w:ascii="Times New Roman" w:hAnsi="Times New Roman" w:cs="Times New Roman"/>
          <w:sz w:val="28"/>
          <w:szCs w:val="28"/>
          <w:vertAlign w:val="superscript"/>
        </w:rPr>
        <w:t>pro</w:t>
      </w:r>
      <w:r w:rsidRPr="00B01620">
        <w:rPr>
          <w:rFonts w:ascii="Times New Roman" w:hAnsi="Times New Roman" w:cs="Times New Roman"/>
          <w:sz w:val="28"/>
          <w:szCs w:val="28"/>
        </w:rPr>
        <w:t xml:space="preserve">) in the age of COVID-19 // Journal of General Virology, – 2021. Vol.102. – P. 123-139. </w:t>
      </w:r>
      <w:hyperlink r:id="rId123" w:history="1">
        <w:r w:rsidR="00226539" w:rsidRPr="00B01620">
          <w:rPr>
            <w:rStyle w:val="a5"/>
            <w:rFonts w:ascii="Times New Roman" w:hAnsi="Times New Roman" w:cs="Times New Roman"/>
            <w:sz w:val="28"/>
            <w:szCs w:val="28"/>
          </w:rPr>
          <w:t>https://doi.org/10.1099/jgv.0.001558</w:t>
        </w:r>
      </w:hyperlink>
      <w:r w:rsidRPr="00B01620">
        <w:rPr>
          <w:rFonts w:ascii="Times New Roman" w:hAnsi="Times New Roman" w:cs="Times New Roman"/>
          <w:sz w:val="28"/>
          <w:szCs w:val="28"/>
        </w:rPr>
        <w:t xml:space="preserve">.  </w:t>
      </w:r>
    </w:p>
    <w:p w14:paraId="53BFDEBB" w14:textId="4C002FAB"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Joshi S, Parkar J, Ansari A, Vora A, Talwar D and Tiwaskar M. Role of favipiravir in treating COVID-19. // Int J Infect Dis. – 2021. -Vol.102. -P.  501-508</w:t>
      </w:r>
      <w:r w:rsidR="00372225" w:rsidRPr="00B01620">
        <w:rPr>
          <w:rFonts w:ascii="Times New Roman" w:hAnsi="Times New Roman" w:cs="Times New Roman"/>
          <w:sz w:val="28"/>
          <w:szCs w:val="28"/>
        </w:rPr>
        <w:t>.</w:t>
      </w:r>
    </w:p>
    <w:p w14:paraId="02D07B70"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Delang L, Abdelnabi R, and </w:t>
      </w:r>
      <w:proofErr w:type="spellStart"/>
      <w:r w:rsidRPr="00B01620">
        <w:rPr>
          <w:rFonts w:ascii="Times New Roman" w:hAnsi="Times New Roman" w:cs="Times New Roman"/>
          <w:sz w:val="28"/>
          <w:szCs w:val="28"/>
        </w:rPr>
        <w:t>Neyts</w:t>
      </w:r>
      <w:proofErr w:type="spellEnd"/>
      <w:r w:rsidRPr="00B01620">
        <w:rPr>
          <w:rFonts w:ascii="Times New Roman" w:hAnsi="Times New Roman" w:cs="Times New Roman"/>
          <w:sz w:val="28"/>
          <w:szCs w:val="28"/>
        </w:rPr>
        <w:t xml:space="preserve"> J.  Favipiravir as a potential countermeasure against neglected and emerging RNA viruses. // Antiviral Res, – 2018.- Vol. 153.- P. 85-94.</w:t>
      </w:r>
    </w:p>
    <w:p w14:paraId="131C2074"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Wang M, Cao R, Zhang L, Yang X, Liu J and Xu M: Remdesivir and chloroquine effectively inhibit the recently emerged novel coronavirus (2019-nCoV) in-vitro. // Cell Res, - 2020. – Vol.30. - P. 269-71.</w:t>
      </w:r>
    </w:p>
    <w:p w14:paraId="3915AE6D"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Graci JD, Cameron CE. Mechanisms of action of ribavirin against distinct viruses. // Rev Med </w:t>
      </w:r>
      <w:proofErr w:type="spellStart"/>
      <w:r w:rsidRPr="00B01620">
        <w:rPr>
          <w:rFonts w:ascii="Times New Roman" w:hAnsi="Times New Roman" w:cs="Times New Roman"/>
          <w:sz w:val="28"/>
          <w:szCs w:val="28"/>
        </w:rPr>
        <w:t>Virol</w:t>
      </w:r>
      <w:proofErr w:type="spellEnd"/>
      <w:r w:rsidRPr="00B01620">
        <w:rPr>
          <w:rFonts w:ascii="Times New Roman" w:hAnsi="Times New Roman" w:cs="Times New Roman"/>
          <w:sz w:val="28"/>
          <w:szCs w:val="28"/>
        </w:rPr>
        <w:t>, – 2006. – Vol. 16. – P. 37‐48.</w:t>
      </w:r>
    </w:p>
    <w:p w14:paraId="0FD1637E"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lang w:val="de-DE"/>
        </w:rPr>
        <w:t xml:space="preserve">Myung J.1., </w:t>
      </w:r>
      <w:proofErr w:type="spellStart"/>
      <w:r w:rsidRPr="00B01620">
        <w:rPr>
          <w:rFonts w:ascii="Times New Roman" w:hAnsi="Times New Roman" w:cs="Times New Roman"/>
          <w:sz w:val="28"/>
          <w:szCs w:val="28"/>
          <w:lang w:val="de-DE"/>
        </w:rPr>
        <w:t>Kye</w:t>
      </w:r>
      <w:proofErr w:type="spellEnd"/>
      <w:r w:rsidRPr="00B01620">
        <w:rPr>
          <w:rFonts w:ascii="Times New Roman" w:hAnsi="Times New Roman" w:cs="Times New Roman"/>
          <w:sz w:val="28"/>
          <w:szCs w:val="28"/>
          <w:lang w:val="de-DE"/>
        </w:rPr>
        <w:t xml:space="preserve">-Hyung Kim. </w:t>
      </w:r>
      <w:r w:rsidRPr="00B01620">
        <w:rPr>
          <w:rFonts w:ascii="Times New Roman" w:hAnsi="Times New Roman" w:cs="Times New Roman"/>
          <w:sz w:val="28"/>
          <w:szCs w:val="28"/>
        </w:rPr>
        <w:t xml:space="preserve">In vitro antiviral activity of ribavirin against severe fever with thrombocytopenia syndrome virus. // Korean J Intern </w:t>
      </w:r>
      <w:proofErr w:type="gramStart"/>
      <w:r w:rsidRPr="00B01620">
        <w:rPr>
          <w:rFonts w:ascii="Times New Roman" w:hAnsi="Times New Roman" w:cs="Times New Roman"/>
          <w:sz w:val="28"/>
          <w:szCs w:val="28"/>
        </w:rPr>
        <w:t>Med,-</w:t>
      </w:r>
      <w:proofErr w:type="gramEnd"/>
      <w:r w:rsidRPr="00B01620">
        <w:rPr>
          <w:rFonts w:ascii="Times New Roman" w:hAnsi="Times New Roman" w:cs="Times New Roman"/>
          <w:sz w:val="28"/>
          <w:szCs w:val="28"/>
        </w:rPr>
        <w:t xml:space="preserve"> 2017.- Vol. 32. -  P.731–737.</w:t>
      </w:r>
    </w:p>
    <w:p w14:paraId="6EE28EB8"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Lee N, Hui D, Wu A, et al. A major outbreak of severe acute respiratory syndrome in Hong Kong. // N Engl J Med, -2003. Vol. 348, №2. – P.1986-1994.</w:t>
      </w:r>
    </w:p>
    <w:p w14:paraId="048A20A8"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Falzarano D, de Wit E, Martellaro C, Callison J, Munster VJ, Feldmann H. Inhibition of novel beta coronavirus replication by a combination of interferon‐alpha2b and ribavirin. // Sci Rep, – 2013.- Vol.3, №1. P. 1686. </w:t>
      </w:r>
    </w:p>
    <w:p w14:paraId="42139197"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Koren G, King S, Knowles S, Phillips E. Ribavirin in treating SARS: A new trick for an old drug? // CMAJ. – 2003.- Vol.168, №3. - P. 1289‐1292.</w:t>
      </w:r>
    </w:p>
    <w:p w14:paraId="03C52F6B" w14:textId="28EA9FC6"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Balzarini, J.; Holy, A.; Jindrich, J.; </w:t>
      </w:r>
      <w:proofErr w:type="spellStart"/>
      <w:r w:rsidRPr="00B01620">
        <w:rPr>
          <w:rFonts w:ascii="Times New Roman" w:hAnsi="Times New Roman" w:cs="Times New Roman"/>
          <w:sz w:val="28"/>
          <w:szCs w:val="28"/>
        </w:rPr>
        <w:t>Naesens</w:t>
      </w:r>
      <w:proofErr w:type="spellEnd"/>
      <w:r w:rsidRPr="00B01620">
        <w:rPr>
          <w:rFonts w:ascii="Times New Roman" w:hAnsi="Times New Roman" w:cs="Times New Roman"/>
          <w:sz w:val="28"/>
          <w:szCs w:val="28"/>
        </w:rPr>
        <w:t xml:space="preserve">, L.; </w:t>
      </w:r>
      <w:proofErr w:type="spellStart"/>
      <w:r w:rsidRPr="00B01620">
        <w:rPr>
          <w:rFonts w:ascii="Times New Roman" w:hAnsi="Times New Roman" w:cs="Times New Roman"/>
          <w:sz w:val="28"/>
          <w:szCs w:val="28"/>
        </w:rPr>
        <w:t>Snoeck</w:t>
      </w:r>
      <w:proofErr w:type="spellEnd"/>
      <w:r w:rsidRPr="00B01620">
        <w:rPr>
          <w:rFonts w:ascii="Times New Roman" w:hAnsi="Times New Roman" w:cs="Times New Roman"/>
          <w:sz w:val="28"/>
          <w:szCs w:val="28"/>
        </w:rPr>
        <w:t xml:space="preserve">, R.; Schols, D.; De Clercq, E. Differential </w:t>
      </w:r>
      <w:proofErr w:type="spellStart"/>
      <w:r w:rsidRPr="00B01620">
        <w:rPr>
          <w:rFonts w:ascii="Times New Roman" w:hAnsi="Times New Roman" w:cs="Times New Roman"/>
          <w:sz w:val="28"/>
          <w:szCs w:val="28"/>
        </w:rPr>
        <w:t>antiherpesvirus</w:t>
      </w:r>
      <w:proofErr w:type="spellEnd"/>
      <w:r w:rsidRPr="00B01620">
        <w:rPr>
          <w:rFonts w:ascii="Times New Roman" w:hAnsi="Times New Roman" w:cs="Times New Roman"/>
          <w:sz w:val="28"/>
          <w:szCs w:val="28"/>
        </w:rPr>
        <w:t xml:space="preserve"> and </w:t>
      </w:r>
      <w:proofErr w:type="spellStart"/>
      <w:r w:rsidRPr="00B01620">
        <w:rPr>
          <w:rFonts w:ascii="Times New Roman" w:hAnsi="Times New Roman" w:cs="Times New Roman"/>
          <w:sz w:val="28"/>
          <w:szCs w:val="28"/>
        </w:rPr>
        <w:t>antiretrovirus</w:t>
      </w:r>
      <w:proofErr w:type="spellEnd"/>
      <w:r w:rsidRPr="00B01620">
        <w:rPr>
          <w:rFonts w:ascii="Times New Roman" w:hAnsi="Times New Roman" w:cs="Times New Roman"/>
          <w:sz w:val="28"/>
          <w:szCs w:val="28"/>
        </w:rPr>
        <w:t xml:space="preserve"> effects of the (S) and (R) enantiomers of acyclic nucleoside phosphonates: Potent and selective in vitro and in vivo </w:t>
      </w:r>
      <w:proofErr w:type="spellStart"/>
      <w:r w:rsidRPr="00B01620">
        <w:rPr>
          <w:rFonts w:ascii="Times New Roman" w:hAnsi="Times New Roman" w:cs="Times New Roman"/>
          <w:sz w:val="28"/>
          <w:szCs w:val="28"/>
        </w:rPr>
        <w:t>antiretrovirus</w:t>
      </w:r>
      <w:proofErr w:type="spellEnd"/>
      <w:r w:rsidRPr="00B01620">
        <w:rPr>
          <w:rFonts w:ascii="Times New Roman" w:hAnsi="Times New Roman" w:cs="Times New Roman"/>
          <w:sz w:val="28"/>
          <w:szCs w:val="28"/>
        </w:rPr>
        <w:t xml:space="preserve"> activities of (R)-9 (2phosphonomethoxypropyl)-2,6-diaminopurine. // </w:t>
      </w:r>
      <w:proofErr w:type="spellStart"/>
      <w:r w:rsidRPr="00B01620">
        <w:rPr>
          <w:rFonts w:ascii="Times New Roman" w:hAnsi="Times New Roman" w:cs="Times New Roman"/>
          <w:sz w:val="28"/>
          <w:szCs w:val="28"/>
        </w:rPr>
        <w:t>Antimicrob</w:t>
      </w:r>
      <w:proofErr w:type="spellEnd"/>
      <w:r w:rsidRPr="00B01620">
        <w:rPr>
          <w:rFonts w:ascii="Times New Roman" w:hAnsi="Times New Roman" w:cs="Times New Roman"/>
          <w:sz w:val="28"/>
          <w:szCs w:val="28"/>
        </w:rPr>
        <w:t xml:space="preserve">. Agents </w:t>
      </w:r>
      <w:proofErr w:type="spellStart"/>
      <w:r w:rsidRPr="00B01620">
        <w:rPr>
          <w:rFonts w:ascii="Times New Roman" w:hAnsi="Times New Roman" w:cs="Times New Roman"/>
          <w:sz w:val="28"/>
          <w:szCs w:val="28"/>
        </w:rPr>
        <w:t>Chemother</w:t>
      </w:r>
      <w:proofErr w:type="spellEnd"/>
      <w:r w:rsidRPr="00B01620">
        <w:rPr>
          <w:rFonts w:ascii="Times New Roman" w:hAnsi="Times New Roman" w:cs="Times New Roman"/>
          <w:sz w:val="28"/>
          <w:szCs w:val="28"/>
        </w:rPr>
        <w:t>, - 1993. -Vol. 37, №1. - P. 332–338</w:t>
      </w:r>
      <w:r w:rsidR="00372225" w:rsidRPr="00B01620">
        <w:rPr>
          <w:rFonts w:ascii="Times New Roman" w:hAnsi="Times New Roman" w:cs="Times New Roman"/>
          <w:sz w:val="28"/>
          <w:szCs w:val="28"/>
        </w:rPr>
        <w:t>.</w:t>
      </w:r>
    </w:p>
    <w:p w14:paraId="3EB8BC04" w14:textId="603D14A2"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Edited Tsai, C.-C.; Follis, K.E.; Sabo, A.; Beck, T.W.; Grant, R.F.; Bischofberger, N.; Benveniste, R.E.; Black, R. Prevention of SIV Infection in Macaques by (R)-9-(2-Phosphonylmethoxypropyl) adenine. // Science, – 1995. - Vol. 270, №5. – P. 1197–1199</w:t>
      </w:r>
      <w:r w:rsidR="00C0190B" w:rsidRPr="00B01620">
        <w:rPr>
          <w:rFonts w:ascii="Times New Roman" w:hAnsi="Times New Roman" w:cs="Times New Roman"/>
          <w:sz w:val="28"/>
          <w:szCs w:val="28"/>
        </w:rPr>
        <w:t>.</w:t>
      </w:r>
    </w:p>
    <w:p w14:paraId="5011BC5F"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proofErr w:type="spellStart"/>
      <w:r w:rsidRPr="00B01620">
        <w:rPr>
          <w:rFonts w:ascii="Times New Roman" w:hAnsi="Times New Roman" w:cs="Times New Roman"/>
          <w:sz w:val="28"/>
          <w:szCs w:val="28"/>
        </w:rPr>
        <w:lastRenderedPageBreak/>
        <w:t>Elfiky</w:t>
      </w:r>
      <w:proofErr w:type="spellEnd"/>
      <w:r w:rsidRPr="00B01620">
        <w:rPr>
          <w:rFonts w:ascii="Times New Roman" w:hAnsi="Times New Roman" w:cs="Times New Roman"/>
          <w:sz w:val="28"/>
          <w:szCs w:val="28"/>
        </w:rPr>
        <w:t xml:space="preserve">, A.A. Ribavirin, Remdesivir, Sofosbuvir, </w:t>
      </w:r>
      <w:proofErr w:type="spellStart"/>
      <w:r w:rsidRPr="00B01620">
        <w:rPr>
          <w:rFonts w:ascii="Times New Roman" w:hAnsi="Times New Roman" w:cs="Times New Roman"/>
          <w:sz w:val="28"/>
          <w:szCs w:val="28"/>
        </w:rPr>
        <w:t>Galidesivir</w:t>
      </w:r>
      <w:proofErr w:type="spellEnd"/>
      <w:r w:rsidRPr="00B01620">
        <w:rPr>
          <w:rFonts w:ascii="Times New Roman" w:hAnsi="Times New Roman" w:cs="Times New Roman"/>
          <w:sz w:val="28"/>
          <w:szCs w:val="28"/>
        </w:rPr>
        <w:t>, and Tenofovir against SARS-CoV-2 RNA dependent RNA polymerase (</w:t>
      </w:r>
      <w:proofErr w:type="spellStart"/>
      <w:r w:rsidRPr="00B01620">
        <w:rPr>
          <w:rFonts w:ascii="Times New Roman" w:hAnsi="Times New Roman" w:cs="Times New Roman"/>
          <w:sz w:val="28"/>
          <w:szCs w:val="28"/>
        </w:rPr>
        <w:t>RdRp</w:t>
      </w:r>
      <w:proofErr w:type="spellEnd"/>
      <w:r w:rsidRPr="00B01620">
        <w:rPr>
          <w:rFonts w:ascii="Times New Roman" w:hAnsi="Times New Roman" w:cs="Times New Roman"/>
          <w:sz w:val="28"/>
          <w:szCs w:val="28"/>
        </w:rPr>
        <w:t xml:space="preserve">): A molecular docking study. // Life Sci, - 2020.- Vol. 253. - P. 117-192. </w:t>
      </w:r>
    </w:p>
    <w:p w14:paraId="537456F6"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Edited Li, G.; Yue, T.; Zhang, P.; Gu, W.; Gao, L.-J.; Tan, L. Drug Discovery of </w:t>
      </w:r>
      <w:proofErr w:type="spellStart"/>
      <w:r w:rsidRPr="00B01620">
        <w:rPr>
          <w:rFonts w:ascii="Times New Roman" w:hAnsi="Times New Roman" w:cs="Times New Roman"/>
          <w:sz w:val="28"/>
          <w:szCs w:val="28"/>
        </w:rPr>
        <w:t>Nucleos</w:t>
      </w:r>
      <w:proofErr w:type="spellEnd"/>
      <w:r w:rsidRPr="00B01620">
        <w:rPr>
          <w:rFonts w:ascii="Times New Roman" w:hAnsi="Times New Roman" w:cs="Times New Roman"/>
          <w:sz w:val="28"/>
          <w:szCs w:val="28"/>
        </w:rPr>
        <w:t>(t)ide Antiviral Agents: Dedicated to Prof. Dr. Erik De Clercq on Occasion of His 80th Birthday. // Molecules, – 2021. - Vol. 26.-P. 923.</w:t>
      </w:r>
    </w:p>
    <w:p w14:paraId="3138FC07"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Choy, </w:t>
      </w:r>
      <w:proofErr w:type="spellStart"/>
      <w:r w:rsidRPr="00B01620">
        <w:rPr>
          <w:rFonts w:ascii="Times New Roman" w:hAnsi="Times New Roman" w:cs="Times New Roman"/>
          <w:sz w:val="28"/>
          <w:szCs w:val="28"/>
        </w:rPr>
        <w:t>K.-</w:t>
      </w:r>
      <w:proofErr w:type="gramStart"/>
      <w:r w:rsidRPr="00B01620">
        <w:rPr>
          <w:rFonts w:ascii="Times New Roman" w:hAnsi="Times New Roman" w:cs="Times New Roman"/>
          <w:sz w:val="28"/>
          <w:szCs w:val="28"/>
        </w:rPr>
        <w:t>T.;Wong</w:t>
      </w:r>
      <w:proofErr w:type="spellEnd"/>
      <w:proofErr w:type="gramEnd"/>
      <w:r w:rsidRPr="00B01620">
        <w:rPr>
          <w:rFonts w:ascii="Times New Roman" w:hAnsi="Times New Roman" w:cs="Times New Roman"/>
          <w:sz w:val="28"/>
          <w:szCs w:val="28"/>
        </w:rPr>
        <w:t xml:space="preserve">, A.Y.-L.; </w:t>
      </w:r>
      <w:proofErr w:type="spellStart"/>
      <w:r w:rsidRPr="00B01620">
        <w:rPr>
          <w:rFonts w:ascii="Times New Roman" w:hAnsi="Times New Roman" w:cs="Times New Roman"/>
          <w:sz w:val="28"/>
          <w:szCs w:val="28"/>
        </w:rPr>
        <w:t>Kaewpreedee</w:t>
      </w:r>
      <w:proofErr w:type="spellEnd"/>
      <w:r w:rsidRPr="00B01620">
        <w:rPr>
          <w:rFonts w:ascii="Times New Roman" w:hAnsi="Times New Roman" w:cs="Times New Roman"/>
          <w:sz w:val="28"/>
          <w:szCs w:val="28"/>
        </w:rPr>
        <w:t xml:space="preserve">, P.; Sia, S.F.; Chen, D.; Hui, K.P.Y.; Chu, D.K.W.; </w:t>
      </w:r>
      <w:proofErr w:type="spellStart"/>
      <w:proofErr w:type="gramStart"/>
      <w:r w:rsidRPr="00B01620">
        <w:rPr>
          <w:rFonts w:ascii="Times New Roman" w:hAnsi="Times New Roman" w:cs="Times New Roman"/>
          <w:sz w:val="28"/>
          <w:szCs w:val="28"/>
        </w:rPr>
        <w:t>Chan,M.C.W</w:t>
      </w:r>
      <w:proofErr w:type="spellEnd"/>
      <w:r w:rsidRPr="00B01620">
        <w:rPr>
          <w:rFonts w:ascii="Times New Roman" w:hAnsi="Times New Roman" w:cs="Times New Roman"/>
          <w:sz w:val="28"/>
          <w:szCs w:val="28"/>
        </w:rPr>
        <w:t>.</w:t>
      </w:r>
      <w:proofErr w:type="gramEnd"/>
      <w:r w:rsidRPr="00B01620">
        <w:rPr>
          <w:rFonts w:ascii="Times New Roman" w:hAnsi="Times New Roman" w:cs="Times New Roman"/>
          <w:sz w:val="28"/>
          <w:szCs w:val="28"/>
        </w:rPr>
        <w:t xml:space="preserve">; Cheung, P.P.-H.; Huang, X.; et al. Remdesivir, lopinavir, emetine, and </w:t>
      </w:r>
      <w:proofErr w:type="spellStart"/>
      <w:r w:rsidRPr="00B01620">
        <w:rPr>
          <w:rFonts w:ascii="Times New Roman" w:hAnsi="Times New Roman" w:cs="Times New Roman"/>
          <w:sz w:val="28"/>
          <w:szCs w:val="28"/>
        </w:rPr>
        <w:t>homoharringtonine</w:t>
      </w:r>
      <w:proofErr w:type="spellEnd"/>
      <w:r w:rsidRPr="00B01620">
        <w:rPr>
          <w:rFonts w:ascii="Times New Roman" w:hAnsi="Times New Roman" w:cs="Times New Roman"/>
          <w:sz w:val="28"/>
          <w:szCs w:val="28"/>
        </w:rPr>
        <w:t xml:space="preserve"> inhibit SARS-CoV-2 replication in vitro. // </w:t>
      </w:r>
      <w:proofErr w:type="spellStart"/>
      <w:r w:rsidRPr="00B01620">
        <w:rPr>
          <w:rFonts w:ascii="Times New Roman" w:hAnsi="Times New Roman" w:cs="Times New Roman"/>
          <w:sz w:val="28"/>
          <w:szCs w:val="28"/>
        </w:rPr>
        <w:t>Antivir</w:t>
      </w:r>
      <w:proofErr w:type="spellEnd"/>
      <w:r w:rsidRPr="00B01620">
        <w:rPr>
          <w:rFonts w:ascii="Times New Roman" w:hAnsi="Times New Roman" w:cs="Times New Roman"/>
          <w:sz w:val="28"/>
          <w:szCs w:val="28"/>
        </w:rPr>
        <w:t xml:space="preserve">. </w:t>
      </w:r>
      <w:proofErr w:type="gramStart"/>
      <w:r w:rsidRPr="00B01620">
        <w:rPr>
          <w:rFonts w:ascii="Times New Roman" w:hAnsi="Times New Roman" w:cs="Times New Roman"/>
          <w:sz w:val="28"/>
          <w:szCs w:val="28"/>
        </w:rPr>
        <w:t>Res,-</w:t>
      </w:r>
      <w:proofErr w:type="gramEnd"/>
      <w:r w:rsidRPr="00B01620">
        <w:rPr>
          <w:rFonts w:ascii="Times New Roman" w:hAnsi="Times New Roman" w:cs="Times New Roman"/>
          <w:sz w:val="28"/>
          <w:szCs w:val="28"/>
        </w:rPr>
        <w:t xml:space="preserve"> 2020. -  Vol. 178. – P. 104-107. </w:t>
      </w:r>
    </w:p>
    <w:p w14:paraId="72295828"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Rob W. Brooker; Zaal Kikvidze. Importance: an overlooked concept in plant interaction research. // Journal of Ecology, – 2008.- Vol. 96, №7. - P. 703–708. https://doi.org/10.1111/j.1365-2745.2008.01373.  </w:t>
      </w:r>
    </w:p>
    <w:p w14:paraId="3727D88A"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Neubig, Richard R. "International Union of Pharmacology Committee on Receptor Nomenclature and Drug Classification. XXXVIII. Update on Terms and Symbols in Quantitative Pharmacology". // Pharmacological Reviews, – 2003. - Vol. 55, №6. - P. 597–606. doi:10.1124/pr.55. </w:t>
      </w:r>
    </w:p>
    <w:p w14:paraId="0EAAF017"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Yousuke. А., et.al. Favipiravir (T-705), a broad-spectrum inhibitor of viral RNA polymerase. // Proc. </w:t>
      </w:r>
      <w:proofErr w:type="spellStart"/>
      <w:r w:rsidRPr="00B01620">
        <w:rPr>
          <w:rFonts w:ascii="Times New Roman" w:hAnsi="Times New Roman" w:cs="Times New Roman"/>
          <w:sz w:val="28"/>
          <w:szCs w:val="28"/>
        </w:rPr>
        <w:t>Jpn</w:t>
      </w:r>
      <w:proofErr w:type="spellEnd"/>
      <w:r w:rsidRPr="00B01620">
        <w:rPr>
          <w:rFonts w:ascii="Times New Roman" w:hAnsi="Times New Roman" w:cs="Times New Roman"/>
          <w:sz w:val="28"/>
          <w:szCs w:val="28"/>
        </w:rPr>
        <w:t>. Acad., Ser, -2009.- Vol.3, №8.- P.232-239.</w:t>
      </w:r>
    </w:p>
    <w:p w14:paraId="4EC9608C"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Perales, C., Gallego, I., de Ávila, A. I., Soria, M. E., Gregori, J., </w:t>
      </w:r>
      <w:proofErr w:type="spellStart"/>
      <w:r w:rsidRPr="00B01620">
        <w:rPr>
          <w:rFonts w:ascii="Times New Roman" w:hAnsi="Times New Roman" w:cs="Times New Roman"/>
          <w:sz w:val="28"/>
          <w:szCs w:val="28"/>
        </w:rPr>
        <w:t>Quer</w:t>
      </w:r>
      <w:proofErr w:type="spellEnd"/>
      <w:r w:rsidRPr="00B01620">
        <w:rPr>
          <w:rFonts w:ascii="Times New Roman" w:hAnsi="Times New Roman" w:cs="Times New Roman"/>
          <w:sz w:val="28"/>
          <w:szCs w:val="28"/>
        </w:rPr>
        <w:t>, J., &amp; Domingo, E. The increasing impact of lethal mutagenesis of viruses. // Future Medicinal Chemistry, - 2019.- Vol. 11. – P. 123-133.</w:t>
      </w:r>
    </w:p>
    <w:p w14:paraId="1E89AB8F"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Perales, C., Martín, V., &amp; Domingo, E. Lethal mutagenesis of viruses. // Current Opinion in Virology, - 2011.-Vol. 1, № 9. - P. 419–422.  </w:t>
      </w:r>
      <w:proofErr w:type="spellStart"/>
      <w:r w:rsidRPr="00B01620">
        <w:rPr>
          <w:rFonts w:ascii="Times New Roman" w:hAnsi="Times New Roman" w:cs="Times New Roman"/>
          <w:sz w:val="28"/>
          <w:szCs w:val="28"/>
        </w:rPr>
        <w:t>doi</w:t>
      </w:r>
      <w:proofErr w:type="spellEnd"/>
      <w:r w:rsidRPr="00B01620">
        <w:rPr>
          <w:rFonts w:ascii="Times New Roman" w:hAnsi="Times New Roman" w:cs="Times New Roman"/>
          <w:sz w:val="28"/>
          <w:szCs w:val="28"/>
        </w:rPr>
        <w:t xml:space="preserve">: 10.1016/j.coviro.2011.09.001. </w:t>
      </w:r>
    </w:p>
    <w:p w14:paraId="2287587B"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Crotty, S., &amp; Andino, R. Implications of high RNA virus mutation rates: lethal mutagenesis and the antiviral drug ribavirin. // Microbes and Infection, -2002.- Vol. 4, №11.  - P. 1301–1307. doi:10.1016/s1286-4579(02)00008-4.</w:t>
      </w:r>
    </w:p>
    <w:p w14:paraId="3D5A1DC2"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Espy, N., Nagle, E., Pfeffer, B., Garcia, K., Chitty, A. J., Wiley, M. Palacios, G. T-705 induces lethal mutagenesis in Ebola and Marburg populations in macaques. // Antiviral Research, -2019.-Vol.25.- P.123-152.</w:t>
      </w:r>
    </w:p>
    <w:p w14:paraId="4534625C"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McDaniel, Y. Z., Patterson, S. E., &amp; Mansky, L. M. Distinct dual antiviral mechanism that enhances hepatitis B virus mutagenesis and reduces viral DNA synthesis. // Antiviral Research. - 2019.-Vol. 25.-P.130-147. </w:t>
      </w:r>
    </w:p>
    <w:p w14:paraId="05AE36D2"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Bull, J. J., Sanjuan, R., &amp; Wilke, C. O. Theory of Lethal Mutagenesis for Viruses. // Journal of Virology, -2007.-Vol. 81, №2.- P. 2930–2939.</w:t>
      </w:r>
    </w:p>
    <w:p w14:paraId="0779D023" w14:textId="7B7EABE0"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Xiaoying </w:t>
      </w:r>
      <w:proofErr w:type="spellStart"/>
      <w:r w:rsidRPr="00B01620">
        <w:rPr>
          <w:rFonts w:ascii="Times New Roman" w:hAnsi="Times New Roman" w:cs="Times New Roman"/>
          <w:sz w:val="28"/>
          <w:szCs w:val="28"/>
        </w:rPr>
        <w:t>XuYuheng</w:t>
      </w:r>
      <w:proofErr w:type="spellEnd"/>
      <w:r w:rsidRPr="00B01620">
        <w:rPr>
          <w:rFonts w:ascii="Times New Roman" w:hAnsi="Times New Roman" w:cs="Times New Roman"/>
          <w:sz w:val="28"/>
          <w:szCs w:val="28"/>
        </w:rPr>
        <w:t xml:space="preserve"> </w:t>
      </w:r>
      <w:proofErr w:type="spellStart"/>
      <w:r w:rsidRPr="00B01620">
        <w:rPr>
          <w:rFonts w:ascii="Times New Roman" w:hAnsi="Times New Roman" w:cs="Times New Roman"/>
          <w:sz w:val="28"/>
          <w:szCs w:val="28"/>
        </w:rPr>
        <w:t>ChenXinyu</w:t>
      </w:r>
      <w:proofErr w:type="spellEnd"/>
      <w:r w:rsidRPr="00B01620">
        <w:rPr>
          <w:rFonts w:ascii="Times New Roman" w:hAnsi="Times New Roman" w:cs="Times New Roman"/>
          <w:sz w:val="28"/>
          <w:szCs w:val="28"/>
        </w:rPr>
        <w:t xml:space="preserve"> </w:t>
      </w:r>
      <w:proofErr w:type="spellStart"/>
      <w:r w:rsidRPr="00B01620">
        <w:rPr>
          <w:rFonts w:ascii="Times New Roman" w:hAnsi="Times New Roman" w:cs="Times New Roman"/>
          <w:sz w:val="28"/>
          <w:szCs w:val="28"/>
        </w:rPr>
        <w:t>LuWanlin</w:t>
      </w:r>
      <w:proofErr w:type="spellEnd"/>
      <w:r w:rsidRPr="00B01620">
        <w:rPr>
          <w:rFonts w:ascii="Times New Roman" w:hAnsi="Times New Roman" w:cs="Times New Roman"/>
          <w:sz w:val="28"/>
          <w:szCs w:val="28"/>
        </w:rPr>
        <w:t xml:space="preserve"> </w:t>
      </w:r>
      <w:proofErr w:type="spellStart"/>
      <w:r w:rsidRPr="00B01620">
        <w:rPr>
          <w:rFonts w:ascii="Times New Roman" w:hAnsi="Times New Roman" w:cs="Times New Roman"/>
          <w:sz w:val="28"/>
          <w:szCs w:val="28"/>
        </w:rPr>
        <w:t>ZhangWenxiu</w:t>
      </w:r>
      <w:proofErr w:type="spellEnd"/>
      <w:r w:rsidRPr="00B01620">
        <w:rPr>
          <w:rFonts w:ascii="Times New Roman" w:hAnsi="Times New Roman" w:cs="Times New Roman"/>
          <w:sz w:val="28"/>
          <w:szCs w:val="28"/>
        </w:rPr>
        <w:t xml:space="preserve"> </w:t>
      </w:r>
      <w:proofErr w:type="spellStart"/>
      <w:r w:rsidRPr="00B01620">
        <w:rPr>
          <w:rFonts w:ascii="Times New Roman" w:hAnsi="Times New Roman" w:cs="Times New Roman"/>
          <w:sz w:val="28"/>
          <w:szCs w:val="28"/>
        </w:rPr>
        <w:t>FangLuping</w:t>
      </w:r>
      <w:proofErr w:type="spellEnd"/>
      <w:r w:rsidRPr="00B01620">
        <w:rPr>
          <w:rFonts w:ascii="Times New Roman" w:hAnsi="Times New Roman" w:cs="Times New Roman"/>
          <w:sz w:val="28"/>
          <w:szCs w:val="28"/>
        </w:rPr>
        <w:t xml:space="preserve"> </w:t>
      </w:r>
      <w:proofErr w:type="spellStart"/>
      <w:r w:rsidRPr="00B01620">
        <w:rPr>
          <w:rFonts w:ascii="Times New Roman" w:hAnsi="Times New Roman" w:cs="Times New Roman"/>
          <w:sz w:val="28"/>
          <w:szCs w:val="28"/>
        </w:rPr>
        <w:t>YuanXiaoyan</w:t>
      </w:r>
      <w:proofErr w:type="spellEnd"/>
      <w:r w:rsidRPr="00B01620">
        <w:rPr>
          <w:rFonts w:ascii="Times New Roman" w:hAnsi="Times New Roman" w:cs="Times New Roman"/>
          <w:sz w:val="28"/>
          <w:szCs w:val="28"/>
        </w:rPr>
        <w:t xml:space="preserve"> Wang. An update on inhibitors targeting RNA-dependent RNA polymerase for COVID-19 treatment: Promises and challenges. // Biochemical pharmacology. - 2022. -Vol. 205.- P.1236-1248</w:t>
      </w:r>
      <w:r w:rsidR="00E140C9" w:rsidRPr="00B01620">
        <w:rPr>
          <w:rFonts w:ascii="Times New Roman" w:hAnsi="Times New Roman" w:cs="Times New Roman"/>
          <w:sz w:val="28"/>
          <w:szCs w:val="28"/>
        </w:rPr>
        <w:t>.</w:t>
      </w:r>
      <w:r w:rsidRPr="00B01620">
        <w:rPr>
          <w:rFonts w:ascii="Times New Roman" w:hAnsi="Times New Roman" w:cs="Times New Roman"/>
          <w:sz w:val="28"/>
          <w:szCs w:val="28"/>
        </w:rPr>
        <w:t xml:space="preserve"> </w:t>
      </w:r>
    </w:p>
    <w:p w14:paraId="67328AE1"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 Christian Powell, Christopher Chang, Stanley M. </w:t>
      </w:r>
      <w:proofErr w:type="spellStart"/>
      <w:r w:rsidRPr="00B01620">
        <w:rPr>
          <w:rFonts w:ascii="Times New Roman" w:hAnsi="Times New Roman" w:cs="Times New Roman"/>
          <w:sz w:val="28"/>
          <w:szCs w:val="28"/>
        </w:rPr>
        <w:t>Naguwa</w:t>
      </w:r>
      <w:proofErr w:type="spellEnd"/>
      <w:r w:rsidRPr="00B01620">
        <w:rPr>
          <w:rFonts w:ascii="Times New Roman" w:hAnsi="Times New Roman" w:cs="Times New Roman"/>
          <w:sz w:val="28"/>
          <w:szCs w:val="28"/>
        </w:rPr>
        <w:t xml:space="preserve">, Gurtej Cheema, M. Eric Gershwin, Steroid-induced osteonecrosis: An analysis of steroid dosing risk. // Autoimmunity Reviews, - 2010. - Vol.33. - P.724-743. </w:t>
      </w:r>
    </w:p>
    <w:p w14:paraId="1906D479"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lastRenderedPageBreak/>
        <w:t xml:space="preserve">Matthew K. SARS-associated coronavirus replication in cell lines. // Emerg Infect Dis. – 2006. -  Vol. 12, №5. - P. 128-33. </w:t>
      </w:r>
      <w:proofErr w:type="spellStart"/>
      <w:r w:rsidRPr="00B01620">
        <w:rPr>
          <w:rFonts w:ascii="Times New Roman" w:hAnsi="Times New Roman" w:cs="Times New Roman"/>
          <w:sz w:val="28"/>
          <w:szCs w:val="28"/>
        </w:rPr>
        <w:t>doi</w:t>
      </w:r>
      <w:proofErr w:type="spellEnd"/>
      <w:r w:rsidRPr="00B01620">
        <w:rPr>
          <w:rFonts w:ascii="Times New Roman" w:hAnsi="Times New Roman" w:cs="Times New Roman"/>
          <w:sz w:val="28"/>
          <w:szCs w:val="28"/>
        </w:rPr>
        <w:t xml:space="preserve">: 10.3201/eid1201.050496. </w:t>
      </w:r>
    </w:p>
    <w:p w14:paraId="3611EDAA"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lang w:val="de-DE"/>
        </w:rPr>
        <w:t xml:space="preserve">Arbeitskreis Blut, Untergruppe Bewertung Blutassoziierter Krankheitserreger. </w:t>
      </w:r>
      <w:r w:rsidRPr="00B01620">
        <w:rPr>
          <w:rFonts w:ascii="Times New Roman" w:hAnsi="Times New Roman" w:cs="Times New Roman"/>
          <w:sz w:val="28"/>
          <w:szCs w:val="28"/>
        </w:rPr>
        <w:t xml:space="preserve">Influenza Virus. // </w:t>
      </w:r>
      <w:proofErr w:type="spellStart"/>
      <w:r w:rsidRPr="00B01620">
        <w:rPr>
          <w:rFonts w:ascii="Times New Roman" w:hAnsi="Times New Roman" w:cs="Times New Roman"/>
          <w:sz w:val="28"/>
          <w:szCs w:val="28"/>
        </w:rPr>
        <w:t>Transfus</w:t>
      </w:r>
      <w:proofErr w:type="spellEnd"/>
      <w:r w:rsidRPr="00B01620">
        <w:rPr>
          <w:rFonts w:ascii="Times New Roman" w:hAnsi="Times New Roman" w:cs="Times New Roman"/>
          <w:sz w:val="28"/>
          <w:szCs w:val="28"/>
        </w:rPr>
        <w:t xml:space="preserve"> Med </w:t>
      </w:r>
      <w:proofErr w:type="spellStart"/>
      <w:r w:rsidRPr="00B01620">
        <w:rPr>
          <w:rFonts w:ascii="Times New Roman" w:hAnsi="Times New Roman" w:cs="Times New Roman"/>
          <w:sz w:val="28"/>
          <w:szCs w:val="28"/>
        </w:rPr>
        <w:t>Hemother</w:t>
      </w:r>
      <w:proofErr w:type="spellEnd"/>
      <w:r w:rsidRPr="00B01620">
        <w:rPr>
          <w:rFonts w:ascii="Times New Roman" w:hAnsi="Times New Roman" w:cs="Times New Roman"/>
          <w:sz w:val="28"/>
          <w:szCs w:val="28"/>
        </w:rPr>
        <w:t xml:space="preserve">, - 2009.-Vol.36.-P.32-39. </w:t>
      </w:r>
      <w:proofErr w:type="spellStart"/>
      <w:r w:rsidRPr="00B01620">
        <w:rPr>
          <w:rFonts w:ascii="Times New Roman" w:hAnsi="Times New Roman" w:cs="Times New Roman"/>
          <w:sz w:val="28"/>
          <w:szCs w:val="28"/>
        </w:rPr>
        <w:t>doi</w:t>
      </w:r>
      <w:proofErr w:type="spellEnd"/>
      <w:r w:rsidRPr="00B01620">
        <w:rPr>
          <w:rFonts w:ascii="Times New Roman" w:hAnsi="Times New Roman" w:cs="Times New Roman"/>
          <w:sz w:val="28"/>
          <w:szCs w:val="28"/>
        </w:rPr>
        <w:t xml:space="preserve">: 10.1159/000197314. </w:t>
      </w:r>
    </w:p>
    <w:p w14:paraId="68D76613"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proofErr w:type="spellStart"/>
      <w:r w:rsidRPr="00B01620">
        <w:rPr>
          <w:rFonts w:ascii="Times New Roman" w:hAnsi="Times New Roman" w:cs="Times New Roman"/>
          <w:sz w:val="28"/>
          <w:szCs w:val="28"/>
        </w:rPr>
        <w:t>Javanian</w:t>
      </w:r>
      <w:proofErr w:type="spellEnd"/>
      <w:r w:rsidRPr="00B01620">
        <w:rPr>
          <w:rFonts w:ascii="Times New Roman" w:hAnsi="Times New Roman" w:cs="Times New Roman"/>
          <w:sz w:val="28"/>
          <w:szCs w:val="28"/>
        </w:rPr>
        <w:t xml:space="preserve">, Mostafa Barary, Mohammad Ghebrehewet, Sam Koppolu, Veerendra Vasigala, </w:t>
      </w:r>
      <w:proofErr w:type="spellStart"/>
      <w:r w:rsidRPr="00B01620">
        <w:rPr>
          <w:rFonts w:ascii="Times New Roman" w:hAnsi="Times New Roman" w:cs="Times New Roman"/>
          <w:sz w:val="28"/>
          <w:szCs w:val="28"/>
        </w:rPr>
        <w:t>Veneela</w:t>
      </w:r>
      <w:proofErr w:type="spellEnd"/>
      <w:r w:rsidRPr="00B01620">
        <w:rPr>
          <w:rFonts w:ascii="Times New Roman" w:hAnsi="Times New Roman" w:cs="Times New Roman"/>
          <w:sz w:val="28"/>
          <w:szCs w:val="28"/>
        </w:rPr>
        <w:t xml:space="preserve"> Krishna Rekha Ebrahimpour, Soheil. A brief review of influenza virus infection //Journal of Medical Virology, – 2021. Vol.-93. P.</w:t>
      </w:r>
      <w:r w:rsidRPr="00B01620">
        <w:rPr>
          <w:rFonts w:ascii="Times New Roman" w:hAnsi="Times New Roman" w:cs="Times New Roman"/>
          <w:color w:val="767676"/>
          <w:sz w:val="28"/>
          <w:szCs w:val="28"/>
          <w:shd w:val="clear" w:color="auto" w:fill="FFFFFF"/>
        </w:rPr>
        <w:t xml:space="preserve"> </w:t>
      </w:r>
      <w:r w:rsidRPr="00B01620">
        <w:rPr>
          <w:rFonts w:ascii="Times New Roman" w:hAnsi="Times New Roman" w:cs="Times New Roman"/>
          <w:sz w:val="28"/>
          <w:szCs w:val="28"/>
          <w:shd w:val="clear" w:color="auto" w:fill="FFFFFF"/>
        </w:rPr>
        <w:t xml:space="preserve"> 4638-4646. </w:t>
      </w:r>
      <w:hyperlink r:id="rId124" w:history="1">
        <w:r w:rsidR="00226539" w:rsidRPr="00B01620">
          <w:rPr>
            <w:rStyle w:val="a5"/>
            <w:rFonts w:ascii="Times New Roman" w:hAnsi="Times New Roman" w:cs="Times New Roman"/>
            <w:sz w:val="28"/>
            <w:szCs w:val="28"/>
            <w:shd w:val="clear" w:color="auto" w:fill="FFFFFF"/>
          </w:rPr>
          <w:t>https://doi.org/10.1002/jmv.26990</w:t>
        </w:r>
      </w:hyperlink>
      <w:r w:rsidRPr="00B01620">
        <w:rPr>
          <w:rFonts w:ascii="Times New Roman" w:hAnsi="Times New Roman" w:cs="Times New Roman"/>
          <w:sz w:val="28"/>
          <w:szCs w:val="28"/>
          <w:shd w:val="clear" w:color="auto" w:fill="FFFFFF"/>
        </w:rPr>
        <w:t xml:space="preserve">.  </w:t>
      </w:r>
    </w:p>
    <w:p w14:paraId="2A73E682" w14:textId="77777777" w:rsidR="00226539" w:rsidRPr="00B01620" w:rsidRDefault="00853685" w:rsidP="00524D6E">
      <w:pPr>
        <w:numPr>
          <w:ilvl w:val="0"/>
          <w:numId w:val="7"/>
        </w:numPr>
        <w:spacing w:after="0" w:line="240" w:lineRule="auto"/>
        <w:ind w:left="0" w:firstLine="0"/>
        <w:jc w:val="both"/>
        <w:rPr>
          <w:rStyle w:val="a5"/>
          <w:rFonts w:ascii="Times New Roman" w:hAnsi="Times New Roman" w:cs="Times New Roman"/>
          <w:color w:val="auto"/>
          <w:sz w:val="28"/>
          <w:szCs w:val="28"/>
          <w:u w:val="none"/>
        </w:rPr>
      </w:pPr>
      <w:r w:rsidRPr="00B01620">
        <w:rPr>
          <w:rFonts w:ascii="Times New Roman" w:hAnsi="Times New Roman" w:cs="Times New Roman"/>
          <w:sz w:val="28"/>
          <w:szCs w:val="28"/>
        </w:rPr>
        <w:t xml:space="preserve"> Peacock, Thomas P., Sheppard, Carol M., Staller, Ecco, Barclay, Wendy S., Host Determinants of Influenza RNA Synthesis// Annual Review of Virology,-2019.-Vol.6.-P. 215-233.</w:t>
      </w:r>
      <w:hyperlink r:id="rId125" w:history="1">
        <w:r w:rsidR="00226539" w:rsidRPr="00B01620">
          <w:rPr>
            <w:rStyle w:val="a5"/>
            <w:rFonts w:ascii="Times New Roman" w:hAnsi="Times New Roman" w:cs="Times New Roman"/>
            <w:sz w:val="28"/>
            <w:szCs w:val="28"/>
          </w:rPr>
          <w:t>https://doi.org/10.1146/annurev-virology-092917-043339</w:t>
        </w:r>
      </w:hyperlink>
      <w:r w:rsidRPr="00B01620">
        <w:rPr>
          <w:rFonts w:ascii="Times New Roman" w:hAnsi="Times New Roman" w:cs="Times New Roman"/>
          <w:sz w:val="28"/>
          <w:szCs w:val="28"/>
        </w:rPr>
        <w:t xml:space="preserve">. </w:t>
      </w:r>
    </w:p>
    <w:p w14:paraId="3B5EC984"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lang w:val="de-DE"/>
        </w:rPr>
        <w:t xml:space="preserve"> N.M. Bouvier, P. Palese. </w:t>
      </w:r>
      <w:r w:rsidRPr="00B01620">
        <w:rPr>
          <w:rFonts w:ascii="Times New Roman" w:hAnsi="Times New Roman" w:cs="Times New Roman"/>
          <w:sz w:val="28"/>
          <w:szCs w:val="28"/>
        </w:rPr>
        <w:t xml:space="preserve">The biology of influenza viruses // Vaccine, -2008.-Vol. 2, №7.- P. 49–53. </w:t>
      </w:r>
    </w:p>
    <w:p w14:paraId="3E65A0F3"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Palese P, Shaw ML. </w:t>
      </w:r>
      <w:r w:rsidRPr="00B01620">
        <w:rPr>
          <w:rFonts w:ascii="Times New Roman" w:hAnsi="Times New Roman" w:cs="Times New Roman"/>
          <w:i/>
          <w:iCs/>
          <w:sz w:val="28"/>
          <w:szCs w:val="28"/>
        </w:rPr>
        <w:t>Orthomyxoviridae</w:t>
      </w:r>
      <w:r w:rsidRPr="00B01620">
        <w:rPr>
          <w:rFonts w:ascii="Times New Roman" w:hAnsi="Times New Roman" w:cs="Times New Roman"/>
          <w:sz w:val="28"/>
          <w:szCs w:val="28"/>
        </w:rPr>
        <w:t>: the viruses and their replication. In: Knipe DM, Howley PM, editors. // Fields virology. Philadelphia: Lippincott Williams &amp; Wilkins, - 2007.-Vol. 2, №3.-P.112-118.</w:t>
      </w:r>
    </w:p>
    <w:p w14:paraId="5BDC5581" w14:textId="0987CC61"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proofErr w:type="spellStart"/>
      <w:r w:rsidRPr="00B01620">
        <w:rPr>
          <w:rFonts w:ascii="Times New Roman" w:hAnsi="Times New Roman" w:cs="Times New Roman"/>
          <w:sz w:val="28"/>
          <w:szCs w:val="28"/>
        </w:rPr>
        <w:t>Barbezange</w:t>
      </w:r>
      <w:proofErr w:type="spellEnd"/>
      <w:r w:rsidRPr="00B01620">
        <w:rPr>
          <w:rFonts w:ascii="Times New Roman" w:hAnsi="Times New Roman" w:cs="Times New Roman"/>
          <w:sz w:val="28"/>
          <w:szCs w:val="28"/>
        </w:rPr>
        <w:t xml:space="preserve"> Cyril, Jones Louis, Blanc Hervé, Isakov Ofer, </w:t>
      </w:r>
      <w:proofErr w:type="spellStart"/>
      <w:r w:rsidRPr="00B01620">
        <w:rPr>
          <w:rFonts w:ascii="Times New Roman" w:hAnsi="Times New Roman" w:cs="Times New Roman"/>
          <w:sz w:val="28"/>
          <w:szCs w:val="28"/>
        </w:rPr>
        <w:t>Celniker</w:t>
      </w:r>
      <w:proofErr w:type="spellEnd"/>
      <w:r w:rsidRPr="00B01620">
        <w:rPr>
          <w:rFonts w:ascii="Times New Roman" w:hAnsi="Times New Roman" w:cs="Times New Roman"/>
          <w:sz w:val="28"/>
          <w:szCs w:val="28"/>
        </w:rPr>
        <w:t xml:space="preserve"> Gershon, Enouf</w:t>
      </w:r>
      <w:r w:rsidR="009B2217" w:rsidRPr="00B01620">
        <w:rPr>
          <w:rFonts w:ascii="Times New Roman" w:hAnsi="Times New Roman" w:cs="Times New Roman"/>
          <w:sz w:val="28"/>
          <w:szCs w:val="28"/>
        </w:rPr>
        <w:t xml:space="preserve"> </w:t>
      </w:r>
      <w:r w:rsidRPr="00B01620">
        <w:rPr>
          <w:rFonts w:ascii="Times New Roman" w:hAnsi="Times New Roman" w:cs="Times New Roman"/>
          <w:sz w:val="28"/>
          <w:szCs w:val="28"/>
        </w:rPr>
        <w:t xml:space="preserve">Vincent, Shomron Noam, </w:t>
      </w:r>
      <w:proofErr w:type="spellStart"/>
      <w:r w:rsidRPr="00B01620">
        <w:rPr>
          <w:rFonts w:ascii="Times New Roman" w:hAnsi="Times New Roman" w:cs="Times New Roman"/>
          <w:sz w:val="28"/>
          <w:szCs w:val="28"/>
        </w:rPr>
        <w:t>Vignuzzi</w:t>
      </w:r>
      <w:proofErr w:type="spellEnd"/>
      <w:r w:rsidRPr="00B01620">
        <w:rPr>
          <w:rFonts w:ascii="Times New Roman" w:hAnsi="Times New Roman" w:cs="Times New Roman"/>
          <w:sz w:val="28"/>
          <w:szCs w:val="28"/>
        </w:rPr>
        <w:t xml:space="preserve"> Marco, van der Werf Sylvie. Seasonal Genetic Drift of Human Influenza A Virus </w:t>
      </w:r>
      <w:proofErr w:type="spellStart"/>
      <w:r w:rsidRPr="00B01620">
        <w:rPr>
          <w:rFonts w:ascii="Times New Roman" w:hAnsi="Times New Roman" w:cs="Times New Roman"/>
          <w:sz w:val="28"/>
          <w:szCs w:val="28"/>
        </w:rPr>
        <w:t>Quasispecies</w:t>
      </w:r>
      <w:proofErr w:type="spellEnd"/>
      <w:r w:rsidRPr="00B01620">
        <w:rPr>
          <w:rFonts w:ascii="Times New Roman" w:hAnsi="Times New Roman" w:cs="Times New Roman"/>
          <w:sz w:val="28"/>
          <w:szCs w:val="28"/>
        </w:rPr>
        <w:t xml:space="preserve"> Revealed by Deep Sequencing//Frontiers in</w:t>
      </w:r>
      <w:r w:rsidR="009B2217" w:rsidRPr="00B01620">
        <w:rPr>
          <w:rFonts w:ascii="Times New Roman" w:hAnsi="Times New Roman" w:cs="Times New Roman"/>
          <w:sz w:val="28"/>
          <w:szCs w:val="28"/>
        </w:rPr>
        <w:t xml:space="preserve"> </w:t>
      </w:r>
      <w:r w:rsidRPr="00B01620">
        <w:rPr>
          <w:rFonts w:ascii="Times New Roman" w:hAnsi="Times New Roman" w:cs="Times New Roman"/>
          <w:sz w:val="28"/>
          <w:szCs w:val="28"/>
        </w:rPr>
        <w:t xml:space="preserve">Microbiology, -2018. -Vol. 9.-P. 1123-1137. </w:t>
      </w:r>
      <w:proofErr w:type="spellStart"/>
      <w:r w:rsidRPr="00B01620">
        <w:rPr>
          <w:rFonts w:ascii="Times New Roman" w:hAnsi="Times New Roman" w:cs="Times New Roman"/>
          <w:sz w:val="28"/>
          <w:szCs w:val="28"/>
        </w:rPr>
        <w:t>doi</w:t>
      </w:r>
      <w:proofErr w:type="spellEnd"/>
      <w:r w:rsidRPr="00B01620">
        <w:rPr>
          <w:rFonts w:ascii="Times New Roman" w:hAnsi="Times New Roman" w:cs="Times New Roman"/>
          <w:sz w:val="28"/>
          <w:szCs w:val="28"/>
        </w:rPr>
        <w:t>:  10.3389/fmicb.2018.02596.</w:t>
      </w:r>
      <w:hyperlink r:id="rId126" w:history="1">
        <w:r w:rsidR="00226539" w:rsidRPr="00B01620">
          <w:rPr>
            <w:rStyle w:val="a5"/>
            <w:rFonts w:ascii="Times New Roman" w:hAnsi="Times New Roman" w:cs="Times New Roman"/>
            <w:sz w:val="28"/>
            <w:szCs w:val="28"/>
          </w:rPr>
          <w:t>www.frontiersin.org/journals/microbiology/articles/10.3389/fmicb.2018.02596</w:t>
        </w:r>
      </w:hyperlink>
      <w:r w:rsidRPr="00B01620">
        <w:rPr>
          <w:rFonts w:ascii="Times New Roman" w:hAnsi="Times New Roman" w:cs="Times New Roman"/>
          <w:sz w:val="28"/>
          <w:szCs w:val="28"/>
        </w:rPr>
        <w:t xml:space="preserve">.  </w:t>
      </w:r>
    </w:p>
    <w:p w14:paraId="2EC91DCA"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Bedford, T., Riley, S., Barr, I. </w:t>
      </w:r>
      <w:r w:rsidRPr="00B01620">
        <w:rPr>
          <w:rFonts w:ascii="Times New Roman" w:hAnsi="Times New Roman" w:cs="Times New Roman"/>
          <w:i/>
          <w:iCs/>
          <w:sz w:val="28"/>
          <w:szCs w:val="28"/>
        </w:rPr>
        <w:t>et al.</w:t>
      </w:r>
      <w:r w:rsidRPr="00B01620">
        <w:rPr>
          <w:rFonts w:ascii="Times New Roman" w:hAnsi="Times New Roman" w:cs="Times New Roman"/>
          <w:sz w:val="28"/>
          <w:szCs w:val="28"/>
        </w:rPr>
        <w:t xml:space="preserve"> Global circulation patterns of seasonal influenza viruses vary with antigenic drift. //Nature, -2015.-Vol. 523.-P.217–220 </w:t>
      </w:r>
      <w:hyperlink r:id="rId127" w:history="1">
        <w:r w:rsidR="00226539" w:rsidRPr="00B01620">
          <w:rPr>
            <w:rStyle w:val="a5"/>
            <w:rFonts w:ascii="Times New Roman" w:hAnsi="Times New Roman" w:cs="Times New Roman"/>
            <w:sz w:val="28"/>
            <w:szCs w:val="28"/>
          </w:rPr>
          <w:t>https://doi.org/10.1038/nature14460</w:t>
        </w:r>
      </w:hyperlink>
      <w:r w:rsidRPr="00B01620">
        <w:rPr>
          <w:rFonts w:ascii="Times New Roman" w:hAnsi="Times New Roman" w:cs="Times New Roman"/>
          <w:sz w:val="28"/>
          <w:szCs w:val="28"/>
        </w:rPr>
        <w:t>.</w:t>
      </w:r>
    </w:p>
    <w:p w14:paraId="7488A5BF"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Bano I, Sharif M, Alam S. Genetic drift in the genome of SARS COV-2 and its global health concern. // J Med </w:t>
      </w:r>
      <w:proofErr w:type="spellStart"/>
      <w:r w:rsidRPr="00B01620">
        <w:rPr>
          <w:rFonts w:ascii="Times New Roman" w:hAnsi="Times New Roman" w:cs="Times New Roman"/>
          <w:sz w:val="28"/>
          <w:szCs w:val="28"/>
        </w:rPr>
        <w:t>Virol</w:t>
      </w:r>
      <w:proofErr w:type="spellEnd"/>
      <w:r w:rsidRPr="00B01620">
        <w:rPr>
          <w:rFonts w:ascii="Times New Roman" w:hAnsi="Times New Roman" w:cs="Times New Roman"/>
          <w:sz w:val="28"/>
          <w:szCs w:val="28"/>
        </w:rPr>
        <w:t xml:space="preserve">. -2021.-Vol. 94.-P. 88 -98.    </w:t>
      </w:r>
      <w:hyperlink r:id="rId128" w:history="1">
        <w:r w:rsidR="00226539" w:rsidRPr="00B01620">
          <w:rPr>
            <w:rStyle w:val="a5"/>
            <w:rFonts w:ascii="Times New Roman" w:hAnsi="Times New Roman" w:cs="Times New Roman"/>
            <w:sz w:val="28"/>
            <w:szCs w:val="28"/>
          </w:rPr>
          <w:t>https://doi.org/10.1002/jmv.27337</w:t>
        </w:r>
      </w:hyperlink>
      <w:r w:rsidRPr="00B01620">
        <w:rPr>
          <w:rFonts w:ascii="Times New Roman" w:hAnsi="Times New Roman" w:cs="Times New Roman"/>
          <w:sz w:val="28"/>
          <w:szCs w:val="28"/>
        </w:rPr>
        <w:t>.</w:t>
      </w:r>
    </w:p>
    <w:p w14:paraId="394B88A6" w14:textId="77777777" w:rsidR="00226539" w:rsidRPr="00B01620" w:rsidRDefault="00853685" w:rsidP="00524D6E">
      <w:pPr>
        <w:pStyle w:val="af1"/>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lang w:val="de-DE"/>
        </w:rPr>
        <w:t xml:space="preserve">Walter Dörfer. Viren. // S. Fischer Verlag GmbH,- 2002.-Vol. 1, №3.-P. </w:t>
      </w:r>
      <w:r w:rsidRPr="00B01620">
        <w:rPr>
          <w:rFonts w:ascii="Times New Roman" w:hAnsi="Times New Roman" w:cs="Times New Roman"/>
          <w:sz w:val="28"/>
          <w:szCs w:val="28"/>
        </w:rPr>
        <w:t xml:space="preserve">70-72. ISBN 3-596-15369-7. </w:t>
      </w:r>
    </w:p>
    <w:p w14:paraId="21C61050" w14:textId="77777777" w:rsidR="00226539" w:rsidRPr="00B01620" w:rsidRDefault="00853685" w:rsidP="00524D6E">
      <w:pPr>
        <w:pStyle w:val="af1"/>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Wang, J., Wu, Y., Ma, C., Fiorin, G., Wang, J., Pinto, L. H., Lamb, R. A., Klein, M. L., &amp; DeGrado, W. F. Structure and inhibition of the drug-resistant S31N mutant of the M2 ion channel of influenza A virus. //Proceedings of the National Academy of Sciences, - 2013.-Vol. 110.- P. 1315-1320. </w:t>
      </w:r>
      <w:hyperlink r:id="rId129" w:history="1">
        <w:r w:rsidR="00226539" w:rsidRPr="00B01620">
          <w:rPr>
            <w:rStyle w:val="a5"/>
            <w:rFonts w:ascii="Times New Roman" w:hAnsi="Times New Roman" w:cs="Times New Roman"/>
            <w:sz w:val="28"/>
            <w:szCs w:val="28"/>
          </w:rPr>
          <w:t>https://doi.org/10.1073/pnas.1216526110</w:t>
        </w:r>
      </w:hyperlink>
      <w:r w:rsidRPr="00B01620">
        <w:rPr>
          <w:rFonts w:ascii="Times New Roman" w:hAnsi="Times New Roman" w:cs="Times New Roman"/>
          <w:sz w:val="28"/>
          <w:szCs w:val="28"/>
        </w:rPr>
        <w:t xml:space="preserve">. </w:t>
      </w:r>
    </w:p>
    <w:p w14:paraId="466C95E5" w14:textId="77777777" w:rsidR="00226539" w:rsidRPr="00B01620" w:rsidRDefault="00853685" w:rsidP="00524D6E">
      <w:pPr>
        <w:pStyle w:val="af1"/>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K. Martin, A. Helenius. Transport of incoming influenza virus nucleocapsids into the nucleus. // J. </w:t>
      </w:r>
      <w:proofErr w:type="spellStart"/>
      <w:r w:rsidRPr="00B01620">
        <w:rPr>
          <w:rFonts w:ascii="Times New Roman" w:hAnsi="Times New Roman" w:cs="Times New Roman"/>
          <w:sz w:val="28"/>
          <w:szCs w:val="28"/>
        </w:rPr>
        <w:t>Virol</w:t>
      </w:r>
      <w:proofErr w:type="spellEnd"/>
      <w:r w:rsidRPr="00B01620">
        <w:rPr>
          <w:rFonts w:ascii="Times New Roman" w:hAnsi="Times New Roman" w:cs="Times New Roman"/>
          <w:sz w:val="28"/>
          <w:szCs w:val="28"/>
        </w:rPr>
        <w:t>. -1991.-Vol. 65.-P. 232–244.</w:t>
      </w:r>
    </w:p>
    <w:p w14:paraId="4EBF3AF2" w14:textId="77777777" w:rsidR="00226539" w:rsidRPr="00B01620" w:rsidRDefault="00853685" w:rsidP="00524D6E">
      <w:pPr>
        <w:pStyle w:val="af1"/>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Jiménez-Jiménez, F.J.; Alonso-Navarro, H.; García-Martín, E.; </w:t>
      </w:r>
      <w:proofErr w:type="spellStart"/>
      <w:r w:rsidRPr="00B01620">
        <w:rPr>
          <w:rFonts w:ascii="Times New Roman" w:hAnsi="Times New Roman" w:cs="Times New Roman"/>
          <w:sz w:val="28"/>
          <w:szCs w:val="28"/>
        </w:rPr>
        <w:t>Agúndez</w:t>
      </w:r>
      <w:proofErr w:type="spellEnd"/>
      <w:r w:rsidRPr="00B01620">
        <w:rPr>
          <w:rFonts w:ascii="Times New Roman" w:hAnsi="Times New Roman" w:cs="Times New Roman"/>
          <w:sz w:val="28"/>
          <w:szCs w:val="28"/>
        </w:rPr>
        <w:t xml:space="preserve">, J.A.G. Anti-Inflammatory Effects of Amantadine and Memantine: Possible Therapeutics for the Treatment of Covid-19? // J. Pers. Med. – 2020.-Vol. 10. - P. 217-222. </w:t>
      </w:r>
      <w:hyperlink r:id="rId130" w:history="1">
        <w:r w:rsidR="00226539" w:rsidRPr="00B01620">
          <w:rPr>
            <w:rStyle w:val="a5"/>
            <w:rFonts w:ascii="Times New Roman" w:hAnsi="Times New Roman" w:cs="Times New Roman"/>
            <w:sz w:val="28"/>
            <w:szCs w:val="28"/>
          </w:rPr>
          <w:t>https://doi.org/10.3390/jpm10040217</w:t>
        </w:r>
      </w:hyperlink>
      <w:r w:rsidRPr="00B01620">
        <w:rPr>
          <w:rFonts w:ascii="Times New Roman" w:hAnsi="Times New Roman" w:cs="Times New Roman"/>
          <w:sz w:val="28"/>
          <w:szCs w:val="28"/>
        </w:rPr>
        <w:t xml:space="preserve">. </w:t>
      </w:r>
    </w:p>
    <w:p w14:paraId="19453E11" w14:textId="77777777" w:rsidR="00226539" w:rsidRPr="00B01620" w:rsidRDefault="00853685" w:rsidP="00524D6E">
      <w:pPr>
        <w:pStyle w:val="af1"/>
        <w:numPr>
          <w:ilvl w:val="0"/>
          <w:numId w:val="7"/>
        </w:numPr>
        <w:spacing w:after="0" w:line="240" w:lineRule="auto"/>
        <w:ind w:left="0" w:firstLine="0"/>
        <w:jc w:val="both"/>
        <w:rPr>
          <w:rFonts w:ascii="Times New Roman" w:hAnsi="Times New Roman" w:cs="Times New Roman"/>
          <w:sz w:val="28"/>
          <w:szCs w:val="28"/>
          <w:lang w:val="de-DE"/>
        </w:rPr>
      </w:pPr>
      <w:r w:rsidRPr="00B01620">
        <w:rPr>
          <w:rFonts w:ascii="Times New Roman" w:hAnsi="Times New Roman" w:cs="Times New Roman"/>
          <w:sz w:val="28"/>
          <w:szCs w:val="28"/>
        </w:rPr>
        <w:t xml:space="preserve">Richard Njunge. Rimantadine: A potential drug for COVID-19. // </w:t>
      </w:r>
      <w:proofErr w:type="spellStart"/>
      <w:r w:rsidRPr="00B01620">
        <w:rPr>
          <w:rFonts w:ascii="Times New Roman" w:hAnsi="Times New Roman" w:cs="Times New Roman"/>
          <w:sz w:val="28"/>
          <w:szCs w:val="28"/>
        </w:rPr>
        <w:t>Authorea</w:t>
      </w:r>
      <w:proofErr w:type="spellEnd"/>
      <w:r w:rsidRPr="00B01620">
        <w:rPr>
          <w:rFonts w:ascii="Times New Roman" w:hAnsi="Times New Roman" w:cs="Times New Roman"/>
          <w:sz w:val="28"/>
          <w:szCs w:val="28"/>
        </w:rPr>
        <w:t xml:space="preserve">, -2020. </w:t>
      </w:r>
      <w:r w:rsidRPr="00B01620">
        <w:rPr>
          <w:rFonts w:ascii="Times New Roman" w:hAnsi="Times New Roman" w:cs="Times New Roman"/>
          <w:sz w:val="28"/>
          <w:szCs w:val="28"/>
          <w:lang w:val="de-DE"/>
        </w:rPr>
        <w:t xml:space="preserve">Online: doi:10.22541/au.158506001.13968819. </w:t>
      </w:r>
      <w:hyperlink r:id="rId131" w:history="1">
        <w:r w:rsidR="00226539" w:rsidRPr="00B01620">
          <w:rPr>
            <w:rStyle w:val="a5"/>
            <w:rFonts w:ascii="Times New Roman" w:hAnsi="Times New Roman" w:cs="Times New Roman"/>
            <w:sz w:val="28"/>
            <w:szCs w:val="28"/>
            <w:lang w:val="de-DE"/>
          </w:rPr>
          <w:t>https://www.authorea.com/doi/full/10.22541/au.158506001.13968819</w:t>
        </w:r>
      </w:hyperlink>
      <w:r w:rsidRPr="00B01620">
        <w:rPr>
          <w:rFonts w:ascii="Times New Roman" w:hAnsi="Times New Roman" w:cs="Times New Roman"/>
          <w:sz w:val="28"/>
          <w:szCs w:val="28"/>
          <w:lang w:val="de-DE"/>
        </w:rPr>
        <w:t>.</w:t>
      </w:r>
    </w:p>
    <w:p w14:paraId="106AD816"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lang w:val="de-DE"/>
        </w:rPr>
        <w:lastRenderedPageBreak/>
        <w:t xml:space="preserve">Gautam Kumar., </w:t>
      </w:r>
      <w:proofErr w:type="spellStart"/>
      <w:r w:rsidRPr="00B01620">
        <w:rPr>
          <w:rFonts w:ascii="Times New Roman" w:hAnsi="Times New Roman" w:cs="Times New Roman"/>
          <w:sz w:val="28"/>
          <w:szCs w:val="28"/>
          <w:lang w:val="de-DE"/>
        </w:rPr>
        <w:t>Kakade</w:t>
      </w:r>
      <w:proofErr w:type="spellEnd"/>
      <w:r w:rsidRPr="00B01620">
        <w:rPr>
          <w:rFonts w:ascii="Times New Roman" w:hAnsi="Times New Roman" w:cs="Times New Roman"/>
          <w:sz w:val="28"/>
          <w:szCs w:val="28"/>
          <w:lang w:val="de-DE"/>
        </w:rPr>
        <w:t xml:space="preserve"> </w:t>
      </w:r>
      <w:proofErr w:type="spellStart"/>
      <w:r w:rsidRPr="00B01620">
        <w:rPr>
          <w:rFonts w:ascii="Times New Roman" w:hAnsi="Times New Roman" w:cs="Times New Roman"/>
          <w:sz w:val="28"/>
          <w:szCs w:val="28"/>
          <w:lang w:val="de-DE"/>
        </w:rPr>
        <w:t>Aditi</w:t>
      </w:r>
      <w:proofErr w:type="spellEnd"/>
      <w:r w:rsidRPr="00B01620">
        <w:rPr>
          <w:rFonts w:ascii="Times New Roman" w:hAnsi="Times New Roman" w:cs="Times New Roman"/>
          <w:sz w:val="28"/>
          <w:szCs w:val="28"/>
          <w:lang w:val="de-DE"/>
        </w:rPr>
        <w:t xml:space="preserve"> </w:t>
      </w:r>
      <w:proofErr w:type="spellStart"/>
      <w:r w:rsidRPr="00B01620">
        <w:rPr>
          <w:rFonts w:ascii="Times New Roman" w:hAnsi="Times New Roman" w:cs="Times New Roman"/>
          <w:sz w:val="28"/>
          <w:szCs w:val="28"/>
          <w:lang w:val="de-DE"/>
        </w:rPr>
        <w:t>Sakharam</w:t>
      </w:r>
      <w:proofErr w:type="spellEnd"/>
      <w:r w:rsidRPr="00B01620">
        <w:rPr>
          <w:rFonts w:ascii="Times New Roman" w:hAnsi="Times New Roman" w:cs="Times New Roman"/>
          <w:sz w:val="28"/>
          <w:szCs w:val="28"/>
          <w:lang w:val="de-DE"/>
        </w:rPr>
        <w:t xml:space="preserve">. </w:t>
      </w:r>
      <w:r w:rsidRPr="00B01620">
        <w:rPr>
          <w:rFonts w:ascii="Times New Roman" w:hAnsi="Times New Roman" w:cs="Times New Roman"/>
          <w:sz w:val="28"/>
          <w:szCs w:val="28"/>
        </w:rPr>
        <w:t xml:space="preserve">Tackling Influenza A virus by M2 ion channel blockers: Latest progress and limitations. // European Journal of Medicinal Chemistry, – 2024. - Vol. 267. - P. 116-172. </w:t>
      </w:r>
      <w:hyperlink r:id="rId132" w:history="1">
        <w:r w:rsidR="00226539" w:rsidRPr="00B01620">
          <w:rPr>
            <w:rStyle w:val="a5"/>
            <w:rFonts w:ascii="Times New Roman" w:hAnsi="Times New Roman" w:cs="Times New Roman"/>
            <w:sz w:val="28"/>
            <w:szCs w:val="28"/>
          </w:rPr>
          <w:t>https://doi.org/10.1016/j.ejmech.2024.116172</w:t>
        </w:r>
      </w:hyperlink>
      <w:r w:rsidRPr="00B01620">
        <w:rPr>
          <w:rFonts w:ascii="Times New Roman" w:hAnsi="Times New Roman" w:cs="Times New Roman"/>
          <w:sz w:val="28"/>
          <w:szCs w:val="28"/>
        </w:rPr>
        <w:t xml:space="preserve">.  </w:t>
      </w:r>
    </w:p>
    <w:p w14:paraId="6DF08986"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proofErr w:type="spellStart"/>
      <w:r w:rsidRPr="00B01620">
        <w:rPr>
          <w:rFonts w:ascii="Times New Roman" w:hAnsi="Times New Roman" w:cs="Times New Roman"/>
          <w:sz w:val="28"/>
          <w:szCs w:val="28"/>
        </w:rPr>
        <w:t>Smieszek</w:t>
      </w:r>
      <w:proofErr w:type="spellEnd"/>
      <w:r w:rsidRPr="00B01620">
        <w:rPr>
          <w:rFonts w:ascii="Times New Roman" w:hAnsi="Times New Roman" w:cs="Times New Roman"/>
          <w:sz w:val="28"/>
          <w:szCs w:val="28"/>
        </w:rPr>
        <w:t xml:space="preserve">, S.P.; </w:t>
      </w:r>
      <w:proofErr w:type="spellStart"/>
      <w:r w:rsidRPr="00B01620">
        <w:rPr>
          <w:rFonts w:ascii="Times New Roman" w:hAnsi="Times New Roman" w:cs="Times New Roman"/>
          <w:sz w:val="28"/>
          <w:szCs w:val="28"/>
        </w:rPr>
        <w:t>Przychodzen</w:t>
      </w:r>
      <w:proofErr w:type="spellEnd"/>
      <w:r w:rsidRPr="00B01620">
        <w:rPr>
          <w:rFonts w:ascii="Times New Roman" w:hAnsi="Times New Roman" w:cs="Times New Roman"/>
          <w:sz w:val="28"/>
          <w:szCs w:val="28"/>
        </w:rPr>
        <w:t xml:space="preserve">, B.P.; Polymeropoulos, M.H. Amantadine disrupts lysosomal gene expression: A hypothesis for COVID-19 treatment. // Int. J. </w:t>
      </w:r>
      <w:proofErr w:type="spellStart"/>
      <w:r w:rsidRPr="00B01620">
        <w:rPr>
          <w:rFonts w:ascii="Times New Roman" w:hAnsi="Times New Roman" w:cs="Times New Roman"/>
          <w:sz w:val="28"/>
          <w:szCs w:val="28"/>
        </w:rPr>
        <w:t>Antimicrob</w:t>
      </w:r>
      <w:proofErr w:type="spellEnd"/>
      <w:r w:rsidRPr="00B01620">
        <w:rPr>
          <w:rFonts w:ascii="Times New Roman" w:hAnsi="Times New Roman" w:cs="Times New Roman"/>
          <w:sz w:val="28"/>
          <w:szCs w:val="28"/>
        </w:rPr>
        <w:t xml:space="preserve">. Agents, - 2020.- Vol. 20.- P.104-106. </w:t>
      </w:r>
      <w:hyperlink r:id="rId133" w:history="1">
        <w:r w:rsidR="00226539" w:rsidRPr="00B01620">
          <w:rPr>
            <w:rStyle w:val="a5"/>
            <w:rFonts w:ascii="Times New Roman" w:hAnsi="Times New Roman" w:cs="Times New Roman"/>
            <w:sz w:val="28"/>
            <w:szCs w:val="28"/>
          </w:rPr>
          <w:t>https://doi.org/10.1016/j.ijantimicag.2020.106004</w:t>
        </w:r>
      </w:hyperlink>
      <w:r w:rsidRPr="00B01620">
        <w:rPr>
          <w:rFonts w:ascii="Times New Roman" w:hAnsi="Times New Roman" w:cs="Times New Roman"/>
          <w:sz w:val="28"/>
          <w:szCs w:val="28"/>
        </w:rPr>
        <w:t>.</w:t>
      </w:r>
    </w:p>
    <w:p w14:paraId="3FD8C919"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Abreu, G.E.A.; Aguilar, M.E.H.; Covarrubias, D.H.; Durán, F.R. Amantadine as a drug to mitigate the effects of COVID-19. // Med. Hypotheses, -2020.-Vol.140.-P.109-115. </w:t>
      </w:r>
      <w:hyperlink r:id="rId134" w:tgtFrame="_blank" w:tooltip="Persistent link using digital object identifier" w:history="1">
        <w:r w:rsidR="00226539" w:rsidRPr="00B01620">
          <w:rPr>
            <w:rStyle w:val="a5"/>
            <w:rFonts w:ascii="Times New Roman" w:hAnsi="Times New Roman" w:cs="Times New Roman"/>
            <w:sz w:val="28"/>
            <w:szCs w:val="28"/>
          </w:rPr>
          <w:t>https://doi.org/10.1016/j.mehy.2020.109755</w:t>
        </w:r>
      </w:hyperlink>
      <w:r w:rsidRPr="00B01620">
        <w:rPr>
          <w:rFonts w:ascii="Times New Roman" w:hAnsi="Times New Roman" w:cs="Times New Roman"/>
          <w:sz w:val="28"/>
          <w:szCs w:val="28"/>
        </w:rPr>
        <w:t>.</w:t>
      </w:r>
    </w:p>
    <w:p w14:paraId="7AA7A1D0"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Zhou, Y.; Gammeltoft, K.A.; Galli, A.; Offersgaard, A.; Fahnøe, U.; Ramirez, S.; Bukh, J.; </w:t>
      </w:r>
      <w:proofErr w:type="spellStart"/>
      <w:r w:rsidRPr="00B01620">
        <w:rPr>
          <w:rFonts w:ascii="Times New Roman" w:hAnsi="Times New Roman" w:cs="Times New Roman"/>
          <w:sz w:val="28"/>
          <w:szCs w:val="28"/>
        </w:rPr>
        <w:t>Gottwein</w:t>
      </w:r>
      <w:proofErr w:type="spellEnd"/>
      <w:r w:rsidRPr="00B01620">
        <w:rPr>
          <w:rFonts w:ascii="Times New Roman" w:hAnsi="Times New Roman" w:cs="Times New Roman"/>
          <w:sz w:val="28"/>
          <w:szCs w:val="28"/>
        </w:rPr>
        <w:t>, J.M. Efficacy of Ion-Channel Inhibitors Amantadine, Memantine and Rimantadine for the Treatment of SARS-CoV-2 In Vitro. // Viruses</w:t>
      </w:r>
      <w:r w:rsidRPr="00B01620">
        <w:rPr>
          <w:rFonts w:ascii="Times New Roman" w:hAnsi="Times New Roman" w:cs="Times New Roman"/>
          <w:b/>
          <w:bCs/>
          <w:sz w:val="28"/>
          <w:szCs w:val="28"/>
        </w:rPr>
        <w:t>, – </w:t>
      </w:r>
      <w:r w:rsidRPr="00B01620">
        <w:rPr>
          <w:rFonts w:ascii="Times New Roman" w:hAnsi="Times New Roman" w:cs="Times New Roman"/>
          <w:sz w:val="28"/>
          <w:szCs w:val="28"/>
        </w:rPr>
        <w:t xml:space="preserve">2021.- Vol.13.-P. 2082-2089. </w:t>
      </w:r>
      <w:hyperlink r:id="rId135" w:history="1">
        <w:r w:rsidR="00226539" w:rsidRPr="00B01620">
          <w:rPr>
            <w:rStyle w:val="a5"/>
            <w:rFonts w:ascii="Times New Roman" w:hAnsi="Times New Roman" w:cs="Times New Roman"/>
            <w:sz w:val="28"/>
            <w:szCs w:val="28"/>
          </w:rPr>
          <w:t>https://doi.org/10.3390/v13102082</w:t>
        </w:r>
      </w:hyperlink>
      <w:r w:rsidRPr="00B01620">
        <w:rPr>
          <w:rFonts w:ascii="Times New Roman" w:hAnsi="Times New Roman" w:cs="Times New Roman"/>
          <w:sz w:val="28"/>
          <w:szCs w:val="28"/>
        </w:rPr>
        <w:t xml:space="preserve">.  </w:t>
      </w:r>
    </w:p>
    <w:p w14:paraId="0BF7B1AF"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Jones JC, Marathe BM, Lerner C, Kreis L, Gasser R, Pascua PNQ, Najera I, </w:t>
      </w:r>
      <w:proofErr w:type="spellStart"/>
      <w:r w:rsidRPr="00B01620">
        <w:rPr>
          <w:rFonts w:ascii="Times New Roman" w:hAnsi="Times New Roman" w:cs="Times New Roman"/>
          <w:sz w:val="28"/>
          <w:szCs w:val="28"/>
        </w:rPr>
        <w:t>Govorkova</w:t>
      </w:r>
      <w:proofErr w:type="spellEnd"/>
      <w:r w:rsidRPr="00B01620">
        <w:rPr>
          <w:rFonts w:ascii="Times New Roman" w:hAnsi="Times New Roman" w:cs="Times New Roman"/>
          <w:sz w:val="28"/>
          <w:szCs w:val="28"/>
        </w:rPr>
        <w:t xml:space="preserve"> E A. A Novel Endonuclease Inhibitor Exhibits Broad-Spectrum Anti-Influenza Virus Activity In Vitro. // </w:t>
      </w:r>
      <w:proofErr w:type="spellStart"/>
      <w:r w:rsidRPr="00B01620">
        <w:rPr>
          <w:rFonts w:ascii="Times New Roman" w:hAnsi="Times New Roman" w:cs="Times New Roman"/>
          <w:sz w:val="28"/>
          <w:szCs w:val="28"/>
        </w:rPr>
        <w:t>Antimicrob</w:t>
      </w:r>
      <w:proofErr w:type="spellEnd"/>
      <w:r w:rsidRPr="00B01620">
        <w:rPr>
          <w:rFonts w:ascii="Times New Roman" w:hAnsi="Times New Roman" w:cs="Times New Roman"/>
          <w:sz w:val="28"/>
          <w:szCs w:val="28"/>
        </w:rPr>
        <w:t xml:space="preserve"> Agents </w:t>
      </w:r>
      <w:proofErr w:type="spellStart"/>
      <w:r w:rsidRPr="00B01620">
        <w:rPr>
          <w:rFonts w:ascii="Times New Roman" w:hAnsi="Times New Roman" w:cs="Times New Roman"/>
          <w:sz w:val="28"/>
          <w:szCs w:val="28"/>
        </w:rPr>
        <w:t>Chemother</w:t>
      </w:r>
      <w:proofErr w:type="spellEnd"/>
      <w:r w:rsidRPr="00B01620">
        <w:rPr>
          <w:rFonts w:ascii="Times New Roman" w:hAnsi="Times New Roman" w:cs="Times New Roman"/>
          <w:sz w:val="28"/>
          <w:szCs w:val="28"/>
        </w:rPr>
        <w:t xml:space="preserve">, -2016.-Vol. 60.-P. 5504-5514.   </w:t>
      </w:r>
      <w:hyperlink r:id="rId136" w:history="1">
        <w:r w:rsidR="00226539" w:rsidRPr="00B01620">
          <w:rPr>
            <w:rStyle w:val="a5"/>
            <w:rFonts w:ascii="Times New Roman" w:hAnsi="Times New Roman" w:cs="Times New Roman"/>
            <w:sz w:val="28"/>
            <w:szCs w:val="28"/>
          </w:rPr>
          <w:t>https://doi.org/10.1128/aac.00888-16</w:t>
        </w:r>
      </w:hyperlink>
      <w:r w:rsidRPr="00B01620">
        <w:rPr>
          <w:rFonts w:ascii="Times New Roman" w:hAnsi="Times New Roman" w:cs="Times New Roman"/>
          <w:sz w:val="28"/>
          <w:szCs w:val="28"/>
        </w:rPr>
        <w:t xml:space="preserve">. </w:t>
      </w:r>
    </w:p>
    <w:p w14:paraId="386849A3"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Yang T. Baloxavir Marboxil: The First Cap-Dependent Endonuclease Inhibitor for the Treatment of Influenza. //</w:t>
      </w:r>
      <w:r w:rsidRPr="00B01620">
        <w:rPr>
          <w:rFonts w:ascii="Times New Roman" w:hAnsi="Times New Roman" w:cs="Times New Roman"/>
          <w:i/>
          <w:iCs/>
          <w:sz w:val="28"/>
          <w:szCs w:val="28"/>
        </w:rPr>
        <w:t>Annals of Pharmacotherapy</w:t>
      </w:r>
      <w:r w:rsidRPr="00B01620">
        <w:rPr>
          <w:rFonts w:ascii="Times New Roman" w:hAnsi="Times New Roman" w:cs="Times New Roman"/>
          <w:sz w:val="28"/>
          <w:szCs w:val="28"/>
        </w:rPr>
        <w:t>, -2019.- Vol.53.- P.754-759. doi:</w:t>
      </w:r>
      <w:hyperlink r:id="rId137" w:history="1">
        <w:r w:rsidR="00226539" w:rsidRPr="00B01620">
          <w:rPr>
            <w:rStyle w:val="a5"/>
            <w:rFonts w:ascii="Times New Roman" w:hAnsi="Times New Roman" w:cs="Times New Roman"/>
            <w:sz w:val="28"/>
            <w:szCs w:val="28"/>
          </w:rPr>
          <w:t>10.1177/1060028019826565</w:t>
        </w:r>
      </w:hyperlink>
      <w:r w:rsidRPr="00B01620">
        <w:rPr>
          <w:rFonts w:ascii="Times New Roman" w:hAnsi="Times New Roman" w:cs="Times New Roman"/>
          <w:sz w:val="28"/>
          <w:szCs w:val="28"/>
        </w:rPr>
        <w:t xml:space="preserve">.  </w:t>
      </w:r>
    </w:p>
    <w:p w14:paraId="13DDBB7F"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proofErr w:type="spellStart"/>
      <w:r w:rsidRPr="00B01620">
        <w:rPr>
          <w:rFonts w:ascii="Times New Roman" w:hAnsi="Times New Roman" w:cs="Times New Roman"/>
          <w:sz w:val="28"/>
          <w:szCs w:val="28"/>
        </w:rPr>
        <w:t>Jiajie</w:t>
      </w:r>
      <w:proofErr w:type="spellEnd"/>
      <w:r w:rsidRPr="00B01620">
        <w:rPr>
          <w:rFonts w:ascii="Times New Roman" w:hAnsi="Times New Roman" w:cs="Times New Roman"/>
          <w:sz w:val="28"/>
          <w:szCs w:val="28"/>
        </w:rPr>
        <w:t xml:space="preserve"> Feng, et al</w:t>
      </w:r>
      <w:r w:rsidRPr="00B01620">
        <w:rPr>
          <w:rFonts w:ascii="Times New Roman" w:hAnsi="Times New Roman" w:cs="Times New Roman"/>
          <w:b/>
          <w:bCs/>
          <w:sz w:val="28"/>
          <w:szCs w:val="28"/>
        </w:rPr>
        <w:t xml:space="preserve">. </w:t>
      </w:r>
      <w:r w:rsidRPr="00B01620">
        <w:rPr>
          <w:rFonts w:ascii="Times New Roman" w:hAnsi="Times New Roman" w:cs="Times New Roman"/>
          <w:sz w:val="28"/>
          <w:szCs w:val="28"/>
        </w:rPr>
        <w:t xml:space="preserve">Discovery of a Macrocyclic Influenza Cap-Dependent Endonuclease Inhibitor //J. Med. Chem, -2024. -Vol.67.-P.2570–2583. </w:t>
      </w:r>
      <w:hyperlink r:id="rId138" w:history="1">
        <w:r w:rsidR="00226539" w:rsidRPr="00B01620">
          <w:rPr>
            <w:rStyle w:val="a5"/>
            <w:rFonts w:ascii="Times New Roman" w:hAnsi="Times New Roman" w:cs="Times New Roman"/>
            <w:sz w:val="28"/>
            <w:szCs w:val="28"/>
          </w:rPr>
          <w:t>https://doi.org/10.1021/acs.jmedchem.3c01715</w:t>
        </w:r>
      </w:hyperlink>
      <w:r w:rsidRPr="00B01620">
        <w:rPr>
          <w:rFonts w:ascii="Times New Roman" w:hAnsi="Times New Roman" w:cs="Times New Roman"/>
          <w:sz w:val="28"/>
          <w:szCs w:val="28"/>
        </w:rPr>
        <w:t xml:space="preserve">.  </w:t>
      </w:r>
    </w:p>
    <w:p w14:paraId="3C6EC357" w14:textId="725AC504"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Yan Lou, Lin Liu, </w:t>
      </w:r>
      <w:proofErr w:type="spellStart"/>
      <w:r w:rsidRPr="00B01620">
        <w:rPr>
          <w:rFonts w:ascii="Times New Roman" w:hAnsi="Times New Roman" w:cs="Times New Roman"/>
          <w:sz w:val="28"/>
          <w:szCs w:val="28"/>
        </w:rPr>
        <w:t>Hangping</w:t>
      </w:r>
      <w:proofErr w:type="spellEnd"/>
      <w:r w:rsidRPr="00B01620">
        <w:rPr>
          <w:rFonts w:ascii="Times New Roman" w:hAnsi="Times New Roman" w:cs="Times New Roman"/>
          <w:sz w:val="28"/>
          <w:szCs w:val="28"/>
        </w:rPr>
        <w:t xml:space="preserve"> Yao, </w:t>
      </w:r>
      <w:proofErr w:type="spellStart"/>
      <w:r w:rsidRPr="00B01620">
        <w:rPr>
          <w:rFonts w:ascii="Times New Roman" w:hAnsi="Times New Roman" w:cs="Times New Roman"/>
          <w:sz w:val="28"/>
          <w:szCs w:val="28"/>
        </w:rPr>
        <w:t>Xingjiang</w:t>
      </w:r>
      <w:proofErr w:type="spellEnd"/>
      <w:r w:rsidRPr="00B01620">
        <w:rPr>
          <w:rFonts w:ascii="Times New Roman" w:hAnsi="Times New Roman" w:cs="Times New Roman"/>
          <w:sz w:val="28"/>
          <w:szCs w:val="28"/>
        </w:rPr>
        <w:t xml:space="preserve"> Hu, Junwei Su, Kaijin Xu, Rui Luo, Xi Yang, </w:t>
      </w:r>
      <w:proofErr w:type="spellStart"/>
      <w:r w:rsidRPr="00B01620">
        <w:rPr>
          <w:rFonts w:ascii="Times New Roman" w:hAnsi="Times New Roman" w:cs="Times New Roman"/>
          <w:sz w:val="28"/>
          <w:szCs w:val="28"/>
        </w:rPr>
        <w:t>Lingjuan</w:t>
      </w:r>
      <w:proofErr w:type="spellEnd"/>
      <w:r w:rsidRPr="00B01620">
        <w:rPr>
          <w:rFonts w:ascii="Times New Roman" w:hAnsi="Times New Roman" w:cs="Times New Roman"/>
          <w:sz w:val="28"/>
          <w:szCs w:val="28"/>
        </w:rPr>
        <w:t xml:space="preserve"> He, Xiaoyang Lu, </w:t>
      </w:r>
      <w:proofErr w:type="spellStart"/>
      <w:r w:rsidRPr="00B01620">
        <w:rPr>
          <w:rFonts w:ascii="Times New Roman" w:hAnsi="Times New Roman" w:cs="Times New Roman"/>
          <w:sz w:val="28"/>
          <w:szCs w:val="28"/>
        </w:rPr>
        <w:t>Qingwei</w:t>
      </w:r>
      <w:proofErr w:type="spellEnd"/>
      <w:r w:rsidRPr="00B01620">
        <w:rPr>
          <w:rFonts w:ascii="Times New Roman" w:hAnsi="Times New Roman" w:cs="Times New Roman"/>
          <w:sz w:val="28"/>
          <w:szCs w:val="28"/>
        </w:rPr>
        <w:t xml:space="preserve"> Zhao, </w:t>
      </w:r>
      <w:proofErr w:type="spellStart"/>
      <w:r w:rsidRPr="00B01620">
        <w:rPr>
          <w:rFonts w:ascii="Times New Roman" w:hAnsi="Times New Roman" w:cs="Times New Roman"/>
          <w:sz w:val="28"/>
          <w:szCs w:val="28"/>
        </w:rPr>
        <w:t>Tingbo</w:t>
      </w:r>
      <w:proofErr w:type="spellEnd"/>
      <w:r w:rsidRPr="00B01620">
        <w:rPr>
          <w:rFonts w:ascii="Times New Roman" w:hAnsi="Times New Roman" w:cs="Times New Roman"/>
          <w:sz w:val="28"/>
          <w:szCs w:val="28"/>
        </w:rPr>
        <w:t xml:space="preserve"> Liang, </w:t>
      </w:r>
      <w:proofErr w:type="spellStart"/>
      <w:r w:rsidRPr="00B01620">
        <w:rPr>
          <w:rFonts w:ascii="Times New Roman" w:hAnsi="Times New Roman" w:cs="Times New Roman"/>
          <w:sz w:val="28"/>
          <w:szCs w:val="28"/>
        </w:rPr>
        <w:t>Yunqing</w:t>
      </w:r>
      <w:proofErr w:type="spellEnd"/>
      <w:r w:rsidRPr="00B01620">
        <w:rPr>
          <w:rFonts w:ascii="Times New Roman" w:hAnsi="Times New Roman" w:cs="Times New Roman"/>
          <w:sz w:val="28"/>
          <w:szCs w:val="28"/>
        </w:rPr>
        <w:t xml:space="preserve"> Qiu, Clinical Outcomes and Plasma Concentrations of Baloxavir Marboxil and Favipiravir in COVID-19 Patients: An Exploratory Randomized, Controlled Trial // European Journal of Pharmaceutical Sciences, – 2021.- Vol. 157.- P. 1-7. </w:t>
      </w:r>
      <w:hyperlink r:id="rId139" w:history="1">
        <w:r w:rsidR="00226539" w:rsidRPr="00B01620">
          <w:rPr>
            <w:rStyle w:val="a5"/>
            <w:rFonts w:ascii="Times New Roman" w:hAnsi="Times New Roman" w:cs="Times New Roman"/>
            <w:sz w:val="28"/>
            <w:szCs w:val="28"/>
          </w:rPr>
          <w:t>https://doi.org/10.1016/j.ejps.2020.105631</w:t>
        </w:r>
      </w:hyperlink>
      <w:r w:rsidR="0068260A" w:rsidRPr="00B01620">
        <w:rPr>
          <w:rStyle w:val="a5"/>
          <w:rFonts w:ascii="Times New Roman" w:hAnsi="Times New Roman" w:cs="Times New Roman"/>
          <w:sz w:val="28"/>
          <w:szCs w:val="28"/>
        </w:rPr>
        <w:t>.</w:t>
      </w:r>
      <w:r w:rsidRPr="00B01620">
        <w:rPr>
          <w:rFonts w:ascii="Times New Roman" w:hAnsi="Times New Roman" w:cs="Times New Roman"/>
          <w:sz w:val="28"/>
          <w:szCs w:val="28"/>
        </w:rPr>
        <w:t xml:space="preserve"> </w:t>
      </w:r>
    </w:p>
    <w:p w14:paraId="0048B009"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proofErr w:type="spellStart"/>
      <w:r w:rsidRPr="00B01620">
        <w:rPr>
          <w:rFonts w:ascii="Times New Roman" w:hAnsi="Times New Roman" w:cs="Times New Roman"/>
          <w:sz w:val="28"/>
          <w:szCs w:val="28"/>
        </w:rPr>
        <w:t>Dufrasne</w:t>
      </w:r>
      <w:proofErr w:type="spellEnd"/>
      <w:r w:rsidRPr="00B01620">
        <w:rPr>
          <w:rFonts w:ascii="Times New Roman" w:hAnsi="Times New Roman" w:cs="Times New Roman"/>
          <w:sz w:val="28"/>
          <w:szCs w:val="28"/>
        </w:rPr>
        <w:t xml:space="preserve"> F. Baloxavir Marboxil: An Original New Drug against Influenza. // Pharmaceuticals (Basel), – 2021. - Vol.24. - P.28-32. </w:t>
      </w:r>
      <w:hyperlink r:id="rId140" w:history="1">
        <w:r w:rsidR="00226539" w:rsidRPr="00B01620">
          <w:rPr>
            <w:rStyle w:val="a5"/>
            <w:rFonts w:ascii="Times New Roman" w:hAnsi="Times New Roman" w:cs="Times New Roman"/>
            <w:sz w:val="28"/>
            <w:szCs w:val="28"/>
          </w:rPr>
          <w:t>https://doi.org/10.3390/ph15010028</w:t>
        </w:r>
      </w:hyperlink>
      <w:r w:rsidRPr="00B01620">
        <w:rPr>
          <w:rFonts w:ascii="Times New Roman" w:hAnsi="Times New Roman" w:cs="Times New Roman"/>
          <w:sz w:val="28"/>
          <w:szCs w:val="28"/>
        </w:rPr>
        <w:t xml:space="preserve">.   </w:t>
      </w:r>
    </w:p>
    <w:p w14:paraId="7F95EB0F"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Yuan S., Wen L., Zhou J. Inhibitors of Influenza A Virus Polymerase. // </w:t>
      </w:r>
      <w:r w:rsidRPr="00B01620">
        <w:rPr>
          <w:rFonts w:ascii="Times New Roman" w:hAnsi="Times New Roman" w:cs="Times New Roman"/>
          <w:i/>
          <w:iCs/>
          <w:sz w:val="28"/>
          <w:szCs w:val="28"/>
        </w:rPr>
        <w:t xml:space="preserve">ACS Infect. </w:t>
      </w:r>
      <w:proofErr w:type="gramStart"/>
      <w:r w:rsidRPr="00B01620">
        <w:rPr>
          <w:rFonts w:ascii="Times New Roman" w:hAnsi="Times New Roman" w:cs="Times New Roman"/>
          <w:i/>
          <w:iCs/>
          <w:sz w:val="28"/>
          <w:szCs w:val="28"/>
        </w:rPr>
        <w:t>Dis,</w:t>
      </w:r>
      <w:r w:rsidRPr="00B01620">
        <w:rPr>
          <w:rFonts w:ascii="Times New Roman" w:hAnsi="Times New Roman" w:cs="Times New Roman"/>
          <w:sz w:val="28"/>
          <w:szCs w:val="28"/>
        </w:rPr>
        <w:t>-</w:t>
      </w:r>
      <w:proofErr w:type="gramEnd"/>
      <w:r w:rsidRPr="00B01620">
        <w:rPr>
          <w:rFonts w:ascii="Times New Roman" w:hAnsi="Times New Roman" w:cs="Times New Roman"/>
          <w:i/>
          <w:iCs/>
          <w:sz w:val="28"/>
          <w:szCs w:val="28"/>
        </w:rPr>
        <w:t> </w:t>
      </w:r>
      <w:r w:rsidRPr="00B01620">
        <w:rPr>
          <w:rFonts w:ascii="Times New Roman" w:hAnsi="Times New Roman" w:cs="Times New Roman"/>
          <w:sz w:val="28"/>
          <w:szCs w:val="28"/>
        </w:rPr>
        <w:t xml:space="preserve">2018.- Vol.4.-P.218–223. </w:t>
      </w:r>
      <w:hyperlink r:id="rId141" w:history="1">
        <w:r w:rsidR="00226539" w:rsidRPr="00B01620">
          <w:rPr>
            <w:rStyle w:val="a5"/>
            <w:rFonts w:ascii="Times New Roman" w:hAnsi="Times New Roman" w:cs="Times New Roman"/>
            <w:sz w:val="28"/>
            <w:szCs w:val="28"/>
          </w:rPr>
          <w:t>https://doi.org/10.1021/acsinfecdis.7b00265</w:t>
        </w:r>
      </w:hyperlink>
      <w:r w:rsidRPr="00B01620">
        <w:rPr>
          <w:rFonts w:ascii="Times New Roman" w:hAnsi="Times New Roman" w:cs="Times New Roman"/>
          <w:sz w:val="28"/>
          <w:szCs w:val="28"/>
        </w:rPr>
        <w:t>.</w:t>
      </w:r>
    </w:p>
    <w:p w14:paraId="35679B95" w14:textId="5712412A"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Ju H., Zhang J., Huang B., Kang D., Huang B., Liu X., Zhan P. Inhibitors of Influenza Virus Polymerase Acidic (PA) Endonuclease: Contemporary Developments and Perspectives. // </w:t>
      </w:r>
      <w:r w:rsidRPr="00B01620">
        <w:rPr>
          <w:rFonts w:ascii="Times New Roman" w:hAnsi="Times New Roman" w:cs="Times New Roman"/>
          <w:i/>
          <w:iCs/>
          <w:sz w:val="28"/>
          <w:szCs w:val="28"/>
        </w:rPr>
        <w:t xml:space="preserve">J. Med. </w:t>
      </w:r>
      <w:r w:rsidR="0068260A" w:rsidRPr="00B01620">
        <w:rPr>
          <w:rFonts w:ascii="Times New Roman" w:hAnsi="Times New Roman" w:cs="Times New Roman"/>
          <w:i/>
          <w:iCs/>
          <w:sz w:val="28"/>
          <w:szCs w:val="28"/>
        </w:rPr>
        <w:t>Chem, -</w:t>
      </w:r>
      <w:r w:rsidRPr="00B01620">
        <w:rPr>
          <w:rFonts w:ascii="Times New Roman" w:hAnsi="Times New Roman" w:cs="Times New Roman"/>
          <w:i/>
          <w:iCs/>
          <w:sz w:val="28"/>
          <w:szCs w:val="28"/>
        </w:rPr>
        <w:t> </w:t>
      </w:r>
      <w:r w:rsidRPr="00B01620">
        <w:rPr>
          <w:rFonts w:ascii="Times New Roman" w:hAnsi="Times New Roman" w:cs="Times New Roman"/>
          <w:sz w:val="28"/>
          <w:szCs w:val="28"/>
        </w:rPr>
        <w:t xml:space="preserve">2017.- Vol.60.-P.3533–3551. </w:t>
      </w:r>
      <w:hyperlink r:id="rId142" w:history="1">
        <w:r w:rsidR="00226539" w:rsidRPr="00B01620">
          <w:rPr>
            <w:rStyle w:val="a5"/>
            <w:rFonts w:ascii="Times New Roman" w:hAnsi="Times New Roman" w:cs="Times New Roman"/>
            <w:sz w:val="28"/>
            <w:szCs w:val="28"/>
          </w:rPr>
          <w:t>https://doi.org/10.1021/acs.jmedchem.6b01227</w:t>
        </w:r>
      </w:hyperlink>
      <w:r w:rsidRPr="00B01620">
        <w:rPr>
          <w:rFonts w:ascii="Times New Roman" w:hAnsi="Times New Roman" w:cs="Times New Roman"/>
          <w:sz w:val="28"/>
          <w:szCs w:val="28"/>
        </w:rPr>
        <w:t xml:space="preserve">.  </w:t>
      </w:r>
    </w:p>
    <w:p w14:paraId="62C87207"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Hayden, F.G., Shindo, N., Influenza virus polymerase inhibitors in clinical development. // Curr </w:t>
      </w:r>
      <w:proofErr w:type="spellStart"/>
      <w:r w:rsidRPr="00B01620">
        <w:rPr>
          <w:rFonts w:ascii="Times New Roman" w:hAnsi="Times New Roman" w:cs="Times New Roman"/>
          <w:sz w:val="28"/>
          <w:szCs w:val="28"/>
        </w:rPr>
        <w:t>Opin</w:t>
      </w:r>
      <w:proofErr w:type="spellEnd"/>
      <w:r w:rsidRPr="00B01620">
        <w:rPr>
          <w:rFonts w:ascii="Times New Roman" w:hAnsi="Times New Roman" w:cs="Times New Roman"/>
          <w:sz w:val="28"/>
          <w:szCs w:val="28"/>
        </w:rPr>
        <w:t xml:space="preserve"> Infect Dis, - 2019. -Vol. 32.- P.176–186. </w:t>
      </w:r>
      <w:hyperlink r:id="rId143" w:history="1">
        <w:r w:rsidR="00226539" w:rsidRPr="00B01620">
          <w:rPr>
            <w:rStyle w:val="a5"/>
            <w:rFonts w:ascii="Times New Roman" w:hAnsi="Times New Roman" w:cs="Times New Roman"/>
            <w:sz w:val="28"/>
            <w:szCs w:val="28"/>
          </w:rPr>
          <w:t>https://doi.org/10.1097/</w:t>
        </w:r>
      </w:hyperlink>
      <w:r w:rsidRPr="00B01620">
        <w:rPr>
          <w:rFonts w:ascii="Times New Roman" w:hAnsi="Times New Roman" w:cs="Times New Roman"/>
          <w:sz w:val="28"/>
          <w:szCs w:val="28"/>
        </w:rPr>
        <w:t xml:space="preserve">.   </w:t>
      </w:r>
    </w:p>
    <w:p w14:paraId="3ECB5AA6"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lastRenderedPageBreak/>
        <w:t>Parra-Rojas, C.; Nguyen, V.K.; Hernandez-Mejia, G.; Hernandez-Vargas, E.A. Neuraminidase Inhibitors in Influenza Treatment and Prevention–Is It Time to Call It a Day? //</w:t>
      </w:r>
      <w:r w:rsidRPr="00B01620">
        <w:rPr>
          <w:rFonts w:ascii="Times New Roman" w:hAnsi="Times New Roman" w:cs="Times New Roman"/>
          <w:i/>
          <w:iCs/>
          <w:sz w:val="28"/>
          <w:szCs w:val="28"/>
        </w:rPr>
        <w:t>Viruses</w:t>
      </w:r>
      <w:r w:rsidRPr="00B01620">
        <w:rPr>
          <w:rFonts w:ascii="Times New Roman" w:hAnsi="Times New Roman" w:cs="Times New Roman"/>
          <w:sz w:val="28"/>
          <w:szCs w:val="28"/>
        </w:rPr>
        <w:t xml:space="preserve">, – 2018.- Vol. 10.- P.454-467. </w:t>
      </w:r>
      <w:hyperlink r:id="rId144" w:history="1">
        <w:r w:rsidR="00226539" w:rsidRPr="00B01620">
          <w:rPr>
            <w:rStyle w:val="a5"/>
            <w:rFonts w:ascii="Times New Roman" w:hAnsi="Times New Roman" w:cs="Times New Roman"/>
            <w:sz w:val="28"/>
            <w:szCs w:val="28"/>
          </w:rPr>
          <w:t>https://doi.org/10.3390/v10090454</w:t>
        </w:r>
      </w:hyperlink>
      <w:r w:rsidRPr="00B01620">
        <w:rPr>
          <w:rFonts w:ascii="Times New Roman" w:hAnsi="Times New Roman" w:cs="Times New Roman"/>
          <w:sz w:val="28"/>
          <w:szCs w:val="28"/>
        </w:rPr>
        <w:t xml:space="preserve">. </w:t>
      </w:r>
    </w:p>
    <w:p w14:paraId="1A615F8F" w14:textId="635EDD10"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Havasi A, Visan S, </w:t>
      </w:r>
      <w:proofErr w:type="spellStart"/>
      <w:r w:rsidRPr="00B01620">
        <w:rPr>
          <w:rFonts w:ascii="Times New Roman" w:hAnsi="Times New Roman" w:cs="Times New Roman"/>
          <w:sz w:val="28"/>
          <w:szCs w:val="28"/>
        </w:rPr>
        <w:t>Cainap</w:t>
      </w:r>
      <w:proofErr w:type="spellEnd"/>
      <w:r w:rsidRPr="00B01620">
        <w:rPr>
          <w:rFonts w:ascii="Times New Roman" w:hAnsi="Times New Roman" w:cs="Times New Roman"/>
          <w:sz w:val="28"/>
          <w:szCs w:val="28"/>
        </w:rPr>
        <w:t xml:space="preserve"> C, </w:t>
      </w:r>
      <w:proofErr w:type="spellStart"/>
      <w:r w:rsidRPr="00B01620">
        <w:rPr>
          <w:rFonts w:ascii="Times New Roman" w:hAnsi="Times New Roman" w:cs="Times New Roman"/>
          <w:sz w:val="28"/>
          <w:szCs w:val="28"/>
        </w:rPr>
        <w:t>Cainap</w:t>
      </w:r>
      <w:proofErr w:type="spellEnd"/>
      <w:r w:rsidRPr="00B01620">
        <w:rPr>
          <w:rFonts w:ascii="Times New Roman" w:hAnsi="Times New Roman" w:cs="Times New Roman"/>
          <w:sz w:val="28"/>
          <w:szCs w:val="28"/>
        </w:rPr>
        <w:t xml:space="preserve"> SS, Mihaila AA and Pop LA. Influenza A, Influenza B, and SARS-CoV-2 Similarities and Differences – A Focus on Diagnosis. // </w:t>
      </w:r>
      <w:r w:rsidRPr="00B01620">
        <w:rPr>
          <w:rFonts w:ascii="Times New Roman" w:hAnsi="Times New Roman" w:cs="Times New Roman"/>
          <w:i/>
          <w:iCs/>
          <w:sz w:val="28"/>
          <w:szCs w:val="28"/>
        </w:rPr>
        <w:t>Front. Microbiol,</w:t>
      </w:r>
      <w:r w:rsidRPr="00B01620">
        <w:rPr>
          <w:rFonts w:ascii="Times New Roman" w:hAnsi="Times New Roman" w:cs="Times New Roman"/>
          <w:sz w:val="28"/>
          <w:szCs w:val="28"/>
        </w:rPr>
        <w:t xml:space="preserve"> -2022.-Vol. 13. – P. 908-925. </w:t>
      </w:r>
      <w:proofErr w:type="spellStart"/>
      <w:r w:rsidRPr="00B01620">
        <w:rPr>
          <w:rFonts w:ascii="Times New Roman" w:hAnsi="Times New Roman" w:cs="Times New Roman"/>
          <w:sz w:val="28"/>
          <w:szCs w:val="28"/>
        </w:rPr>
        <w:t>doi</w:t>
      </w:r>
      <w:proofErr w:type="spellEnd"/>
      <w:r w:rsidRPr="00B01620">
        <w:rPr>
          <w:rFonts w:ascii="Times New Roman" w:hAnsi="Times New Roman" w:cs="Times New Roman"/>
          <w:sz w:val="28"/>
          <w:szCs w:val="28"/>
        </w:rPr>
        <w:t>: 10.3389/fmicb.2022.908525.</w:t>
      </w:r>
      <w:hyperlink r:id="rId145" w:history="1">
        <w:r w:rsidR="00226539" w:rsidRPr="00B01620">
          <w:rPr>
            <w:rStyle w:val="a5"/>
            <w:rFonts w:ascii="Times New Roman" w:hAnsi="Times New Roman" w:cs="Times New Roman"/>
            <w:sz w:val="28"/>
            <w:szCs w:val="28"/>
          </w:rPr>
          <w:t>https://www.frontiersin.org/journals/microbiology/articles/10.3389/fmicb.2022.908525/full</w:t>
        </w:r>
      </w:hyperlink>
      <w:r w:rsidR="0068260A" w:rsidRPr="00B01620">
        <w:rPr>
          <w:rFonts w:ascii="Times New Roman" w:hAnsi="Times New Roman" w:cs="Times New Roman"/>
          <w:sz w:val="28"/>
          <w:szCs w:val="28"/>
        </w:rPr>
        <w:t>.</w:t>
      </w:r>
    </w:p>
    <w:p w14:paraId="249BAED8"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Dobson, J.; Whitley, R.J.; Pocock, S.; Monto, A.S. Oseltamivir treatment for influenza in adults: A meta-analysis of randomized controlled trials. // Lancet, -2015.- Vol. 385.-P. 1729–1737. </w:t>
      </w:r>
    </w:p>
    <w:p w14:paraId="038F494C" w14:textId="6EB9B663"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lang w:val="de-DE"/>
        </w:rPr>
        <w:t xml:space="preserve">McClellan, K.; Perry, C.M. Oseltamivir. // </w:t>
      </w:r>
      <w:r w:rsidR="00B63AA4" w:rsidRPr="00B01620">
        <w:rPr>
          <w:rFonts w:ascii="Times New Roman" w:hAnsi="Times New Roman" w:cs="Times New Roman"/>
          <w:sz w:val="28"/>
          <w:szCs w:val="28"/>
          <w:lang w:val="de-DE"/>
        </w:rPr>
        <w:t>Drugs, -</w:t>
      </w:r>
      <w:r w:rsidRPr="00B01620">
        <w:rPr>
          <w:rFonts w:ascii="Times New Roman" w:hAnsi="Times New Roman" w:cs="Times New Roman"/>
          <w:sz w:val="28"/>
          <w:szCs w:val="28"/>
          <w:lang w:val="de-DE"/>
        </w:rPr>
        <w:t xml:space="preserve"> 2001.-Vol. 61.-P. </w:t>
      </w:r>
      <w:r w:rsidRPr="00B01620">
        <w:rPr>
          <w:rFonts w:ascii="Times New Roman" w:hAnsi="Times New Roman" w:cs="Times New Roman"/>
          <w:sz w:val="28"/>
          <w:szCs w:val="28"/>
        </w:rPr>
        <w:t xml:space="preserve">263–283. </w:t>
      </w:r>
    </w:p>
    <w:p w14:paraId="2AFB9E42"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 </w:t>
      </w:r>
      <w:proofErr w:type="spellStart"/>
      <w:r w:rsidRPr="00B01620">
        <w:rPr>
          <w:rFonts w:ascii="Times New Roman" w:hAnsi="Times New Roman" w:cs="Times New Roman"/>
          <w:sz w:val="28"/>
          <w:szCs w:val="28"/>
        </w:rPr>
        <w:t>Zendehdel</w:t>
      </w:r>
      <w:proofErr w:type="spellEnd"/>
      <w:r w:rsidRPr="00B01620">
        <w:rPr>
          <w:rFonts w:ascii="Times New Roman" w:hAnsi="Times New Roman" w:cs="Times New Roman"/>
          <w:sz w:val="28"/>
          <w:szCs w:val="28"/>
        </w:rPr>
        <w:t xml:space="preserve">, Mohammad Bidkhori, Mohsen Ansari, </w:t>
      </w:r>
      <w:proofErr w:type="spellStart"/>
      <w:r w:rsidRPr="00B01620">
        <w:rPr>
          <w:rFonts w:ascii="Times New Roman" w:hAnsi="Times New Roman" w:cs="Times New Roman"/>
          <w:sz w:val="28"/>
          <w:szCs w:val="28"/>
        </w:rPr>
        <w:t>Saeidreza</w:t>
      </w:r>
      <w:proofErr w:type="spellEnd"/>
      <w:r w:rsidRPr="00B01620">
        <w:rPr>
          <w:rFonts w:ascii="Times New Roman" w:hAnsi="Times New Roman" w:cs="Times New Roman"/>
          <w:sz w:val="28"/>
          <w:szCs w:val="28"/>
        </w:rPr>
        <w:t xml:space="preserve"> Jamalimoghaddamsiyahkali, Azadeh Asoodeh. Efficacy of oseltamivir in the treatment of patients infected with Covid-19. // Annals of Medicine and Surgery, -2022.- Vol.77.-P. 103-110. </w:t>
      </w:r>
      <w:hyperlink r:id="rId146" w:history="1">
        <w:r w:rsidR="00226539" w:rsidRPr="00B01620">
          <w:rPr>
            <w:rStyle w:val="a5"/>
            <w:rFonts w:ascii="Times New Roman" w:hAnsi="Times New Roman" w:cs="Times New Roman"/>
            <w:sz w:val="28"/>
            <w:szCs w:val="28"/>
          </w:rPr>
          <w:t>https://doi.org/10.1016/j.amsu.2022.103679</w:t>
        </w:r>
      </w:hyperlink>
      <w:r w:rsidRPr="00B01620">
        <w:rPr>
          <w:rFonts w:ascii="Times New Roman" w:hAnsi="Times New Roman" w:cs="Times New Roman"/>
          <w:sz w:val="28"/>
          <w:szCs w:val="28"/>
        </w:rPr>
        <w:t>.</w:t>
      </w:r>
    </w:p>
    <w:p w14:paraId="11F325EB"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de Oliveira Formiga, R., et al. Neuraminidase is a host-directed approach to regulate neutrophil responses in sepsis and COVID-19. // </w:t>
      </w:r>
      <w:r w:rsidRPr="00B01620">
        <w:rPr>
          <w:rFonts w:ascii="Times New Roman" w:hAnsi="Times New Roman" w:cs="Times New Roman"/>
          <w:i/>
          <w:iCs/>
          <w:sz w:val="28"/>
          <w:szCs w:val="28"/>
        </w:rPr>
        <w:t xml:space="preserve">British Journal of </w:t>
      </w:r>
      <w:r w:rsidRPr="00B01620">
        <w:rPr>
          <w:rFonts w:ascii="Times New Roman" w:hAnsi="Times New Roman" w:cs="Times New Roman"/>
          <w:sz w:val="28"/>
          <w:szCs w:val="28"/>
        </w:rPr>
        <w:t>Pharmacology, - 2023.-Vol. 180.-P. 14-18. </w:t>
      </w:r>
      <w:hyperlink r:id="rId147" w:history="1">
        <w:r w:rsidR="00226539" w:rsidRPr="00B01620">
          <w:rPr>
            <w:rStyle w:val="a5"/>
            <w:rFonts w:ascii="Times New Roman" w:hAnsi="Times New Roman" w:cs="Times New Roman"/>
            <w:sz w:val="28"/>
            <w:szCs w:val="28"/>
          </w:rPr>
          <w:t>https://doi.org/10.1111/bph.16013</w:t>
        </w:r>
      </w:hyperlink>
      <w:r w:rsidRPr="00B01620">
        <w:rPr>
          <w:rFonts w:ascii="Times New Roman" w:hAnsi="Times New Roman" w:cs="Times New Roman"/>
          <w:sz w:val="28"/>
          <w:szCs w:val="28"/>
        </w:rPr>
        <w:t xml:space="preserve">.  </w:t>
      </w:r>
    </w:p>
    <w:p w14:paraId="380256FA"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Huang, J.; Song, W.; Huang, H.; Sun, Q. Pharmacological Therapeutics Targeting RNA-Dependent RNA Polymerase, Proteinase and Spike Protein: From Mechanistic Studies to Clinical Trials for COVID-19. // J. Clin. </w:t>
      </w:r>
      <w:proofErr w:type="gramStart"/>
      <w:r w:rsidRPr="00B01620">
        <w:rPr>
          <w:rFonts w:ascii="Times New Roman" w:hAnsi="Times New Roman" w:cs="Times New Roman"/>
          <w:sz w:val="28"/>
          <w:szCs w:val="28"/>
        </w:rPr>
        <w:t>Med,-</w:t>
      </w:r>
      <w:proofErr w:type="gramEnd"/>
      <w:r w:rsidRPr="00B01620">
        <w:rPr>
          <w:rFonts w:ascii="Times New Roman" w:hAnsi="Times New Roman" w:cs="Times New Roman"/>
          <w:sz w:val="28"/>
          <w:szCs w:val="28"/>
        </w:rPr>
        <w:t xml:space="preserve"> 2020.-Vol.9.- P.1131. </w:t>
      </w:r>
      <w:hyperlink r:id="rId148" w:history="1">
        <w:r w:rsidR="00226539" w:rsidRPr="00B01620">
          <w:rPr>
            <w:rStyle w:val="a5"/>
            <w:rFonts w:ascii="Times New Roman" w:hAnsi="Times New Roman" w:cs="Times New Roman"/>
            <w:sz w:val="28"/>
            <w:szCs w:val="28"/>
          </w:rPr>
          <w:t>https://doi.org/10.3390/jcm9041131</w:t>
        </w:r>
      </w:hyperlink>
      <w:r w:rsidRPr="00B01620">
        <w:rPr>
          <w:rFonts w:ascii="Times New Roman" w:hAnsi="Times New Roman" w:cs="Times New Roman"/>
          <w:sz w:val="28"/>
          <w:szCs w:val="28"/>
        </w:rPr>
        <w:t xml:space="preserve">. </w:t>
      </w:r>
    </w:p>
    <w:p w14:paraId="4CCF8DE9"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Di Perri G. Tenofovir alafenamide (TAF) clinical pharmacology. // </w:t>
      </w:r>
      <w:proofErr w:type="spellStart"/>
      <w:r w:rsidRPr="00B01620">
        <w:rPr>
          <w:rFonts w:ascii="Times New Roman" w:hAnsi="Times New Roman" w:cs="Times New Roman"/>
          <w:sz w:val="28"/>
          <w:szCs w:val="28"/>
        </w:rPr>
        <w:t>Infez</w:t>
      </w:r>
      <w:proofErr w:type="spellEnd"/>
      <w:r w:rsidRPr="00B01620">
        <w:rPr>
          <w:rFonts w:ascii="Times New Roman" w:hAnsi="Times New Roman" w:cs="Times New Roman"/>
          <w:sz w:val="28"/>
          <w:szCs w:val="28"/>
        </w:rPr>
        <w:t xml:space="preserve"> Med, -2021.-Vol 10.-P.378-385.  </w:t>
      </w:r>
      <w:proofErr w:type="spellStart"/>
      <w:r w:rsidRPr="00B01620">
        <w:rPr>
          <w:rFonts w:ascii="Times New Roman" w:hAnsi="Times New Roman" w:cs="Times New Roman"/>
          <w:sz w:val="28"/>
          <w:szCs w:val="28"/>
        </w:rPr>
        <w:t>doi</w:t>
      </w:r>
      <w:proofErr w:type="spellEnd"/>
      <w:r w:rsidRPr="00B01620">
        <w:rPr>
          <w:rFonts w:ascii="Times New Roman" w:hAnsi="Times New Roman" w:cs="Times New Roman"/>
          <w:sz w:val="28"/>
          <w:szCs w:val="28"/>
        </w:rPr>
        <w:t xml:space="preserve">: 10.53854/liim-2904-4. PMID: 35146360; PMCID: PMC8805468.  </w:t>
      </w:r>
    </w:p>
    <w:p w14:paraId="5183FC5C" w14:textId="0F2599B3" w:rsidR="00226539" w:rsidRPr="00D95017" w:rsidRDefault="00853685" w:rsidP="00D95017">
      <w:pPr>
        <w:numPr>
          <w:ilvl w:val="0"/>
          <w:numId w:val="7"/>
        </w:numPr>
        <w:spacing w:after="0" w:line="240" w:lineRule="auto"/>
        <w:ind w:left="0" w:firstLine="0"/>
        <w:jc w:val="both"/>
        <w:rPr>
          <w:rFonts w:ascii="Times New Roman" w:hAnsi="Times New Roman" w:cs="Times New Roman"/>
          <w:sz w:val="28"/>
          <w:szCs w:val="28"/>
          <w:lang w:val="ru-RU"/>
        </w:rPr>
      </w:pPr>
      <w:r w:rsidRPr="00B01620">
        <w:rPr>
          <w:rFonts w:ascii="Times New Roman" w:hAnsi="Times New Roman" w:cs="Times New Roman"/>
          <w:sz w:val="28"/>
          <w:szCs w:val="28"/>
        </w:rPr>
        <w:t xml:space="preserve">Furuta Y, Takahashi K, Kuno-Maekawa M et al. Mechanism of action of T-705 against influenza virus. // </w:t>
      </w:r>
      <w:proofErr w:type="spellStart"/>
      <w:r w:rsidRPr="00B01620">
        <w:rPr>
          <w:rFonts w:ascii="Times New Roman" w:hAnsi="Times New Roman" w:cs="Times New Roman"/>
          <w:sz w:val="28"/>
          <w:szCs w:val="28"/>
        </w:rPr>
        <w:t>Antimicrob</w:t>
      </w:r>
      <w:proofErr w:type="spellEnd"/>
      <w:r w:rsidRPr="00B01620">
        <w:rPr>
          <w:rFonts w:ascii="Times New Roman" w:hAnsi="Times New Roman" w:cs="Times New Roman"/>
          <w:sz w:val="28"/>
          <w:szCs w:val="28"/>
        </w:rPr>
        <w:t xml:space="preserve"> Agents </w:t>
      </w:r>
      <w:proofErr w:type="spellStart"/>
      <w:r w:rsidR="00F44E16">
        <w:rPr>
          <w:rFonts w:ascii="Times New Roman" w:hAnsi="Times New Roman" w:cs="Times New Roman"/>
          <w:sz w:val="28"/>
          <w:szCs w:val="28"/>
        </w:rPr>
        <w:t>Chemother</w:t>
      </w:r>
      <w:proofErr w:type="spellEnd"/>
      <w:r w:rsidRPr="00B01620">
        <w:rPr>
          <w:rFonts w:ascii="Times New Roman" w:hAnsi="Times New Roman" w:cs="Times New Roman"/>
          <w:sz w:val="28"/>
          <w:szCs w:val="28"/>
        </w:rPr>
        <w:t xml:space="preserve">, - 2005.-Vol. 49, №4.-P. 981–986. </w:t>
      </w:r>
      <w:r w:rsidR="00D95017" w:rsidRPr="00D95017">
        <w:rPr>
          <w:rFonts w:ascii="Times New Roman" w:hAnsi="Times New Roman" w:cs="Times New Roman"/>
          <w:sz w:val="28"/>
          <w:szCs w:val="28"/>
          <w:lang w:val="ru-RU"/>
        </w:rPr>
        <w:t> DOI: </w:t>
      </w:r>
      <w:hyperlink r:id="rId149" w:tgtFrame="_blank" w:history="1">
        <w:r w:rsidR="00D95017" w:rsidRPr="00D95017">
          <w:rPr>
            <w:rStyle w:val="a5"/>
            <w:rFonts w:ascii="Times New Roman" w:hAnsi="Times New Roman" w:cs="Times New Roman"/>
            <w:sz w:val="28"/>
            <w:szCs w:val="28"/>
            <w:lang w:val="ru-RU"/>
          </w:rPr>
          <w:t>10.1128/AAC.49.3.981-986.2005</w:t>
        </w:r>
      </w:hyperlink>
      <w:r w:rsidR="00D95017">
        <w:rPr>
          <w:rFonts w:ascii="Times New Roman" w:hAnsi="Times New Roman" w:cs="Times New Roman"/>
          <w:sz w:val="28"/>
          <w:szCs w:val="28"/>
          <w:lang w:val="en-US"/>
        </w:rPr>
        <w:t>.</w:t>
      </w:r>
    </w:p>
    <w:p w14:paraId="4F7531A8" w14:textId="161ECB5F" w:rsidR="00226539" w:rsidRPr="00D95017" w:rsidRDefault="00853685" w:rsidP="00D95017">
      <w:pPr>
        <w:numPr>
          <w:ilvl w:val="0"/>
          <w:numId w:val="7"/>
        </w:numPr>
        <w:spacing w:after="0" w:line="240" w:lineRule="auto"/>
        <w:ind w:left="0" w:firstLine="0"/>
        <w:jc w:val="both"/>
        <w:rPr>
          <w:rFonts w:ascii="Times New Roman" w:hAnsi="Times New Roman" w:cs="Times New Roman"/>
          <w:sz w:val="28"/>
          <w:szCs w:val="28"/>
          <w:lang w:val="en-US"/>
        </w:rPr>
      </w:pPr>
      <w:r w:rsidRPr="00B01620">
        <w:rPr>
          <w:rFonts w:ascii="Times New Roman" w:hAnsi="Times New Roman" w:cs="Times New Roman"/>
          <w:sz w:val="28"/>
          <w:szCs w:val="28"/>
        </w:rPr>
        <w:t xml:space="preserve">R.B. MC </w:t>
      </w:r>
      <w:proofErr w:type="spellStart"/>
      <w:r w:rsidRPr="00B01620">
        <w:rPr>
          <w:rFonts w:ascii="Times New Roman" w:hAnsi="Times New Roman" w:cs="Times New Roman"/>
          <w:sz w:val="28"/>
          <w:szCs w:val="28"/>
        </w:rPr>
        <w:t>Feedo</w:t>
      </w:r>
      <w:proofErr w:type="spellEnd"/>
      <w:r w:rsidRPr="00B01620">
        <w:rPr>
          <w:rFonts w:ascii="Times New Roman" w:hAnsi="Times New Roman" w:cs="Times New Roman"/>
          <w:sz w:val="28"/>
          <w:szCs w:val="28"/>
        </w:rPr>
        <w:t>, MPH, FACPM, FAAC COVID-19: Therapeutics and interventions currently under consideration. // Disease-a-Month, -2020/- Vol.66. -P.33-39.</w:t>
      </w:r>
      <w:r w:rsidR="00D95017" w:rsidRPr="00D95017">
        <w:rPr>
          <w:rFonts w:ascii="Times New Roman" w:hAnsi="Times New Roman" w:cs="Times New Roman"/>
          <w:sz w:val="28"/>
          <w:szCs w:val="28"/>
          <w:lang w:val="en-US"/>
        </w:rPr>
        <w:t>DOI: </w:t>
      </w:r>
      <w:hyperlink r:id="rId150" w:tgtFrame="_blank" w:history="1">
        <w:r w:rsidR="00D95017" w:rsidRPr="00D95017">
          <w:rPr>
            <w:rStyle w:val="a5"/>
            <w:rFonts w:ascii="Times New Roman" w:hAnsi="Times New Roman" w:cs="Times New Roman"/>
            <w:sz w:val="28"/>
            <w:szCs w:val="28"/>
            <w:lang w:val="en-US"/>
          </w:rPr>
          <w:t>10.1016/j.disamonth.2020.101058</w:t>
        </w:r>
      </w:hyperlink>
      <w:r w:rsidR="00D95017">
        <w:rPr>
          <w:rFonts w:ascii="Times New Roman" w:hAnsi="Times New Roman" w:cs="Times New Roman"/>
          <w:sz w:val="28"/>
          <w:szCs w:val="28"/>
        </w:rPr>
        <w:t xml:space="preserve">. </w:t>
      </w:r>
    </w:p>
    <w:p w14:paraId="5DFEEADF" w14:textId="6164EBFD" w:rsidR="00226539" w:rsidRPr="00266601" w:rsidRDefault="00853685" w:rsidP="00266601">
      <w:pPr>
        <w:numPr>
          <w:ilvl w:val="0"/>
          <w:numId w:val="7"/>
        </w:numPr>
        <w:spacing w:after="0" w:line="240" w:lineRule="auto"/>
        <w:ind w:left="0" w:firstLine="0"/>
        <w:jc w:val="both"/>
        <w:rPr>
          <w:rFonts w:ascii="Times New Roman" w:hAnsi="Times New Roman" w:cs="Times New Roman"/>
          <w:sz w:val="28"/>
          <w:szCs w:val="28"/>
          <w:lang w:val="en-US"/>
        </w:rPr>
      </w:pPr>
      <w:r w:rsidRPr="00B01620">
        <w:rPr>
          <w:rFonts w:ascii="Times New Roman" w:hAnsi="Times New Roman" w:cs="Times New Roman"/>
          <w:sz w:val="28"/>
          <w:szCs w:val="28"/>
        </w:rPr>
        <w:t xml:space="preserve"> James M. Sanders, PhD, PharmD; Marguerite L. </w:t>
      </w:r>
      <w:proofErr w:type="spellStart"/>
      <w:r w:rsidRPr="00B01620">
        <w:rPr>
          <w:rFonts w:ascii="Times New Roman" w:hAnsi="Times New Roman" w:cs="Times New Roman"/>
          <w:sz w:val="28"/>
          <w:szCs w:val="28"/>
        </w:rPr>
        <w:t>Monogue</w:t>
      </w:r>
      <w:proofErr w:type="spellEnd"/>
      <w:r w:rsidRPr="00B01620">
        <w:rPr>
          <w:rFonts w:ascii="Times New Roman" w:hAnsi="Times New Roman" w:cs="Times New Roman"/>
          <w:sz w:val="28"/>
          <w:szCs w:val="28"/>
        </w:rPr>
        <w:t>, PharmD; Tomasz Z. Jodlowski, PharmD; James B. Cutrell, MD. Pharmacologic Treatments for Coronavirus Disease 2019 (COVID-19)// Clinical Review &amp; Education, -2020 – Vol. 3. -P.1824-1836.</w:t>
      </w:r>
      <w:r w:rsidR="00266601" w:rsidRPr="00266601">
        <w:rPr>
          <w:rFonts w:ascii="Times New Roman" w:hAnsi="Times New Roman" w:cs="Times New Roman"/>
          <w:sz w:val="28"/>
          <w:szCs w:val="28"/>
          <w:lang w:val="en-US"/>
        </w:rPr>
        <w:t> </w:t>
      </w:r>
      <w:r w:rsidR="00266601" w:rsidRPr="00266601">
        <w:rPr>
          <w:rFonts w:ascii="Times New Roman" w:hAnsi="Times New Roman" w:cs="Times New Roman"/>
          <w:sz w:val="28"/>
          <w:szCs w:val="28"/>
          <w:lang w:val="ru-RU"/>
        </w:rPr>
        <w:t>DOI: </w:t>
      </w:r>
      <w:hyperlink r:id="rId151" w:tgtFrame="_blank" w:history="1">
        <w:r w:rsidR="00266601" w:rsidRPr="00266601">
          <w:rPr>
            <w:rStyle w:val="a5"/>
            <w:rFonts w:ascii="Times New Roman" w:hAnsi="Times New Roman" w:cs="Times New Roman"/>
            <w:sz w:val="28"/>
            <w:szCs w:val="28"/>
            <w:lang w:val="ru-RU"/>
          </w:rPr>
          <w:t>10.1001/jama.2020.6019</w:t>
        </w:r>
      </w:hyperlink>
      <w:r w:rsidR="00266601">
        <w:rPr>
          <w:rFonts w:ascii="Times New Roman" w:hAnsi="Times New Roman" w:cs="Times New Roman"/>
          <w:sz w:val="28"/>
          <w:szCs w:val="28"/>
          <w:lang w:val="en-US"/>
        </w:rPr>
        <w:t xml:space="preserve">. </w:t>
      </w:r>
    </w:p>
    <w:p w14:paraId="17855BFC" w14:textId="674E2D9C"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 xml:space="preserve"> J. Grein, N. </w:t>
      </w:r>
      <w:proofErr w:type="spellStart"/>
      <w:r w:rsidRPr="00B01620">
        <w:rPr>
          <w:rFonts w:ascii="Times New Roman" w:hAnsi="Times New Roman" w:cs="Times New Roman"/>
          <w:sz w:val="28"/>
          <w:szCs w:val="28"/>
        </w:rPr>
        <w:t>Ohmagari</w:t>
      </w:r>
      <w:proofErr w:type="spellEnd"/>
      <w:r w:rsidRPr="00B01620">
        <w:rPr>
          <w:rFonts w:ascii="Times New Roman" w:hAnsi="Times New Roman" w:cs="Times New Roman"/>
          <w:sz w:val="28"/>
          <w:szCs w:val="28"/>
        </w:rPr>
        <w:t xml:space="preserve">, D. Shin, G. Diaz, E. Asperges, A. Castagna, T. Feldt, G. Green, M.L. Green, F.-X. Lescure, E. Nicastri, R. Oda, K. </w:t>
      </w:r>
      <w:proofErr w:type="spellStart"/>
      <w:r w:rsidRPr="00B01620">
        <w:rPr>
          <w:rFonts w:ascii="Times New Roman" w:hAnsi="Times New Roman" w:cs="Times New Roman"/>
          <w:sz w:val="28"/>
          <w:szCs w:val="28"/>
        </w:rPr>
        <w:t>Yo</w:t>
      </w:r>
      <w:proofErr w:type="spellEnd"/>
      <w:r w:rsidRPr="00B01620">
        <w:rPr>
          <w:rFonts w:ascii="Times New Roman" w:hAnsi="Times New Roman" w:cs="Times New Roman"/>
          <w:sz w:val="28"/>
          <w:szCs w:val="28"/>
        </w:rPr>
        <w:t xml:space="preserve">, E. Quiros-Roldan, A. </w:t>
      </w:r>
      <w:proofErr w:type="spellStart"/>
      <w:r w:rsidRPr="00B01620">
        <w:rPr>
          <w:rFonts w:ascii="Times New Roman" w:hAnsi="Times New Roman" w:cs="Times New Roman"/>
          <w:sz w:val="28"/>
          <w:szCs w:val="28"/>
        </w:rPr>
        <w:t>Studemeister</w:t>
      </w:r>
      <w:proofErr w:type="spellEnd"/>
      <w:r w:rsidRPr="00B01620">
        <w:rPr>
          <w:rFonts w:ascii="Times New Roman" w:hAnsi="Times New Roman" w:cs="Times New Roman"/>
          <w:sz w:val="28"/>
          <w:szCs w:val="28"/>
        </w:rPr>
        <w:t xml:space="preserve">, J. Redinski, S. Ahmed, J. Bernett, D. Chelliah, D. Chen, S. </w:t>
      </w:r>
      <w:proofErr w:type="spellStart"/>
      <w:r w:rsidRPr="00B01620">
        <w:rPr>
          <w:rFonts w:ascii="Times New Roman" w:hAnsi="Times New Roman" w:cs="Times New Roman"/>
          <w:sz w:val="28"/>
          <w:szCs w:val="28"/>
        </w:rPr>
        <w:t>Chihara</w:t>
      </w:r>
      <w:proofErr w:type="spellEnd"/>
      <w:r w:rsidRPr="00B01620">
        <w:rPr>
          <w:rFonts w:ascii="Times New Roman" w:hAnsi="Times New Roman" w:cs="Times New Roman"/>
          <w:sz w:val="28"/>
          <w:szCs w:val="28"/>
        </w:rPr>
        <w:t xml:space="preserve">, S.H. Cohen, J. Cunningham, A. </w:t>
      </w:r>
      <w:proofErr w:type="spellStart"/>
      <w:r w:rsidRPr="00B01620">
        <w:rPr>
          <w:rFonts w:ascii="Times New Roman" w:hAnsi="Times New Roman" w:cs="Times New Roman"/>
          <w:sz w:val="28"/>
          <w:szCs w:val="28"/>
        </w:rPr>
        <w:t>D’Arminio</w:t>
      </w:r>
      <w:proofErr w:type="spellEnd"/>
      <w:r w:rsidRPr="00B01620">
        <w:rPr>
          <w:rFonts w:ascii="Times New Roman" w:hAnsi="Times New Roman" w:cs="Times New Roman"/>
          <w:sz w:val="28"/>
          <w:szCs w:val="28"/>
        </w:rPr>
        <w:t xml:space="preserve"> Monforte, S. Ismail, H. Kato, G. Lapadula, E. </w:t>
      </w:r>
      <w:proofErr w:type="spellStart"/>
      <w:r w:rsidRPr="00B01620">
        <w:rPr>
          <w:rFonts w:ascii="Times New Roman" w:hAnsi="Times New Roman" w:cs="Times New Roman"/>
          <w:sz w:val="28"/>
          <w:szCs w:val="28"/>
        </w:rPr>
        <w:t>L’Her</w:t>
      </w:r>
      <w:proofErr w:type="spellEnd"/>
      <w:r w:rsidRPr="00B01620">
        <w:rPr>
          <w:rFonts w:ascii="Times New Roman" w:hAnsi="Times New Roman" w:cs="Times New Roman"/>
          <w:sz w:val="28"/>
          <w:szCs w:val="28"/>
        </w:rPr>
        <w:t xml:space="preserve">, T. Maeno, S. Majumder, M. Massari, M. Mora-Rillo, Y. Mutoh, D. Nguyen, E. Verweij, A. </w:t>
      </w:r>
      <w:proofErr w:type="spellStart"/>
      <w:r w:rsidRPr="00B01620">
        <w:rPr>
          <w:rFonts w:ascii="Times New Roman" w:hAnsi="Times New Roman" w:cs="Times New Roman"/>
          <w:sz w:val="28"/>
          <w:szCs w:val="28"/>
        </w:rPr>
        <w:t>Zoufaly</w:t>
      </w:r>
      <w:proofErr w:type="spellEnd"/>
      <w:r w:rsidRPr="00B01620">
        <w:rPr>
          <w:rFonts w:ascii="Times New Roman" w:hAnsi="Times New Roman" w:cs="Times New Roman"/>
          <w:sz w:val="28"/>
          <w:szCs w:val="28"/>
        </w:rPr>
        <w:t xml:space="preserve">, A.O. </w:t>
      </w:r>
      <w:proofErr w:type="spellStart"/>
      <w:r w:rsidRPr="00B01620">
        <w:rPr>
          <w:rFonts w:ascii="Times New Roman" w:hAnsi="Times New Roman" w:cs="Times New Roman"/>
          <w:sz w:val="28"/>
          <w:szCs w:val="28"/>
        </w:rPr>
        <w:t>Osinusi</w:t>
      </w:r>
      <w:proofErr w:type="spellEnd"/>
      <w:r w:rsidRPr="00B01620">
        <w:rPr>
          <w:rFonts w:ascii="Times New Roman" w:hAnsi="Times New Roman" w:cs="Times New Roman"/>
          <w:sz w:val="28"/>
          <w:szCs w:val="28"/>
        </w:rPr>
        <w:t xml:space="preserve">, A. </w:t>
      </w:r>
      <w:proofErr w:type="spellStart"/>
      <w:r w:rsidRPr="00B01620">
        <w:rPr>
          <w:rFonts w:ascii="Times New Roman" w:hAnsi="Times New Roman" w:cs="Times New Roman"/>
          <w:sz w:val="28"/>
          <w:szCs w:val="28"/>
        </w:rPr>
        <w:t>DeZure</w:t>
      </w:r>
      <w:proofErr w:type="spellEnd"/>
      <w:r w:rsidRPr="00B01620">
        <w:rPr>
          <w:rFonts w:ascii="Times New Roman" w:hAnsi="Times New Roman" w:cs="Times New Roman"/>
          <w:sz w:val="28"/>
          <w:szCs w:val="28"/>
        </w:rPr>
        <w:t xml:space="preserve">, Y. Zhao, L. Zhong, A.  Compassionate Use of Remdesivir for Patients with Severe Covid-19. // The New England journal of medicine, -2021. - Vol. 2.  -P. 2327-2336. </w:t>
      </w:r>
      <w:r w:rsidR="0019673C" w:rsidRPr="0019673C">
        <w:rPr>
          <w:rFonts w:ascii="Times New Roman" w:hAnsi="Times New Roman" w:cs="Times New Roman"/>
          <w:sz w:val="28"/>
          <w:szCs w:val="28"/>
        </w:rPr>
        <w:t>DOI: 10.1056/NEJMoa2007016</w:t>
      </w:r>
      <w:r w:rsidR="0019673C">
        <w:rPr>
          <w:rFonts w:ascii="Times New Roman" w:hAnsi="Times New Roman" w:cs="Times New Roman"/>
          <w:sz w:val="28"/>
          <w:szCs w:val="28"/>
        </w:rPr>
        <w:t xml:space="preserve">. </w:t>
      </w:r>
      <w:r w:rsidR="0019673C">
        <w:rPr>
          <w:rFonts w:ascii="Times New Roman" w:hAnsi="Times New Roman" w:cs="Times New Roman"/>
          <w:b/>
          <w:bCs/>
          <w:sz w:val="28"/>
          <w:szCs w:val="28"/>
        </w:rPr>
        <w:t xml:space="preserve"> </w:t>
      </w:r>
    </w:p>
    <w:p w14:paraId="72268665"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lastRenderedPageBreak/>
        <w:t xml:space="preserve"> Warren TK, Jordan R, Lo MK, Ray AS, Mackman RL, Soloveva V, et al. Therapeutic efficacy of the small molecule GS-5734 against Ebola virus in rhesus monkeys. // Nature, - 2016.-Vol4. – P.531:381–5. doi:10.1038/nature17180.</w:t>
      </w:r>
    </w:p>
    <w:p w14:paraId="4AFEC534"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proofErr w:type="spellStart"/>
      <w:r w:rsidRPr="00B01620">
        <w:rPr>
          <w:rFonts w:ascii="Times New Roman" w:hAnsi="Times New Roman" w:cs="Times New Roman"/>
          <w:sz w:val="28"/>
          <w:szCs w:val="28"/>
        </w:rPr>
        <w:t>Tchesnokov</w:t>
      </w:r>
      <w:proofErr w:type="spellEnd"/>
      <w:r w:rsidRPr="00B01620">
        <w:rPr>
          <w:rFonts w:ascii="Times New Roman" w:hAnsi="Times New Roman" w:cs="Times New Roman"/>
          <w:sz w:val="28"/>
          <w:szCs w:val="28"/>
        </w:rPr>
        <w:t xml:space="preserve"> EP, Feng JY, Porter DP, Götte M. Mechanism of inhibition of Ebola virus RNA-dependent RNA polymerase by remdesivir. // Viruses, – 2019.-Vol.11.-P. 326-333. doi:10.3390/v1104032648. </w:t>
      </w:r>
    </w:p>
    <w:p w14:paraId="2AE0471D"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rPr>
        <w:t>Agostini ML, Andres E, Sims AC, Graham RL, Sheahan TP, Lu X, et al. Coronavirus susceptibility to the antiviral remdesivir (GS-5734) is mediated by the viral polymerase and the proofreading exoribonuclease. // mBio, - 2018.-Vol. 9-. P. 2018-2021. doi:10.1128/mBio.00221-18.</w:t>
      </w:r>
    </w:p>
    <w:p w14:paraId="7914FA99" w14:textId="77777777" w:rsidR="00226539" w:rsidRPr="00B01620" w:rsidRDefault="00853685" w:rsidP="00524D6E">
      <w:pPr>
        <w:numPr>
          <w:ilvl w:val="0"/>
          <w:numId w:val="7"/>
        </w:numPr>
        <w:spacing w:after="0" w:line="240" w:lineRule="auto"/>
        <w:ind w:left="0" w:firstLine="0"/>
        <w:jc w:val="both"/>
        <w:rPr>
          <w:rFonts w:ascii="Times New Roman" w:hAnsi="Times New Roman" w:cs="Times New Roman"/>
          <w:sz w:val="28"/>
          <w:szCs w:val="28"/>
        </w:rPr>
      </w:pPr>
      <w:r w:rsidRPr="00B01620">
        <w:rPr>
          <w:rFonts w:ascii="Times New Roman" w:hAnsi="Times New Roman" w:cs="Times New Roman"/>
          <w:sz w:val="28"/>
          <w:szCs w:val="28"/>
          <w:lang w:val="ru-RU"/>
        </w:rPr>
        <w:t xml:space="preserve">Хабриев Р.У. Руководство по экспериментальному (доклиническому) изучению новых фармакологических веществ/. </w:t>
      </w:r>
      <w:proofErr w:type="spellStart"/>
      <w:r w:rsidRPr="00B01620">
        <w:rPr>
          <w:rFonts w:ascii="Times New Roman" w:hAnsi="Times New Roman" w:cs="Times New Roman"/>
          <w:sz w:val="28"/>
          <w:szCs w:val="28"/>
        </w:rPr>
        <w:t>Изд</w:t>
      </w:r>
      <w:proofErr w:type="spellEnd"/>
      <w:r w:rsidRPr="00B01620">
        <w:rPr>
          <w:rFonts w:ascii="Times New Roman" w:hAnsi="Times New Roman" w:cs="Times New Roman"/>
          <w:sz w:val="28"/>
          <w:szCs w:val="28"/>
        </w:rPr>
        <w:t xml:space="preserve">. -2-е.- М.: </w:t>
      </w:r>
      <w:proofErr w:type="spellStart"/>
      <w:r w:rsidRPr="00B01620">
        <w:rPr>
          <w:rFonts w:ascii="Times New Roman" w:hAnsi="Times New Roman" w:cs="Times New Roman"/>
          <w:sz w:val="28"/>
          <w:szCs w:val="28"/>
        </w:rPr>
        <w:t>Медицина</w:t>
      </w:r>
      <w:proofErr w:type="spellEnd"/>
      <w:r w:rsidRPr="00B01620">
        <w:rPr>
          <w:rFonts w:ascii="Times New Roman" w:hAnsi="Times New Roman" w:cs="Times New Roman"/>
          <w:sz w:val="28"/>
          <w:szCs w:val="28"/>
        </w:rPr>
        <w:t xml:space="preserve">; 2005. – 127с. </w:t>
      </w:r>
    </w:p>
    <w:p w14:paraId="41A43B73" w14:textId="1151D926" w:rsidR="002C7733" w:rsidRPr="002C7733" w:rsidRDefault="002C7733" w:rsidP="002C7733">
      <w:pPr>
        <w:numPr>
          <w:ilvl w:val="0"/>
          <w:numId w:val="7"/>
        </w:numPr>
        <w:spacing w:after="0" w:line="240" w:lineRule="auto"/>
        <w:ind w:left="0" w:firstLine="0"/>
        <w:jc w:val="both"/>
        <w:rPr>
          <w:rFonts w:ascii="Times New Roman" w:hAnsi="Times New Roman" w:cs="Times New Roman"/>
          <w:sz w:val="28"/>
          <w:szCs w:val="28"/>
          <w:lang w:val="en-US"/>
        </w:rPr>
      </w:pPr>
      <w:bookmarkStart w:id="56" w:name="_Hlk201050210"/>
      <w:r w:rsidRPr="002C7733">
        <w:rPr>
          <w:rFonts w:ascii="Times New Roman" w:hAnsi="Times New Roman" w:cs="Times New Roman"/>
          <w:sz w:val="28"/>
          <w:szCs w:val="28"/>
        </w:rPr>
        <w:t xml:space="preserve">Wu X., et al. Single-domain antibodies against SARS-CoV-2 and evaluation in a Vero E6 cytopathic effect–based neutralization assay // Cell Host &amp; Microbe. – 2020. – Vol. 27. – P. 1–123. – </w:t>
      </w:r>
      <w:proofErr w:type="spellStart"/>
      <w:r w:rsidRPr="002C7733">
        <w:rPr>
          <w:rFonts w:ascii="Times New Roman" w:hAnsi="Times New Roman" w:cs="Times New Roman"/>
          <w:sz w:val="28"/>
          <w:szCs w:val="28"/>
        </w:rPr>
        <w:t>doi</w:t>
      </w:r>
      <w:proofErr w:type="spellEnd"/>
      <w:r w:rsidRPr="002C7733">
        <w:rPr>
          <w:rFonts w:ascii="Times New Roman" w:hAnsi="Times New Roman" w:cs="Times New Roman"/>
          <w:sz w:val="28"/>
          <w:szCs w:val="28"/>
        </w:rPr>
        <w:t xml:space="preserve">: </w:t>
      </w:r>
      <w:hyperlink r:id="rId152" w:history="1">
        <w:r w:rsidRPr="002C7733">
          <w:rPr>
            <w:rStyle w:val="a5"/>
            <w:rFonts w:ascii="Times New Roman" w:hAnsi="Times New Roman" w:cs="Times New Roman"/>
            <w:sz w:val="28"/>
            <w:szCs w:val="28"/>
            <w:lang w:val="en-US"/>
          </w:rPr>
          <w:t>https://doi.org/10.1016/j.chom.2020.04.023</w:t>
        </w:r>
      </w:hyperlink>
      <w:r w:rsidRPr="002C773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2C7733">
        <w:rPr>
          <w:rFonts w:ascii="Times New Roman" w:hAnsi="Times New Roman" w:cs="Times New Roman"/>
          <w:sz w:val="28"/>
          <w:szCs w:val="28"/>
        </w:rPr>
        <w:t xml:space="preserve">. </w:t>
      </w:r>
    </w:p>
    <w:p w14:paraId="20126D9B" w14:textId="00513EA4" w:rsidR="003B78A6" w:rsidRDefault="003B78A6" w:rsidP="00524D6E">
      <w:pPr>
        <w:numPr>
          <w:ilvl w:val="0"/>
          <w:numId w:val="7"/>
        </w:numPr>
        <w:spacing w:after="0" w:line="240" w:lineRule="auto"/>
        <w:ind w:left="0" w:firstLine="0"/>
        <w:jc w:val="both"/>
        <w:rPr>
          <w:rFonts w:ascii="Times New Roman" w:hAnsi="Times New Roman" w:cs="Times New Roman"/>
          <w:sz w:val="28"/>
          <w:szCs w:val="28"/>
        </w:rPr>
      </w:pPr>
      <w:bookmarkStart w:id="57" w:name="_Hlk201056092"/>
      <w:r w:rsidRPr="003B78A6">
        <w:rPr>
          <w:rFonts w:ascii="Times New Roman" w:hAnsi="Times New Roman" w:cs="Times New Roman"/>
          <w:sz w:val="28"/>
          <w:szCs w:val="28"/>
        </w:rPr>
        <w:t xml:space="preserve">Barreto-Vieira D.F., da Silva M.A.N., Garcia C.C., Miranda M.D., Matos A.D.R., Caetano B.C., Resende P.C., Motta F.C., Siqueira M.M., Girard-Dias W., </w:t>
      </w:r>
      <w:proofErr w:type="spellStart"/>
      <w:r w:rsidRPr="003B78A6">
        <w:rPr>
          <w:rFonts w:ascii="Times New Roman" w:hAnsi="Times New Roman" w:cs="Times New Roman"/>
          <w:sz w:val="28"/>
          <w:szCs w:val="28"/>
        </w:rPr>
        <w:t>Archanjo</w:t>
      </w:r>
      <w:proofErr w:type="spellEnd"/>
      <w:r w:rsidRPr="003B78A6">
        <w:rPr>
          <w:rFonts w:ascii="Times New Roman" w:hAnsi="Times New Roman" w:cs="Times New Roman"/>
          <w:sz w:val="28"/>
          <w:szCs w:val="28"/>
        </w:rPr>
        <w:t xml:space="preserve"> B.S., Barth O.M. Morphology and morphogenesis of SARS-CoV-2 in Vero-E6 cells // </w:t>
      </w:r>
      <w:proofErr w:type="spellStart"/>
      <w:r w:rsidRPr="003B78A6">
        <w:rPr>
          <w:rFonts w:ascii="Times New Roman" w:hAnsi="Times New Roman" w:cs="Times New Roman"/>
          <w:sz w:val="28"/>
          <w:szCs w:val="28"/>
        </w:rPr>
        <w:t>Memórias</w:t>
      </w:r>
      <w:proofErr w:type="spellEnd"/>
      <w:r w:rsidRPr="003B78A6">
        <w:rPr>
          <w:rFonts w:ascii="Times New Roman" w:hAnsi="Times New Roman" w:cs="Times New Roman"/>
          <w:sz w:val="28"/>
          <w:szCs w:val="28"/>
        </w:rPr>
        <w:t xml:space="preserve"> do Instituto Oswaldo Cruz. – 2021. – Vol. 116. – Article e200443. – DOI: </w:t>
      </w:r>
      <w:hyperlink r:id="rId153" w:history="1">
        <w:r w:rsidRPr="003B78A6">
          <w:rPr>
            <w:rStyle w:val="a5"/>
            <w:rFonts w:ascii="Times New Roman" w:hAnsi="Times New Roman" w:cs="Times New Roman"/>
            <w:sz w:val="28"/>
            <w:szCs w:val="28"/>
            <w:lang w:val="en-US"/>
          </w:rPr>
          <w:t>https://doi.org/10.1590/0074-02760200443</w:t>
        </w:r>
      </w:hyperlink>
      <w:r w:rsidRPr="003B78A6">
        <w:rPr>
          <w:rFonts w:ascii="Times New Roman" w:hAnsi="Times New Roman" w:cs="Times New Roman"/>
          <w:sz w:val="28"/>
          <w:szCs w:val="28"/>
          <w:lang w:val="en-US"/>
        </w:rPr>
        <w:t xml:space="preserve">. </w:t>
      </w:r>
    </w:p>
    <w:bookmarkEnd w:id="57"/>
    <w:p w14:paraId="7A3E2DA5" w14:textId="3501EB0A" w:rsidR="00B467D3" w:rsidRDefault="00B467D3" w:rsidP="00524D6E">
      <w:pPr>
        <w:numPr>
          <w:ilvl w:val="0"/>
          <w:numId w:val="7"/>
        </w:numPr>
        <w:spacing w:after="0" w:line="240" w:lineRule="auto"/>
        <w:ind w:left="0" w:firstLine="0"/>
        <w:jc w:val="both"/>
        <w:rPr>
          <w:rFonts w:ascii="Times New Roman" w:hAnsi="Times New Roman" w:cs="Times New Roman"/>
          <w:sz w:val="28"/>
          <w:szCs w:val="28"/>
        </w:rPr>
      </w:pPr>
      <w:r w:rsidRPr="00B467D3">
        <w:rPr>
          <w:rFonts w:ascii="Times New Roman" w:hAnsi="Times New Roman" w:cs="Times New Roman"/>
          <w:sz w:val="28"/>
          <w:szCs w:val="28"/>
        </w:rPr>
        <w:t xml:space="preserve">Kinoshita H., Yamamoto T., Kuroda Y., et al. Improved efficacy of SARS-CoV-2 isolation from COVID-19 clinical specimens using VeroE6 cells overexpressing TMPRSS2 and human ACE2 // Scientific Reports. – 2024. – Vol. 14. – P. 24–28. – DOI: </w:t>
      </w:r>
      <w:hyperlink r:id="rId154" w:tgtFrame="_new" w:history="1">
        <w:r w:rsidRPr="00B467D3">
          <w:rPr>
            <w:rStyle w:val="a5"/>
            <w:rFonts w:ascii="Times New Roman" w:hAnsi="Times New Roman" w:cs="Times New Roman"/>
            <w:sz w:val="28"/>
            <w:szCs w:val="28"/>
            <w:lang w:val="en-US"/>
          </w:rPr>
          <w:t>https://doi.org/10.1038/s41598-024-75038-4</w:t>
        </w:r>
      </w:hyperlink>
      <w:r>
        <w:rPr>
          <w:rFonts w:ascii="Times New Roman" w:hAnsi="Times New Roman" w:cs="Times New Roman"/>
          <w:sz w:val="28"/>
          <w:szCs w:val="28"/>
          <w:lang w:val="en-US"/>
        </w:rPr>
        <w:t xml:space="preserve">. </w:t>
      </w:r>
    </w:p>
    <w:bookmarkEnd w:id="56"/>
    <w:p w14:paraId="06F8713F" w14:textId="7F49B941" w:rsidR="00CA3034" w:rsidRDefault="00CA3034" w:rsidP="00524D6E">
      <w:pPr>
        <w:numPr>
          <w:ilvl w:val="0"/>
          <w:numId w:val="7"/>
        </w:numPr>
        <w:spacing w:after="0" w:line="240" w:lineRule="auto"/>
        <w:ind w:left="0" w:firstLine="0"/>
        <w:jc w:val="both"/>
        <w:rPr>
          <w:rFonts w:ascii="Times New Roman" w:hAnsi="Times New Roman" w:cs="Times New Roman"/>
          <w:sz w:val="28"/>
          <w:szCs w:val="28"/>
        </w:rPr>
      </w:pPr>
      <w:proofErr w:type="spellStart"/>
      <w:r w:rsidRPr="00CA3034">
        <w:rPr>
          <w:rFonts w:ascii="Times New Roman" w:hAnsi="Times New Roman" w:cs="Times New Roman"/>
          <w:sz w:val="28"/>
          <w:szCs w:val="28"/>
        </w:rPr>
        <w:t>Aiewsakun</w:t>
      </w:r>
      <w:proofErr w:type="spellEnd"/>
      <w:r w:rsidRPr="00CA3034">
        <w:rPr>
          <w:rFonts w:ascii="Times New Roman" w:hAnsi="Times New Roman" w:cs="Times New Roman"/>
          <w:sz w:val="28"/>
          <w:szCs w:val="28"/>
        </w:rPr>
        <w:t xml:space="preserve"> P., </w:t>
      </w:r>
      <w:proofErr w:type="spellStart"/>
      <w:r w:rsidRPr="00CA3034">
        <w:rPr>
          <w:rFonts w:ascii="Times New Roman" w:hAnsi="Times New Roman" w:cs="Times New Roman"/>
          <w:sz w:val="28"/>
          <w:szCs w:val="28"/>
        </w:rPr>
        <w:t>Phumiphanjarphak</w:t>
      </w:r>
      <w:proofErr w:type="spellEnd"/>
      <w:r w:rsidRPr="00CA3034">
        <w:rPr>
          <w:rFonts w:ascii="Times New Roman" w:hAnsi="Times New Roman" w:cs="Times New Roman"/>
          <w:sz w:val="28"/>
          <w:szCs w:val="28"/>
        </w:rPr>
        <w:t xml:space="preserve"> W., </w:t>
      </w:r>
      <w:proofErr w:type="spellStart"/>
      <w:r w:rsidRPr="00CA3034">
        <w:rPr>
          <w:rFonts w:ascii="Times New Roman" w:hAnsi="Times New Roman" w:cs="Times New Roman"/>
          <w:sz w:val="28"/>
          <w:szCs w:val="28"/>
        </w:rPr>
        <w:t>Ludowyke</w:t>
      </w:r>
      <w:proofErr w:type="spellEnd"/>
      <w:r w:rsidRPr="00CA3034">
        <w:rPr>
          <w:rFonts w:ascii="Times New Roman" w:hAnsi="Times New Roman" w:cs="Times New Roman"/>
          <w:sz w:val="28"/>
          <w:szCs w:val="28"/>
        </w:rPr>
        <w:t xml:space="preserve"> N., </w:t>
      </w:r>
      <w:proofErr w:type="spellStart"/>
      <w:r w:rsidRPr="00CA3034">
        <w:rPr>
          <w:rFonts w:ascii="Times New Roman" w:hAnsi="Times New Roman" w:cs="Times New Roman"/>
          <w:sz w:val="28"/>
          <w:szCs w:val="28"/>
        </w:rPr>
        <w:t>Purwono</w:t>
      </w:r>
      <w:proofErr w:type="spellEnd"/>
      <w:r w:rsidRPr="00CA3034">
        <w:rPr>
          <w:rFonts w:ascii="Times New Roman" w:hAnsi="Times New Roman" w:cs="Times New Roman"/>
          <w:sz w:val="28"/>
          <w:szCs w:val="28"/>
        </w:rPr>
        <w:t xml:space="preserve"> P.B., </w:t>
      </w:r>
      <w:proofErr w:type="spellStart"/>
      <w:r w:rsidRPr="00CA3034">
        <w:rPr>
          <w:rFonts w:ascii="Times New Roman" w:hAnsi="Times New Roman" w:cs="Times New Roman"/>
          <w:sz w:val="28"/>
          <w:szCs w:val="28"/>
        </w:rPr>
        <w:t>Manopwisedjaroen</w:t>
      </w:r>
      <w:proofErr w:type="spellEnd"/>
      <w:r w:rsidRPr="00CA3034">
        <w:rPr>
          <w:rFonts w:ascii="Times New Roman" w:hAnsi="Times New Roman" w:cs="Times New Roman"/>
          <w:sz w:val="28"/>
          <w:szCs w:val="28"/>
        </w:rPr>
        <w:t xml:space="preserve"> S., </w:t>
      </w:r>
      <w:proofErr w:type="spellStart"/>
      <w:r w:rsidRPr="00CA3034">
        <w:rPr>
          <w:rFonts w:ascii="Times New Roman" w:hAnsi="Times New Roman" w:cs="Times New Roman"/>
          <w:sz w:val="28"/>
          <w:szCs w:val="28"/>
        </w:rPr>
        <w:t>Srisaowakarn</w:t>
      </w:r>
      <w:proofErr w:type="spellEnd"/>
      <w:r w:rsidRPr="00CA3034">
        <w:rPr>
          <w:rFonts w:ascii="Times New Roman" w:hAnsi="Times New Roman" w:cs="Times New Roman"/>
          <w:sz w:val="28"/>
          <w:szCs w:val="28"/>
        </w:rPr>
        <w:t xml:space="preserve"> C., </w:t>
      </w:r>
      <w:proofErr w:type="spellStart"/>
      <w:r w:rsidRPr="00CA3034">
        <w:rPr>
          <w:rFonts w:ascii="Times New Roman" w:hAnsi="Times New Roman" w:cs="Times New Roman"/>
          <w:sz w:val="28"/>
          <w:szCs w:val="28"/>
        </w:rPr>
        <w:t>Ekronarongchai</w:t>
      </w:r>
      <w:proofErr w:type="spellEnd"/>
      <w:r w:rsidRPr="00CA3034">
        <w:rPr>
          <w:rFonts w:ascii="Times New Roman" w:hAnsi="Times New Roman" w:cs="Times New Roman"/>
          <w:sz w:val="28"/>
          <w:szCs w:val="28"/>
        </w:rPr>
        <w:t xml:space="preserve"> S., </w:t>
      </w:r>
      <w:proofErr w:type="spellStart"/>
      <w:r w:rsidRPr="00CA3034">
        <w:rPr>
          <w:rFonts w:ascii="Times New Roman" w:hAnsi="Times New Roman" w:cs="Times New Roman"/>
          <w:sz w:val="28"/>
          <w:szCs w:val="28"/>
        </w:rPr>
        <w:t>Suksatu</w:t>
      </w:r>
      <w:proofErr w:type="spellEnd"/>
      <w:r w:rsidRPr="00CA3034">
        <w:rPr>
          <w:rFonts w:ascii="Times New Roman" w:hAnsi="Times New Roman" w:cs="Times New Roman"/>
          <w:sz w:val="28"/>
          <w:szCs w:val="28"/>
        </w:rPr>
        <w:t xml:space="preserve"> A., </w:t>
      </w:r>
      <w:proofErr w:type="spellStart"/>
      <w:r w:rsidRPr="00CA3034">
        <w:rPr>
          <w:rFonts w:ascii="Times New Roman" w:hAnsi="Times New Roman" w:cs="Times New Roman"/>
          <w:sz w:val="28"/>
          <w:szCs w:val="28"/>
        </w:rPr>
        <w:t>Yuvaniyama</w:t>
      </w:r>
      <w:proofErr w:type="spellEnd"/>
      <w:r w:rsidRPr="00CA3034">
        <w:rPr>
          <w:rFonts w:ascii="Times New Roman" w:hAnsi="Times New Roman" w:cs="Times New Roman"/>
          <w:sz w:val="28"/>
          <w:szCs w:val="28"/>
        </w:rPr>
        <w:t xml:space="preserve"> J., </w:t>
      </w:r>
      <w:proofErr w:type="spellStart"/>
      <w:r w:rsidRPr="00CA3034">
        <w:rPr>
          <w:rFonts w:ascii="Times New Roman" w:hAnsi="Times New Roman" w:cs="Times New Roman"/>
          <w:sz w:val="28"/>
          <w:szCs w:val="28"/>
        </w:rPr>
        <w:t>Thitithanyanont</w:t>
      </w:r>
      <w:proofErr w:type="spellEnd"/>
      <w:r w:rsidRPr="00CA3034">
        <w:rPr>
          <w:rFonts w:ascii="Times New Roman" w:hAnsi="Times New Roman" w:cs="Times New Roman"/>
          <w:sz w:val="28"/>
          <w:szCs w:val="28"/>
        </w:rPr>
        <w:t xml:space="preserve"> A. Systematic exploration of SARS-CoV-2 adaptation to Vero E6, Vero E6/TMPRSS2, and Calu-3 cells // Genome Biology and Evolution. – 2023. – Vol. 15. – Article evad035. – DOI: </w:t>
      </w:r>
      <w:hyperlink r:id="rId155" w:tgtFrame="_new" w:history="1">
        <w:r w:rsidRPr="00CA3034">
          <w:rPr>
            <w:rStyle w:val="a5"/>
            <w:rFonts w:ascii="Times New Roman" w:hAnsi="Times New Roman" w:cs="Times New Roman"/>
            <w:sz w:val="28"/>
            <w:szCs w:val="28"/>
          </w:rPr>
          <w:t>https://doi.org/10.1093/gbe/evad035</w:t>
        </w:r>
      </w:hyperlink>
      <w:r w:rsidRPr="00CA3034">
        <w:rPr>
          <w:rFonts w:ascii="Times New Roman" w:hAnsi="Times New Roman" w:cs="Times New Roman"/>
          <w:sz w:val="28"/>
          <w:szCs w:val="28"/>
        </w:rPr>
        <w:t>.</w:t>
      </w:r>
      <w:r w:rsidRPr="00CA3034">
        <w:rPr>
          <w:rFonts w:ascii="Times New Roman" w:hAnsi="Times New Roman" w:cs="Times New Roman"/>
          <w:sz w:val="28"/>
          <w:szCs w:val="28"/>
          <w:lang w:val="en-US"/>
        </w:rPr>
        <w:t xml:space="preserve"> </w:t>
      </w:r>
    </w:p>
    <w:p w14:paraId="35B5FDE8" w14:textId="7C5FBF32" w:rsidR="00ED4DD9" w:rsidRPr="00CF7C90" w:rsidRDefault="00853685" w:rsidP="00CF7C90">
      <w:pPr>
        <w:numPr>
          <w:ilvl w:val="0"/>
          <w:numId w:val="7"/>
        </w:numPr>
        <w:spacing w:after="0" w:line="240" w:lineRule="auto"/>
        <w:ind w:left="0" w:firstLine="0"/>
        <w:jc w:val="both"/>
        <w:rPr>
          <w:rFonts w:ascii="Times New Roman" w:hAnsi="Times New Roman" w:cs="Times New Roman"/>
          <w:sz w:val="28"/>
          <w:szCs w:val="28"/>
          <w:lang w:val="ru-RU"/>
        </w:rPr>
      </w:pPr>
      <w:proofErr w:type="spellStart"/>
      <w:r w:rsidRPr="00732044">
        <w:rPr>
          <w:rFonts w:ascii="Times New Roman" w:hAnsi="Times New Roman" w:cs="Times New Roman"/>
          <w:sz w:val="28"/>
          <w:szCs w:val="28"/>
        </w:rPr>
        <w:t>Tschulena</w:t>
      </w:r>
      <w:proofErr w:type="spellEnd"/>
      <w:r w:rsidRPr="00732044">
        <w:rPr>
          <w:rFonts w:ascii="Times New Roman" w:hAnsi="Times New Roman" w:cs="Times New Roman"/>
          <w:sz w:val="28"/>
          <w:szCs w:val="28"/>
        </w:rPr>
        <w:t xml:space="preserve"> U., et al. Mutation of a </w:t>
      </w:r>
      <w:proofErr w:type="spellStart"/>
      <w:r w:rsidRPr="00732044">
        <w:rPr>
          <w:rFonts w:ascii="Times New Roman" w:hAnsi="Times New Roman" w:cs="Times New Roman"/>
          <w:sz w:val="28"/>
          <w:szCs w:val="28"/>
        </w:rPr>
        <w:t>diacidic</w:t>
      </w:r>
      <w:proofErr w:type="spellEnd"/>
      <w:r w:rsidRPr="00732044">
        <w:rPr>
          <w:rFonts w:ascii="Times New Roman" w:hAnsi="Times New Roman" w:cs="Times New Roman"/>
          <w:sz w:val="28"/>
          <w:szCs w:val="28"/>
        </w:rPr>
        <w:t xml:space="preserve"> motif in SIV-</w:t>
      </w:r>
      <w:proofErr w:type="spellStart"/>
      <w:r w:rsidRPr="00732044">
        <w:rPr>
          <w:rFonts w:ascii="Times New Roman" w:hAnsi="Times New Roman" w:cs="Times New Roman"/>
          <w:sz w:val="28"/>
          <w:szCs w:val="28"/>
        </w:rPr>
        <w:t>PBj</w:t>
      </w:r>
      <w:proofErr w:type="spellEnd"/>
      <w:r w:rsidRPr="00732044">
        <w:rPr>
          <w:rFonts w:ascii="Times New Roman" w:hAnsi="Times New Roman" w:cs="Times New Roman"/>
          <w:sz w:val="28"/>
          <w:szCs w:val="28"/>
        </w:rPr>
        <w:t xml:space="preserve"> Nef impairs T-cell activation and </w:t>
      </w:r>
      <w:proofErr w:type="spellStart"/>
      <w:r w:rsidRPr="00732044">
        <w:rPr>
          <w:rFonts w:ascii="Times New Roman" w:hAnsi="Times New Roman" w:cs="Times New Roman"/>
          <w:sz w:val="28"/>
          <w:szCs w:val="28"/>
        </w:rPr>
        <w:t>enteropathic</w:t>
      </w:r>
      <w:proofErr w:type="spellEnd"/>
      <w:r w:rsidRPr="00732044">
        <w:rPr>
          <w:rFonts w:ascii="Times New Roman" w:hAnsi="Times New Roman" w:cs="Times New Roman"/>
          <w:sz w:val="28"/>
          <w:szCs w:val="28"/>
        </w:rPr>
        <w:t xml:space="preserve"> disease. // Retrovirology. -2011. -Vol.14.-P. 213-22</w:t>
      </w:r>
      <w:r w:rsidR="00CF7C90">
        <w:rPr>
          <w:rFonts w:ascii="Times New Roman" w:hAnsi="Times New Roman" w:cs="Times New Roman"/>
          <w:sz w:val="28"/>
          <w:szCs w:val="28"/>
        </w:rPr>
        <w:t xml:space="preserve"> </w:t>
      </w:r>
      <w:r w:rsidR="00CF7C90" w:rsidRPr="00CF7C90">
        <w:rPr>
          <w:rFonts w:ascii="Times New Roman" w:hAnsi="Times New Roman" w:cs="Times New Roman"/>
          <w:sz w:val="28"/>
          <w:szCs w:val="28"/>
          <w:lang w:val="ru-RU"/>
        </w:rPr>
        <w:t>DOI: </w:t>
      </w:r>
      <w:hyperlink r:id="rId156" w:tgtFrame="_blank" w:history="1">
        <w:r w:rsidR="00CF7C90" w:rsidRPr="00CF7C90">
          <w:rPr>
            <w:rStyle w:val="a5"/>
            <w:rFonts w:ascii="Times New Roman" w:hAnsi="Times New Roman" w:cs="Times New Roman"/>
            <w:sz w:val="28"/>
            <w:szCs w:val="28"/>
            <w:lang w:val="ru-RU"/>
          </w:rPr>
          <w:t>10.1186/1742-4690-8-14</w:t>
        </w:r>
      </w:hyperlink>
      <w:r w:rsidR="00107A99" w:rsidRPr="00CF7C90">
        <w:rPr>
          <w:rFonts w:ascii="Times New Roman" w:hAnsi="Times New Roman" w:cs="Times New Roman"/>
          <w:sz w:val="28"/>
          <w:szCs w:val="28"/>
        </w:rPr>
        <w:t>.</w:t>
      </w:r>
    </w:p>
    <w:p w14:paraId="2F05064C" w14:textId="58DD50E4" w:rsidR="005C58FA" w:rsidRPr="00D95017" w:rsidRDefault="005C58FA" w:rsidP="00524D6E">
      <w:pPr>
        <w:numPr>
          <w:ilvl w:val="0"/>
          <w:numId w:val="7"/>
        </w:numPr>
        <w:spacing w:after="0" w:line="240" w:lineRule="auto"/>
        <w:ind w:left="0" w:firstLine="0"/>
        <w:jc w:val="both"/>
        <w:rPr>
          <w:rFonts w:ascii="Times New Roman" w:hAnsi="Times New Roman" w:cs="Times New Roman"/>
          <w:sz w:val="28"/>
          <w:szCs w:val="28"/>
          <w:lang w:val="ru-RU"/>
        </w:rPr>
      </w:pPr>
      <w:hyperlink r:id="rId157" w:history="1">
        <w:r w:rsidRPr="00732044">
          <w:rPr>
            <w:rStyle w:val="a5"/>
            <w:rFonts w:ascii="Times New Roman" w:hAnsi="Times New Roman" w:cs="Times New Roman"/>
            <w:sz w:val="28"/>
            <w:szCs w:val="28"/>
          </w:rPr>
          <w:t>https</w:t>
        </w:r>
        <w:r w:rsidRPr="00D95017">
          <w:rPr>
            <w:rStyle w:val="a5"/>
            <w:rFonts w:ascii="Times New Roman" w:hAnsi="Times New Roman" w:cs="Times New Roman"/>
            <w:sz w:val="28"/>
            <w:szCs w:val="28"/>
            <w:lang w:val="ru-RU"/>
          </w:rPr>
          <w:t>://</w:t>
        </w:r>
        <w:r w:rsidRPr="00732044">
          <w:rPr>
            <w:rStyle w:val="a5"/>
            <w:rFonts w:ascii="Times New Roman" w:hAnsi="Times New Roman" w:cs="Times New Roman"/>
            <w:sz w:val="28"/>
            <w:szCs w:val="28"/>
          </w:rPr>
          <w:t>www</w:t>
        </w:r>
        <w:r w:rsidRPr="00D95017">
          <w:rPr>
            <w:rStyle w:val="a5"/>
            <w:rFonts w:ascii="Times New Roman" w:hAnsi="Times New Roman" w:cs="Times New Roman"/>
            <w:sz w:val="28"/>
            <w:szCs w:val="28"/>
            <w:lang w:val="ru-RU"/>
          </w:rPr>
          <w:t>.</w:t>
        </w:r>
        <w:proofErr w:type="spellStart"/>
        <w:r w:rsidRPr="00732044">
          <w:rPr>
            <w:rStyle w:val="a5"/>
            <w:rFonts w:ascii="Times New Roman" w:hAnsi="Times New Roman" w:cs="Times New Roman"/>
            <w:sz w:val="28"/>
            <w:szCs w:val="28"/>
          </w:rPr>
          <w:t>beckman</w:t>
        </w:r>
        <w:proofErr w:type="spellEnd"/>
        <w:r w:rsidRPr="00D95017">
          <w:rPr>
            <w:rStyle w:val="a5"/>
            <w:rFonts w:ascii="Times New Roman" w:hAnsi="Times New Roman" w:cs="Times New Roman"/>
            <w:sz w:val="28"/>
            <w:szCs w:val="28"/>
            <w:lang w:val="ru-RU"/>
          </w:rPr>
          <w:t>.</w:t>
        </w:r>
        <w:r w:rsidRPr="00732044">
          <w:rPr>
            <w:rStyle w:val="a5"/>
            <w:rFonts w:ascii="Times New Roman" w:hAnsi="Times New Roman" w:cs="Times New Roman"/>
            <w:sz w:val="28"/>
            <w:szCs w:val="28"/>
          </w:rPr>
          <w:t>com</w:t>
        </w:r>
        <w:r w:rsidRPr="00D95017">
          <w:rPr>
            <w:rStyle w:val="a5"/>
            <w:rFonts w:ascii="Times New Roman" w:hAnsi="Times New Roman" w:cs="Times New Roman"/>
            <w:sz w:val="28"/>
            <w:szCs w:val="28"/>
            <w:lang w:val="ru-RU"/>
          </w:rPr>
          <w:t>/</w:t>
        </w:r>
        <w:r w:rsidRPr="00732044">
          <w:rPr>
            <w:rStyle w:val="a5"/>
            <w:rFonts w:ascii="Times New Roman" w:hAnsi="Times New Roman" w:cs="Times New Roman"/>
            <w:sz w:val="28"/>
            <w:szCs w:val="28"/>
          </w:rPr>
          <w:t>reagents</w:t>
        </w:r>
        <w:r w:rsidRPr="00D95017">
          <w:rPr>
            <w:rStyle w:val="a5"/>
            <w:rFonts w:ascii="Times New Roman" w:hAnsi="Times New Roman" w:cs="Times New Roman"/>
            <w:sz w:val="28"/>
            <w:szCs w:val="28"/>
            <w:lang w:val="ru-RU"/>
          </w:rPr>
          <w:t>/</w:t>
        </w:r>
        <w:r w:rsidRPr="00732044">
          <w:rPr>
            <w:rStyle w:val="a5"/>
            <w:rFonts w:ascii="Times New Roman" w:hAnsi="Times New Roman" w:cs="Times New Roman"/>
            <w:sz w:val="28"/>
            <w:szCs w:val="28"/>
          </w:rPr>
          <w:t>genomic</w:t>
        </w:r>
        <w:r w:rsidRPr="00D95017">
          <w:rPr>
            <w:rStyle w:val="a5"/>
            <w:rFonts w:ascii="Times New Roman" w:hAnsi="Times New Roman" w:cs="Times New Roman"/>
            <w:sz w:val="28"/>
            <w:szCs w:val="28"/>
            <w:lang w:val="ru-RU"/>
          </w:rPr>
          <w:t>/</w:t>
        </w:r>
        <w:r w:rsidRPr="00732044">
          <w:rPr>
            <w:rStyle w:val="a5"/>
            <w:rFonts w:ascii="Times New Roman" w:hAnsi="Times New Roman" w:cs="Times New Roman"/>
            <w:sz w:val="28"/>
            <w:szCs w:val="28"/>
          </w:rPr>
          <w:t>cleanup</w:t>
        </w:r>
        <w:r w:rsidRPr="00D95017">
          <w:rPr>
            <w:rStyle w:val="a5"/>
            <w:rFonts w:ascii="Times New Roman" w:hAnsi="Times New Roman" w:cs="Times New Roman"/>
            <w:sz w:val="28"/>
            <w:szCs w:val="28"/>
            <w:lang w:val="ru-RU"/>
          </w:rPr>
          <w:t>-</w:t>
        </w:r>
        <w:r w:rsidRPr="00732044">
          <w:rPr>
            <w:rStyle w:val="a5"/>
            <w:rFonts w:ascii="Times New Roman" w:hAnsi="Times New Roman" w:cs="Times New Roman"/>
            <w:sz w:val="28"/>
            <w:szCs w:val="28"/>
          </w:rPr>
          <w:t>and</w:t>
        </w:r>
        <w:r w:rsidRPr="00D95017">
          <w:rPr>
            <w:rStyle w:val="a5"/>
            <w:rFonts w:ascii="Times New Roman" w:hAnsi="Times New Roman" w:cs="Times New Roman"/>
            <w:sz w:val="28"/>
            <w:szCs w:val="28"/>
            <w:lang w:val="ru-RU"/>
          </w:rPr>
          <w:t>-</w:t>
        </w:r>
        <w:r w:rsidRPr="00732044">
          <w:rPr>
            <w:rStyle w:val="a5"/>
            <w:rFonts w:ascii="Times New Roman" w:hAnsi="Times New Roman" w:cs="Times New Roman"/>
            <w:sz w:val="28"/>
            <w:szCs w:val="28"/>
          </w:rPr>
          <w:t>size</w:t>
        </w:r>
        <w:r w:rsidRPr="00D95017">
          <w:rPr>
            <w:rStyle w:val="a5"/>
            <w:rFonts w:ascii="Times New Roman" w:hAnsi="Times New Roman" w:cs="Times New Roman"/>
            <w:sz w:val="28"/>
            <w:szCs w:val="28"/>
            <w:lang w:val="ru-RU"/>
          </w:rPr>
          <w:t>-</w:t>
        </w:r>
        <w:r w:rsidRPr="00732044">
          <w:rPr>
            <w:rStyle w:val="a5"/>
            <w:rFonts w:ascii="Times New Roman" w:hAnsi="Times New Roman" w:cs="Times New Roman"/>
            <w:sz w:val="28"/>
            <w:szCs w:val="28"/>
          </w:rPr>
          <w:t>selection</w:t>
        </w:r>
        <w:r w:rsidRPr="00D95017">
          <w:rPr>
            <w:rStyle w:val="a5"/>
            <w:rFonts w:ascii="Times New Roman" w:hAnsi="Times New Roman" w:cs="Times New Roman"/>
            <w:sz w:val="28"/>
            <w:szCs w:val="28"/>
            <w:lang w:val="ru-RU"/>
          </w:rPr>
          <w:t>/</w:t>
        </w:r>
        <w:proofErr w:type="spellStart"/>
        <w:r w:rsidRPr="00732044">
          <w:rPr>
            <w:rStyle w:val="a5"/>
            <w:rFonts w:ascii="Times New Roman" w:hAnsi="Times New Roman" w:cs="Times New Roman"/>
            <w:sz w:val="28"/>
            <w:szCs w:val="28"/>
          </w:rPr>
          <w:t>pcr</w:t>
        </w:r>
        <w:proofErr w:type="spellEnd"/>
        <w:r w:rsidRPr="00D95017">
          <w:rPr>
            <w:rStyle w:val="a5"/>
            <w:rFonts w:ascii="Times New Roman" w:hAnsi="Times New Roman" w:cs="Times New Roman"/>
            <w:sz w:val="28"/>
            <w:szCs w:val="28"/>
            <w:lang w:val="ru-RU"/>
          </w:rPr>
          <w:t>/</w:t>
        </w:r>
        <w:proofErr w:type="spellStart"/>
        <w:r w:rsidRPr="00732044">
          <w:rPr>
            <w:rStyle w:val="a5"/>
            <w:rFonts w:ascii="Times New Roman" w:hAnsi="Times New Roman" w:cs="Times New Roman"/>
            <w:sz w:val="28"/>
            <w:szCs w:val="28"/>
          </w:rPr>
          <w:t>ampure</w:t>
        </w:r>
        <w:proofErr w:type="spellEnd"/>
        <w:r w:rsidRPr="00D95017">
          <w:rPr>
            <w:rStyle w:val="a5"/>
            <w:rFonts w:ascii="Times New Roman" w:hAnsi="Times New Roman" w:cs="Times New Roman"/>
            <w:sz w:val="28"/>
            <w:szCs w:val="28"/>
            <w:lang w:val="ru-RU"/>
          </w:rPr>
          <w:t>-</w:t>
        </w:r>
        <w:proofErr w:type="spellStart"/>
        <w:r w:rsidRPr="00732044">
          <w:rPr>
            <w:rStyle w:val="a5"/>
            <w:rFonts w:ascii="Times New Roman" w:hAnsi="Times New Roman" w:cs="Times New Roman"/>
            <w:sz w:val="28"/>
            <w:szCs w:val="28"/>
          </w:rPr>
          <w:t>xp</w:t>
        </w:r>
        <w:proofErr w:type="spellEnd"/>
        <w:r w:rsidRPr="00D95017">
          <w:rPr>
            <w:rStyle w:val="a5"/>
            <w:rFonts w:ascii="Times New Roman" w:hAnsi="Times New Roman" w:cs="Times New Roman"/>
            <w:sz w:val="28"/>
            <w:szCs w:val="28"/>
            <w:lang w:val="ru-RU"/>
          </w:rPr>
          <w:t>-</w:t>
        </w:r>
        <w:r w:rsidRPr="00732044">
          <w:rPr>
            <w:rStyle w:val="a5"/>
            <w:rFonts w:ascii="Times New Roman" w:hAnsi="Times New Roman" w:cs="Times New Roman"/>
            <w:sz w:val="28"/>
            <w:szCs w:val="28"/>
          </w:rPr>
          <w:t>protocol</w:t>
        </w:r>
      </w:hyperlink>
      <w:r w:rsidR="00EE72D4" w:rsidRPr="00D95017">
        <w:rPr>
          <w:rFonts w:ascii="Times New Roman" w:hAnsi="Times New Roman" w:cs="Times New Roman"/>
          <w:sz w:val="28"/>
          <w:szCs w:val="28"/>
          <w:lang w:val="ru-RU"/>
        </w:rPr>
        <w:t xml:space="preserve">. </w:t>
      </w:r>
    </w:p>
    <w:p w14:paraId="4ED4DF3C" w14:textId="47570373" w:rsidR="00EE72D4" w:rsidRPr="00D95017" w:rsidRDefault="00EE72D4" w:rsidP="00524D6E">
      <w:pPr>
        <w:numPr>
          <w:ilvl w:val="0"/>
          <w:numId w:val="7"/>
        </w:numPr>
        <w:spacing w:after="0" w:line="240" w:lineRule="auto"/>
        <w:ind w:left="0" w:firstLine="0"/>
        <w:jc w:val="both"/>
        <w:rPr>
          <w:rFonts w:ascii="Times New Roman" w:hAnsi="Times New Roman" w:cs="Times New Roman"/>
          <w:sz w:val="28"/>
          <w:szCs w:val="28"/>
          <w:lang w:val="ru-RU"/>
        </w:rPr>
      </w:pPr>
      <w:hyperlink r:id="rId158" w:history="1">
        <w:r w:rsidRPr="00732044">
          <w:rPr>
            <w:rStyle w:val="a5"/>
            <w:rFonts w:ascii="Times New Roman" w:hAnsi="Times New Roman" w:cs="Times New Roman"/>
            <w:sz w:val="28"/>
            <w:szCs w:val="28"/>
          </w:rPr>
          <w:t>https</w:t>
        </w:r>
        <w:r w:rsidRPr="00D95017">
          <w:rPr>
            <w:rStyle w:val="a5"/>
            <w:rFonts w:ascii="Times New Roman" w:hAnsi="Times New Roman" w:cs="Times New Roman"/>
            <w:sz w:val="28"/>
            <w:szCs w:val="28"/>
            <w:lang w:val="ru-RU"/>
          </w:rPr>
          <w:t>://</w:t>
        </w:r>
        <w:r w:rsidRPr="00732044">
          <w:rPr>
            <w:rStyle w:val="a5"/>
            <w:rFonts w:ascii="Times New Roman" w:hAnsi="Times New Roman" w:cs="Times New Roman"/>
            <w:sz w:val="28"/>
            <w:szCs w:val="28"/>
          </w:rPr>
          <w:t>www</w:t>
        </w:r>
        <w:r w:rsidRPr="00D95017">
          <w:rPr>
            <w:rStyle w:val="a5"/>
            <w:rFonts w:ascii="Times New Roman" w:hAnsi="Times New Roman" w:cs="Times New Roman"/>
            <w:sz w:val="28"/>
            <w:szCs w:val="28"/>
            <w:lang w:val="ru-RU"/>
          </w:rPr>
          <w:t>.</w:t>
        </w:r>
        <w:proofErr w:type="spellStart"/>
        <w:r w:rsidRPr="00732044">
          <w:rPr>
            <w:rStyle w:val="a5"/>
            <w:rFonts w:ascii="Times New Roman" w:hAnsi="Times New Roman" w:cs="Times New Roman"/>
            <w:sz w:val="28"/>
            <w:szCs w:val="28"/>
          </w:rPr>
          <w:t>dojindo</w:t>
        </w:r>
        <w:proofErr w:type="spellEnd"/>
        <w:r w:rsidRPr="00D95017">
          <w:rPr>
            <w:rStyle w:val="a5"/>
            <w:rFonts w:ascii="Times New Roman" w:hAnsi="Times New Roman" w:cs="Times New Roman"/>
            <w:sz w:val="28"/>
            <w:szCs w:val="28"/>
            <w:lang w:val="ru-RU"/>
          </w:rPr>
          <w:t>.</w:t>
        </w:r>
        <w:r w:rsidRPr="00732044">
          <w:rPr>
            <w:rStyle w:val="a5"/>
            <w:rFonts w:ascii="Times New Roman" w:hAnsi="Times New Roman" w:cs="Times New Roman"/>
            <w:sz w:val="28"/>
            <w:szCs w:val="28"/>
          </w:rPr>
          <w:t>com</w:t>
        </w:r>
        <w:r w:rsidRPr="00D95017">
          <w:rPr>
            <w:rStyle w:val="a5"/>
            <w:rFonts w:ascii="Times New Roman" w:hAnsi="Times New Roman" w:cs="Times New Roman"/>
            <w:sz w:val="28"/>
            <w:szCs w:val="28"/>
            <w:lang w:val="ru-RU"/>
          </w:rPr>
          <w:t>/</w:t>
        </w:r>
        <w:r w:rsidRPr="00732044">
          <w:rPr>
            <w:rStyle w:val="a5"/>
            <w:rFonts w:ascii="Times New Roman" w:hAnsi="Times New Roman" w:cs="Times New Roman"/>
            <w:sz w:val="28"/>
            <w:szCs w:val="28"/>
          </w:rPr>
          <w:t>EUROPE</w:t>
        </w:r>
        <w:r w:rsidRPr="00D95017">
          <w:rPr>
            <w:rStyle w:val="a5"/>
            <w:rFonts w:ascii="Times New Roman" w:hAnsi="Times New Roman" w:cs="Times New Roman"/>
            <w:sz w:val="28"/>
            <w:szCs w:val="28"/>
            <w:lang w:val="ru-RU"/>
          </w:rPr>
          <w:t>/</w:t>
        </w:r>
        <w:r w:rsidRPr="00732044">
          <w:rPr>
            <w:rStyle w:val="a5"/>
            <w:rFonts w:ascii="Times New Roman" w:hAnsi="Times New Roman" w:cs="Times New Roman"/>
            <w:sz w:val="28"/>
            <w:szCs w:val="28"/>
          </w:rPr>
          <w:t>products</w:t>
        </w:r>
        <w:r w:rsidRPr="00D95017">
          <w:rPr>
            <w:rStyle w:val="a5"/>
            <w:rFonts w:ascii="Times New Roman" w:hAnsi="Times New Roman" w:cs="Times New Roman"/>
            <w:sz w:val="28"/>
            <w:szCs w:val="28"/>
            <w:lang w:val="ru-RU"/>
          </w:rPr>
          <w:t>/</w:t>
        </w:r>
        <w:r w:rsidRPr="00732044">
          <w:rPr>
            <w:rStyle w:val="a5"/>
            <w:rFonts w:ascii="Times New Roman" w:hAnsi="Times New Roman" w:cs="Times New Roman"/>
            <w:sz w:val="28"/>
            <w:szCs w:val="28"/>
          </w:rPr>
          <w:t>CK</w:t>
        </w:r>
        <w:r w:rsidRPr="00D95017">
          <w:rPr>
            <w:rStyle w:val="a5"/>
            <w:rFonts w:ascii="Times New Roman" w:hAnsi="Times New Roman" w:cs="Times New Roman"/>
            <w:sz w:val="28"/>
            <w:szCs w:val="28"/>
            <w:lang w:val="ru-RU"/>
          </w:rPr>
          <w:t>04</w:t>
        </w:r>
      </w:hyperlink>
      <w:r w:rsidR="00107A99" w:rsidRPr="00D95017">
        <w:rPr>
          <w:rStyle w:val="a5"/>
          <w:rFonts w:ascii="Times New Roman" w:hAnsi="Times New Roman" w:cs="Times New Roman"/>
          <w:sz w:val="28"/>
          <w:szCs w:val="28"/>
          <w:lang w:val="ru-RU"/>
        </w:rPr>
        <w:t>.</w:t>
      </w:r>
      <w:r w:rsidRPr="00D95017">
        <w:rPr>
          <w:rFonts w:ascii="Times New Roman" w:hAnsi="Times New Roman" w:cs="Times New Roman"/>
          <w:sz w:val="28"/>
          <w:szCs w:val="28"/>
          <w:lang w:val="ru-RU"/>
        </w:rPr>
        <w:t xml:space="preserve"> </w:t>
      </w:r>
    </w:p>
    <w:p w14:paraId="200BDB9E" w14:textId="1EF4A72A" w:rsidR="00D02E7E" w:rsidRPr="00732044" w:rsidRDefault="00F91404" w:rsidP="00524D6E">
      <w:pPr>
        <w:numPr>
          <w:ilvl w:val="0"/>
          <w:numId w:val="7"/>
        </w:numPr>
        <w:spacing w:after="0" w:line="240" w:lineRule="auto"/>
        <w:ind w:left="0" w:firstLine="0"/>
        <w:jc w:val="both"/>
        <w:rPr>
          <w:rFonts w:ascii="Times New Roman" w:hAnsi="Times New Roman" w:cs="Times New Roman"/>
          <w:sz w:val="28"/>
          <w:szCs w:val="28"/>
        </w:rPr>
      </w:pPr>
      <w:r w:rsidRPr="00732044">
        <w:rPr>
          <w:rFonts w:ascii="Times New Roman" w:hAnsi="Times New Roman" w:cs="Times New Roman"/>
          <w:sz w:val="28"/>
          <w:szCs w:val="28"/>
        </w:rPr>
        <w:t xml:space="preserve">American Type Culture Collection P.O. Box 1549 Manassas, VA 20108 USA </w:t>
      </w:r>
      <w:hyperlink r:id="rId159" w:history="1">
        <w:r w:rsidRPr="00732044">
          <w:rPr>
            <w:rStyle w:val="a5"/>
            <w:rFonts w:ascii="Times New Roman" w:hAnsi="Times New Roman" w:cs="Times New Roman"/>
            <w:sz w:val="28"/>
            <w:szCs w:val="28"/>
          </w:rPr>
          <w:t>www.atcc.org</w:t>
        </w:r>
      </w:hyperlink>
      <w:r w:rsidR="00735398" w:rsidRPr="00732044">
        <w:rPr>
          <w:rStyle w:val="a5"/>
          <w:rFonts w:ascii="Times New Roman" w:hAnsi="Times New Roman" w:cs="Times New Roman"/>
          <w:sz w:val="28"/>
          <w:szCs w:val="28"/>
        </w:rPr>
        <w:t>.</w:t>
      </w:r>
      <w:r w:rsidRPr="00732044">
        <w:rPr>
          <w:rFonts w:ascii="Times New Roman" w:hAnsi="Times New Roman" w:cs="Times New Roman"/>
          <w:sz w:val="28"/>
          <w:szCs w:val="28"/>
        </w:rPr>
        <w:t xml:space="preserve"> </w:t>
      </w:r>
    </w:p>
    <w:p w14:paraId="15072FF3" w14:textId="0883434E" w:rsidR="00F7641D" w:rsidRPr="00732044" w:rsidRDefault="00B97D8F" w:rsidP="00524D6E">
      <w:pPr>
        <w:numPr>
          <w:ilvl w:val="0"/>
          <w:numId w:val="7"/>
        </w:numPr>
        <w:spacing w:after="0" w:line="240" w:lineRule="auto"/>
        <w:ind w:left="0" w:firstLine="0"/>
        <w:jc w:val="both"/>
        <w:rPr>
          <w:rFonts w:ascii="Times New Roman" w:hAnsi="Times New Roman" w:cs="Times New Roman"/>
          <w:sz w:val="28"/>
          <w:szCs w:val="28"/>
        </w:rPr>
      </w:pPr>
      <w:r w:rsidRPr="00732044">
        <w:rPr>
          <w:rFonts w:ascii="Times New Roman" w:hAnsi="Times New Roman" w:cs="Times New Roman"/>
          <w:sz w:val="28"/>
          <w:szCs w:val="28"/>
        </w:rPr>
        <w:t>Sun SH, Chen Q, Gu HJ</w:t>
      </w:r>
      <w:proofErr w:type="gramStart"/>
      <w:r w:rsidRPr="00732044">
        <w:rPr>
          <w:rFonts w:ascii="Times New Roman" w:hAnsi="Times New Roman" w:cs="Times New Roman"/>
          <w:sz w:val="28"/>
          <w:szCs w:val="28"/>
        </w:rPr>
        <w:t>, .</w:t>
      </w:r>
      <w:proofErr w:type="gramEnd"/>
      <w:r w:rsidRPr="00732044">
        <w:rPr>
          <w:rFonts w:ascii="Times New Roman" w:hAnsi="Times New Roman" w:cs="Times New Roman"/>
          <w:sz w:val="28"/>
          <w:szCs w:val="28"/>
        </w:rPr>
        <w:t xml:space="preserve"> A Mouse Model of SARS-CoV-2 Infection and Pathogenesis. // Cell Host Microbe. – 2020.-Vol.8. -P. 124-133. 10.1016/j.chom.2020.05.020.</w:t>
      </w:r>
      <w:r w:rsidR="00D80DDF">
        <w:rPr>
          <w:rFonts w:ascii="Times New Roman" w:hAnsi="Times New Roman" w:cs="Times New Roman"/>
          <w:sz w:val="28"/>
          <w:szCs w:val="28"/>
        </w:rPr>
        <w:t xml:space="preserve"> </w:t>
      </w:r>
      <w:r w:rsidRPr="00732044">
        <w:rPr>
          <w:rFonts w:ascii="Times New Roman" w:hAnsi="Times New Roman" w:cs="Times New Roman"/>
          <w:sz w:val="28"/>
          <w:szCs w:val="28"/>
        </w:rPr>
        <w:t xml:space="preserve">   </w:t>
      </w:r>
      <w:r w:rsidR="00D80DDF">
        <w:rPr>
          <w:rFonts w:ascii="Times New Roman" w:hAnsi="Times New Roman" w:cs="Times New Roman"/>
          <w:sz w:val="28"/>
          <w:szCs w:val="28"/>
        </w:rPr>
        <w:t xml:space="preserve">  </w:t>
      </w:r>
    </w:p>
    <w:p w14:paraId="63E01365" w14:textId="0CAE744B" w:rsidR="005E1EDE" w:rsidRPr="00732044" w:rsidRDefault="005E1EDE" w:rsidP="00524D6E">
      <w:pPr>
        <w:numPr>
          <w:ilvl w:val="0"/>
          <w:numId w:val="7"/>
        </w:numPr>
        <w:spacing w:after="0" w:line="240" w:lineRule="auto"/>
        <w:ind w:left="0" w:firstLine="0"/>
        <w:jc w:val="both"/>
        <w:rPr>
          <w:rFonts w:ascii="Times New Roman" w:hAnsi="Times New Roman" w:cs="Times New Roman"/>
          <w:sz w:val="28"/>
          <w:szCs w:val="28"/>
        </w:rPr>
      </w:pPr>
      <w:proofErr w:type="spellStart"/>
      <w:r w:rsidRPr="00732044">
        <w:rPr>
          <w:rFonts w:ascii="Times New Roman" w:hAnsi="Times New Roman" w:cs="Times New Roman"/>
          <w:color w:val="222222"/>
          <w:sz w:val="28"/>
          <w:szCs w:val="28"/>
          <w:shd w:val="clear" w:color="auto" w:fill="FFFFFF"/>
          <w:lang w:val="de-DE"/>
        </w:rPr>
        <w:t>Dinnon</w:t>
      </w:r>
      <w:proofErr w:type="spellEnd"/>
      <w:r w:rsidRPr="00732044">
        <w:rPr>
          <w:rFonts w:ascii="Times New Roman" w:hAnsi="Times New Roman" w:cs="Times New Roman"/>
          <w:color w:val="222222"/>
          <w:sz w:val="28"/>
          <w:szCs w:val="28"/>
          <w:shd w:val="clear" w:color="auto" w:fill="FFFFFF"/>
          <w:lang w:val="de-DE"/>
        </w:rPr>
        <w:t>, K.H., Leist, S.R., Schäfer, A. </w:t>
      </w:r>
      <w:r w:rsidRPr="00732044">
        <w:rPr>
          <w:rFonts w:ascii="Times New Roman" w:hAnsi="Times New Roman" w:cs="Times New Roman"/>
          <w:i/>
          <w:iCs/>
          <w:color w:val="222222"/>
          <w:sz w:val="28"/>
          <w:szCs w:val="28"/>
          <w:shd w:val="clear" w:color="auto" w:fill="FFFFFF"/>
          <w:lang w:val="de-DE"/>
        </w:rPr>
        <w:t>et al.</w:t>
      </w:r>
      <w:r w:rsidRPr="00732044">
        <w:rPr>
          <w:rFonts w:ascii="Times New Roman" w:hAnsi="Times New Roman" w:cs="Times New Roman"/>
          <w:color w:val="222222"/>
          <w:sz w:val="28"/>
          <w:szCs w:val="28"/>
          <w:shd w:val="clear" w:color="auto" w:fill="FFFFFF"/>
          <w:lang w:val="de-DE"/>
        </w:rPr>
        <w:t> </w:t>
      </w:r>
      <w:r w:rsidRPr="00732044">
        <w:rPr>
          <w:rFonts w:ascii="Times New Roman" w:hAnsi="Times New Roman" w:cs="Times New Roman"/>
          <w:color w:val="222222"/>
          <w:sz w:val="28"/>
          <w:szCs w:val="28"/>
          <w:shd w:val="clear" w:color="auto" w:fill="FFFFFF"/>
        </w:rPr>
        <w:t>A mouse-adapted model of SARS-CoV-2 to test COVID-19 countermeasures. // Nature. -2020.-Vol. 586.</w:t>
      </w:r>
      <w:r w:rsidR="005577CE" w:rsidRPr="00732044">
        <w:rPr>
          <w:rFonts w:ascii="Times New Roman" w:hAnsi="Times New Roman" w:cs="Times New Roman"/>
          <w:color w:val="222222"/>
          <w:sz w:val="28"/>
          <w:szCs w:val="28"/>
          <w:shd w:val="clear" w:color="auto" w:fill="FFFFFF"/>
        </w:rPr>
        <w:t>-</w:t>
      </w:r>
      <w:r w:rsidRPr="00732044">
        <w:rPr>
          <w:rFonts w:ascii="Times New Roman" w:hAnsi="Times New Roman" w:cs="Times New Roman"/>
          <w:color w:val="222222"/>
          <w:sz w:val="28"/>
          <w:szCs w:val="28"/>
          <w:shd w:val="clear" w:color="auto" w:fill="FFFFFF"/>
        </w:rPr>
        <w:t xml:space="preserve"> P. 560–566 </w:t>
      </w:r>
      <w:hyperlink r:id="rId160" w:history="1">
        <w:r w:rsidR="00707F56" w:rsidRPr="00732044">
          <w:rPr>
            <w:rStyle w:val="a5"/>
            <w:rFonts w:ascii="Times New Roman" w:hAnsi="Times New Roman" w:cs="Times New Roman"/>
            <w:sz w:val="28"/>
            <w:szCs w:val="28"/>
            <w:shd w:val="clear" w:color="auto" w:fill="FFFFFF"/>
          </w:rPr>
          <w:t>https://doi.org/10.1038/s41586-020-2708-8</w:t>
        </w:r>
      </w:hyperlink>
      <w:r w:rsidR="00707F56" w:rsidRPr="00732044">
        <w:rPr>
          <w:rFonts w:ascii="Times New Roman" w:hAnsi="Times New Roman" w:cs="Times New Roman"/>
          <w:color w:val="222222"/>
          <w:sz w:val="28"/>
          <w:szCs w:val="28"/>
          <w:shd w:val="clear" w:color="auto" w:fill="FFFFFF"/>
        </w:rPr>
        <w:t>.</w:t>
      </w:r>
    </w:p>
    <w:p w14:paraId="50513203" w14:textId="4AFB6731" w:rsidR="00707F56" w:rsidRPr="00732044" w:rsidRDefault="005577CE" w:rsidP="00524D6E">
      <w:pPr>
        <w:numPr>
          <w:ilvl w:val="0"/>
          <w:numId w:val="7"/>
        </w:numPr>
        <w:spacing w:after="0" w:line="240" w:lineRule="auto"/>
        <w:ind w:left="0" w:firstLine="0"/>
        <w:jc w:val="both"/>
        <w:rPr>
          <w:rFonts w:ascii="Times New Roman" w:hAnsi="Times New Roman" w:cs="Times New Roman"/>
          <w:sz w:val="28"/>
          <w:szCs w:val="28"/>
        </w:rPr>
      </w:pPr>
      <w:r w:rsidRPr="00732044">
        <w:rPr>
          <w:rFonts w:ascii="Times New Roman" w:hAnsi="Times New Roman" w:cs="Times New Roman"/>
          <w:sz w:val="28"/>
          <w:szCs w:val="28"/>
        </w:rPr>
        <w:lastRenderedPageBreak/>
        <w:t xml:space="preserve">Maria I. Zapata-Cardona, </w:t>
      </w:r>
      <w:proofErr w:type="spellStart"/>
      <w:r w:rsidRPr="00732044">
        <w:rPr>
          <w:rFonts w:ascii="Times New Roman" w:hAnsi="Times New Roman" w:cs="Times New Roman"/>
          <w:sz w:val="28"/>
          <w:szCs w:val="28"/>
        </w:rPr>
        <w:t>Lizdany</w:t>
      </w:r>
      <w:proofErr w:type="spellEnd"/>
      <w:r w:rsidRPr="00732044">
        <w:rPr>
          <w:rFonts w:ascii="Times New Roman" w:hAnsi="Times New Roman" w:cs="Times New Roman"/>
          <w:sz w:val="28"/>
          <w:szCs w:val="28"/>
        </w:rPr>
        <w:t xml:space="preserve"> Florez-Alvarez, Ariadna L. Guerra-Sandoval, Mateo Chvatal-Medina, Carlos M. Guerra-Almonacid, Jaime Hincapie-Garcia, Juan C. Hernandez, Maria T. </w:t>
      </w:r>
      <w:proofErr w:type="spellStart"/>
      <w:r w:rsidRPr="00732044">
        <w:rPr>
          <w:rFonts w:ascii="Times New Roman" w:hAnsi="Times New Roman" w:cs="Times New Roman"/>
          <w:sz w:val="28"/>
          <w:szCs w:val="28"/>
        </w:rPr>
        <w:t>Rugeles</w:t>
      </w:r>
      <w:proofErr w:type="spellEnd"/>
      <w:r w:rsidRPr="00732044">
        <w:rPr>
          <w:rFonts w:ascii="Times New Roman" w:hAnsi="Times New Roman" w:cs="Times New Roman"/>
          <w:sz w:val="28"/>
          <w:szCs w:val="28"/>
        </w:rPr>
        <w:t xml:space="preserve">, Wildeman Zapata-Builes. In vitro and silico evaluation of antiretrovirals against SARS-CoV-2: A drug repurposing approach. // AIMS Microbiology. – 2023.-Vol. 9.- P. 20-40. </w:t>
      </w:r>
      <w:proofErr w:type="spellStart"/>
      <w:r w:rsidRPr="00732044">
        <w:rPr>
          <w:rFonts w:ascii="Times New Roman" w:hAnsi="Times New Roman" w:cs="Times New Roman"/>
          <w:sz w:val="28"/>
          <w:szCs w:val="28"/>
        </w:rPr>
        <w:t>doi</w:t>
      </w:r>
      <w:proofErr w:type="spellEnd"/>
      <w:r w:rsidRPr="00732044">
        <w:rPr>
          <w:rFonts w:ascii="Times New Roman" w:hAnsi="Times New Roman" w:cs="Times New Roman"/>
          <w:sz w:val="28"/>
          <w:szCs w:val="28"/>
        </w:rPr>
        <w:t xml:space="preserve">: 10.3934/microbiol.2023002.  </w:t>
      </w:r>
    </w:p>
    <w:p w14:paraId="7A38D2ED" w14:textId="7B66905C" w:rsidR="00F7641D" w:rsidRPr="00732044" w:rsidRDefault="00B54E30" w:rsidP="00524D6E">
      <w:pPr>
        <w:numPr>
          <w:ilvl w:val="0"/>
          <w:numId w:val="7"/>
        </w:numPr>
        <w:spacing w:after="0" w:line="240" w:lineRule="auto"/>
        <w:ind w:left="0" w:firstLine="0"/>
        <w:jc w:val="both"/>
        <w:rPr>
          <w:rFonts w:ascii="Times New Roman" w:hAnsi="Times New Roman" w:cs="Times New Roman"/>
          <w:sz w:val="28"/>
          <w:szCs w:val="28"/>
        </w:rPr>
      </w:pPr>
      <w:r w:rsidRPr="00732044">
        <w:rPr>
          <w:rFonts w:ascii="Times New Roman" w:hAnsi="Times New Roman" w:cs="Times New Roman"/>
          <w:sz w:val="28"/>
          <w:szCs w:val="28"/>
        </w:rPr>
        <w:t xml:space="preserve">Joshi S, Parkar J, Ansari A, Vora A, Talwar D, Tiwaskar M, Patil S, </w:t>
      </w:r>
      <w:proofErr w:type="spellStart"/>
      <w:r w:rsidRPr="00732044">
        <w:rPr>
          <w:rFonts w:ascii="Times New Roman" w:hAnsi="Times New Roman" w:cs="Times New Roman"/>
          <w:sz w:val="28"/>
          <w:szCs w:val="28"/>
        </w:rPr>
        <w:t>Barkate</w:t>
      </w:r>
      <w:proofErr w:type="spellEnd"/>
      <w:r w:rsidRPr="00732044">
        <w:rPr>
          <w:rFonts w:ascii="Times New Roman" w:hAnsi="Times New Roman" w:cs="Times New Roman"/>
          <w:sz w:val="28"/>
          <w:szCs w:val="28"/>
        </w:rPr>
        <w:t xml:space="preserve"> H. Role of favipiravir in the treatment of COVID-19. // Int J Infect Dis.- 2021.- Vol. 102.-P. 501-508. </w:t>
      </w:r>
      <w:proofErr w:type="spellStart"/>
      <w:r w:rsidRPr="00732044">
        <w:rPr>
          <w:rFonts w:ascii="Times New Roman" w:hAnsi="Times New Roman" w:cs="Times New Roman"/>
          <w:sz w:val="28"/>
          <w:szCs w:val="28"/>
        </w:rPr>
        <w:t>doi</w:t>
      </w:r>
      <w:proofErr w:type="spellEnd"/>
      <w:r w:rsidRPr="00732044">
        <w:rPr>
          <w:rFonts w:ascii="Times New Roman" w:hAnsi="Times New Roman" w:cs="Times New Roman"/>
          <w:sz w:val="28"/>
          <w:szCs w:val="28"/>
        </w:rPr>
        <w:t xml:space="preserve">: 10.1016/j.ijid.2020.10.069.  </w:t>
      </w:r>
    </w:p>
    <w:p w14:paraId="5D30018E" w14:textId="6BA66A08" w:rsidR="00DB242E" w:rsidRPr="00732044" w:rsidRDefault="00DB242E" w:rsidP="00524D6E">
      <w:pPr>
        <w:numPr>
          <w:ilvl w:val="0"/>
          <w:numId w:val="7"/>
        </w:numPr>
        <w:spacing w:after="0" w:line="240" w:lineRule="auto"/>
        <w:ind w:left="0" w:firstLine="0"/>
        <w:jc w:val="both"/>
        <w:rPr>
          <w:rFonts w:ascii="Times New Roman" w:hAnsi="Times New Roman" w:cs="Times New Roman"/>
          <w:sz w:val="28"/>
          <w:szCs w:val="28"/>
        </w:rPr>
      </w:pPr>
      <w:proofErr w:type="spellStart"/>
      <w:r w:rsidRPr="00732044">
        <w:rPr>
          <w:rFonts w:ascii="Times New Roman" w:hAnsi="Times New Roman" w:cs="Times New Roman"/>
          <w:sz w:val="28"/>
          <w:szCs w:val="28"/>
        </w:rPr>
        <w:t>Siripongboonsitti</w:t>
      </w:r>
      <w:proofErr w:type="spellEnd"/>
      <w:r w:rsidRPr="00732044">
        <w:rPr>
          <w:rFonts w:ascii="Times New Roman" w:hAnsi="Times New Roman" w:cs="Times New Roman"/>
          <w:sz w:val="28"/>
          <w:szCs w:val="28"/>
        </w:rPr>
        <w:t xml:space="preserve">, T., </w:t>
      </w:r>
      <w:proofErr w:type="spellStart"/>
      <w:r w:rsidRPr="00732044">
        <w:rPr>
          <w:rFonts w:ascii="Times New Roman" w:hAnsi="Times New Roman" w:cs="Times New Roman"/>
          <w:sz w:val="28"/>
          <w:szCs w:val="28"/>
        </w:rPr>
        <w:t>Muadchimkaew</w:t>
      </w:r>
      <w:proofErr w:type="spellEnd"/>
      <w:r w:rsidRPr="00732044">
        <w:rPr>
          <w:rFonts w:ascii="Times New Roman" w:hAnsi="Times New Roman" w:cs="Times New Roman"/>
          <w:sz w:val="28"/>
          <w:szCs w:val="28"/>
        </w:rPr>
        <w:t xml:space="preserve">, M., </w:t>
      </w:r>
      <w:proofErr w:type="spellStart"/>
      <w:r w:rsidRPr="00732044">
        <w:rPr>
          <w:rFonts w:ascii="Times New Roman" w:hAnsi="Times New Roman" w:cs="Times New Roman"/>
          <w:sz w:val="28"/>
          <w:szCs w:val="28"/>
        </w:rPr>
        <w:t>Tawinprai</w:t>
      </w:r>
      <w:proofErr w:type="spellEnd"/>
      <w:r w:rsidRPr="00732044">
        <w:rPr>
          <w:rFonts w:ascii="Times New Roman" w:hAnsi="Times New Roman" w:cs="Times New Roman"/>
          <w:sz w:val="28"/>
          <w:szCs w:val="28"/>
        </w:rPr>
        <w:t>, K. </w:t>
      </w:r>
      <w:r w:rsidRPr="00732044">
        <w:rPr>
          <w:rFonts w:ascii="Times New Roman" w:hAnsi="Times New Roman" w:cs="Times New Roman"/>
          <w:i/>
          <w:iCs/>
          <w:sz w:val="28"/>
          <w:szCs w:val="28"/>
        </w:rPr>
        <w:t>et al.</w:t>
      </w:r>
      <w:r w:rsidRPr="00732044">
        <w:rPr>
          <w:rFonts w:ascii="Times New Roman" w:hAnsi="Times New Roman" w:cs="Times New Roman"/>
          <w:sz w:val="28"/>
          <w:szCs w:val="28"/>
        </w:rPr>
        <w:t xml:space="preserve"> Favipiravir treatment in non-severe COVID-19: promising results from </w:t>
      </w:r>
      <w:proofErr w:type="spellStart"/>
      <w:r w:rsidRPr="00732044">
        <w:rPr>
          <w:rFonts w:ascii="Times New Roman" w:hAnsi="Times New Roman" w:cs="Times New Roman"/>
          <w:sz w:val="28"/>
          <w:szCs w:val="28"/>
        </w:rPr>
        <w:t>multicenter</w:t>
      </w:r>
      <w:proofErr w:type="spellEnd"/>
      <w:r w:rsidRPr="00732044">
        <w:rPr>
          <w:rFonts w:ascii="Times New Roman" w:hAnsi="Times New Roman" w:cs="Times New Roman"/>
          <w:sz w:val="28"/>
          <w:szCs w:val="28"/>
        </w:rPr>
        <w:t xml:space="preserve"> propensity score-matched study (FAVICOV). // Sci Rep.- 2023.-Vol. 13.- P.148. </w:t>
      </w:r>
      <w:hyperlink r:id="rId161" w:history="1">
        <w:r w:rsidRPr="00732044">
          <w:rPr>
            <w:rStyle w:val="a5"/>
            <w:rFonts w:ascii="Times New Roman" w:hAnsi="Times New Roman" w:cs="Times New Roman"/>
            <w:sz w:val="28"/>
            <w:szCs w:val="28"/>
          </w:rPr>
          <w:t>https://doi.org/10.1038/s41598-023-42195-x</w:t>
        </w:r>
      </w:hyperlink>
      <w:r w:rsidR="00735876" w:rsidRPr="00732044">
        <w:rPr>
          <w:rFonts w:ascii="Times New Roman" w:hAnsi="Times New Roman" w:cs="Times New Roman"/>
          <w:sz w:val="28"/>
          <w:szCs w:val="28"/>
        </w:rPr>
        <w:t xml:space="preserve">. </w:t>
      </w:r>
    </w:p>
    <w:p w14:paraId="60F62764" w14:textId="17FFFF15" w:rsidR="00735876" w:rsidRPr="00732044" w:rsidRDefault="00735876" w:rsidP="00524D6E">
      <w:pPr>
        <w:numPr>
          <w:ilvl w:val="0"/>
          <w:numId w:val="7"/>
        </w:numPr>
        <w:spacing w:after="0" w:line="240" w:lineRule="auto"/>
        <w:ind w:left="0" w:firstLine="0"/>
        <w:jc w:val="both"/>
        <w:rPr>
          <w:rFonts w:ascii="Times New Roman" w:hAnsi="Times New Roman" w:cs="Times New Roman"/>
          <w:sz w:val="28"/>
          <w:szCs w:val="28"/>
        </w:rPr>
      </w:pPr>
      <w:r w:rsidRPr="00732044">
        <w:rPr>
          <w:rFonts w:ascii="Times New Roman" w:hAnsi="Times New Roman" w:cs="Times New Roman"/>
          <w:sz w:val="28"/>
          <w:szCs w:val="28"/>
        </w:rPr>
        <w:t>Manuel Taboada. Effect of high versus low dose of dexamethasone on clinical worsening in patients hospitalised with moderate or severe COVID-19 pneumonia: an open-label, randomised clinical trial. // JF - European Respiratory Journal. -2022.-Vol.3-P.123-129. https://doi.org/10.1183/13993003.02518-2021</w:t>
      </w:r>
      <w:r w:rsidR="0068260A" w:rsidRPr="00732044">
        <w:rPr>
          <w:rFonts w:ascii="Times New Roman" w:hAnsi="Times New Roman" w:cs="Times New Roman"/>
          <w:sz w:val="28"/>
          <w:szCs w:val="28"/>
        </w:rPr>
        <w:t>.</w:t>
      </w:r>
      <w:r w:rsidRPr="00732044">
        <w:rPr>
          <w:rFonts w:ascii="Times New Roman" w:hAnsi="Times New Roman" w:cs="Times New Roman"/>
          <w:sz w:val="28"/>
          <w:szCs w:val="28"/>
        </w:rPr>
        <w:t xml:space="preserve"> </w:t>
      </w:r>
    </w:p>
    <w:p w14:paraId="7F9D689C" w14:textId="025BE95E" w:rsidR="00735876" w:rsidRPr="00732044" w:rsidRDefault="00735876" w:rsidP="00524D6E">
      <w:pPr>
        <w:numPr>
          <w:ilvl w:val="0"/>
          <w:numId w:val="7"/>
        </w:numPr>
        <w:spacing w:after="0" w:line="240" w:lineRule="auto"/>
        <w:ind w:left="0" w:firstLine="0"/>
        <w:jc w:val="both"/>
        <w:rPr>
          <w:rFonts w:ascii="Times New Roman" w:hAnsi="Times New Roman" w:cs="Times New Roman"/>
          <w:sz w:val="28"/>
          <w:szCs w:val="28"/>
        </w:rPr>
      </w:pPr>
      <w:proofErr w:type="spellStart"/>
      <w:r w:rsidRPr="00732044">
        <w:rPr>
          <w:rFonts w:ascii="Times New Roman" w:hAnsi="Times New Roman" w:cs="Times New Roman"/>
          <w:sz w:val="28"/>
          <w:szCs w:val="28"/>
        </w:rPr>
        <w:t>Somovilla</w:t>
      </w:r>
      <w:proofErr w:type="spellEnd"/>
      <w:r w:rsidRPr="00732044">
        <w:rPr>
          <w:rFonts w:ascii="Times New Roman" w:hAnsi="Times New Roman" w:cs="Times New Roman"/>
          <w:sz w:val="28"/>
          <w:szCs w:val="28"/>
        </w:rPr>
        <w:t xml:space="preserve"> </w:t>
      </w:r>
      <w:proofErr w:type="spellStart"/>
      <w:proofErr w:type="gramStart"/>
      <w:r w:rsidRPr="00732044">
        <w:rPr>
          <w:rFonts w:ascii="Times New Roman" w:hAnsi="Times New Roman" w:cs="Times New Roman"/>
          <w:sz w:val="28"/>
          <w:szCs w:val="28"/>
        </w:rPr>
        <w:t>P,García</w:t>
      </w:r>
      <w:proofErr w:type="spellEnd"/>
      <w:proofErr w:type="gramEnd"/>
      <w:r w:rsidRPr="00732044">
        <w:rPr>
          <w:rFonts w:ascii="Times New Roman" w:hAnsi="Times New Roman" w:cs="Times New Roman"/>
          <w:sz w:val="28"/>
          <w:szCs w:val="28"/>
        </w:rPr>
        <w:t xml:space="preserve">-Crespo </w:t>
      </w:r>
      <w:proofErr w:type="spellStart"/>
      <w:proofErr w:type="gramStart"/>
      <w:r w:rsidRPr="00732044">
        <w:rPr>
          <w:rFonts w:ascii="Times New Roman" w:hAnsi="Times New Roman" w:cs="Times New Roman"/>
          <w:sz w:val="28"/>
          <w:szCs w:val="28"/>
        </w:rPr>
        <w:t>C,Martínez</w:t>
      </w:r>
      <w:proofErr w:type="spellEnd"/>
      <w:proofErr w:type="gramEnd"/>
      <w:r w:rsidRPr="00732044">
        <w:rPr>
          <w:rFonts w:ascii="Times New Roman" w:hAnsi="Times New Roman" w:cs="Times New Roman"/>
          <w:sz w:val="28"/>
          <w:szCs w:val="28"/>
        </w:rPr>
        <w:t xml:space="preserve">-González </w:t>
      </w:r>
      <w:proofErr w:type="spellStart"/>
      <w:proofErr w:type="gramStart"/>
      <w:r w:rsidRPr="00732044">
        <w:rPr>
          <w:rFonts w:ascii="Times New Roman" w:hAnsi="Times New Roman" w:cs="Times New Roman"/>
          <w:sz w:val="28"/>
          <w:szCs w:val="28"/>
        </w:rPr>
        <w:t>B,Soria</w:t>
      </w:r>
      <w:proofErr w:type="spellEnd"/>
      <w:proofErr w:type="gramEnd"/>
      <w:r w:rsidRPr="00732044">
        <w:rPr>
          <w:rFonts w:ascii="Times New Roman" w:hAnsi="Times New Roman" w:cs="Times New Roman"/>
          <w:sz w:val="28"/>
          <w:szCs w:val="28"/>
        </w:rPr>
        <w:t xml:space="preserve"> </w:t>
      </w:r>
      <w:proofErr w:type="spellStart"/>
      <w:proofErr w:type="gramStart"/>
      <w:r w:rsidRPr="00732044">
        <w:rPr>
          <w:rFonts w:ascii="Times New Roman" w:hAnsi="Times New Roman" w:cs="Times New Roman"/>
          <w:sz w:val="28"/>
          <w:szCs w:val="28"/>
        </w:rPr>
        <w:t>ME,,</w:t>
      </w:r>
      <w:proofErr w:type="gramEnd"/>
      <w:r w:rsidRPr="00732044">
        <w:rPr>
          <w:rFonts w:ascii="Times New Roman" w:hAnsi="Times New Roman" w:cs="Times New Roman"/>
          <w:sz w:val="28"/>
          <w:szCs w:val="28"/>
        </w:rPr>
        <w:t>de</w:t>
      </w:r>
      <w:proofErr w:type="spellEnd"/>
      <w:r w:rsidRPr="00732044">
        <w:rPr>
          <w:rFonts w:ascii="Times New Roman" w:hAnsi="Times New Roman" w:cs="Times New Roman"/>
          <w:sz w:val="28"/>
          <w:szCs w:val="28"/>
        </w:rPr>
        <w:t xml:space="preserve"> Ávila </w:t>
      </w:r>
      <w:proofErr w:type="spellStart"/>
      <w:proofErr w:type="gramStart"/>
      <w:r w:rsidRPr="00732044">
        <w:rPr>
          <w:rFonts w:ascii="Times New Roman" w:hAnsi="Times New Roman" w:cs="Times New Roman"/>
          <w:sz w:val="28"/>
          <w:szCs w:val="28"/>
        </w:rPr>
        <w:t>AI,Gallego</w:t>
      </w:r>
      <w:proofErr w:type="spellEnd"/>
      <w:proofErr w:type="gramEnd"/>
      <w:r w:rsidRPr="00732044">
        <w:rPr>
          <w:rFonts w:ascii="Times New Roman" w:hAnsi="Times New Roman" w:cs="Times New Roman"/>
          <w:sz w:val="28"/>
          <w:szCs w:val="28"/>
        </w:rPr>
        <w:t xml:space="preserve"> </w:t>
      </w:r>
      <w:proofErr w:type="spellStart"/>
      <w:proofErr w:type="gramStart"/>
      <w:r w:rsidRPr="00732044">
        <w:rPr>
          <w:rFonts w:ascii="Times New Roman" w:hAnsi="Times New Roman" w:cs="Times New Roman"/>
          <w:sz w:val="28"/>
          <w:szCs w:val="28"/>
        </w:rPr>
        <w:t>I,Mínguez</w:t>
      </w:r>
      <w:proofErr w:type="spellEnd"/>
      <w:proofErr w:type="gramEnd"/>
      <w:r w:rsidRPr="00732044">
        <w:rPr>
          <w:rFonts w:ascii="Times New Roman" w:hAnsi="Times New Roman" w:cs="Times New Roman"/>
          <w:sz w:val="28"/>
          <w:szCs w:val="28"/>
        </w:rPr>
        <w:t xml:space="preserve"> </w:t>
      </w:r>
      <w:proofErr w:type="spellStart"/>
      <w:proofErr w:type="gramStart"/>
      <w:r w:rsidRPr="00732044">
        <w:rPr>
          <w:rFonts w:ascii="Times New Roman" w:hAnsi="Times New Roman" w:cs="Times New Roman"/>
          <w:sz w:val="28"/>
          <w:szCs w:val="28"/>
        </w:rPr>
        <w:t>P,,</w:t>
      </w:r>
      <w:proofErr w:type="gramEnd"/>
      <w:r w:rsidRPr="00732044">
        <w:rPr>
          <w:rFonts w:ascii="Times New Roman" w:hAnsi="Times New Roman" w:cs="Times New Roman"/>
          <w:sz w:val="28"/>
          <w:szCs w:val="28"/>
        </w:rPr>
        <w:t>Durán</w:t>
      </w:r>
      <w:proofErr w:type="spellEnd"/>
      <w:r w:rsidRPr="00732044">
        <w:rPr>
          <w:rFonts w:ascii="Times New Roman" w:hAnsi="Times New Roman" w:cs="Times New Roman"/>
          <w:sz w:val="28"/>
          <w:szCs w:val="28"/>
        </w:rPr>
        <w:t xml:space="preserve">-Pastor A, Ferrer-Orta C, Salar-Vidal </w:t>
      </w:r>
      <w:proofErr w:type="spellStart"/>
      <w:proofErr w:type="gramStart"/>
      <w:r w:rsidRPr="00732044">
        <w:rPr>
          <w:rFonts w:ascii="Times New Roman" w:hAnsi="Times New Roman" w:cs="Times New Roman"/>
          <w:sz w:val="28"/>
          <w:szCs w:val="28"/>
        </w:rPr>
        <w:t>L,Esteban</w:t>
      </w:r>
      <w:proofErr w:type="spellEnd"/>
      <w:proofErr w:type="gramEnd"/>
      <w:r w:rsidRPr="00732044">
        <w:rPr>
          <w:rFonts w:ascii="Times New Roman" w:hAnsi="Times New Roman" w:cs="Times New Roman"/>
          <w:sz w:val="28"/>
          <w:szCs w:val="28"/>
        </w:rPr>
        <w:t xml:space="preserve">-Muñoz M, Zuñiga S, Sola I, </w:t>
      </w:r>
      <w:proofErr w:type="spellStart"/>
      <w:r w:rsidRPr="00732044">
        <w:rPr>
          <w:rFonts w:ascii="Times New Roman" w:hAnsi="Times New Roman" w:cs="Times New Roman"/>
          <w:sz w:val="28"/>
          <w:szCs w:val="28"/>
        </w:rPr>
        <w:t>Enjuanes</w:t>
      </w:r>
      <w:proofErr w:type="spellEnd"/>
      <w:r w:rsidRPr="00732044">
        <w:rPr>
          <w:rFonts w:ascii="Times New Roman" w:hAnsi="Times New Roman" w:cs="Times New Roman"/>
          <w:sz w:val="28"/>
          <w:szCs w:val="28"/>
        </w:rPr>
        <w:t xml:space="preserve"> L, Esteban </w:t>
      </w:r>
      <w:proofErr w:type="spellStart"/>
      <w:proofErr w:type="gramStart"/>
      <w:r w:rsidRPr="00732044">
        <w:rPr>
          <w:rFonts w:ascii="Times New Roman" w:hAnsi="Times New Roman" w:cs="Times New Roman"/>
          <w:sz w:val="28"/>
          <w:szCs w:val="28"/>
        </w:rPr>
        <w:t>J,Fernandez</w:t>
      </w:r>
      <w:proofErr w:type="gramEnd"/>
      <w:r w:rsidRPr="00732044">
        <w:rPr>
          <w:rFonts w:ascii="Times New Roman" w:hAnsi="Times New Roman" w:cs="Times New Roman"/>
          <w:sz w:val="28"/>
          <w:szCs w:val="28"/>
        </w:rPr>
        <w:t>-Roblas</w:t>
      </w:r>
      <w:proofErr w:type="spellEnd"/>
      <w:r w:rsidRPr="00732044">
        <w:rPr>
          <w:rFonts w:ascii="Times New Roman" w:hAnsi="Times New Roman" w:cs="Times New Roman"/>
          <w:sz w:val="28"/>
          <w:szCs w:val="28"/>
        </w:rPr>
        <w:t xml:space="preserve"> </w:t>
      </w:r>
      <w:proofErr w:type="spellStart"/>
      <w:proofErr w:type="gramStart"/>
      <w:r w:rsidRPr="00732044">
        <w:rPr>
          <w:rFonts w:ascii="Times New Roman" w:hAnsi="Times New Roman" w:cs="Times New Roman"/>
          <w:sz w:val="28"/>
          <w:szCs w:val="28"/>
        </w:rPr>
        <w:t>R,Gadea</w:t>
      </w:r>
      <w:proofErr w:type="spellEnd"/>
      <w:proofErr w:type="gramEnd"/>
      <w:r w:rsidRPr="00732044">
        <w:rPr>
          <w:rFonts w:ascii="Times New Roman" w:hAnsi="Times New Roman" w:cs="Times New Roman"/>
          <w:sz w:val="28"/>
          <w:szCs w:val="28"/>
        </w:rPr>
        <w:t xml:space="preserve"> </w:t>
      </w:r>
      <w:proofErr w:type="spellStart"/>
      <w:proofErr w:type="gramStart"/>
      <w:r w:rsidRPr="00732044">
        <w:rPr>
          <w:rFonts w:ascii="Times New Roman" w:hAnsi="Times New Roman" w:cs="Times New Roman"/>
          <w:sz w:val="28"/>
          <w:szCs w:val="28"/>
        </w:rPr>
        <w:t>I,Gómez</w:t>
      </w:r>
      <w:proofErr w:type="spellEnd"/>
      <w:proofErr w:type="gramEnd"/>
      <w:r w:rsidRPr="00732044">
        <w:rPr>
          <w:rFonts w:ascii="Times New Roman" w:hAnsi="Times New Roman" w:cs="Times New Roman"/>
          <w:sz w:val="28"/>
          <w:szCs w:val="28"/>
        </w:rPr>
        <w:t xml:space="preserve"> J, Verdaguer N, Domingo E, </w:t>
      </w:r>
      <w:proofErr w:type="gramStart"/>
      <w:r w:rsidRPr="00732044">
        <w:rPr>
          <w:rFonts w:ascii="Times New Roman" w:hAnsi="Times New Roman" w:cs="Times New Roman"/>
          <w:sz w:val="28"/>
          <w:szCs w:val="28"/>
        </w:rPr>
        <w:t>Perales .</w:t>
      </w:r>
      <w:proofErr w:type="gramEnd"/>
      <w:r w:rsidRPr="00732044">
        <w:rPr>
          <w:rFonts w:ascii="Times New Roman" w:hAnsi="Times New Roman" w:cs="Times New Roman"/>
          <w:sz w:val="28"/>
          <w:szCs w:val="28"/>
        </w:rPr>
        <w:t xml:space="preserve"> Atypical Mutational Spectrum of SARS-CoV-2 Replicating in the Presence of Ribavirin. // </w:t>
      </w:r>
      <w:proofErr w:type="spellStart"/>
      <w:r w:rsidRPr="00732044">
        <w:rPr>
          <w:rFonts w:ascii="Times New Roman" w:hAnsi="Times New Roman" w:cs="Times New Roman"/>
          <w:sz w:val="28"/>
          <w:szCs w:val="28"/>
        </w:rPr>
        <w:t>Antimicrob</w:t>
      </w:r>
      <w:proofErr w:type="spellEnd"/>
      <w:r w:rsidRPr="00732044">
        <w:rPr>
          <w:rFonts w:ascii="Times New Roman" w:hAnsi="Times New Roman" w:cs="Times New Roman"/>
          <w:sz w:val="28"/>
          <w:szCs w:val="28"/>
        </w:rPr>
        <w:t xml:space="preserve"> Agents </w:t>
      </w:r>
      <w:proofErr w:type="gramStart"/>
      <w:r w:rsidRPr="00732044">
        <w:rPr>
          <w:rFonts w:ascii="Times New Roman" w:hAnsi="Times New Roman" w:cs="Times New Roman"/>
          <w:sz w:val="28"/>
          <w:szCs w:val="28"/>
        </w:rPr>
        <w:t>Chemother.-</w:t>
      </w:r>
      <w:proofErr w:type="gramEnd"/>
      <w:r w:rsidRPr="00732044">
        <w:rPr>
          <w:rFonts w:ascii="Times New Roman" w:hAnsi="Times New Roman" w:cs="Times New Roman"/>
          <w:sz w:val="28"/>
          <w:szCs w:val="28"/>
        </w:rPr>
        <w:t xml:space="preserve">2023.-Vol. 67.-P.1315-22. https://doi.org/10.1128/aac.01315-22. </w:t>
      </w:r>
    </w:p>
    <w:p w14:paraId="5C893F3E" w14:textId="4DE83535" w:rsidR="00F7641D" w:rsidRPr="00732044" w:rsidRDefault="005C5CA4" w:rsidP="00524D6E">
      <w:pPr>
        <w:numPr>
          <w:ilvl w:val="0"/>
          <w:numId w:val="7"/>
        </w:numPr>
        <w:spacing w:after="0" w:line="240" w:lineRule="auto"/>
        <w:ind w:left="0" w:firstLine="0"/>
        <w:jc w:val="both"/>
        <w:rPr>
          <w:rFonts w:ascii="Times New Roman" w:hAnsi="Times New Roman" w:cs="Times New Roman"/>
          <w:sz w:val="28"/>
          <w:szCs w:val="28"/>
        </w:rPr>
      </w:pPr>
      <w:r w:rsidRPr="00732044">
        <w:rPr>
          <w:rFonts w:ascii="Times New Roman" w:hAnsi="Times New Roman" w:cs="Times New Roman"/>
          <w:sz w:val="28"/>
          <w:szCs w:val="28"/>
        </w:rPr>
        <w:t xml:space="preserve">Khaidarov, S., </w:t>
      </w:r>
      <w:proofErr w:type="spellStart"/>
      <w:proofErr w:type="gramStart"/>
      <w:r w:rsidRPr="00732044">
        <w:rPr>
          <w:rFonts w:ascii="Times New Roman" w:hAnsi="Times New Roman" w:cs="Times New Roman"/>
          <w:sz w:val="28"/>
          <w:szCs w:val="28"/>
        </w:rPr>
        <w:t>Burashev</w:t>
      </w:r>
      <w:proofErr w:type="spellEnd"/>
      <w:r w:rsidRPr="00732044">
        <w:rPr>
          <w:rFonts w:ascii="Times New Roman" w:hAnsi="Times New Roman" w:cs="Times New Roman"/>
          <w:sz w:val="28"/>
          <w:szCs w:val="28"/>
        </w:rPr>
        <w:t xml:space="preserve"> ,</w:t>
      </w:r>
      <w:proofErr w:type="gramEnd"/>
      <w:r w:rsidRPr="00732044">
        <w:rPr>
          <w:rFonts w:ascii="Times New Roman" w:hAnsi="Times New Roman" w:cs="Times New Roman"/>
          <w:sz w:val="28"/>
          <w:szCs w:val="28"/>
        </w:rPr>
        <w:t xml:space="preserve"> Y., </w:t>
      </w:r>
      <w:proofErr w:type="spellStart"/>
      <w:proofErr w:type="gramStart"/>
      <w:r w:rsidRPr="00732044">
        <w:rPr>
          <w:rFonts w:ascii="Times New Roman" w:hAnsi="Times New Roman" w:cs="Times New Roman"/>
          <w:sz w:val="28"/>
          <w:szCs w:val="28"/>
        </w:rPr>
        <w:t>Kozhabergenov</w:t>
      </w:r>
      <w:proofErr w:type="spellEnd"/>
      <w:r w:rsidRPr="00732044">
        <w:rPr>
          <w:rFonts w:ascii="Times New Roman" w:hAnsi="Times New Roman" w:cs="Times New Roman"/>
          <w:sz w:val="28"/>
          <w:szCs w:val="28"/>
        </w:rPr>
        <w:t xml:space="preserve"> ,</w:t>
      </w:r>
      <w:proofErr w:type="gramEnd"/>
      <w:r w:rsidRPr="00732044">
        <w:rPr>
          <w:rFonts w:ascii="Times New Roman" w:hAnsi="Times New Roman" w:cs="Times New Roman"/>
          <w:sz w:val="28"/>
          <w:szCs w:val="28"/>
        </w:rPr>
        <w:t xml:space="preserve"> N., </w:t>
      </w:r>
      <w:proofErr w:type="spellStart"/>
      <w:proofErr w:type="gramStart"/>
      <w:r w:rsidRPr="00732044">
        <w:rPr>
          <w:rFonts w:ascii="Times New Roman" w:hAnsi="Times New Roman" w:cs="Times New Roman"/>
          <w:sz w:val="28"/>
          <w:szCs w:val="28"/>
        </w:rPr>
        <w:t>Usserbayev</w:t>
      </w:r>
      <w:proofErr w:type="spellEnd"/>
      <w:r w:rsidRPr="00732044">
        <w:rPr>
          <w:rFonts w:ascii="Times New Roman" w:hAnsi="Times New Roman" w:cs="Times New Roman"/>
          <w:sz w:val="28"/>
          <w:szCs w:val="28"/>
        </w:rPr>
        <w:t xml:space="preserve"> ,</w:t>
      </w:r>
      <w:proofErr w:type="gramEnd"/>
      <w:r w:rsidRPr="00732044">
        <w:rPr>
          <w:rFonts w:ascii="Times New Roman" w:hAnsi="Times New Roman" w:cs="Times New Roman"/>
          <w:sz w:val="28"/>
          <w:szCs w:val="28"/>
        </w:rPr>
        <w:t xml:space="preserve"> B., </w:t>
      </w:r>
      <w:proofErr w:type="spellStart"/>
      <w:proofErr w:type="gramStart"/>
      <w:r w:rsidRPr="00732044">
        <w:rPr>
          <w:rFonts w:ascii="Times New Roman" w:hAnsi="Times New Roman" w:cs="Times New Roman"/>
          <w:sz w:val="28"/>
          <w:szCs w:val="28"/>
        </w:rPr>
        <w:t>Melisbek</w:t>
      </w:r>
      <w:proofErr w:type="spellEnd"/>
      <w:r w:rsidRPr="00732044">
        <w:rPr>
          <w:rFonts w:ascii="Times New Roman" w:hAnsi="Times New Roman" w:cs="Times New Roman"/>
          <w:sz w:val="28"/>
          <w:szCs w:val="28"/>
        </w:rPr>
        <w:t xml:space="preserve"> ,</w:t>
      </w:r>
      <w:proofErr w:type="gramEnd"/>
      <w:r w:rsidRPr="00732044">
        <w:rPr>
          <w:rFonts w:ascii="Times New Roman" w:hAnsi="Times New Roman" w:cs="Times New Roman"/>
          <w:sz w:val="28"/>
          <w:szCs w:val="28"/>
        </w:rPr>
        <w:t xml:space="preserve"> A., </w:t>
      </w:r>
      <w:proofErr w:type="spellStart"/>
      <w:proofErr w:type="gramStart"/>
      <w:r w:rsidRPr="00732044">
        <w:rPr>
          <w:rFonts w:ascii="Times New Roman" w:hAnsi="Times New Roman" w:cs="Times New Roman"/>
          <w:sz w:val="28"/>
          <w:szCs w:val="28"/>
        </w:rPr>
        <w:t>Shirinbekov</w:t>
      </w:r>
      <w:proofErr w:type="spellEnd"/>
      <w:r w:rsidRPr="00732044">
        <w:rPr>
          <w:rFonts w:ascii="Times New Roman" w:hAnsi="Times New Roman" w:cs="Times New Roman"/>
          <w:sz w:val="28"/>
          <w:szCs w:val="28"/>
        </w:rPr>
        <w:t xml:space="preserve"> ,</w:t>
      </w:r>
      <w:proofErr w:type="gramEnd"/>
      <w:r w:rsidRPr="00732044">
        <w:rPr>
          <w:rFonts w:ascii="Times New Roman" w:hAnsi="Times New Roman" w:cs="Times New Roman"/>
          <w:sz w:val="28"/>
          <w:szCs w:val="28"/>
        </w:rPr>
        <w:t xml:space="preserve"> M., </w:t>
      </w:r>
      <w:proofErr w:type="spellStart"/>
      <w:r w:rsidRPr="00732044">
        <w:rPr>
          <w:rFonts w:ascii="Times New Roman" w:hAnsi="Times New Roman" w:cs="Times New Roman"/>
          <w:sz w:val="28"/>
          <w:szCs w:val="28"/>
        </w:rPr>
        <w:t>Moldakaryzova</w:t>
      </w:r>
      <w:proofErr w:type="spellEnd"/>
      <w:r w:rsidRPr="00732044">
        <w:rPr>
          <w:rFonts w:ascii="Times New Roman" w:hAnsi="Times New Roman" w:cs="Times New Roman"/>
          <w:sz w:val="28"/>
          <w:szCs w:val="28"/>
        </w:rPr>
        <w:t xml:space="preserve">, A., </w:t>
      </w:r>
      <w:proofErr w:type="spellStart"/>
      <w:proofErr w:type="gramStart"/>
      <w:r w:rsidRPr="00732044">
        <w:rPr>
          <w:rFonts w:ascii="Times New Roman" w:hAnsi="Times New Roman" w:cs="Times New Roman"/>
          <w:sz w:val="28"/>
          <w:szCs w:val="28"/>
        </w:rPr>
        <w:t>Beisenova</w:t>
      </w:r>
      <w:proofErr w:type="spellEnd"/>
      <w:r w:rsidRPr="00732044">
        <w:rPr>
          <w:rFonts w:ascii="Times New Roman" w:hAnsi="Times New Roman" w:cs="Times New Roman"/>
          <w:sz w:val="28"/>
          <w:szCs w:val="28"/>
        </w:rPr>
        <w:t xml:space="preserve"> ,</w:t>
      </w:r>
      <w:proofErr w:type="gramEnd"/>
      <w:r w:rsidRPr="00732044">
        <w:rPr>
          <w:rFonts w:ascii="Times New Roman" w:hAnsi="Times New Roman" w:cs="Times New Roman"/>
          <w:sz w:val="28"/>
          <w:szCs w:val="28"/>
        </w:rPr>
        <w:t xml:space="preserve"> A., </w:t>
      </w:r>
      <w:proofErr w:type="spellStart"/>
      <w:proofErr w:type="gramStart"/>
      <w:r w:rsidRPr="00732044">
        <w:rPr>
          <w:rFonts w:ascii="Times New Roman" w:hAnsi="Times New Roman" w:cs="Times New Roman"/>
          <w:sz w:val="28"/>
          <w:szCs w:val="28"/>
        </w:rPr>
        <w:t>Mustafaeva</w:t>
      </w:r>
      <w:proofErr w:type="spellEnd"/>
      <w:r w:rsidRPr="00732044">
        <w:rPr>
          <w:rFonts w:ascii="Times New Roman" w:hAnsi="Times New Roman" w:cs="Times New Roman"/>
          <w:sz w:val="28"/>
          <w:szCs w:val="28"/>
        </w:rPr>
        <w:t xml:space="preserve"> ,</w:t>
      </w:r>
      <w:proofErr w:type="gramEnd"/>
      <w:r w:rsidRPr="00732044">
        <w:rPr>
          <w:rFonts w:ascii="Times New Roman" w:hAnsi="Times New Roman" w:cs="Times New Roman"/>
          <w:sz w:val="28"/>
          <w:szCs w:val="28"/>
        </w:rPr>
        <w:t xml:space="preserve"> A., &amp; </w:t>
      </w:r>
      <w:proofErr w:type="gramStart"/>
      <w:r w:rsidRPr="00732044">
        <w:rPr>
          <w:rFonts w:ascii="Times New Roman" w:hAnsi="Times New Roman" w:cs="Times New Roman"/>
          <w:sz w:val="28"/>
          <w:szCs w:val="28"/>
        </w:rPr>
        <w:t>Kydyrbaeva ,</w:t>
      </w:r>
      <w:proofErr w:type="gramEnd"/>
      <w:r w:rsidRPr="00732044">
        <w:rPr>
          <w:rFonts w:ascii="Times New Roman" w:hAnsi="Times New Roman" w:cs="Times New Roman"/>
          <w:sz w:val="28"/>
          <w:szCs w:val="28"/>
        </w:rPr>
        <w:t xml:space="preserve"> A. Targeted in vitro- confirmation of the antiviral activity of Tenvir (Tenofovir) drug against the SARS-COV-2 virus variant B. in Kazakhstan and identifying NSP12 in the viral genome. // Eurasian Journal of Applied </w:t>
      </w:r>
      <w:r w:rsidR="007316BC" w:rsidRPr="00732044">
        <w:rPr>
          <w:rFonts w:ascii="Times New Roman" w:hAnsi="Times New Roman" w:cs="Times New Roman"/>
          <w:sz w:val="28"/>
          <w:szCs w:val="28"/>
        </w:rPr>
        <w:t xml:space="preserve">Biotechnology. </w:t>
      </w:r>
      <w:r w:rsidRPr="00732044">
        <w:rPr>
          <w:rFonts w:ascii="Times New Roman" w:hAnsi="Times New Roman" w:cs="Times New Roman"/>
          <w:sz w:val="28"/>
          <w:szCs w:val="28"/>
        </w:rPr>
        <w:t>-</w:t>
      </w:r>
      <w:r w:rsidR="007316BC" w:rsidRPr="00732044">
        <w:rPr>
          <w:rFonts w:ascii="Times New Roman" w:hAnsi="Times New Roman" w:cs="Times New Roman"/>
          <w:sz w:val="28"/>
          <w:szCs w:val="28"/>
        </w:rPr>
        <w:t xml:space="preserve"> </w:t>
      </w:r>
      <w:r w:rsidRPr="00732044">
        <w:rPr>
          <w:rFonts w:ascii="Times New Roman" w:hAnsi="Times New Roman" w:cs="Times New Roman"/>
          <w:sz w:val="28"/>
          <w:szCs w:val="28"/>
        </w:rPr>
        <w:t xml:space="preserve">2024.-Vol.2.-P. 49–60. </w:t>
      </w:r>
      <w:hyperlink r:id="rId162" w:history="1">
        <w:r w:rsidRPr="00732044">
          <w:rPr>
            <w:rStyle w:val="a5"/>
            <w:rFonts w:ascii="Times New Roman" w:hAnsi="Times New Roman" w:cs="Times New Roman"/>
            <w:sz w:val="28"/>
            <w:szCs w:val="28"/>
          </w:rPr>
          <w:t>https://doi.org/10.11134/btp.2.2024.6</w:t>
        </w:r>
      </w:hyperlink>
      <w:r w:rsidR="00362703" w:rsidRPr="00732044">
        <w:rPr>
          <w:rFonts w:ascii="Times New Roman" w:hAnsi="Times New Roman" w:cs="Times New Roman"/>
          <w:sz w:val="28"/>
          <w:szCs w:val="28"/>
        </w:rPr>
        <w:t>.</w:t>
      </w:r>
    </w:p>
    <w:p w14:paraId="677FB728" w14:textId="6EE4784E" w:rsidR="00515BFF" w:rsidRPr="00732044" w:rsidRDefault="00515BFF" w:rsidP="00524D6E">
      <w:pPr>
        <w:numPr>
          <w:ilvl w:val="0"/>
          <w:numId w:val="7"/>
        </w:numPr>
        <w:spacing w:after="0" w:line="240" w:lineRule="auto"/>
        <w:ind w:left="0" w:firstLine="0"/>
        <w:jc w:val="both"/>
        <w:rPr>
          <w:rFonts w:ascii="Times New Roman" w:hAnsi="Times New Roman" w:cs="Times New Roman"/>
          <w:sz w:val="28"/>
          <w:szCs w:val="28"/>
        </w:rPr>
      </w:pPr>
      <w:r w:rsidRPr="00732044">
        <w:rPr>
          <w:rFonts w:ascii="Times New Roman" w:hAnsi="Times New Roman" w:cs="Times New Roman"/>
          <w:sz w:val="28"/>
          <w:szCs w:val="28"/>
        </w:rPr>
        <w:t xml:space="preserve">Artik Y, Cesur NP, </w:t>
      </w:r>
      <w:proofErr w:type="spellStart"/>
      <w:r w:rsidRPr="00732044">
        <w:rPr>
          <w:rFonts w:ascii="Times New Roman" w:hAnsi="Times New Roman" w:cs="Times New Roman"/>
          <w:sz w:val="28"/>
          <w:szCs w:val="28"/>
        </w:rPr>
        <w:t>Laçin</w:t>
      </w:r>
      <w:proofErr w:type="spellEnd"/>
      <w:r w:rsidRPr="00732044">
        <w:rPr>
          <w:rFonts w:ascii="Times New Roman" w:hAnsi="Times New Roman" w:cs="Times New Roman"/>
          <w:sz w:val="28"/>
          <w:szCs w:val="28"/>
        </w:rPr>
        <w:t xml:space="preserve"> NT. SARS-CoV-2 Mutations, Diagnosis and Their Concern. /</w:t>
      </w:r>
      <w:proofErr w:type="gramStart"/>
      <w:r w:rsidRPr="00732044">
        <w:rPr>
          <w:rFonts w:ascii="Times New Roman" w:hAnsi="Times New Roman" w:cs="Times New Roman"/>
          <w:sz w:val="28"/>
          <w:szCs w:val="28"/>
        </w:rPr>
        <w:t>/  Arch</w:t>
      </w:r>
      <w:proofErr w:type="gramEnd"/>
      <w:r w:rsidRPr="00732044">
        <w:rPr>
          <w:rFonts w:ascii="Times New Roman" w:hAnsi="Times New Roman" w:cs="Times New Roman"/>
          <w:sz w:val="28"/>
          <w:szCs w:val="28"/>
        </w:rPr>
        <w:t xml:space="preserve"> Mol </w:t>
      </w:r>
      <w:proofErr w:type="spellStart"/>
      <w:r w:rsidRPr="00732044">
        <w:rPr>
          <w:rFonts w:ascii="Times New Roman" w:hAnsi="Times New Roman" w:cs="Times New Roman"/>
          <w:sz w:val="28"/>
          <w:szCs w:val="28"/>
        </w:rPr>
        <w:t>Biol</w:t>
      </w:r>
      <w:proofErr w:type="spellEnd"/>
      <w:r w:rsidRPr="00732044">
        <w:rPr>
          <w:rFonts w:ascii="Times New Roman" w:hAnsi="Times New Roman" w:cs="Times New Roman"/>
          <w:sz w:val="28"/>
          <w:szCs w:val="28"/>
        </w:rPr>
        <w:t xml:space="preserve"> </w:t>
      </w:r>
      <w:proofErr w:type="gramStart"/>
      <w:r w:rsidRPr="00732044">
        <w:rPr>
          <w:rFonts w:ascii="Times New Roman" w:hAnsi="Times New Roman" w:cs="Times New Roman"/>
          <w:sz w:val="28"/>
          <w:szCs w:val="28"/>
        </w:rPr>
        <w:t>Genet.-</w:t>
      </w:r>
      <w:proofErr w:type="gramEnd"/>
      <w:r w:rsidRPr="00732044">
        <w:rPr>
          <w:rFonts w:ascii="Times New Roman" w:hAnsi="Times New Roman" w:cs="Times New Roman"/>
          <w:sz w:val="28"/>
          <w:szCs w:val="28"/>
        </w:rPr>
        <w:t xml:space="preserve"> 2022. -Vol.2 -P. 57-65.  </w:t>
      </w:r>
      <w:hyperlink r:id="rId163" w:history="1">
        <w:r w:rsidR="00FB361A" w:rsidRPr="00732044">
          <w:rPr>
            <w:rStyle w:val="a5"/>
            <w:rFonts w:ascii="Times New Roman" w:hAnsi="Times New Roman" w:cs="Times New Roman"/>
            <w:sz w:val="28"/>
            <w:szCs w:val="28"/>
          </w:rPr>
          <w:t>https://doi.org/10.33696/genetics.1.008</w:t>
        </w:r>
      </w:hyperlink>
      <w:r w:rsidR="00362703" w:rsidRPr="00732044">
        <w:rPr>
          <w:rFonts w:ascii="Times New Roman" w:hAnsi="Times New Roman" w:cs="Times New Roman"/>
          <w:sz w:val="28"/>
          <w:szCs w:val="28"/>
        </w:rPr>
        <w:t>.</w:t>
      </w:r>
      <w:r w:rsidR="00FB361A" w:rsidRPr="00732044">
        <w:rPr>
          <w:rFonts w:ascii="Times New Roman" w:hAnsi="Times New Roman" w:cs="Times New Roman"/>
          <w:sz w:val="28"/>
          <w:szCs w:val="28"/>
        </w:rPr>
        <w:t xml:space="preserve"> </w:t>
      </w:r>
    </w:p>
    <w:p w14:paraId="18802B83" w14:textId="760D14D0" w:rsidR="002F7144" w:rsidRPr="00732044" w:rsidRDefault="00223765" w:rsidP="00524D6E">
      <w:pPr>
        <w:numPr>
          <w:ilvl w:val="0"/>
          <w:numId w:val="7"/>
        </w:numPr>
        <w:spacing w:after="0" w:line="240" w:lineRule="auto"/>
        <w:ind w:left="0" w:firstLine="0"/>
        <w:jc w:val="both"/>
        <w:rPr>
          <w:rFonts w:ascii="Times New Roman" w:hAnsi="Times New Roman" w:cs="Times New Roman"/>
          <w:sz w:val="28"/>
          <w:szCs w:val="28"/>
        </w:rPr>
      </w:pPr>
      <w:r w:rsidRPr="00732044">
        <w:rPr>
          <w:rFonts w:ascii="Times New Roman" w:hAnsi="Times New Roman" w:cs="Times New Roman"/>
          <w:sz w:val="28"/>
          <w:szCs w:val="28"/>
        </w:rPr>
        <w:t xml:space="preserve">Saken Khaidarov. </w:t>
      </w:r>
      <w:r w:rsidR="002F7144" w:rsidRPr="00732044">
        <w:rPr>
          <w:rFonts w:ascii="Times New Roman" w:hAnsi="Times New Roman" w:cs="Times New Roman"/>
          <w:sz w:val="28"/>
          <w:szCs w:val="28"/>
        </w:rPr>
        <w:t xml:space="preserve">Antiviral IL-33-stimulated group 2 innate lymphoid cells (CD-90 and CD-117) from mouse lungs. // Eurasian Journal of Applied Biotechnology. -2024.-Vol.4.-P. 84–90. </w:t>
      </w:r>
      <w:hyperlink r:id="rId164" w:history="1">
        <w:r w:rsidR="002F7144" w:rsidRPr="00732044">
          <w:rPr>
            <w:rStyle w:val="a5"/>
            <w:rFonts w:ascii="Times New Roman" w:hAnsi="Times New Roman" w:cs="Times New Roman"/>
            <w:sz w:val="28"/>
            <w:szCs w:val="28"/>
          </w:rPr>
          <w:t>https://doi.org/10.11134/btp.4.2024.8</w:t>
        </w:r>
      </w:hyperlink>
      <w:r w:rsidR="00362703" w:rsidRPr="00732044">
        <w:rPr>
          <w:rFonts w:ascii="Times New Roman" w:hAnsi="Times New Roman" w:cs="Times New Roman"/>
          <w:sz w:val="28"/>
          <w:szCs w:val="28"/>
        </w:rPr>
        <w:t>.</w:t>
      </w:r>
      <w:r w:rsidR="002F7144" w:rsidRPr="00732044">
        <w:rPr>
          <w:rFonts w:ascii="Times New Roman" w:hAnsi="Times New Roman" w:cs="Times New Roman"/>
          <w:sz w:val="28"/>
          <w:szCs w:val="28"/>
        </w:rPr>
        <w:t xml:space="preserve"> </w:t>
      </w:r>
    </w:p>
    <w:p w14:paraId="15E8DD37" w14:textId="4F65236E" w:rsidR="002F7144" w:rsidRPr="00732044" w:rsidRDefault="00B54AF9" w:rsidP="00524D6E">
      <w:pPr>
        <w:numPr>
          <w:ilvl w:val="0"/>
          <w:numId w:val="7"/>
        </w:numPr>
        <w:spacing w:after="0" w:line="240" w:lineRule="auto"/>
        <w:ind w:left="0" w:firstLine="0"/>
        <w:jc w:val="both"/>
        <w:rPr>
          <w:rFonts w:ascii="Times New Roman" w:hAnsi="Times New Roman" w:cs="Times New Roman"/>
          <w:sz w:val="28"/>
          <w:szCs w:val="28"/>
        </w:rPr>
      </w:pPr>
      <w:proofErr w:type="spellStart"/>
      <w:r w:rsidRPr="00732044">
        <w:rPr>
          <w:rFonts w:ascii="Times New Roman" w:hAnsi="Times New Roman" w:cs="Times New Roman"/>
          <w:sz w:val="28"/>
          <w:szCs w:val="28"/>
        </w:rPr>
        <w:t>Leowattana</w:t>
      </w:r>
      <w:proofErr w:type="spellEnd"/>
      <w:r w:rsidRPr="00732044">
        <w:rPr>
          <w:rFonts w:ascii="Times New Roman" w:hAnsi="Times New Roman" w:cs="Times New Roman"/>
          <w:sz w:val="28"/>
          <w:szCs w:val="28"/>
        </w:rPr>
        <w:t xml:space="preserve"> W, </w:t>
      </w:r>
      <w:proofErr w:type="spellStart"/>
      <w:r w:rsidRPr="00732044">
        <w:rPr>
          <w:rFonts w:ascii="Times New Roman" w:hAnsi="Times New Roman" w:cs="Times New Roman"/>
          <w:sz w:val="28"/>
          <w:szCs w:val="28"/>
        </w:rPr>
        <w:t>Leowattana</w:t>
      </w:r>
      <w:proofErr w:type="spellEnd"/>
      <w:r w:rsidRPr="00732044">
        <w:rPr>
          <w:rFonts w:ascii="Times New Roman" w:hAnsi="Times New Roman" w:cs="Times New Roman"/>
          <w:sz w:val="28"/>
          <w:szCs w:val="28"/>
        </w:rPr>
        <w:t xml:space="preserve"> T, </w:t>
      </w:r>
      <w:proofErr w:type="spellStart"/>
      <w:r w:rsidRPr="00732044">
        <w:rPr>
          <w:rFonts w:ascii="Times New Roman" w:hAnsi="Times New Roman" w:cs="Times New Roman"/>
          <w:sz w:val="28"/>
          <w:szCs w:val="28"/>
        </w:rPr>
        <w:t>Leowattana</w:t>
      </w:r>
      <w:proofErr w:type="spellEnd"/>
      <w:r w:rsidRPr="00732044">
        <w:rPr>
          <w:rFonts w:ascii="Times New Roman" w:hAnsi="Times New Roman" w:cs="Times New Roman"/>
          <w:sz w:val="28"/>
          <w:szCs w:val="28"/>
        </w:rPr>
        <w:t xml:space="preserve"> P. SARS-CoV-2 viral load in the upper respiratory tract and disease severity in COVID-19 patients. // World J Meta-Anal. - 2022; -Vol. 10.-P. 195-205.  </w:t>
      </w:r>
      <w:hyperlink r:id="rId165" w:history="1">
        <w:r w:rsidRPr="00732044">
          <w:rPr>
            <w:rStyle w:val="a5"/>
            <w:rFonts w:ascii="Times New Roman" w:hAnsi="Times New Roman" w:cs="Times New Roman"/>
            <w:sz w:val="28"/>
            <w:szCs w:val="28"/>
          </w:rPr>
          <w:t>http://dx.doi.org/10.13105/wjma.v10.i4.195</w:t>
        </w:r>
      </w:hyperlink>
      <w:r w:rsidR="00362703" w:rsidRPr="00732044">
        <w:rPr>
          <w:rFonts w:ascii="Times New Roman" w:hAnsi="Times New Roman" w:cs="Times New Roman"/>
          <w:sz w:val="28"/>
          <w:szCs w:val="28"/>
        </w:rPr>
        <w:t>.</w:t>
      </w:r>
    </w:p>
    <w:p w14:paraId="7DB0A622" w14:textId="77777777" w:rsidR="00734C9B" w:rsidRPr="00732044" w:rsidRDefault="00734C9B" w:rsidP="00524D6E">
      <w:pPr>
        <w:numPr>
          <w:ilvl w:val="0"/>
          <w:numId w:val="7"/>
        </w:numPr>
        <w:spacing w:after="0" w:line="240" w:lineRule="auto"/>
        <w:ind w:left="0" w:firstLine="0"/>
        <w:jc w:val="both"/>
        <w:rPr>
          <w:rFonts w:ascii="Times New Roman" w:hAnsi="Times New Roman" w:cs="Times New Roman"/>
          <w:sz w:val="28"/>
          <w:szCs w:val="28"/>
        </w:rPr>
      </w:pPr>
      <w:r w:rsidRPr="00732044">
        <w:rPr>
          <w:rFonts w:ascii="Times New Roman" w:hAnsi="Times New Roman" w:cs="Times New Roman"/>
          <w:sz w:val="28"/>
          <w:szCs w:val="28"/>
        </w:rPr>
        <w:t>Hansel TT, Johnston SL, Openshaw PJ Microbes and mucosal immune responses in asthma // Lancet. – 2013.- Vol. 381.-P. 861–873.</w:t>
      </w:r>
    </w:p>
    <w:p w14:paraId="7CE255B1" w14:textId="77777777" w:rsidR="00734C9B" w:rsidRPr="00732044" w:rsidRDefault="00734C9B" w:rsidP="00524D6E">
      <w:pPr>
        <w:numPr>
          <w:ilvl w:val="0"/>
          <w:numId w:val="7"/>
        </w:numPr>
        <w:spacing w:after="0" w:line="240" w:lineRule="auto"/>
        <w:ind w:left="0" w:firstLine="0"/>
        <w:jc w:val="both"/>
        <w:rPr>
          <w:rFonts w:ascii="Times New Roman" w:hAnsi="Times New Roman" w:cs="Times New Roman"/>
          <w:sz w:val="28"/>
          <w:szCs w:val="28"/>
        </w:rPr>
      </w:pPr>
      <w:r w:rsidRPr="00732044">
        <w:rPr>
          <w:rFonts w:ascii="Times New Roman" w:hAnsi="Times New Roman" w:cs="Times New Roman"/>
          <w:sz w:val="28"/>
          <w:szCs w:val="28"/>
        </w:rPr>
        <w:t>2. Wynn TA Type 2 cytokines: mechanisms and therapeutic strategies. // Nat Rev Immunol. -205.-Vol. 15. -P. 271–282.</w:t>
      </w:r>
    </w:p>
    <w:p w14:paraId="3A9A33D5" w14:textId="5F149B39" w:rsidR="00617B80" w:rsidRPr="00732044" w:rsidRDefault="00617B80" w:rsidP="00524D6E">
      <w:pPr>
        <w:numPr>
          <w:ilvl w:val="0"/>
          <w:numId w:val="7"/>
        </w:numPr>
        <w:spacing w:after="0" w:line="240" w:lineRule="auto"/>
        <w:ind w:left="0" w:firstLine="0"/>
        <w:jc w:val="both"/>
        <w:rPr>
          <w:rFonts w:ascii="Times New Roman" w:hAnsi="Times New Roman" w:cs="Times New Roman"/>
          <w:sz w:val="28"/>
          <w:szCs w:val="28"/>
        </w:rPr>
      </w:pPr>
      <w:r w:rsidRPr="00732044">
        <w:rPr>
          <w:rFonts w:ascii="Times New Roman" w:hAnsi="Times New Roman" w:cs="Times New Roman"/>
          <w:sz w:val="28"/>
          <w:szCs w:val="28"/>
        </w:rPr>
        <w:t>Edwards MR, Bartlett NW, Hussell T, Openshaw P, Johnston SL the microbiology of asthma. // Nat Rev Microbiol. -2012.-Vol 10. -P. 459–471.</w:t>
      </w:r>
    </w:p>
    <w:p w14:paraId="4433C532" w14:textId="42E57D34" w:rsidR="00734C9B" w:rsidRPr="00732044" w:rsidRDefault="008409C2" w:rsidP="00524D6E">
      <w:pPr>
        <w:numPr>
          <w:ilvl w:val="0"/>
          <w:numId w:val="7"/>
        </w:numPr>
        <w:spacing w:after="0" w:line="240" w:lineRule="auto"/>
        <w:ind w:left="0" w:firstLine="0"/>
        <w:jc w:val="both"/>
        <w:rPr>
          <w:rFonts w:ascii="Times New Roman" w:hAnsi="Times New Roman" w:cs="Times New Roman"/>
          <w:sz w:val="28"/>
          <w:szCs w:val="28"/>
        </w:rPr>
      </w:pPr>
      <w:r w:rsidRPr="00732044">
        <w:rPr>
          <w:rFonts w:ascii="Times New Roman" w:hAnsi="Times New Roman" w:cs="Times New Roman"/>
          <w:sz w:val="28"/>
          <w:szCs w:val="28"/>
        </w:rPr>
        <w:lastRenderedPageBreak/>
        <w:t>Diefenbach A, Colonna M, Koyasu S. Development, differentiation, and diversity of innate lymphoid cells. // Immunity. -2014.- Vol.41.-P. 354–365.</w:t>
      </w:r>
    </w:p>
    <w:p w14:paraId="66F8D5DE" w14:textId="53AEA86D" w:rsidR="00921713" w:rsidRPr="00732044" w:rsidRDefault="00921713" w:rsidP="00524D6E">
      <w:pPr>
        <w:pStyle w:val="af1"/>
        <w:numPr>
          <w:ilvl w:val="0"/>
          <w:numId w:val="7"/>
        </w:numPr>
        <w:spacing w:after="0" w:line="240" w:lineRule="auto"/>
        <w:ind w:left="0" w:firstLine="0"/>
        <w:jc w:val="both"/>
        <w:rPr>
          <w:rFonts w:ascii="Times New Roman" w:hAnsi="Times New Roman" w:cs="Times New Roman"/>
          <w:sz w:val="28"/>
          <w:szCs w:val="28"/>
        </w:rPr>
      </w:pPr>
      <w:r w:rsidRPr="00732044">
        <w:rPr>
          <w:rFonts w:ascii="Times New Roman" w:hAnsi="Times New Roman" w:cs="Times New Roman"/>
          <w:sz w:val="28"/>
          <w:szCs w:val="28"/>
        </w:rPr>
        <w:t xml:space="preserve">Bayan Nurgaliyeva, Saken Khaidarov, et.al.  </w:t>
      </w:r>
      <w:r w:rsidR="00E63542" w:rsidRPr="00732044">
        <w:rPr>
          <w:rFonts w:ascii="Times New Roman" w:hAnsi="Times New Roman" w:cs="Times New Roman"/>
          <w:sz w:val="28"/>
          <w:szCs w:val="28"/>
        </w:rPr>
        <w:t xml:space="preserve">A Case </w:t>
      </w:r>
      <w:r w:rsidRPr="00732044">
        <w:rPr>
          <w:rFonts w:ascii="Times New Roman" w:hAnsi="Times New Roman" w:cs="Times New Roman"/>
          <w:sz w:val="28"/>
          <w:szCs w:val="28"/>
        </w:rPr>
        <w:t>of</w:t>
      </w:r>
      <w:r w:rsidR="00E63542" w:rsidRPr="00732044">
        <w:rPr>
          <w:rFonts w:ascii="Times New Roman" w:hAnsi="Times New Roman" w:cs="Times New Roman"/>
          <w:sz w:val="28"/>
          <w:szCs w:val="28"/>
        </w:rPr>
        <w:t xml:space="preserve"> Autoimmune Complications Following Covid-19 Vaccination </w:t>
      </w:r>
      <w:r w:rsidRPr="00732044">
        <w:rPr>
          <w:rFonts w:ascii="Times New Roman" w:hAnsi="Times New Roman" w:cs="Times New Roman"/>
          <w:sz w:val="28"/>
          <w:szCs w:val="28"/>
        </w:rPr>
        <w:t>with</w:t>
      </w:r>
      <w:r w:rsidR="00E63542" w:rsidRPr="00732044">
        <w:rPr>
          <w:rFonts w:ascii="Times New Roman" w:hAnsi="Times New Roman" w:cs="Times New Roman"/>
          <w:sz w:val="28"/>
          <w:szCs w:val="28"/>
        </w:rPr>
        <w:t xml:space="preserve"> Sinovac-</w:t>
      </w:r>
      <w:r w:rsidRPr="00732044">
        <w:rPr>
          <w:rFonts w:ascii="Times New Roman" w:hAnsi="Times New Roman" w:cs="Times New Roman"/>
          <w:sz w:val="28"/>
          <w:szCs w:val="28"/>
        </w:rPr>
        <w:t>CoronaVac</w:t>
      </w:r>
      <w:r w:rsidR="00E63542" w:rsidRPr="00732044">
        <w:rPr>
          <w:rFonts w:ascii="Times New Roman" w:hAnsi="Times New Roman" w:cs="Times New Roman"/>
          <w:sz w:val="28"/>
          <w:szCs w:val="28"/>
        </w:rPr>
        <w:t xml:space="preserve"> (China)</w:t>
      </w:r>
      <w:r w:rsidRPr="00732044">
        <w:rPr>
          <w:rFonts w:ascii="Times New Roman" w:hAnsi="Times New Roman" w:cs="Times New Roman"/>
          <w:sz w:val="28"/>
          <w:szCs w:val="28"/>
        </w:rPr>
        <w:t xml:space="preserve"> // </w:t>
      </w:r>
      <w:proofErr w:type="spellStart"/>
      <w:r w:rsidRPr="00732044">
        <w:rPr>
          <w:rFonts w:ascii="Times New Roman" w:hAnsi="Times New Roman" w:cs="Times New Roman"/>
          <w:sz w:val="28"/>
          <w:szCs w:val="28"/>
        </w:rPr>
        <w:t>Наука</w:t>
      </w:r>
      <w:proofErr w:type="spellEnd"/>
      <w:r w:rsidRPr="00732044">
        <w:rPr>
          <w:rFonts w:ascii="Times New Roman" w:hAnsi="Times New Roman" w:cs="Times New Roman"/>
          <w:sz w:val="28"/>
          <w:szCs w:val="28"/>
        </w:rPr>
        <w:t xml:space="preserve"> и </w:t>
      </w:r>
      <w:proofErr w:type="spellStart"/>
      <w:r w:rsidRPr="00732044">
        <w:rPr>
          <w:rFonts w:ascii="Times New Roman" w:hAnsi="Times New Roman" w:cs="Times New Roman"/>
          <w:sz w:val="28"/>
          <w:szCs w:val="28"/>
        </w:rPr>
        <w:t>здравоохранение</w:t>
      </w:r>
      <w:proofErr w:type="spellEnd"/>
      <w:r w:rsidRPr="00732044">
        <w:rPr>
          <w:rFonts w:ascii="Times New Roman" w:hAnsi="Times New Roman" w:cs="Times New Roman"/>
          <w:sz w:val="28"/>
          <w:szCs w:val="28"/>
        </w:rPr>
        <w:t>. – 2024.-Vol.4.-P. 230-233.</w:t>
      </w:r>
      <w:r w:rsidR="00AD0B83">
        <w:rPr>
          <w:rFonts w:ascii="Times New Roman" w:hAnsi="Times New Roman" w:cs="Times New Roman"/>
          <w:sz w:val="28"/>
          <w:szCs w:val="28"/>
        </w:rPr>
        <w:t xml:space="preserve"> </w:t>
      </w:r>
      <w:hyperlink r:id="rId166" w:history="1">
        <w:r w:rsidRPr="00732044">
          <w:rPr>
            <w:rStyle w:val="a5"/>
            <w:rFonts w:ascii="Times New Roman" w:hAnsi="Times New Roman" w:cs="Times New Roman"/>
            <w:sz w:val="28"/>
            <w:szCs w:val="28"/>
          </w:rPr>
          <w:t>10.34689/SH.2024.26.6.026</w:t>
        </w:r>
      </w:hyperlink>
      <w:r w:rsidRPr="00732044">
        <w:rPr>
          <w:rFonts w:ascii="Times New Roman" w:hAnsi="Times New Roman" w:cs="Times New Roman"/>
          <w:sz w:val="28"/>
          <w:szCs w:val="28"/>
        </w:rPr>
        <w:t xml:space="preserve"> </w:t>
      </w:r>
    </w:p>
    <w:p w14:paraId="71B1937E" w14:textId="514CC719" w:rsidR="00EA24BA" w:rsidRPr="00732044" w:rsidRDefault="00EA24BA" w:rsidP="00524D6E">
      <w:pPr>
        <w:pStyle w:val="af1"/>
        <w:numPr>
          <w:ilvl w:val="0"/>
          <w:numId w:val="7"/>
        </w:numPr>
        <w:spacing w:after="0" w:line="240" w:lineRule="auto"/>
        <w:ind w:left="0" w:firstLine="0"/>
        <w:jc w:val="both"/>
        <w:rPr>
          <w:rFonts w:ascii="Times New Roman" w:hAnsi="Times New Roman" w:cs="Times New Roman"/>
          <w:sz w:val="28"/>
          <w:szCs w:val="28"/>
        </w:rPr>
      </w:pPr>
      <w:r w:rsidRPr="00732044">
        <w:rPr>
          <w:rFonts w:ascii="Times New Roman" w:hAnsi="Times New Roman" w:cs="Times New Roman"/>
          <w:sz w:val="28"/>
          <w:szCs w:val="28"/>
        </w:rPr>
        <w:t xml:space="preserve">Saken Khaidarov, Yerbol Burashev. </w:t>
      </w:r>
      <w:r w:rsidRPr="00732044">
        <w:rPr>
          <w:rFonts w:ascii="Times New Roman" w:hAnsi="Times New Roman" w:cs="Times New Roman"/>
          <w:bCs/>
          <w:sz w:val="28"/>
          <w:szCs w:val="28"/>
        </w:rPr>
        <w:t xml:space="preserve">The SARS-CoV-2 epoch and proper managing strategies to face the challenges both in viral research and treatment// </w:t>
      </w:r>
      <w:proofErr w:type="spellStart"/>
      <w:r w:rsidRPr="00732044">
        <w:rPr>
          <w:rFonts w:ascii="Times New Roman" w:hAnsi="Times New Roman" w:cs="Times New Roman"/>
          <w:bCs/>
          <w:sz w:val="28"/>
          <w:szCs w:val="28"/>
        </w:rPr>
        <w:t>Казахский</w:t>
      </w:r>
      <w:proofErr w:type="spellEnd"/>
      <w:r w:rsidRPr="00732044">
        <w:rPr>
          <w:rFonts w:ascii="Times New Roman" w:hAnsi="Times New Roman" w:cs="Times New Roman"/>
          <w:bCs/>
          <w:sz w:val="28"/>
          <w:szCs w:val="28"/>
        </w:rPr>
        <w:t xml:space="preserve"> </w:t>
      </w:r>
      <w:proofErr w:type="spellStart"/>
      <w:r w:rsidRPr="00732044">
        <w:rPr>
          <w:rFonts w:ascii="Times New Roman" w:hAnsi="Times New Roman" w:cs="Times New Roman"/>
          <w:bCs/>
          <w:sz w:val="28"/>
          <w:szCs w:val="28"/>
        </w:rPr>
        <w:t>Национальный</w:t>
      </w:r>
      <w:proofErr w:type="spellEnd"/>
      <w:r w:rsidRPr="00732044">
        <w:rPr>
          <w:rFonts w:ascii="Times New Roman" w:hAnsi="Times New Roman" w:cs="Times New Roman"/>
          <w:bCs/>
          <w:sz w:val="28"/>
          <w:szCs w:val="28"/>
        </w:rPr>
        <w:t xml:space="preserve"> </w:t>
      </w:r>
      <w:proofErr w:type="spellStart"/>
      <w:r w:rsidRPr="00732044">
        <w:rPr>
          <w:rFonts w:ascii="Times New Roman" w:hAnsi="Times New Roman" w:cs="Times New Roman"/>
          <w:bCs/>
          <w:sz w:val="28"/>
          <w:szCs w:val="28"/>
        </w:rPr>
        <w:t>Университет</w:t>
      </w:r>
      <w:proofErr w:type="spellEnd"/>
      <w:r w:rsidRPr="00732044">
        <w:rPr>
          <w:rFonts w:ascii="Times New Roman" w:hAnsi="Times New Roman" w:cs="Times New Roman"/>
          <w:bCs/>
          <w:sz w:val="28"/>
          <w:szCs w:val="28"/>
        </w:rPr>
        <w:t xml:space="preserve"> </w:t>
      </w:r>
      <w:proofErr w:type="spellStart"/>
      <w:r w:rsidRPr="00732044">
        <w:rPr>
          <w:rFonts w:ascii="Times New Roman" w:hAnsi="Times New Roman" w:cs="Times New Roman"/>
          <w:bCs/>
          <w:sz w:val="28"/>
          <w:szCs w:val="28"/>
        </w:rPr>
        <w:t>Имени</w:t>
      </w:r>
      <w:proofErr w:type="spellEnd"/>
      <w:r w:rsidRPr="00732044">
        <w:rPr>
          <w:rFonts w:ascii="Times New Roman" w:hAnsi="Times New Roman" w:cs="Times New Roman"/>
          <w:bCs/>
          <w:sz w:val="28"/>
          <w:szCs w:val="28"/>
        </w:rPr>
        <w:t xml:space="preserve"> Аль-</w:t>
      </w:r>
      <w:proofErr w:type="spellStart"/>
      <w:r w:rsidRPr="00732044">
        <w:rPr>
          <w:rFonts w:ascii="Times New Roman" w:hAnsi="Times New Roman" w:cs="Times New Roman"/>
          <w:bCs/>
          <w:sz w:val="28"/>
          <w:szCs w:val="28"/>
        </w:rPr>
        <w:t>Фараби</w:t>
      </w:r>
      <w:proofErr w:type="spellEnd"/>
      <w:r w:rsidRPr="00732044">
        <w:rPr>
          <w:rFonts w:ascii="Times New Roman" w:hAnsi="Times New Roman" w:cs="Times New Roman"/>
          <w:bCs/>
          <w:sz w:val="28"/>
          <w:szCs w:val="28"/>
        </w:rPr>
        <w:t xml:space="preserve"> </w:t>
      </w:r>
      <w:proofErr w:type="spellStart"/>
      <w:r w:rsidRPr="00732044">
        <w:rPr>
          <w:rFonts w:ascii="Times New Roman" w:hAnsi="Times New Roman" w:cs="Times New Roman"/>
          <w:bCs/>
          <w:sz w:val="28"/>
          <w:szCs w:val="28"/>
        </w:rPr>
        <w:t>Вестник</w:t>
      </w:r>
      <w:proofErr w:type="spellEnd"/>
      <w:r w:rsidRPr="00732044">
        <w:rPr>
          <w:rFonts w:ascii="Times New Roman" w:hAnsi="Times New Roman" w:cs="Times New Roman"/>
          <w:bCs/>
          <w:sz w:val="28"/>
          <w:szCs w:val="28"/>
        </w:rPr>
        <w:t xml:space="preserve"> </w:t>
      </w:r>
      <w:proofErr w:type="spellStart"/>
      <w:r w:rsidRPr="00732044">
        <w:rPr>
          <w:rFonts w:ascii="Times New Roman" w:hAnsi="Times New Roman" w:cs="Times New Roman"/>
          <w:bCs/>
          <w:sz w:val="28"/>
          <w:szCs w:val="28"/>
        </w:rPr>
        <w:t>Серия</w:t>
      </w:r>
      <w:proofErr w:type="spellEnd"/>
      <w:r w:rsidRPr="00732044">
        <w:rPr>
          <w:rFonts w:ascii="Times New Roman" w:hAnsi="Times New Roman" w:cs="Times New Roman"/>
          <w:bCs/>
          <w:sz w:val="28"/>
          <w:szCs w:val="28"/>
        </w:rPr>
        <w:t xml:space="preserve"> </w:t>
      </w:r>
      <w:proofErr w:type="spellStart"/>
      <w:r w:rsidRPr="00732044">
        <w:rPr>
          <w:rFonts w:ascii="Times New Roman" w:hAnsi="Times New Roman" w:cs="Times New Roman"/>
          <w:bCs/>
          <w:sz w:val="28"/>
          <w:szCs w:val="28"/>
        </w:rPr>
        <w:t>биологическая</w:t>
      </w:r>
      <w:proofErr w:type="spellEnd"/>
      <w:r w:rsidRPr="00732044">
        <w:rPr>
          <w:rFonts w:ascii="Times New Roman" w:hAnsi="Times New Roman" w:cs="Times New Roman"/>
          <w:bCs/>
          <w:sz w:val="28"/>
          <w:szCs w:val="28"/>
        </w:rPr>
        <w:t xml:space="preserve">. - 2023.-Vol. 3.-P. 4-25.  </w:t>
      </w:r>
      <w:hyperlink r:id="rId167" w:history="1">
        <w:r w:rsidRPr="00732044">
          <w:rPr>
            <w:rStyle w:val="a5"/>
            <w:rFonts w:ascii="Times New Roman" w:hAnsi="Times New Roman" w:cs="Times New Roman"/>
            <w:bCs/>
            <w:sz w:val="28"/>
            <w:szCs w:val="28"/>
          </w:rPr>
          <w:t>https://doi.org/10.26577/eb.2023.v96.i3.01</w:t>
        </w:r>
      </w:hyperlink>
      <w:r w:rsidR="00362703" w:rsidRPr="00732044">
        <w:rPr>
          <w:rFonts w:ascii="Times New Roman" w:hAnsi="Times New Roman" w:cs="Times New Roman"/>
          <w:bCs/>
          <w:sz w:val="28"/>
          <w:szCs w:val="28"/>
        </w:rPr>
        <w:t>.</w:t>
      </w:r>
      <w:r w:rsidRPr="00732044">
        <w:rPr>
          <w:rFonts w:ascii="Times New Roman" w:hAnsi="Times New Roman" w:cs="Times New Roman"/>
          <w:bCs/>
          <w:sz w:val="28"/>
          <w:szCs w:val="28"/>
        </w:rPr>
        <w:t xml:space="preserve">  </w:t>
      </w:r>
    </w:p>
    <w:p w14:paraId="60FEBA2E" w14:textId="4C5BF057" w:rsidR="00EA24BA" w:rsidRPr="00732044" w:rsidRDefault="00EA24BA" w:rsidP="00524D6E">
      <w:pPr>
        <w:pStyle w:val="af1"/>
        <w:numPr>
          <w:ilvl w:val="0"/>
          <w:numId w:val="7"/>
        </w:numPr>
        <w:spacing w:after="0" w:line="240" w:lineRule="auto"/>
        <w:ind w:left="0" w:firstLine="0"/>
        <w:jc w:val="both"/>
        <w:rPr>
          <w:rFonts w:ascii="Times New Roman" w:hAnsi="Times New Roman" w:cs="Times New Roman"/>
          <w:sz w:val="28"/>
          <w:szCs w:val="28"/>
        </w:rPr>
      </w:pPr>
      <w:r w:rsidRPr="00732044">
        <w:rPr>
          <w:rFonts w:ascii="Times New Roman" w:hAnsi="Times New Roman" w:cs="Times New Roman"/>
          <w:bCs/>
          <w:sz w:val="28"/>
          <w:szCs w:val="28"/>
        </w:rPr>
        <w:t xml:space="preserve">Saken Khaidarov, Edan Tulman. Perspectives </w:t>
      </w:r>
      <w:r w:rsidR="00B855BC" w:rsidRPr="00732044">
        <w:rPr>
          <w:rFonts w:ascii="Times New Roman" w:hAnsi="Times New Roman" w:cs="Times New Roman"/>
          <w:bCs/>
          <w:sz w:val="28"/>
          <w:szCs w:val="28"/>
        </w:rPr>
        <w:t>of</w:t>
      </w:r>
      <w:r w:rsidRPr="00732044">
        <w:rPr>
          <w:rFonts w:ascii="Times New Roman" w:hAnsi="Times New Roman" w:cs="Times New Roman"/>
          <w:bCs/>
          <w:sz w:val="28"/>
          <w:szCs w:val="28"/>
        </w:rPr>
        <w:t xml:space="preserve"> Biotechnological Development in Kazakhstan </w:t>
      </w:r>
      <w:r w:rsidR="00B855BC" w:rsidRPr="00732044">
        <w:rPr>
          <w:rFonts w:ascii="Times New Roman" w:hAnsi="Times New Roman" w:cs="Times New Roman"/>
          <w:bCs/>
          <w:sz w:val="28"/>
          <w:szCs w:val="28"/>
        </w:rPr>
        <w:t>in</w:t>
      </w:r>
      <w:r w:rsidRPr="00732044">
        <w:rPr>
          <w:rFonts w:ascii="Times New Roman" w:hAnsi="Times New Roman" w:cs="Times New Roman"/>
          <w:bCs/>
          <w:sz w:val="28"/>
          <w:szCs w:val="28"/>
        </w:rPr>
        <w:t xml:space="preserve"> Terms of Monoclonal and Other Recombinant Antibodies and Vaccines Against SARS-CoV-2 // </w:t>
      </w:r>
      <w:proofErr w:type="spellStart"/>
      <w:r w:rsidRPr="00732044">
        <w:rPr>
          <w:rFonts w:ascii="Times New Roman" w:hAnsi="Times New Roman" w:cs="Times New Roman"/>
          <w:bCs/>
          <w:sz w:val="28"/>
          <w:szCs w:val="28"/>
        </w:rPr>
        <w:t>Казахский</w:t>
      </w:r>
      <w:proofErr w:type="spellEnd"/>
      <w:r w:rsidRPr="00732044">
        <w:rPr>
          <w:rFonts w:ascii="Times New Roman" w:hAnsi="Times New Roman" w:cs="Times New Roman"/>
          <w:bCs/>
          <w:sz w:val="28"/>
          <w:szCs w:val="28"/>
        </w:rPr>
        <w:t xml:space="preserve"> </w:t>
      </w:r>
      <w:proofErr w:type="spellStart"/>
      <w:r w:rsidRPr="00732044">
        <w:rPr>
          <w:rFonts w:ascii="Times New Roman" w:hAnsi="Times New Roman" w:cs="Times New Roman"/>
          <w:bCs/>
          <w:sz w:val="28"/>
          <w:szCs w:val="28"/>
        </w:rPr>
        <w:t>Национальный</w:t>
      </w:r>
      <w:proofErr w:type="spellEnd"/>
      <w:r w:rsidRPr="00732044">
        <w:rPr>
          <w:rFonts w:ascii="Times New Roman" w:hAnsi="Times New Roman" w:cs="Times New Roman"/>
          <w:bCs/>
          <w:sz w:val="28"/>
          <w:szCs w:val="28"/>
        </w:rPr>
        <w:t xml:space="preserve"> </w:t>
      </w:r>
      <w:proofErr w:type="spellStart"/>
      <w:r w:rsidRPr="00732044">
        <w:rPr>
          <w:rFonts w:ascii="Times New Roman" w:hAnsi="Times New Roman" w:cs="Times New Roman"/>
          <w:bCs/>
          <w:sz w:val="28"/>
          <w:szCs w:val="28"/>
        </w:rPr>
        <w:t>Университет</w:t>
      </w:r>
      <w:proofErr w:type="spellEnd"/>
      <w:r w:rsidRPr="00732044">
        <w:rPr>
          <w:rFonts w:ascii="Times New Roman" w:hAnsi="Times New Roman" w:cs="Times New Roman"/>
          <w:bCs/>
          <w:sz w:val="28"/>
          <w:szCs w:val="28"/>
        </w:rPr>
        <w:t xml:space="preserve"> </w:t>
      </w:r>
      <w:proofErr w:type="spellStart"/>
      <w:r w:rsidRPr="00732044">
        <w:rPr>
          <w:rFonts w:ascii="Times New Roman" w:hAnsi="Times New Roman" w:cs="Times New Roman"/>
          <w:bCs/>
          <w:sz w:val="28"/>
          <w:szCs w:val="28"/>
        </w:rPr>
        <w:t>Имени</w:t>
      </w:r>
      <w:proofErr w:type="spellEnd"/>
      <w:r w:rsidRPr="00732044">
        <w:rPr>
          <w:rFonts w:ascii="Times New Roman" w:hAnsi="Times New Roman" w:cs="Times New Roman"/>
          <w:bCs/>
          <w:sz w:val="28"/>
          <w:szCs w:val="28"/>
        </w:rPr>
        <w:t xml:space="preserve"> Аль-</w:t>
      </w:r>
      <w:proofErr w:type="spellStart"/>
      <w:r w:rsidRPr="00732044">
        <w:rPr>
          <w:rFonts w:ascii="Times New Roman" w:hAnsi="Times New Roman" w:cs="Times New Roman"/>
          <w:bCs/>
          <w:sz w:val="28"/>
          <w:szCs w:val="28"/>
        </w:rPr>
        <w:t>Фараби</w:t>
      </w:r>
      <w:proofErr w:type="spellEnd"/>
      <w:r w:rsidRPr="00732044">
        <w:rPr>
          <w:rFonts w:ascii="Times New Roman" w:hAnsi="Times New Roman" w:cs="Times New Roman"/>
          <w:bCs/>
          <w:sz w:val="28"/>
          <w:szCs w:val="28"/>
        </w:rPr>
        <w:t xml:space="preserve"> </w:t>
      </w:r>
      <w:proofErr w:type="spellStart"/>
      <w:r w:rsidRPr="00732044">
        <w:rPr>
          <w:rFonts w:ascii="Times New Roman" w:hAnsi="Times New Roman" w:cs="Times New Roman"/>
          <w:bCs/>
          <w:sz w:val="28"/>
          <w:szCs w:val="28"/>
        </w:rPr>
        <w:t>Вестник</w:t>
      </w:r>
      <w:proofErr w:type="spellEnd"/>
      <w:r w:rsidRPr="00732044">
        <w:rPr>
          <w:rFonts w:ascii="Times New Roman" w:hAnsi="Times New Roman" w:cs="Times New Roman"/>
          <w:bCs/>
          <w:sz w:val="28"/>
          <w:szCs w:val="28"/>
        </w:rPr>
        <w:t xml:space="preserve"> </w:t>
      </w:r>
      <w:proofErr w:type="spellStart"/>
      <w:r w:rsidRPr="00732044">
        <w:rPr>
          <w:rFonts w:ascii="Times New Roman" w:hAnsi="Times New Roman" w:cs="Times New Roman"/>
          <w:bCs/>
          <w:sz w:val="28"/>
          <w:szCs w:val="28"/>
        </w:rPr>
        <w:t>Серия</w:t>
      </w:r>
      <w:proofErr w:type="spellEnd"/>
      <w:r w:rsidRPr="00732044">
        <w:rPr>
          <w:rFonts w:ascii="Times New Roman" w:hAnsi="Times New Roman" w:cs="Times New Roman"/>
          <w:bCs/>
          <w:sz w:val="28"/>
          <w:szCs w:val="28"/>
        </w:rPr>
        <w:t xml:space="preserve"> </w:t>
      </w:r>
      <w:proofErr w:type="spellStart"/>
      <w:r w:rsidRPr="00732044">
        <w:rPr>
          <w:rFonts w:ascii="Times New Roman" w:hAnsi="Times New Roman" w:cs="Times New Roman"/>
          <w:bCs/>
          <w:sz w:val="28"/>
          <w:szCs w:val="28"/>
        </w:rPr>
        <w:t>биологическая</w:t>
      </w:r>
      <w:proofErr w:type="spellEnd"/>
      <w:r w:rsidRPr="00732044">
        <w:rPr>
          <w:rFonts w:ascii="Times New Roman" w:hAnsi="Times New Roman" w:cs="Times New Roman"/>
          <w:bCs/>
          <w:sz w:val="28"/>
          <w:szCs w:val="28"/>
        </w:rPr>
        <w:t xml:space="preserve">. - 2024.-Vol. 2.-P. </w:t>
      </w:r>
      <w:r w:rsidR="00B855BC" w:rsidRPr="00732044">
        <w:rPr>
          <w:rFonts w:ascii="Times New Roman" w:hAnsi="Times New Roman" w:cs="Times New Roman"/>
          <w:bCs/>
          <w:sz w:val="28"/>
          <w:szCs w:val="28"/>
        </w:rPr>
        <w:t>173</w:t>
      </w:r>
      <w:r w:rsidRPr="00732044">
        <w:rPr>
          <w:rFonts w:ascii="Times New Roman" w:hAnsi="Times New Roman" w:cs="Times New Roman"/>
          <w:bCs/>
          <w:sz w:val="28"/>
          <w:szCs w:val="28"/>
        </w:rPr>
        <w:t>-</w:t>
      </w:r>
      <w:r w:rsidR="00B855BC" w:rsidRPr="00732044">
        <w:rPr>
          <w:rFonts w:ascii="Times New Roman" w:hAnsi="Times New Roman" w:cs="Times New Roman"/>
          <w:bCs/>
          <w:sz w:val="28"/>
          <w:szCs w:val="28"/>
        </w:rPr>
        <w:t>188</w:t>
      </w:r>
      <w:r w:rsidRPr="00732044">
        <w:rPr>
          <w:rFonts w:ascii="Times New Roman" w:hAnsi="Times New Roman" w:cs="Times New Roman"/>
          <w:bCs/>
          <w:sz w:val="28"/>
          <w:szCs w:val="28"/>
        </w:rPr>
        <w:t xml:space="preserve">.   </w:t>
      </w:r>
      <w:hyperlink r:id="rId168" w:history="1">
        <w:r w:rsidR="00B855BC" w:rsidRPr="00732044">
          <w:rPr>
            <w:rStyle w:val="a5"/>
            <w:rFonts w:ascii="Times New Roman" w:hAnsi="Times New Roman" w:cs="Times New Roman"/>
            <w:bCs/>
            <w:sz w:val="28"/>
            <w:szCs w:val="28"/>
          </w:rPr>
          <w:t>https://bb.kaznu.kz/index.php/biology/article/view/2389/168</w:t>
        </w:r>
      </w:hyperlink>
      <w:r w:rsidR="00362703" w:rsidRPr="00732044">
        <w:rPr>
          <w:rFonts w:ascii="Times New Roman" w:hAnsi="Times New Roman" w:cs="Times New Roman"/>
          <w:bCs/>
          <w:sz w:val="28"/>
          <w:szCs w:val="28"/>
        </w:rPr>
        <w:t>.</w:t>
      </w:r>
      <w:r w:rsidR="00B855BC" w:rsidRPr="00732044">
        <w:rPr>
          <w:rFonts w:ascii="Times New Roman" w:hAnsi="Times New Roman" w:cs="Times New Roman"/>
          <w:bCs/>
          <w:sz w:val="28"/>
          <w:szCs w:val="28"/>
        </w:rPr>
        <w:t xml:space="preserve"> </w:t>
      </w:r>
    </w:p>
    <w:p w14:paraId="46BE725C" w14:textId="690CE3E1" w:rsidR="000C4F8E" w:rsidRPr="00732044" w:rsidRDefault="000C4F8E" w:rsidP="00524D6E">
      <w:pPr>
        <w:pStyle w:val="af1"/>
        <w:numPr>
          <w:ilvl w:val="0"/>
          <w:numId w:val="7"/>
        </w:numPr>
        <w:spacing w:after="0" w:line="240" w:lineRule="auto"/>
        <w:ind w:left="0" w:firstLine="0"/>
        <w:jc w:val="both"/>
        <w:rPr>
          <w:rFonts w:ascii="Times New Roman" w:hAnsi="Times New Roman" w:cs="Times New Roman"/>
          <w:sz w:val="28"/>
          <w:szCs w:val="28"/>
        </w:rPr>
      </w:pPr>
      <w:r w:rsidRPr="00732044">
        <w:rPr>
          <w:rFonts w:ascii="Times New Roman" w:hAnsi="Times New Roman" w:cs="Times New Roman"/>
          <w:sz w:val="28"/>
          <w:szCs w:val="28"/>
        </w:rPr>
        <w:t xml:space="preserve">Khaidarov, S.; Hejran, A.B.; </w:t>
      </w:r>
      <w:proofErr w:type="spellStart"/>
      <w:r w:rsidRPr="00732044">
        <w:rPr>
          <w:rFonts w:ascii="Times New Roman" w:hAnsi="Times New Roman" w:cs="Times New Roman"/>
          <w:sz w:val="28"/>
          <w:szCs w:val="28"/>
        </w:rPr>
        <w:t>Moldakaryzova</w:t>
      </w:r>
      <w:proofErr w:type="spellEnd"/>
      <w:r w:rsidRPr="00732044">
        <w:rPr>
          <w:rFonts w:ascii="Times New Roman" w:hAnsi="Times New Roman" w:cs="Times New Roman"/>
          <w:sz w:val="28"/>
          <w:szCs w:val="28"/>
        </w:rPr>
        <w:t xml:space="preserve">, A.; </w:t>
      </w:r>
      <w:proofErr w:type="spellStart"/>
      <w:r w:rsidRPr="00732044">
        <w:rPr>
          <w:rFonts w:ascii="Times New Roman" w:hAnsi="Times New Roman" w:cs="Times New Roman"/>
          <w:sz w:val="28"/>
          <w:szCs w:val="28"/>
        </w:rPr>
        <w:t>Izmailova</w:t>
      </w:r>
      <w:proofErr w:type="spellEnd"/>
      <w:r w:rsidRPr="00732044">
        <w:rPr>
          <w:rFonts w:ascii="Times New Roman" w:hAnsi="Times New Roman" w:cs="Times New Roman"/>
          <w:sz w:val="28"/>
          <w:szCs w:val="28"/>
        </w:rPr>
        <w:t xml:space="preserve">, S.; </w:t>
      </w:r>
      <w:proofErr w:type="spellStart"/>
      <w:r w:rsidRPr="00732044">
        <w:rPr>
          <w:rFonts w:ascii="Times New Roman" w:hAnsi="Times New Roman" w:cs="Times New Roman"/>
          <w:sz w:val="28"/>
          <w:szCs w:val="28"/>
        </w:rPr>
        <w:t>Nurgaliyeva</w:t>
      </w:r>
      <w:proofErr w:type="spellEnd"/>
      <w:r w:rsidRPr="00732044">
        <w:rPr>
          <w:rFonts w:ascii="Times New Roman" w:hAnsi="Times New Roman" w:cs="Times New Roman"/>
          <w:sz w:val="28"/>
          <w:szCs w:val="28"/>
        </w:rPr>
        <w:t xml:space="preserve">, B.; </w:t>
      </w:r>
      <w:proofErr w:type="spellStart"/>
      <w:r w:rsidRPr="00732044">
        <w:rPr>
          <w:rFonts w:ascii="Times New Roman" w:hAnsi="Times New Roman" w:cs="Times New Roman"/>
          <w:sz w:val="28"/>
          <w:szCs w:val="28"/>
        </w:rPr>
        <w:t>Beisenova</w:t>
      </w:r>
      <w:proofErr w:type="spellEnd"/>
      <w:r w:rsidRPr="00732044">
        <w:rPr>
          <w:rFonts w:ascii="Times New Roman" w:hAnsi="Times New Roman" w:cs="Times New Roman"/>
          <w:sz w:val="28"/>
          <w:szCs w:val="28"/>
        </w:rPr>
        <w:t xml:space="preserve">, A.; </w:t>
      </w:r>
      <w:proofErr w:type="spellStart"/>
      <w:r w:rsidRPr="00732044">
        <w:rPr>
          <w:rFonts w:ascii="Times New Roman" w:hAnsi="Times New Roman" w:cs="Times New Roman"/>
          <w:sz w:val="28"/>
          <w:szCs w:val="28"/>
        </w:rPr>
        <w:t>Mustafaeva</w:t>
      </w:r>
      <w:proofErr w:type="spellEnd"/>
      <w:r w:rsidRPr="00732044">
        <w:rPr>
          <w:rFonts w:ascii="Times New Roman" w:hAnsi="Times New Roman" w:cs="Times New Roman"/>
          <w:sz w:val="28"/>
          <w:szCs w:val="28"/>
        </w:rPr>
        <w:t xml:space="preserve">, A.; </w:t>
      </w:r>
      <w:proofErr w:type="spellStart"/>
      <w:r w:rsidRPr="00732044">
        <w:rPr>
          <w:rFonts w:ascii="Times New Roman" w:hAnsi="Times New Roman" w:cs="Times New Roman"/>
          <w:sz w:val="28"/>
          <w:szCs w:val="28"/>
        </w:rPr>
        <w:t>Nurzhanova</w:t>
      </w:r>
      <w:proofErr w:type="spellEnd"/>
      <w:r w:rsidRPr="00732044">
        <w:rPr>
          <w:rFonts w:ascii="Times New Roman" w:hAnsi="Times New Roman" w:cs="Times New Roman"/>
          <w:sz w:val="28"/>
          <w:szCs w:val="28"/>
        </w:rPr>
        <w:t xml:space="preserve">, K.; Belova, Y.; </w:t>
      </w:r>
      <w:proofErr w:type="spellStart"/>
      <w:r w:rsidRPr="00732044">
        <w:rPr>
          <w:rFonts w:ascii="Times New Roman" w:hAnsi="Times New Roman" w:cs="Times New Roman"/>
          <w:sz w:val="28"/>
          <w:szCs w:val="28"/>
        </w:rPr>
        <w:t>Satbayeva</w:t>
      </w:r>
      <w:proofErr w:type="spellEnd"/>
      <w:r w:rsidRPr="00732044">
        <w:rPr>
          <w:rFonts w:ascii="Times New Roman" w:hAnsi="Times New Roman" w:cs="Times New Roman"/>
          <w:sz w:val="28"/>
          <w:szCs w:val="28"/>
        </w:rPr>
        <w:t>, E.; et al. An Anti-HIV Drug Is Highly Effective Against SARS-CoV-2 In Vitro and Has Potential Benefit for Long COVID Treatment</w:t>
      </w:r>
      <w:r w:rsidR="00C23133" w:rsidRPr="00732044">
        <w:rPr>
          <w:rFonts w:ascii="Times New Roman" w:hAnsi="Times New Roman" w:cs="Times New Roman"/>
          <w:sz w:val="28"/>
          <w:szCs w:val="28"/>
        </w:rPr>
        <w:t xml:space="preserve"> //</w:t>
      </w:r>
      <w:r w:rsidRPr="00732044">
        <w:rPr>
          <w:rFonts w:ascii="Times New Roman" w:hAnsi="Times New Roman" w:cs="Times New Roman"/>
          <w:sz w:val="28"/>
          <w:szCs w:val="28"/>
        </w:rPr>
        <w:t> </w:t>
      </w:r>
      <w:r w:rsidR="00C23133" w:rsidRPr="00732044">
        <w:rPr>
          <w:rFonts w:ascii="Times New Roman" w:hAnsi="Times New Roman" w:cs="Times New Roman"/>
          <w:sz w:val="28"/>
          <w:szCs w:val="28"/>
        </w:rPr>
        <w:t xml:space="preserve">Viruses. </w:t>
      </w:r>
      <w:r w:rsidR="00A21CE2" w:rsidRPr="00732044">
        <w:rPr>
          <w:rFonts w:ascii="Times New Roman" w:hAnsi="Times New Roman" w:cs="Times New Roman"/>
          <w:sz w:val="28"/>
          <w:szCs w:val="28"/>
        </w:rPr>
        <w:t>–</w:t>
      </w:r>
      <w:r w:rsidRPr="00732044">
        <w:rPr>
          <w:rFonts w:ascii="Times New Roman" w:hAnsi="Times New Roman" w:cs="Times New Roman"/>
          <w:sz w:val="28"/>
          <w:szCs w:val="28"/>
        </w:rPr>
        <w:t> 2025</w:t>
      </w:r>
      <w:r w:rsidR="00A21CE2" w:rsidRPr="00732044">
        <w:rPr>
          <w:rFonts w:ascii="Times New Roman" w:hAnsi="Times New Roman" w:cs="Times New Roman"/>
          <w:sz w:val="28"/>
          <w:szCs w:val="28"/>
        </w:rPr>
        <w:t>.-</w:t>
      </w:r>
      <w:r w:rsidR="00C23133" w:rsidRPr="00732044">
        <w:rPr>
          <w:rFonts w:ascii="Times New Roman" w:hAnsi="Times New Roman" w:cs="Times New Roman"/>
          <w:sz w:val="28"/>
          <w:szCs w:val="28"/>
        </w:rPr>
        <w:t>Vol.</w:t>
      </w:r>
      <w:r w:rsidRPr="00732044">
        <w:rPr>
          <w:rFonts w:ascii="Times New Roman" w:hAnsi="Times New Roman" w:cs="Times New Roman"/>
          <w:sz w:val="28"/>
          <w:szCs w:val="28"/>
        </w:rPr>
        <w:t>17</w:t>
      </w:r>
      <w:r w:rsidR="0053368E" w:rsidRPr="00732044">
        <w:rPr>
          <w:rFonts w:ascii="Times New Roman" w:hAnsi="Times New Roman" w:cs="Times New Roman"/>
          <w:sz w:val="28"/>
          <w:szCs w:val="28"/>
        </w:rPr>
        <w:t>.-P.</w:t>
      </w:r>
      <w:r w:rsidRPr="00732044">
        <w:rPr>
          <w:rFonts w:ascii="Times New Roman" w:hAnsi="Times New Roman" w:cs="Times New Roman"/>
          <w:sz w:val="28"/>
          <w:szCs w:val="28"/>
        </w:rPr>
        <w:t xml:space="preserve"> 1170. </w:t>
      </w:r>
      <w:hyperlink r:id="rId169" w:history="1">
        <w:r w:rsidR="0053368E" w:rsidRPr="00732044">
          <w:rPr>
            <w:rStyle w:val="a5"/>
            <w:rFonts w:ascii="Times New Roman" w:hAnsi="Times New Roman" w:cs="Times New Roman"/>
            <w:sz w:val="28"/>
            <w:szCs w:val="28"/>
          </w:rPr>
          <w:t>https://doi.org/10.3390/v17091170</w:t>
        </w:r>
      </w:hyperlink>
      <w:r w:rsidR="0053368E" w:rsidRPr="00732044">
        <w:rPr>
          <w:rFonts w:ascii="Times New Roman" w:hAnsi="Times New Roman" w:cs="Times New Roman"/>
          <w:sz w:val="28"/>
          <w:szCs w:val="28"/>
        </w:rPr>
        <w:t xml:space="preserve"> </w:t>
      </w:r>
    </w:p>
    <w:p w14:paraId="202920DB" w14:textId="77777777" w:rsidR="00FE218C" w:rsidRPr="00716437" w:rsidRDefault="00B2748C" w:rsidP="00524D6E">
      <w:pPr>
        <w:pStyle w:val="af1"/>
        <w:numPr>
          <w:ilvl w:val="0"/>
          <w:numId w:val="7"/>
        </w:numPr>
        <w:spacing w:after="0" w:line="240" w:lineRule="auto"/>
        <w:ind w:left="0" w:firstLine="0"/>
        <w:jc w:val="both"/>
        <w:rPr>
          <w:sz w:val="28"/>
          <w:szCs w:val="28"/>
          <w:lang w:val="ru-RU"/>
        </w:rPr>
      </w:pPr>
      <w:proofErr w:type="spellStart"/>
      <w:r w:rsidRPr="00732044">
        <w:rPr>
          <w:rFonts w:ascii="Times New Roman" w:hAnsi="Times New Roman" w:cs="Times New Roman"/>
          <w:sz w:val="28"/>
          <w:szCs w:val="28"/>
        </w:rPr>
        <w:t>Nurgaliyeva</w:t>
      </w:r>
      <w:proofErr w:type="spellEnd"/>
      <w:r w:rsidRPr="00732044">
        <w:rPr>
          <w:rFonts w:ascii="Times New Roman" w:hAnsi="Times New Roman" w:cs="Times New Roman"/>
          <w:sz w:val="28"/>
          <w:szCs w:val="28"/>
        </w:rPr>
        <w:t xml:space="preserve"> B., </w:t>
      </w:r>
      <w:r w:rsidR="00B80316" w:rsidRPr="00732044">
        <w:rPr>
          <w:rFonts w:ascii="Times New Roman" w:hAnsi="Times New Roman" w:cs="Times New Roman"/>
          <w:sz w:val="28"/>
          <w:szCs w:val="28"/>
        </w:rPr>
        <w:t>Khaidarov S</w:t>
      </w:r>
      <w:r w:rsidRPr="00732044">
        <w:rPr>
          <w:rFonts w:ascii="Times New Roman" w:hAnsi="Times New Roman" w:cs="Times New Roman"/>
          <w:sz w:val="28"/>
          <w:szCs w:val="28"/>
        </w:rPr>
        <w:t xml:space="preserve">., Kan O., </w:t>
      </w:r>
      <w:proofErr w:type="spellStart"/>
      <w:r w:rsidRPr="00732044">
        <w:rPr>
          <w:rFonts w:ascii="Times New Roman" w:hAnsi="Times New Roman" w:cs="Times New Roman"/>
          <w:sz w:val="28"/>
          <w:szCs w:val="28"/>
        </w:rPr>
        <w:t>Moldakaryzova</w:t>
      </w:r>
      <w:proofErr w:type="spellEnd"/>
      <w:r w:rsidRPr="00732044">
        <w:rPr>
          <w:rFonts w:ascii="Times New Roman" w:hAnsi="Times New Roman" w:cs="Times New Roman"/>
          <w:sz w:val="28"/>
          <w:szCs w:val="28"/>
        </w:rPr>
        <w:t xml:space="preserve"> A., et al. Guillain-Barré syndrome following SARS-CoV-2 pneumonia in a patient receiving adjuvant chemotherapy for gastric cancer: a case report // Clinical Infectious Diseases. — 2025. </w:t>
      </w:r>
      <w:r w:rsidRPr="00716437">
        <w:rPr>
          <w:rFonts w:ascii="Times New Roman" w:hAnsi="Times New Roman" w:cs="Times New Roman"/>
          <w:sz w:val="28"/>
          <w:szCs w:val="28"/>
        </w:rPr>
        <w:t xml:space="preserve">— Vol. 9. — P. 344. </w:t>
      </w:r>
      <w:r w:rsidR="00FE218C" w:rsidRPr="00716437">
        <w:rPr>
          <w:sz w:val="28"/>
          <w:szCs w:val="28"/>
          <w:lang w:val="ru-RU"/>
        </w:rPr>
        <w:t></w:t>
      </w:r>
      <w:r w:rsidR="00FE218C" w:rsidRPr="00716437">
        <w:rPr>
          <w:sz w:val="28"/>
          <w:szCs w:val="28"/>
          <w:lang w:val="en-US"/>
        </w:rPr>
        <w:t xml:space="preserve">  </w:t>
      </w:r>
    </w:p>
    <w:p w14:paraId="0C812974" w14:textId="07C54BCE" w:rsidR="00D80DDF" w:rsidRPr="00D80DDF" w:rsidRDefault="00D80DDF" w:rsidP="00524D6E">
      <w:pPr>
        <w:pStyle w:val="af1"/>
        <w:numPr>
          <w:ilvl w:val="0"/>
          <w:numId w:val="7"/>
        </w:numPr>
        <w:spacing w:after="0"/>
        <w:ind w:left="0" w:firstLine="0"/>
        <w:jc w:val="both"/>
        <w:rPr>
          <w:rFonts w:ascii="Times New Roman" w:hAnsi="Times New Roman" w:cs="Times New Roman"/>
          <w:sz w:val="28"/>
          <w:szCs w:val="28"/>
          <w:lang w:val="en-US"/>
        </w:rPr>
      </w:pPr>
      <w:r w:rsidRPr="00D80DDF">
        <w:rPr>
          <w:rFonts w:ascii="Times New Roman" w:hAnsi="Times New Roman" w:cs="Times New Roman"/>
          <w:sz w:val="28"/>
          <w:szCs w:val="28"/>
        </w:rPr>
        <w:t>Polack</w:t>
      </w:r>
      <w:r w:rsidRPr="00D80DDF">
        <w:rPr>
          <w:rFonts w:ascii="Times New Roman" w:hAnsi="Times New Roman" w:cs="Times New Roman"/>
          <w:sz w:val="28"/>
          <w:szCs w:val="28"/>
          <w:lang w:val="en-US"/>
        </w:rPr>
        <w:t xml:space="preserve"> </w:t>
      </w:r>
      <w:r w:rsidRPr="00D80DDF">
        <w:rPr>
          <w:rFonts w:ascii="Times New Roman" w:hAnsi="Times New Roman" w:cs="Times New Roman"/>
          <w:sz w:val="28"/>
          <w:szCs w:val="28"/>
        </w:rPr>
        <w:t>F</w:t>
      </w:r>
      <w:r w:rsidRPr="00D80DDF">
        <w:rPr>
          <w:rFonts w:ascii="Times New Roman" w:hAnsi="Times New Roman" w:cs="Times New Roman"/>
          <w:sz w:val="28"/>
          <w:szCs w:val="28"/>
          <w:lang w:val="en-US"/>
        </w:rPr>
        <w:t>.</w:t>
      </w:r>
      <w:r w:rsidRPr="00D80DDF">
        <w:rPr>
          <w:rFonts w:ascii="Times New Roman" w:hAnsi="Times New Roman" w:cs="Times New Roman"/>
          <w:sz w:val="28"/>
          <w:szCs w:val="28"/>
        </w:rPr>
        <w:t>P</w:t>
      </w:r>
      <w:r w:rsidRPr="00D80DDF">
        <w:rPr>
          <w:rFonts w:ascii="Times New Roman" w:hAnsi="Times New Roman" w:cs="Times New Roman"/>
          <w:sz w:val="28"/>
          <w:szCs w:val="28"/>
          <w:lang w:val="en-US"/>
        </w:rPr>
        <w:t xml:space="preserve">., </w:t>
      </w:r>
      <w:r w:rsidRPr="00D80DDF">
        <w:rPr>
          <w:rFonts w:ascii="Times New Roman" w:hAnsi="Times New Roman" w:cs="Times New Roman"/>
          <w:sz w:val="28"/>
          <w:szCs w:val="28"/>
        </w:rPr>
        <w:t>Thomas</w:t>
      </w:r>
      <w:r w:rsidRPr="00D80DDF">
        <w:rPr>
          <w:rFonts w:ascii="Times New Roman" w:hAnsi="Times New Roman" w:cs="Times New Roman"/>
          <w:sz w:val="28"/>
          <w:szCs w:val="28"/>
          <w:lang w:val="en-US"/>
        </w:rPr>
        <w:t xml:space="preserve"> </w:t>
      </w:r>
      <w:r w:rsidRPr="00D80DDF">
        <w:rPr>
          <w:rFonts w:ascii="Times New Roman" w:hAnsi="Times New Roman" w:cs="Times New Roman"/>
          <w:sz w:val="28"/>
          <w:szCs w:val="28"/>
        </w:rPr>
        <w:t>S</w:t>
      </w:r>
      <w:r w:rsidRPr="00D80DDF">
        <w:rPr>
          <w:rFonts w:ascii="Times New Roman" w:hAnsi="Times New Roman" w:cs="Times New Roman"/>
          <w:sz w:val="28"/>
          <w:szCs w:val="28"/>
          <w:lang w:val="en-US"/>
        </w:rPr>
        <w:t>.</w:t>
      </w:r>
      <w:r w:rsidRPr="00D80DDF">
        <w:rPr>
          <w:rFonts w:ascii="Times New Roman" w:hAnsi="Times New Roman" w:cs="Times New Roman"/>
          <w:sz w:val="28"/>
          <w:szCs w:val="28"/>
        </w:rPr>
        <w:t>J</w:t>
      </w:r>
      <w:r w:rsidRPr="00D80DDF">
        <w:rPr>
          <w:rFonts w:ascii="Times New Roman" w:hAnsi="Times New Roman" w:cs="Times New Roman"/>
          <w:sz w:val="28"/>
          <w:szCs w:val="28"/>
          <w:lang w:val="en-US"/>
        </w:rPr>
        <w:t xml:space="preserve">., </w:t>
      </w:r>
      <w:r w:rsidRPr="00D80DDF">
        <w:rPr>
          <w:rFonts w:ascii="Times New Roman" w:hAnsi="Times New Roman" w:cs="Times New Roman"/>
          <w:sz w:val="28"/>
          <w:szCs w:val="28"/>
        </w:rPr>
        <w:t>Kitchin</w:t>
      </w:r>
      <w:r w:rsidRPr="00D80DDF">
        <w:rPr>
          <w:rFonts w:ascii="Times New Roman" w:hAnsi="Times New Roman" w:cs="Times New Roman"/>
          <w:sz w:val="28"/>
          <w:szCs w:val="28"/>
          <w:lang w:val="en-US"/>
        </w:rPr>
        <w:t xml:space="preserve"> </w:t>
      </w:r>
      <w:proofErr w:type="spellStart"/>
      <w:r w:rsidRPr="00D80DDF">
        <w:rPr>
          <w:rFonts w:ascii="Times New Roman" w:hAnsi="Times New Roman" w:cs="Times New Roman"/>
          <w:sz w:val="28"/>
          <w:szCs w:val="28"/>
        </w:rPr>
        <w:t>NClinical</w:t>
      </w:r>
      <w:proofErr w:type="spellEnd"/>
      <w:r w:rsidRPr="00D80DDF">
        <w:rPr>
          <w:rFonts w:ascii="Times New Roman" w:hAnsi="Times New Roman" w:cs="Times New Roman"/>
          <w:sz w:val="28"/>
          <w:szCs w:val="28"/>
          <w:lang w:val="en-US"/>
        </w:rPr>
        <w:t xml:space="preserve"> </w:t>
      </w:r>
      <w:r w:rsidRPr="00D80DDF">
        <w:rPr>
          <w:rFonts w:ascii="Times New Roman" w:hAnsi="Times New Roman" w:cs="Times New Roman"/>
          <w:sz w:val="28"/>
          <w:szCs w:val="28"/>
        </w:rPr>
        <w:t>Trial</w:t>
      </w:r>
      <w:r w:rsidRPr="00D80DDF">
        <w:rPr>
          <w:rFonts w:ascii="Times New Roman" w:hAnsi="Times New Roman" w:cs="Times New Roman"/>
          <w:sz w:val="28"/>
          <w:szCs w:val="28"/>
          <w:lang w:val="en-US"/>
        </w:rPr>
        <w:t xml:space="preserve"> </w:t>
      </w:r>
      <w:r w:rsidRPr="00D80DDF">
        <w:rPr>
          <w:rFonts w:ascii="Times New Roman" w:hAnsi="Times New Roman" w:cs="Times New Roman"/>
          <w:sz w:val="28"/>
          <w:szCs w:val="28"/>
        </w:rPr>
        <w:t>Group Safety</w:t>
      </w:r>
      <w:r w:rsidRPr="00D80DDF">
        <w:rPr>
          <w:rFonts w:ascii="Times New Roman" w:hAnsi="Times New Roman" w:cs="Times New Roman"/>
          <w:sz w:val="28"/>
          <w:szCs w:val="28"/>
          <w:lang w:val="en-US"/>
        </w:rPr>
        <w:t xml:space="preserve"> </w:t>
      </w:r>
      <w:r w:rsidRPr="00D80DDF">
        <w:rPr>
          <w:rFonts w:ascii="Times New Roman" w:hAnsi="Times New Roman" w:cs="Times New Roman"/>
          <w:sz w:val="28"/>
          <w:szCs w:val="28"/>
        </w:rPr>
        <w:t>and</w:t>
      </w:r>
      <w:r w:rsidRPr="00D80DDF">
        <w:rPr>
          <w:rFonts w:ascii="Times New Roman" w:hAnsi="Times New Roman" w:cs="Times New Roman"/>
          <w:sz w:val="28"/>
          <w:szCs w:val="28"/>
          <w:lang w:val="en-US"/>
        </w:rPr>
        <w:t xml:space="preserve"> </w:t>
      </w:r>
      <w:r w:rsidRPr="00D80DDF">
        <w:rPr>
          <w:rFonts w:ascii="Times New Roman" w:hAnsi="Times New Roman" w:cs="Times New Roman"/>
          <w:sz w:val="28"/>
          <w:szCs w:val="28"/>
        </w:rPr>
        <w:t>Efficacy</w:t>
      </w:r>
      <w:r w:rsidRPr="00D80DDF">
        <w:rPr>
          <w:rFonts w:ascii="Times New Roman" w:hAnsi="Times New Roman" w:cs="Times New Roman"/>
          <w:sz w:val="28"/>
          <w:szCs w:val="28"/>
          <w:lang w:val="en-US"/>
        </w:rPr>
        <w:t xml:space="preserve"> </w:t>
      </w:r>
      <w:r w:rsidRPr="00D80DDF">
        <w:rPr>
          <w:rFonts w:ascii="Times New Roman" w:hAnsi="Times New Roman" w:cs="Times New Roman"/>
          <w:sz w:val="28"/>
          <w:szCs w:val="28"/>
        </w:rPr>
        <w:t>of</w:t>
      </w:r>
      <w:r w:rsidRPr="00D80DDF">
        <w:rPr>
          <w:rFonts w:ascii="Times New Roman" w:hAnsi="Times New Roman" w:cs="Times New Roman"/>
          <w:sz w:val="28"/>
          <w:szCs w:val="28"/>
          <w:lang w:val="en-US"/>
        </w:rPr>
        <w:t xml:space="preserve"> </w:t>
      </w:r>
      <w:r w:rsidRPr="00D80DDF">
        <w:rPr>
          <w:rFonts w:ascii="Times New Roman" w:hAnsi="Times New Roman" w:cs="Times New Roman"/>
          <w:sz w:val="28"/>
          <w:szCs w:val="28"/>
        </w:rPr>
        <w:t>the</w:t>
      </w:r>
      <w:r w:rsidRPr="00D80DDF">
        <w:rPr>
          <w:rFonts w:ascii="Times New Roman" w:hAnsi="Times New Roman" w:cs="Times New Roman"/>
          <w:sz w:val="28"/>
          <w:szCs w:val="28"/>
          <w:lang w:val="en-US"/>
        </w:rPr>
        <w:t xml:space="preserve"> </w:t>
      </w:r>
      <w:r w:rsidRPr="00D80DDF">
        <w:rPr>
          <w:rFonts w:ascii="Times New Roman" w:hAnsi="Times New Roman" w:cs="Times New Roman"/>
          <w:sz w:val="28"/>
          <w:szCs w:val="28"/>
        </w:rPr>
        <w:t>BNT</w:t>
      </w:r>
      <w:r w:rsidRPr="00D80DDF">
        <w:rPr>
          <w:rFonts w:ascii="Times New Roman" w:hAnsi="Times New Roman" w:cs="Times New Roman"/>
          <w:sz w:val="28"/>
          <w:szCs w:val="28"/>
          <w:lang w:val="en-US"/>
        </w:rPr>
        <w:t>162</w:t>
      </w:r>
      <w:r w:rsidRPr="00D80DDF">
        <w:rPr>
          <w:rFonts w:ascii="Times New Roman" w:hAnsi="Times New Roman" w:cs="Times New Roman"/>
          <w:sz w:val="28"/>
          <w:szCs w:val="28"/>
        </w:rPr>
        <w:t>b</w:t>
      </w:r>
      <w:r w:rsidRPr="00D80DDF">
        <w:rPr>
          <w:rFonts w:ascii="Times New Roman" w:hAnsi="Times New Roman" w:cs="Times New Roman"/>
          <w:sz w:val="28"/>
          <w:szCs w:val="28"/>
          <w:lang w:val="en-US"/>
        </w:rPr>
        <w:t xml:space="preserve">2 </w:t>
      </w:r>
      <w:r w:rsidRPr="00D80DDF">
        <w:rPr>
          <w:rFonts w:ascii="Times New Roman" w:hAnsi="Times New Roman" w:cs="Times New Roman"/>
          <w:sz w:val="28"/>
          <w:szCs w:val="28"/>
        </w:rPr>
        <w:t>mRNA</w:t>
      </w:r>
      <w:r w:rsidRPr="00D80DDF">
        <w:rPr>
          <w:rFonts w:ascii="Times New Roman" w:hAnsi="Times New Roman" w:cs="Times New Roman"/>
          <w:sz w:val="28"/>
          <w:szCs w:val="28"/>
          <w:lang w:val="en-US"/>
        </w:rPr>
        <w:t xml:space="preserve"> </w:t>
      </w:r>
      <w:r w:rsidRPr="00D80DDF">
        <w:rPr>
          <w:rFonts w:ascii="Times New Roman" w:hAnsi="Times New Roman" w:cs="Times New Roman"/>
          <w:sz w:val="28"/>
          <w:szCs w:val="28"/>
        </w:rPr>
        <w:t>Covid</w:t>
      </w:r>
      <w:r w:rsidRPr="00D80DDF">
        <w:rPr>
          <w:rFonts w:ascii="Times New Roman" w:hAnsi="Times New Roman" w:cs="Times New Roman"/>
          <w:sz w:val="28"/>
          <w:szCs w:val="28"/>
          <w:lang w:val="en-US"/>
        </w:rPr>
        <w:t xml:space="preserve">-19 </w:t>
      </w:r>
      <w:r w:rsidRPr="00D80DDF">
        <w:rPr>
          <w:rFonts w:ascii="Times New Roman" w:hAnsi="Times New Roman" w:cs="Times New Roman"/>
          <w:sz w:val="28"/>
          <w:szCs w:val="28"/>
        </w:rPr>
        <w:t>Vaccine</w:t>
      </w:r>
      <w:r w:rsidRPr="00D80DDF">
        <w:rPr>
          <w:rFonts w:ascii="Times New Roman" w:hAnsi="Times New Roman" w:cs="Times New Roman"/>
          <w:sz w:val="28"/>
          <w:szCs w:val="28"/>
          <w:lang w:val="en-US"/>
        </w:rPr>
        <w:t xml:space="preserve"> // </w:t>
      </w:r>
      <w:r w:rsidRPr="00D80DDF">
        <w:rPr>
          <w:rFonts w:ascii="Times New Roman" w:hAnsi="Times New Roman" w:cs="Times New Roman"/>
          <w:sz w:val="28"/>
          <w:szCs w:val="28"/>
        </w:rPr>
        <w:t>N</w:t>
      </w:r>
      <w:r w:rsidRPr="00D80DDF">
        <w:rPr>
          <w:rFonts w:ascii="Times New Roman" w:hAnsi="Times New Roman" w:cs="Times New Roman"/>
          <w:sz w:val="28"/>
          <w:szCs w:val="28"/>
          <w:lang w:val="en-US"/>
        </w:rPr>
        <w:t xml:space="preserve">. </w:t>
      </w:r>
      <w:r w:rsidRPr="00D80DDF">
        <w:rPr>
          <w:rFonts w:ascii="Times New Roman" w:hAnsi="Times New Roman" w:cs="Times New Roman"/>
          <w:sz w:val="28"/>
          <w:szCs w:val="28"/>
        </w:rPr>
        <w:t>Engl</w:t>
      </w:r>
      <w:r w:rsidRPr="00D80DDF">
        <w:rPr>
          <w:rFonts w:ascii="Times New Roman" w:hAnsi="Times New Roman" w:cs="Times New Roman"/>
          <w:sz w:val="28"/>
          <w:szCs w:val="28"/>
          <w:lang w:val="en-US"/>
        </w:rPr>
        <w:t xml:space="preserve">. </w:t>
      </w:r>
      <w:r w:rsidRPr="00D80DDF">
        <w:rPr>
          <w:rFonts w:ascii="Times New Roman" w:hAnsi="Times New Roman" w:cs="Times New Roman"/>
          <w:sz w:val="28"/>
          <w:szCs w:val="28"/>
        </w:rPr>
        <w:t>J</w:t>
      </w:r>
      <w:r w:rsidRPr="00D80DDF">
        <w:rPr>
          <w:rFonts w:ascii="Times New Roman" w:hAnsi="Times New Roman" w:cs="Times New Roman"/>
          <w:sz w:val="28"/>
          <w:szCs w:val="28"/>
          <w:lang w:val="en-US"/>
        </w:rPr>
        <w:t xml:space="preserve">. </w:t>
      </w:r>
      <w:r w:rsidRPr="00D80DDF">
        <w:rPr>
          <w:rFonts w:ascii="Times New Roman" w:hAnsi="Times New Roman" w:cs="Times New Roman"/>
          <w:sz w:val="28"/>
          <w:szCs w:val="28"/>
        </w:rPr>
        <w:t>Med</w:t>
      </w:r>
      <w:r w:rsidRPr="00D80DDF">
        <w:rPr>
          <w:rFonts w:ascii="Times New Roman" w:hAnsi="Times New Roman" w:cs="Times New Roman"/>
          <w:sz w:val="28"/>
          <w:szCs w:val="28"/>
          <w:lang w:val="en-US"/>
        </w:rPr>
        <w:t xml:space="preserve">. – 2020. – </w:t>
      </w:r>
      <w:r w:rsidRPr="00D80DDF">
        <w:rPr>
          <w:rFonts w:ascii="Times New Roman" w:hAnsi="Times New Roman" w:cs="Times New Roman"/>
          <w:sz w:val="28"/>
          <w:szCs w:val="28"/>
        </w:rPr>
        <w:t>Vol</w:t>
      </w:r>
      <w:r w:rsidRPr="00D80DDF">
        <w:rPr>
          <w:rFonts w:ascii="Times New Roman" w:hAnsi="Times New Roman" w:cs="Times New Roman"/>
          <w:sz w:val="28"/>
          <w:szCs w:val="28"/>
          <w:lang w:val="en-US"/>
        </w:rPr>
        <w:t xml:space="preserve">. 383, </w:t>
      </w:r>
      <w:r w:rsidRPr="00D80DDF">
        <w:rPr>
          <w:rFonts w:ascii="Times New Roman" w:hAnsi="Times New Roman" w:cs="Times New Roman"/>
          <w:sz w:val="28"/>
          <w:szCs w:val="28"/>
        </w:rPr>
        <w:t>No</w:t>
      </w:r>
      <w:r w:rsidRPr="00D80DDF">
        <w:rPr>
          <w:rFonts w:ascii="Times New Roman" w:hAnsi="Times New Roman" w:cs="Times New Roman"/>
          <w:sz w:val="28"/>
          <w:szCs w:val="28"/>
          <w:lang w:val="en-US"/>
        </w:rPr>
        <w:t xml:space="preserve">. 27. – </w:t>
      </w:r>
      <w:r w:rsidRPr="00D80DDF">
        <w:rPr>
          <w:rFonts w:ascii="Times New Roman" w:hAnsi="Times New Roman" w:cs="Times New Roman"/>
          <w:sz w:val="28"/>
          <w:szCs w:val="28"/>
        </w:rPr>
        <w:t>P</w:t>
      </w:r>
      <w:r w:rsidRPr="00D80DDF">
        <w:rPr>
          <w:rFonts w:ascii="Times New Roman" w:hAnsi="Times New Roman" w:cs="Times New Roman"/>
          <w:sz w:val="28"/>
          <w:szCs w:val="28"/>
          <w:lang w:val="en-US"/>
        </w:rPr>
        <w:t>. 2603-2615.</w:t>
      </w:r>
      <w:r w:rsidRPr="00D80DDF">
        <w:rPr>
          <w:rFonts w:ascii="Times New Roman" w:hAnsi="Times New Roman" w:cs="Times New Roman"/>
          <w:sz w:val="28"/>
          <w:szCs w:val="28"/>
        </w:rPr>
        <w:t> </w:t>
      </w:r>
      <w:hyperlink r:id="rId170" w:history="1">
        <w:r w:rsidRPr="00326516">
          <w:rPr>
            <w:rStyle w:val="a5"/>
            <w:rFonts w:ascii="Times New Roman" w:hAnsi="Times New Roman" w:cs="Times New Roman"/>
            <w:sz w:val="28"/>
            <w:szCs w:val="28"/>
          </w:rPr>
          <w:t>https://doi.org/10.1056/nejmoa2034577</w:t>
        </w:r>
      </w:hyperlink>
      <w:r>
        <w:rPr>
          <w:rFonts w:ascii="Times New Roman" w:hAnsi="Times New Roman" w:cs="Times New Roman"/>
          <w:sz w:val="28"/>
          <w:szCs w:val="28"/>
        </w:rPr>
        <w:t xml:space="preserve"> </w:t>
      </w:r>
    </w:p>
    <w:p w14:paraId="6DD86E38" w14:textId="0A6980DC" w:rsidR="00FE218C" w:rsidRPr="00FE218C" w:rsidRDefault="00AD0B83" w:rsidP="00524D6E">
      <w:pPr>
        <w:pStyle w:val="af1"/>
        <w:numPr>
          <w:ilvl w:val="0"/>
          <w:numId w:val="7"/>
        </w:numPr>
        <w:spacing w:after="0"/>
        <w:ind w:left="0" w:firstLine="0"/>
        <w:jc w:val="both"/>
        <w:rPr>
          <w:rFonts w:ascii="Times New Roman" w:hAnsi="Times New Roman" w:cs="Times New Roman"/>
          <w:sz w:val="28"/>
          <w:szCs w:val="28"/>
          <w:lang w:val="en-US"/>
        </w:rPr>
      </w:pPr>
      <w:r w:rsidRPr="00AD0B83">
        <w:rPr>
          <w:rFonts w:ascii="Times New Roman" w:hAnsi="Times New Roman" w:cs="Times New Roman"/>
          <w:sz w:val="28"/>
          <w:szCs w:val="28"/>
        </w:rPr>
        <w:t>Oster</w:t>
      </w:r>
      <w:r w:rsidRPr="00D80DDF">
        <w:rPr>
          <w:rFonts w:ascii="Times New Roman" w:hAnsi="Times New Roman" w:cs="Times New Roman"/>
          <w:sz w:val="28"/>
          <w:szCs w:val="28"/>
          <w:lang w:val="en-US"/>
        </w:rPr>
        <w:t xml:space="preserve"> </w:t>
      </w:r>
      <w:r w:rsidRPr="00AD0B83">
        <w:rPr>
          <w:rFonts w:ascii="Times New Roman" w:hAnsi="Times New Roman" w:cs="Times New Roman"/>
          <w:sz w:val="28"/>
          <w:szCs w:val="28"/>
        </w:rPr>
        <w:t>M</w:t>
      </w:r>
      <w:r w:rsidRPr="00D80DDF">
        <w:rPr>
          <w:rFonts w:ascii="Times New Roman" w:hAnsi="Times New Roman" w:cs="Times New Roman"/>
          <w:sz w:val="28"/>
          <w:szCs w:val="28"/>
          <w:lang w:val="en-US"/>
        </w:rPr>
        <w:t>.</w:t>
      </w:r>
      <w:r w:rsidRPr="00AD0B83">
        <w:rPr>
          <w:rFonts w:ascii="Times New Roman" w:hAnsi="Times New Roman" w:cs="Times New Roman"/>
          <w:sz w:val="28"/>
          <w:szCs w:val="28"/>
        </w:rPr>
        <w:t>E</w:t>
      </w:r>
      <w:r w:rsidRPr="00D80DDF">
        <w:rPr>
          <w:rFonts w:ascii="Times New Roman" w:hAnsi="Times New Roman" w:cs="Times New Roman"/>
          <w:sz w:val="28"/>
          <w:szCs w:val="28"/>
          <w:lang w:val="en-US"/>
        </w:rPr>
        <w:t xml:space="preserve">., </w:t>
      </w:r>
      <w:r w:rsidRPr="00AD0B83">
        <w:rPr>
          <w:rFonts w:ascii="Times New Roman" w:hAnsi="Times New Roman" w:cs="Times New Roman"/>
          <w:sz w:val="28"/>
          <w:szCs w:val="28"/>
        </w:rPr>
        <w:t>Shay</w:t>
      </w:r>
      <w:r w:rsidRPr="00D80DDF">
        <w:rPr>
          <w:rFonts w:ascii="Times New Roman" w:hAnsi="Times New Roman" w:cs="Times New Roman"/>
          <w:sz w:val="28"/>
          <w:szCs w:val="28"/>
          <w:lang w:val="en-US"/>
        </w:rPr>
        <w:t xml:space="preserve"> </w:t>
      </w:r>
      <w:r w:rsidRPr="00AD0B83">
        <w:rPr>
          <w:rFonts w:ascii="Times New Roman" w:hAnsi="Times New Roman" w:cs="Times New Roman"/>
          <w:sz w:val="28"/>
          <w:szCs w:val="28"/>
        </w:rPr>
        <w:t>D</w:t>
      </w:r>
      <w:r w:rsidRPr="00D80DDF">
        <w:rPr>
          <w:rFonts w:ascii="Times New Roman" w:hAnsi="Times New Roman" w:cs="Times New Roman"/>
          <w:sz w:val="28"/>
          <w:szCs w:val="28"/>
          <w:lang w:val="en-US"/>
        </w:rPr>
        <w:t>.</w:t>
      </w:r>
      <w:r w:rsidRPr="00AD0B83">
        <w:rPr>
          <w:rFonts w:ascii="Times New Roman" w:hAnsi="Times New Roman" w:cs="Times New Roman"/>
          <w:sz w:val="28"/>
          <w:szCs w:val="28"/>
        </w:rPr>
        <w:t>K</w:t>
      </w:r>
      <w:r w:rsidRPr="00D80DDF">
        <w:rPr>
          <w:rFonts w:ascii="Times New Roman" w:hAnsi="Times New Roman" w:cs="Times New Roman"/>
          <w:sz w:val="28"/>
          <w:szCs w:val="28"/>
          <w:lang w:val="en-US"/>
        </w:rPr>
        <w:t xml:space="preserve">., </w:t>
      </w:r>
      <w:r w:rsidRPr="00AD0B83">
        <w:rPr>
          <w:rFonts w:ascii="Times New Roman" w:hAnsi="Times New Roman" w:cs="Times New Roman"/>
          <w:sz w:val="28"/>
          <w:szCs w:val="28"/>
        </w:rPr>
        <w:t>Su</w:t>
      </w:r>
      <w:r w:rsidRPr="00D80DDF">
        <w:rPr>
          <w:rFonts w:ascii="Times New Roman" w:hAnsi="Times New Roman" w:cs="Times New Roman"/>
          <w:sz w:val="28"/>
          <w:szCs w:val="28"/>
          <w:lang w:val="en-US"/>
        </w:rPr>
        <w:t xml:space="preserve"> </w:t>
      </w:r>
      <w:r w:rsidRPr="00AD0B83">
        <w:rPr>
          <w:rFonts w:ascii="Times New Roman" w:hAnsi="Times New Roman" w:cs="Times New Roman"/>
          <w:sz w:val="28"/>
          <w:szCs w:val="28"/>
        </w:rPr>
        <w:t>J</w:t>
      </w:r>
      <w:r w:rsidRPr="00D80DDF">
        <w:rPr>
          <w:rFonts w:ascii="Times New Roman" w:hAnsi="Times New Roman" w:cs="Times New Roman"/>
          <w:sz w:val="28"/>
          <w:szCs w:val="28"/>
          <w:lang w:val="en-US"/>
        </w:rPr>
        <w:t>.</w:t>
      </w:r>
      <w:r w:rsidRPr="00AD0B83">
        <w:rPr>
          <w:rFonts w:ascii="Times New Roman" w:hAnsi="Times New Roman" w:cs="Times New Roman"/>
          <w:sz w:val="28"/>
          <w:szCs w:val="28"/>
        </w:rPr>
        <w:t>R</w:t>
      </w:r>
      <w:r w:rsidRPr="00D80DDF">
        <w:rPr>
          <w:rFonts w:ascii="Times New Roman" w:hAnsi="Times New Roman" w:cs="Times New Roman"/>
          <w:sz w:val="28"/>
          <w:szCs w:val="28"/>
          <w:lang w:val="en-US"/>
        </w:rPr>
        <w:t xml:space="preserve">., </w:t>
      </w:r>
      <w:r w:rsidRPr="00AD0B83">
        <w:rPr>
          <w:rFonts w:ascii="Times New Roman" w:hAnsi="Times New Roman" w:cs="Times New Roman"/>
          <w:sz w:val="28"/>
          <w:szCs w:val="28"/>
        </w:rPr>
        <w:t>Gee</w:t>
      </w:r>
      <w:r w:rsidRPr="00D80DDF">
        <w:rPr>
          <w:rFonts w:ascii="Times New Roman" w:hAnsi="Times New Roman" w:cs="Times New Roman"/>
          <w:sz w:val="28"/>
          <w:szCs w:val="28"/>
          <w:lang w:val="en-US"/>
        </w:rPr>
        <w:t xml:space="preserve"> </w:t>
      </w:r>
      <w:r w:rsidRPr="00AD0B83">
        <w:rPr>
          <w:rFonts w:ascii="Times New Roman" w:hAnsi="Times New Roman" w:cs="Times New Roman"/>
          <w:sz w:val="28"/>
          <w:szCs w:val="28"/>
        </w:rPr>
        <w:t>J</w:t>
      </w:r>
      <w:r w:rsidRPr="00D80DDF">
        <w:rPr>
          <w:rFonts w:ascii="Times New Roman" w:hAnsi="Times New Roman" w:cs="Times New Roman"/>
          <w:sz w:val="28"/>
          <w:szCs w:val="28"/>
          <w:lang w:val="en-US"/>
        </w:rPr>
        <w:t xml:space="preserve">., </w:t>
      </w:r>
      <w:r w:rsidRPr="00AD0B83">
        <w:rPr>
          <w:rFonts w:ascii="Times New Roman" w:hAnsi="Times New Roman" w:cs="Times New Roman"/>
          <w:sz w:val="28"/>
          <w:szCs w:val="28"/>
        </w:rPr>
        <w:t>Creech</w:t>
      </w:r>
      <w:r w:rsidRPr="00D80DDF">
        <w:rPr>
          <w:rFonts w:ascii="Times New Roman" w:hAnsi="Times New Roman" w:cs="Times New Roman"/>
          <w:sz w:val="28"/>
          <w:szCs w:val="28"/>
          <w:lang w:val="en-US"/>
        </w:rPr>
        <w:t xml:space="preserve"> </w:t>
      </w:r>
      <w:r w:rsidRPr="00AD0B83">
        <w:rPr>
          <w:rFonts w:ascii="Times New Roman" w:hAnsi="Times New Roman" w:cs="Times New Roman"/>
          <w:sz w:val="28"/>
          <w:szCs w:val="28"/>
        </w:rPr>
        <w:t>C</w:t>
      </w:r>
      <w:r w:rsidRPr="00D80DDF">
        <w:rPr>
          <w:rFonts w:ascii="Times New Roman" w:hAnsi="Times New Roman" w:cs="Times New Roman"/>
          <w:sz w:val="28"/>
          <w:szCs w:val="28"/>
          <w:lang w:val="en-US"/>
        </w:rPr>
        <w:t>.</w:t>
      </w:r>
      <w:r w:rsidRPr="00AD0B83">
        <w:rPr>
          <w:rFonts w:ascii="Times New Roman" w:hAnsi="Times New Roman" w:cs="Times New Roman"/>
          <w:sz w:val="28"/>
          <w:szCs w:val="28"/>
        </w:rPr>
        <w:t>B</w:t>
      </w:r>
      <w:r w:rsidRPr="00D80DDF">
        <w:rPr>
          <w:rFonts w:ascii="Times New Roman" w:hAnsi="Times New Roman" w:cs="Times New Roman"/>
          <w:sz w:val="28"/>
          <w:szCs w:val="28"/>
          <w:lang w:val="en-US"/>
        </w:rPr>
        <w:t xml:space="preserve">., </w:t>
      </w:r>
      <w:r w:rsidRPr="00AD0B83">
        <w:rPr>
          <w:rFonts w:ascii="Times New Roman" w:hAnsi="Times New Roman" w:cs="Times New Roman"/>
          <w:sz w:val="28"/>
          <w:szCs w:val="28"/>
        </w:rPr>
        <w:t>Broder</w:t>
      </w:r>
      <w:r w:rsidRPr="00D80DDF">
        <w:rPr>
          <w:rFonts w:ascii="Times New Roman" w:hAnsi="Times New Roman" w:cs="Times New Roman"/>
          <w:sz w:val="28"/>
          <w:szCs w:val="28"/>
          <w:lang w:val="en-US"/>
        </w:rPr>
        <w:t xml:space="preserve"> </w:t>
      </w:r>
      <w:r w:rsidRPr="00AD0B83">
        <w:rPr>
          <w:rFonts w:ascii="Times New Roman" w:hAnsi="Times New Roman" w:cs="Times New Roman"/>
          <w:sz w:val="28"/>
          <w:szCs w:val="28"/>
        </w:rPr>
        <w:t>K</w:t>
      </w:r>
      <w:r w:rsidRPr="00D80DDF">
        <w:rPr>
          <w:rFonts w:ascii="Times New Roman" w:hAnsi="Times New Roman" w:cs="Times New Roman"/>
          <w:sz w:val="28"/>
          <w:szCs w:val="28"/>
          <w:lang w:val="en-US"/>
        </w:rPr>
        <w:t>.</w:t>
      </w:r>
      <w:r w:rsidRPr="00AD0B83">
        <w:rPr>
          <w:rFonts w:ascii="Times New Roman" w:hAnsi="Times New Roman" w:cs="Times New Roman"/>
          <w:sz w:val="28"/>
          <w:szCs w:val="28"/>
        </w:rPr>
        <w:t>R</w:t>
      </w:r>
      <w:r w:rsidRPr="00D80DDF">
        <w:rPr>
          <w:rFonts w:ascii="Times New Roman" w:hAnsi="Times New Roman" w:cs="Times New Roman"/>
          <w:sz w:val="28"/>
          <w:szCs w:val="28"/>
          <w:lang w:val="en-US"/>
        </w:rPr>
        <w:t xml:space="preserve">., </w:t>
      </w:r>
      <w:r w:rsidRPr="00AD0B83">
        <w:rPr>
          <w:rFonts w:ascii="Times New Roman" w:hAnsi="Times New Roman" w:cs="Times New Roman"/>
          <w:sz w:val="28"/>
          <w:szCs w:val="28"/>
        </w:rPr>
        <w:t>Edwards</w:t>
      </w:r>
      <w:r w:rsidRPr="00D80DDF">
        <w:rPr>
          <w:rFonts w:ascii="Times New Roman" w:hAnsi="Times New Roman" w:cs="Times New Roman"/>
          <w:sz w:val="28"/>
          <w:szCs w:val="28"/>
          <w:lang w:val="en-US"/>
        </w:rPr>
        <w:t xml:space="preserve"> </w:t>
      </w:r>
      <w:r w:rsidRPr="00AD0B83">
        <w:rPr>
          <w:rFonts w:ascii="Times New Roman" w:hAnsi="Times New Roman" w:cs="Times New Roman"/>
          <w:sz w:val="28"/>
          <w:szCs w:val="28"/>
        </w:rPr>
        <w:t>K</w:t>
      </w:r>
      <w:r w:rsidRPr="00D80DDF">
        <w:rPr>
          <w:rFonts w:ascii="Times New Roman" w:hAnsi="Times New Roman" w:cs="Times New Roman"/>
          <w:sz w:val="28"/>
          <w:szCs w:val="28"/>
          <w:lang w:val="en-US"/>
        </w:rPr>
        <w:t xml:space="preserve">., </w:t>
      </w:r>
      <w:proofErr w:type="spellStart"/>
      <w:r w:rsidRPr="00AD0B83">
        <w:rPr>
          <w:rFonts w:ascii="Times New Roman" w:hAnsi="Times New Roman" w:cs="Times New Roman"/>
          <w:sz w:val="28"/>
          <w:szCs w:val="28"/>
        </w:rPr>
        <w:t>Soslow</w:t>
      </w:r>
      <w:proofErr w:type="spellEnd"/>
      <w:r w:rsidRPr="00D80DDF">
        <w:rPr>
          <w:rFonts w:ascii="Times New Roman" w:hAnsi="Times New Roman" w:cs="Times New Roman"/>
          <w:sz w:val="28"/>
          <w:szCs w:val="28"/>
          <w:lang w:val="en-US"/>
        </w:rPr>
        <w:t xml:space="preserve"> </w:t>
      </w:r>
      <w:r w:rsidRPr="00AD0B83">
        <w:rPr>
          <w:rFonts w:ascii="Times New Roman" w:hAnsi="Times New Roman" w:cs="Times New Roman"/>
          <w:sz w:val="28"/>
          <w:szCs w:val="28"/>
        </w:rPr>
        <w:t>J</w:t>
      </w:r>
      <w:r w:rsidRPr="00D80DDF">
        <w:rPr>
          <w:rFonts w:ascii="Times New Roman" w:hAnsi="Times New Roman" w:cs="Times New Roman"/>
          <w:sz w:val="28"/>
          <w:szCs w:val="28"/>
          <w:lang w:val="en-US"/>
        </w:rPr>
        <w:t>.</w:t>
      </w:r>
      <w:r w:rsidRPr="00AD0B83">
        <w:rPr>
          <w:rFonts w:ascii="Times New Roman" w:hAnsi="Times New Roman" w:cs="Times New Roman"/>
          <w:sz w:val="28"/>
          <w:szCs w:val="28"/>
        </w:rPr>
        <w:t>H</w:t>
      </w:r>
      <w:r w:rsidRPr="00D80DDF">
        <w:rPr>
          <w:rFonts w:ascii="Times New Roman" w:hAnsi="Times New Roman" w:cs="Times New Roman"/>
          <w:sz w:val="28"/>
          <w:szCs w:val="28"/>
          <w:lang w:val="en-US"/>
        </w:rPr>
        <w:t xml:space="preserve">., </w:t>
      </w:r>
      <w:r w:rsidRPr="00AD0B83">
        <w:rPr>
          <w:rFonts w:ascii="Times New Roman" w:hAnsi="Times New Roman" w:cs="Times New Roman"/>
          <w:sz w:val="28"/>
          <w:szCs w:val="28"/>
        </w:rPr>
        <w:t>Dendy</w:t>
      </w:r>
      <w:r w:rsidRPr="00D80DDF">
        <w:rPr>
          <w:rFonts w:ascii="Times New Roman" w:hAnsi="Times New Roman" w:cs="Times New Roman"/>
          <w:sz w:val="28"/>
          <w:szCs w:val="28"/>
          <w:lang w:val="en-US"/>
        </w:rPr>
        <w:t xml:space="preserve"> </w:t>
      </w:r>
      <w:r w:rsidRPr="00AD0B83">
        <w:rPr>
          <w:rFonts w:ascii="Times New Roman" w:hAnsi="Times New Roman" w:cs="Times New Roman"/>
          <w:sz w:val="28"/>
          <w:szCs w:val="28"/>
        </w:rPr>
        <w:t>J</w:t>
      </w:r>
      <w:r w:rsidRPr="00D80DDF">
        <w:rPr>
          <w:rFonts w:ascii="Times New Roman" w:hAnsi="Times New Roman" w:cs="Times New Roman"/>
          <w:sz w:val="28"/>
          <w:szCs w:val="28"/>
          <w:lang w:val="en-US"/>
        </w:rPr>
        <w:t>.</w:t>
      </w:r>
      <w:r w:rsidRPr="00AD0B83">
        <w:rPr>
          <w:rFonts w:ascii="Times New Roman" w:hAnsi="Times New Roman" w:cs="Times New Roman"/>
          <w:sz w:val="28"/>
          <w:szCs w:val="28"/>
        </w:rPr>
        <w:t>M</w:t>
      </w:r>
      <w:r w:rsidRPr="00D80DDF">
        <w:rPr>
          <w:rFonts w:ascii="Times New Roman" w:hAnsi="Times New Roman" w:cs="Times New Roman"/>
          <w:sz w:val="28"/>
          <w:szCs w:val="28"/>
          <w:lang w:val="en-US"/>
        </w:rPr>
        <w:t xml:space="preserve">., </w:t>
      </w:r>
      <w:proofErr w:type="spellStart"/>
      <w:r w:rsidRPr="00AD0B83">
        <w:rPr>
          <w:rFonts w:ascii="Times New Roman" w:hAnsi="Times New Roman" w:cs="Times New Roman"/>
          <w:sz w:val="28"/>
          <w:szCs w:val="28"/>
        </w:rPr>
        <w:t>Schlaudecker</w:t>
      </w:r>
      <w:proofErr w:type="spellEnd"/>
      <w:r w:rsidRPr="00D80DDF">
        <w:rPr>
          <w:rFonts w:ascii="Times New Roman" w:hAnsi="Times New Roman" w:cs="Times New Roman"/>
          <w:sz w:val="28"/>
          <w:szCs w:val="28"/>
          <w:lang w:val="en-US"/>
        </w:rPr>
        <w:t xml:space="preserve"> </w:t>
      </w:r>
      <w:r w:rsidRPr="00AD0B83">
        <w:rPr>
          <w:rFonts w:ascii="Times New Roman" w:hAnsi="Times New Roman" w:cs="Times New Roman"/>
          <w:sz w:val="28"/>
          <w:szCs w:val="28"/>
        </w:rPr>
        <w:t>E</w:t>
      </w:r>
      <w:r w:rsidRPr="00D80DDF">
        <w:rPr>
          <w:rFonts w:ascii="Times New Roman" w:hAnsi="Times New Roman" w:cs="Times New Roman"/>
          <w:sz w:val="28"/>
          <w:szCs w:val="28"/>
          <w:lang w:val="en-US"/>
        </w:rPr>
        <w:t>.</w:t>
      </w:r>
      <w:r w:rsidRPr="00AD0B83">
        <w:rPr>
          <w:rFonts w:ascii="Times New Roman" w:hAnsi="Times New Roman" w:cs="Times New Roman"/>
          <w:sz w:val="28"/>
          <w:szCs w:val="28"/>
        </w:rPr>
        <w:t>P</w:t>
      </w:r>
      <w:r w:rsidRPr="00D80DDF">
        <w:rPr>
          <w:rFonts w:ascii="Times New Roman" w:hAnsi="Times New Roman" w:cs="Times New Roman"/>
          <w:sz w:val="28"/>
          <w:szCs w:val="28"/>
          <w:lang w:val="en-US"/>
        </w:rPr>
        <w:t xml:space="preserve">., </w:t>
      </w:r>
      <w:r w:rsidRPr="00AD0B83">
        <w:rPr>
          <w:rFonts w:ascii="Times New Roman" w:hAnsi="Times New Roman" w:cs="Times New Roman"/>
          <w:sz w:val="28"/>
          <w:szCs w:val="28"/>
        </w:rPr>
        <w:t>et</w:t>
      </w:r>
      <w:r w:rsidRPr="00D80DDF">
        <w:rPr>
          <w:rFonts w:ascii="Times New Roman" w:hAnsi="Times New Roman" w:cs="Times New Roman"/>
          <w:sz w:val="28"/>
          <w:szCs w:val="28"/>
          <w:lang w:val="en-US"/>
        </w:rPr>
        <w:t xml:space="preserve"> </w:t>
      </w:r>
      <w:r w:rsidRPr="00AD0B83">
        <w:rPr>
          <w:rFonts w:ascii="Times New Roman" w:hAnsi="Times New Roman" w:cs="Times New Roman"/>
          <w:sz w:val="28"/>
          <w:szCs w:val="28"/>
        </w:rPr>
        <w:t>al</w:t>
      </w:r>
      <w:r w:rsidRPr="00D80DDF">
        <w:rPr>
          <w:rFonts w:ascii="Times New Roman" w:hAnsi="Times New Roman" w:cs="Times New Roman"/>
          <w:sz w:val="28"/>
          <w:szCs w:val="28"/>
          <w:lang w:val="en-US"/>
        </w:rPr>
        <w:t>.</w:t>
      </w:r>
      <w:r w:rsidRPr="00AD0B83">
        <w:rPr>
          <w:rFonts w:ascii="Times New Roman" w:hAnsi="Times New Roman" w:cs="Times New Roman"/>
          <w:sz w:val="28"/>
          <w:szCs w:val="28"/>
        </w:rPr>
        <w:t> Myocarditis cases reported after mRNA-based COVID-19 vaccination in the US // JAMA. – 2022. – Vol. 327, No. 4. – P. 331-340.</w:t>
      </w:r>
      <w:hyperlink r:id="rId171" w:history="1">
        <w:r w:rsidR="00C60FD6" w:rsidRPr="00AD0B83">
          <w:rPr>
            <w:rStyle w:val="a5"/>
            <w:rFonts w:ascii="Times New Roman" w:hAnsi="Times New Roman" w:cs="Times New Roman"/>
            <w:sz w:val="28"/>
            <w:szCs w:val="28"/>
            <w:lang w:val="en-US"/>
          </w:rPr>
          <w:t>https://doi.org/10.1001/jama.2021.24110</w:t>
        </w:r>
      </w:hyperlink>
      <w:r w:rsidR="00C60FD6">
        <w:rPr>
          <w:rFonts w:ascii="Times New Roman" w:hAnsi="Times New Roman" w:cs="Times New Roman"/>
          <w:sz w:val="28"/>
          <w:szCs w:val="28"/>
          <w:lang w:val="en-US"/>
        </w:rPr>
        <w:t xml:space="preserve">    </w:t>
      </w:r>
    </w:p>
    <w:p w14:paraId="3FBA8036" w14:textId="77777777" w:rsidR="00D80DDF" w:rsidRDefault="00716437" w:rsidP="00524D6E">
      <w:pPr>
        <w:pStyle w:val="af1"/>
        <w:numPr>
          <w:ilvl w:val="0"/>
          <w:numId w:val="7"/>
        </w:numPr>
        <w:spacing w:after="0" w:line="240" w:lineRule="auto"/>
        <w:ind w:left="0" w:firstLine="0"/>
        <w:jc w:val="both"/>
        <w:rPr>
          <w:rFonts w:ascii="Times New Roman" w:hAnsi="Times New Roman" w:cs="Times New Roman"/>
          <w:sz w:val="24"/>
          <w:szCs w:val="24"/>
        </w:rPr>
      </w:pPr>
      <w:r w:rsidRPr="00370A93">
        <w:rPr>
          <w:rFonts w:ascii="Times New Roman" w:hAnsi="Times New Roman" w:cs="Times New Roman"/>
          <w:sz w:val="28"/>
          <w:szCs w:val="28"/>
        </w:rPr>
        <w:t xml:space="preserve">Acevedo-Whitehouse K., Bruno R. Potential health risks of mRNA-based vaccine therapy: A hypothesis [Electronic resource] // Med. Hypotheses. – 2023. – Vol. 171. </w:t>
      </w:r>
      <w:hyperlink r:id="rId172" w:history="1">
        <w:r w:rsidR="00370A93" w:rsidRPr="00326516">
          <w:rPr>
            <w:rStyle w:val="a5"/>
            <w:rFonts w:ascii="Times New Roman" w:hAnsi="Times New Roman" w:cs="Times New Roman"/>
            <w:sz w:val="28"/>
            <w:szCs w:val="28"/>
          </w:rPr>
          <w:t>https://doi.org/10.1016/j.mehy.2023.111015</w:t>
        </w:r>
      </w:hyperlink>
      <w:r w:rsidR="00370A93">
        <w:rPr>
          <w:rFonts w:ascii="Times New Roman" w:hAnsi="Times New Roman" w:cs="Times New Roman"/>
          <w:sz w:val="28"/>
          <w:szCs w:val="28"/>
        </w:rPr>
        <w:t xml:space="preserve"> </w:t>
      </w:r>
    </w:p>
    <w:p w14:paraId="688FA22F" w14:textId="660DEFEF" w:rsidR="00732044" w:rsidRPr="00D80DDF" w:rsidRDefault="003D05BD" w:rsidP="00524D6E">
      <w:pPr>
        <w:pStyle w:val="af1"/>
        <w:numPr>
          <w:ilvl w:val="0"/>
          <w:numId w:val="7"/>
        </w:numPr>
        <w:spacing w:after="0" w:line="240" w:lineRule="auto"/>
        <w:ind w:left="0" w:firstLine="0"/>
        <w:jc w:val="both"/>
        <w:rPr>
          <w:rFonts w:ascii="Times New Roman" w:hAnsi="Times New Roman" w:cs="Times New Roman"/>
          <w:sz w:val="24"/>
          <w:szCs w:val="24"/>
        </w:rPr>
      </w:pPr>
      <w:proofErr w:type="spellStart"/>
      <w:r w:rsidRPr="00D80DDF">
        <w:rPr>
          <w:rFonts w:ascii="Times New Roman" w:hAnsi="Times New Roman" w:cs="Times New Roman"/>
          <w:sz w:val="28"/>
          <w:szCs w:val="28"/>
        </w:rPr>
        <w:t>Gote</w:t>
      </w:r>
      <w:proofErr w:type="spellEnd"/>
      <w:r w:rsidRPr="00D80DDF">
        <w:rPr>
          <w:rFonts w:ascii="Times New Roman" w:hAnsi="Times New Roman" w:cs="Times New Roman"/>
          <w:sz w:val="28"/>
          <w:szCs w:val="28"/>
        </w:rPr>
        <w:t xml:space="preserve"> V., Bolla P.K., Kommineni N., </w:t>
      </w:r>
      <w:proofErr w:type="spellStart"/>
      <w:r w:rsidRPr="00D80DDF">
        <w:rPr>
          <w:rFonts w:ascii="Times New Roman" w:hAnsi="Times New Roman" w:cs="Times New Roman"/>
          <w:sz w:val="28"/>
          <w:szCs w:val="28"/>
        </w:rPr>
        <w:t>Butreddy</w:t>
      </w:r>
      <w:proofErr w:type="spellEnd"/>
      <w:r w:rsidRPr="00D80DDF">
        <w:rPr>
          <w:rFonts w:ascii="Times New Roman" w:hAnsi="Times New Roman" w:cs="Times New Roman"/>
          <w:sz w:val="28"/>
          <w:szCs w:val="28"/>
        </w:rPr>
        <w:t xml:space="preserve"> A., Nukala P.K., </w:t>
      </w:r>
      <w:proofErr w:type="spellStart"/>
      <w:r w:rsidRPr="00D80DDF">
        <w:rPr>
          <w:rFonts w:ascii="Times New Roman" w:hAnsi="Times New Roman" w:cs="Times New Roman"/>
          <w:sz w:val="28"/>
          <w:szCs w:val="28"/>
        </w:rPr>
        <w:t>Palakurthi</w:t>
      </w:r>
      <w:proofErr w:type="spellEnd"/>
      <w:r w:rsidRPr="00D80DDF">
        <w:rPr>
          <w:rFonts w:ascii="Times New Roman" w:hAnsi="Times New Roman" w:cs="Times New Roman"/>
          <w:sz w:val="28"/>
          <w:szCs w:val="28"/>
        </w:rPr>
        <w:t xml:space="preserve"> S.S., Khan W. A Comprehensive Review of mRNA </w:t>
      </w:r>
      <w:r w:rsidR="00370A93" w:rsidRPr="00D80DDF">
        <w:rPr>
          <w:rFonts w:ascii="Times New Roman" w:hAnsi="Times New Roman" w:cs="Times New Roman"/>
          <w:sz w:val="28"/>
          <w:szCs w:val="28"/>
        </w:rPr>
        <w:t>Vaccines /</w:t>
      </w:r>
      <w:r w:rsidRPr="00D80DDF">
        <w:rPr>
          <w:rFonts w:ascii="Times New Roman" w:hAnsi="Times New Roman" w:cs="Times New Roman"/>
          <w:sz w:val="28"/>
          <w:szCs w:val="28"/>
        </w:rPr>
        <w:t xml:space="preserve">/ Int. J. Mol. Sci. – 2023. – Vol. </w:t>
      </w:r>
      <w:r w:rsidR="00370A93" w:rsidRPr="00D80DDF">
        <w:rPr>
          <w:rFonts w:ascii="Times New Roman" w:hAnsi="Times New Roman" w:cs="Times New Roman"/>
          <w:sz w:val="28"/>
          <w:szCs w:val="28"/>
        </w:rPr>
        <w:t xml:space="preserve">24, </w:t>
      </w:r>
      <w:hyperlink r:id="rId173" w:history="1">
        <w:r w:rsidR="00370A93" w:rsidRPr="00D80DDF">
          <w:rPr>
            <w:rStyle w:val="a5"/>
            <w:rFonts w:ascii="Times New Roman" w:hAnsi="Times New Roman" w:cs="Times New Roman"/>
            <w:sz w:val="28"/>
            <w:szCs w:val="28"/>
          </w:rPr>
          <w:t>https://doi.org/10.3390/ijms24032700</w:t>
        </w:r>
      </w:hyperlink>
      <w:r w:rsidR="00370A93" w:rsidRPr="00D80DDF">
        <w:rPr>
          <w:rFonts w:ascii="Times New Roman" w:hAnsi="Times New Roman" w:cs="Times New Roman"/>
          <w:sz w:val="28"/>
          <w:szCs w:val="28"/>
        </w:rPr>
        <w:t xml:space="preserve"> </w:t>
      </w:r>
    </w:p>
    <w:p w14:paraId="44DE8901" w14:textId="77777777" w:rsidR="00D80DDF" w:rsidRDefault="00D80DDF" w:rsidP="00524D6E">
      <w:pPr>
        <w:spacing w:after="0" w:line="240" w:lineRule="auto"/>
        <w:jc w:val="both"/>
        <w:rPr>
          <w:rFonts w:ascii="Times New Roman" w:hAnsi="Times New Roman" w:cs="Times New Roman"/>
          <w:sz w:val="24"/>
          <w:szCs w:val="24"/>
        </w:rPr>
      </w:pPr>
    </w:p>
    <w:p w14:paraId="2C63027F" w14:textId="77777777" w:rsidR="00D80DDF" w:rsidRDefault="00D80DDF" w:rsidP="00524D6E">
      <w:pPr>
        <w:spacing w:after="0" w:line="240" w:lineRule="auto"/>
        <w:jc w:val="both"/>
        <w:rPr>
          <w:rFonts w:ascii="Times New Roman" w:hAnsi="Times New Roman" w:cs="Times New Roman"/>
          <w:sz w:val="24"/>
          <w:szCs w:val="24"/>
        </w:rPr>
      </w:pPr>
    </w:p>
    <w:p w14:paraId="1E1C3D42" w14:textId="77777777" w:rsidR="00D80DDF" w:rsidRDefault="00D80DDF" w:rsidP="00524D6E">
      <w:pPr>
        <w:spacing w:after="0" w:line="240" w:lineRule="auto"/>
        <w:jc w:val="both"/>
        <w:rPr>
          <w:rFonts w:ascii="Times New Roman" w:hAnsi="Times New Roman" w:cs="Times New Roman"/>
          <w:sz w:val="24"/>
          <w:szCs w:val="24"/>
        </w:rPr>
      </w:pPr>
    </w:p>
    <w:p w14:paraId="4F02DC04" w14:textId="77777777" w:rsidR="00D80DDF" w:rsidRPr="00A6371B" w:rsidRDefault="00D80DDF" w:rsidP="00524D6E">
      <w:pPr>
        <w:spacing w:after="0" w:line="240" w:lineRule="auto"/>
        <w:jc w:val="both"/>
        <w:rPr>
          <w:rFonts w:ascii="Times New Roman" w:hAnsi="Times New Roman" w:cs="Times New Roman"/>
          <w:sz w:val="24"/>
          <w:szCs w:val="24"/>
          <w:lang w:val="en-US"/>
        </w:rPr>
      </w:pPr>
    </w:p>
    <w:p w14:paraId="2761B9C2" w14:textId="77777777" w:rsidR="00524D6E" w:rsidRPr="00A6371B" w:rsidRDefault="00524D6E" w:rsidP="00524D6E">
      <w:pPr>
        <w:spacing w:after="0" w:line="240" w:lineRule="auto"/>
        <w:jc w:val="both"/>
        <w:rPr>
          <w:rFonts w:ascii="Times New Roman" w:hAnsi="Times New Roman" w:cs="Times New Roman"/>
          <w:sz w:val="24"/>
          <w:szCs w:val="24"/>
          <w:lang w:val="en-US"/>
        </w:rPr>
      </w:pPr>
    </w:p>
    <w:p w14:paraId="4AADD1F8" w14:textId="77777777" w:rsidR="00524D6E" w:rsidRPr="00A6371B" w:rsidRDefault="00524D6E" w:rsidP="00524D6E">
      <w:pPr>
        <w:spacing w:after="0" w:line="240" w:lineRule="auto"/>
        <w:jc w:val="both"/>
        <w:rPr>
          <w:rFonts w:ascii="Times New Roman" w:hAnsi="Times New Roman" w:cs="Times New Roman"/>
          <w:sz w:val="24"/>
          <w:szCs w:val="24"/>
          <w:lang w:val="en-US"/>
        </w:rPr>
      </w:pPr>
    </w:p>
    <w:p w14:paraId="4CE75A41" w14:textId="77777777" w:rsidR="00524D6E" w:rsidRPr="00A6371B" w:rsidRDefault="00524D6E" w:rsidP="00524D6E">
      <w:pPr>
        <w:spacing w:after="0" w:line="240" w:lineRule="auto"/>
        <w:jc w:val="both"/>
        <w:rPr>
          <w:rFonts w:ascii="Times New Roman" w:hAnsi="Times New Roman" w:cs="Times New Roman"/>
          <w:sz w:val="24"/>
          <w:szCs w:val="24"/>
          <w:lang w:val="en-US"/>
        </w:rPr>
      </w:pPr>
    </w:p>
    <w:p w14:paraId="2452DC1B" w14:textId="77777777" w:rsidR="00524D6E" w:rsidRPr="00A6371B" w:rsidRDefault="00524D6E" w:rsidP="00524D6E">
      <w:pPr>
        <w:spacing w:after="0" w:line="240" w:lineRule="auto"/>
        <w:jc w:val="both"/>
        <w:rPr>
          <w:rFonts w:ascii="Times New Roman" w:hAnsi="Times New Roman" w:cs="Times New Roman"/>
          <w:sz w:val="24"/>
          <w:szCs w:val="24"/>
          <w:lang w:val="en-US"/>
        </w:rPr>
      </w:pPr>
    </w:p>
    <w:p w14:paraId="42D0D7E1" w14:textId="77777777" w:rsidR="00524D6E" w:rsidRPr="00A6371B" w:rsidRDefault="00524D6E" w:rsidP="00524D6E">
      <w:pPr>
        <w:spacing w:after="0" w:line="240" w:lineRule="auto"/>
        <w:jc w:val="both"/>
        <w:rPr>
          <w:rFonts w:ascii="Times New Roman" w:hAnsi="Times New Roman" w:cs="Times New Roman"/>
          <w:sz w:val="24"/>
          <w:szCs w:val="24"/>
          <w:lang w:val="en-US"/>
        </w:rPr>
      </w:pPr>
    </w:p>
    <w:p w14:paraId="1A71678D" w14:textId="1A0EB6DE" w:rsidR="00226539" w:rsidRPr="00D36C8E" w:rsidRDefault="00C96720" w:rsidP="00D36C8E">
      <w:pPr>
        <w:spacing w:line="240" w:lineRule="auto"/>
        <w:jc w:val="center"/>
        <w:rPr>
          <w:rFonts w:ascii="Times New Roman" w:hAnsi="Times New Roman" w:cs="Times New Roman"/>
          <w:b/>
          <w:bCs/>
          <w:sz w:val="28"/>
          <w:szCs w:val="28"/>
        </w:rPr>
      </w:pPr>
      <w:r w:rsidRPr="00D36C8E">
        <w:rPr>
          <w:rFonts w:ascii="Times New Roman" w:hAnsi="Times New Roman" w:cs="Times New Roman"/>
          <w:b/>
          <w:bCs/>
          <w:sz w:val="28"/>
          <w:szCs w:val="28"/>
        </w:rPr>
        <w:lastRenderedPageBreak/>
        <w:t>APPENDIX A</w:t>
      </w:r>
    </w:p>
    <w:p w14:paraId="0B9E4865" w14:textId="77777777" w:rsidR="00226539" w:rsidRPr="00D36C8E" w:rsidRDefault="00853685" w:rsidP="00D36C8E">
      <w:pPr>
        <w:spacing w:line="240" w:lineRule="auto"/>
        <w:jc w:val="center"/>
        <w:rPr>
          <w:rFonts w:ascii="Times New Roman" w:hAnsi="Times New Roman" w:cs="Times New Roman"/>
          <w:b/>
          <w:bCs/>
          <w:sz w:val="28"/>
          <w:szCs w:val="28"/>
        </w:rPr>
      </w:pPr>
      <w:r w:rsidRPr="00D36C8E">
        <w:rPr>
          <w:rFonts w:ascii="Times New Roman" w:hAnsi="Times New Roman" w:cs="Times New Roman"/>
          <w:b/>
          <w:bCs/>
          <w:sz w:val="28"/>
          <w:szCs w:val="28"/>
        </w:rPr>
        <w:t xml:space="preserve">The taxonomy of the SARS-CoV-2 strain human/KAZ/B 1.1/2021 the early SARS-COV2 linage </w:t>
      </w:r>
    </w:p>
    <w:p w14:paraId="524BF8B2" w14:textId="77777777" w:rsidR="00226539" w:rsidRPr="00D36C8E" w:rsidRDefault="00853685" w:rsidP="00D36C8E">
      <w:pPr>
        <w:spacing w:line="240" w:lineRule="auto"/>
        <w:jc w:val="center"/>
        <w:rPr>
          <w:rFonts w:ascii="Times New Roman" w:hAnsi="Times New Roman" w:cs="Times New Roman"/>
          <w:sz w:val="28"/>
          <w:szCs w:val="28"/>
        </w:rPr>
      </w:pPr>
      <w:r w:rsidRPr="00D36C8E">
        <w:rPr>
          <w:rFonts w:ascii="Times New Roman" w:hAnsi="Times New Roman" w:cs="Times New Roman"/>
          <w:sz w:val="28"/>
          <w:szCs w:val="28"/>
        </w:rPr>
        <w:t>Hierarchical Classification</w:t>
      </w:r>
    </w:p>
    <w:p w14:paraId="4790B2BC" w14:textId="77777777" w:rsidR="00226539" w:rsidRPr="00D36C8E" w:rsidRDefault="00853685" w:rsidP="00D36C8E">
      <w:pPr>
        <w:numPr>
          <w:ilvl w:val="0"/>
          <w:numId w:val="8"/>
        </w:numPr>
        <w:spacing w:line="240" w:lineRule="auto"/>
        <w:ind w:firstLine="0"/>
        <w:jc w:val="both"/>
        <w:rPr>
          <w:rFonts w:ascii="Times New Roman" w:hAnsi="Times New Roman" w:cs="Times New Roman"/>
          <w:sz w:val="28"/>
          <w:szCs w:val="28"/>
        </w:rPr>
      </w:pPr>
      <w:r w:rsidRPr="00D36C8E">
        <w:rPr>
          <w:rFonts w:ascii="Times New Roman" w:hAnsi="Times New Roman" w:cs="Times New Roman"/>
          <w:sz w:val="28"/>
          <w:szCs w:val="28"/>
        </w:rPr>
        <w:t xml:space="preserve">Realm: </w:t>
      </w:r>
      <w:proofErr w:type="spellStart"/>
      <w:r w:rsidRPr="00D36C8E">
        <w:rPr>
          <w:rFonts w:ascii="Times New Roman" w:hAnsi="Times New Roman" w:cs="Times New Roman"/>
          <w:sz w:val="28"/>
          <w:szCs w:val="28"/>
        </w:rPr>
        <w:t>Riboviria</w:t>
      </w:r>
      <w:proofErr w:type="spellEnd"/>
    </w:p>
    <w:p w14:paraId="1525A99F" w14:textId="77777777" w:rsidR="00226539" w:rsidRPr="00D36C8E" w:rsidRDefault="00853685" w:rsidP="00D36C8E">
      <w:pPr>
        <w:numPr>
          <w:ilvl w:val="0"/>
          <w:numId w:val="8"/>
        </w:numPr>
        <w:spacing w:line="240" w:lineRule="auto"/>
        <w:ind w:firstLine="0"/>
        <w:jc w:val="both"/>
        <w:rPr>
          <w:rFonts w:ascii="Times New Roman" w:hAnsi="Times New Roman" w:cs="Times New Roman"/>
          <w:sz w:val="28"/>
          <w:szCs w:val="28"/>
        </w:rPr>
      </w:pPr>
      <w:r w:rsidRPr="00D36C8E">
        <w:rPr>
          <w:rFonts w:ascii="Times New Roman" w:hAnsi="Times New Roman" w:cs="Times New Roman"/>
          <w:sz w:val="28"/>
          <w:szCs w:val="28"/>
        </w:rPr>
        <w:t xml:space="preserve">Kingdom: </w:t>
      </w:r>
      <w:proofErr w:type="spellStart"/>
      <w:r w:rsidRPr="00D36C8E">
        <w:rPr>
          <w:rFonts w:ascii="Times New Roman" w:hAnsi="Times New Roman" w:cs="Times New Roman"/>
          <w:sz w:val="28"/>
          <w:szCs w:val="28"/>
        </w:rPr>
        <w:t>Orthornavirae</w:t>
      </w:r>
      <w:proofErr w:type="spellEnd"/>
    </w:p>
    <w:p w14:paraId="60E8EBA3" w14:textId="77777777" w:rsidR="00226539" w:rsidRPr="00D36C8E" w:rsidRDefault="00853685" w:rsidP="00D36C8E">
      <w:pPr>
        <w:numPr>
          <w:ilvl w:val="0"/>
          <w:numId w:val="8"/>
        </w:numPr>
        <w:spacing w:line="240" w:lineRule="auto"/>
        <w:ind w:firstLine="0"/>
        <w:jc w:val="both"/>
        <w:rPr>
          <w:rFonts w:ascii="Times New Roman" w:hAnsi="Times New Roman" w:cs="Times New Roman"/>
          <w:sz w:val="28"/>
          <w:szCs w:val="28"/>
        </w:rPr>
      </w:pPr>
      <w:r w:rsidRPr="00D36C8E">
        <w:rPr>
          <w:rFonts w:ascii="Times New Roman" w:hAnsi="Times New Roman" w:cs="Times New Roman"/>
          <w:sz w:val="28"/>
          <w:szCs w:val="28"/>
        </w:rPr>
        <w:t xml:space="preserve">Phylum: </w:t>
      </w:r>
      <w:proofErr w:type="spellStart"/>
      <w:r w:rsidRPr="00D36C8E">
        <w:rPr>
          <w:rFonts w:ascii="Times New Roman" w:hAnsi="Times New Roman" w:cs="Times New Roman"/>
          <w:sz w:val="28"/>
          <w:szCs w:val="28"/>
        </w:rPr>
        <w:t>Pisuviricota</w:t>
      </w:r>
      <w:proofErr w:type="spellEnd"/>
    </w:p>
    <w:p w14:paraId="62A4B2DD" w14:textId="77777777" w:rsidR="00226539" w:rsidRPr="00D36C8E" w:rsidRDefault="00853685" w:rsidP="00D36C8E">
      <w:pPr>
        <w:numPr>
          <w:ilvl w:val="0"/>
          <w:numId w:val="8"/>
        </w:numPr>
        <w:spacing w:line="240" w:lineRule="auto"/>
        <w:ind w:firstLine="0"/>
        <w:jc w:val="both"/>
        <w:rPr>
          <w:rFonts w:ascii="Times New Roman" w:hAnsi="Times New Roman" w:cs="Times New Roman"/>
          <w:sz w:val="28"/>
          <w:szCs w:val="28"/>
        </w:rPr>
      </w:pPr>
      <w:r w:rsidRPr="00D36C8E">
        <w:rPr>
          <w:rFonts w:ascii="Times New Roman" w:hAnsi="Times New Roman" w:cs="Times New Roman"/>
          <w:sz w:val="28"/>
          <w:szCs w:val="28"/>
        </w:rPr>
        <w:t xml:space="preserve">Class: </w:t>
      </w:r>
      <w:proofErr w:type="spellStart"/>
      <w:r w:rsidRPr="00D36C8E">
        <w:rPr>
          <w:rFonts w:ascii="Times New Roman" w:hAnsi="Times New Roman" w:cs="Times New Roman"/>
          <w:sz w:val="28"/>
          <w:szCs w:val="28"/>
        </w:rPr>
        <w:t>Pisoniviricetes</w:t>
      </w:r>
      <w:proofErr w:type="spellEnd"/>
    </w:p>
    <w:p w14:paraId="636EC2A4" w14:textId="77777777" w:rsidR="00226539" w:rsidRPr="00D36C8E" w:rsidRDefault="00853685" w:rsidP="00D36C8E">
      <w:pPr>
        <w:numPr>
          <w:ilvl w:val="0"/>
          <w:numId w:val="8"/>
        </w:numPr>
        <w:spacing w:line="240" w:lineRule="auto"/>
        <w:ind w:firstLine="0"/>
        <w:jc w:val="both"/>
        <w:rPr>
          <w:rFonts w:ascii="Times New Roman" w:hAnsi="Times New Roman" w:cs="Times New Roman"/>
          <w:sz w:val="28"/>
          <w:szCs w:val="28"/>
        </w:rPr>
      </w:pPr>
      <w:r w:rsidRPr="00D36C8E">
        <w:rPr>
          <w:rFonts w:ascii="Times New Roman" w:hAnsi="Times New Roman" w:cs="Times New Roman"/>
          <w:sz w:val="28"/>
          <w:szCs w:val="28"/>
        </w:rPr>
        <w:t xml:space="preserve">Order: </w:t>
      </w:r>
      <w:proofErr w:type="spellStart"/>
      <w:r w:rsidRPr="00D36C8E">
        <w:rPr>
          <w:rFonts w:ascii="Times New Roman" w:hAnsi="Times New Roman" w:cs="Times New Roman"/>
          <w:sz w:val="28"/>
          <w:szCs w:val="28"/>
        </w:rPr>
        <w:t>Nidovirales</w:t>
      </w:r>
      <w:proofErr w:type="spellEnd"/>
    </w:p>
    <w:p w14:paraId="2B2DFF2C" w14:textId="77777777" w:rsidR="00226539" w:rsidRPr="00D36C8E" w:rsidRDefault="00853685" w:rsidP="00D36C8E">
      <w:pPr>
        <w:numPr>
          <w:ilvl w:val="0"/>
          <w:numId w:val="8"/>
        </w:numPr>
        <w:spacing w:line="240" w:lineRule="auto"/>
        <w:ind w:firstLine="0"/>
        <w:jc w:val="both"/>
        <w:rPr>
          <w:rFonts w:ascii="Times New Roman" w:hAnsi="Times New Roman" w:cs="Times New Roman"/>
          <w:sz w:val="28"/>
          <w:szCs w:val="28"/>
        </w:rPr>
      </w:pPr>
      <w:r w:rsidRPr="00D36C8E">
        <w:rPr>
          <w:rFonts w:ascii="Times New Roman" w:hAnsi="Times New Roman" w:cs="Times New Roman"/>
          <w:sz w:val="28"/>
          <w:szCs w:val="28"/>
        </w:rPr>
        <w:t>Family: Coronaviridae</w:t>
      </w:r>
    </w:p>
    <w:p w14:paraId="1EA2FC8D" w14:textId="77777777" w:rsidR="00226539" w:rsidRPr="00D36C8E" w:rsidRDefault="00853685" w:rsidP="00D36C8E">
      <w:pPr>
        <w:numPr>
          <w:ilvl w:val="0"/>
          <w:numId w:val="8"/>
        </w:numPr>
        <w:spacing w:line="240" w:lineRule="auto"/>
        <w:ind w:firstLine="0"/>
        <w:jc w:val="both"/>
        <w:rPr>
          <w:rFonts w:ascii="Times New Roman" w:hAnsi="Times New Roman" w:cs="Times New Roman"/>
          <w:sz w:val="28"/>
          <w:szCs w:val="28"/>
        </w:rPr>
      </w:pPr>
      <w:r w:rsidRPr="00D36C8E">
        <w:rPr>
          <w:rFonts w:ascii="Times New Roman" w:hAnsi="Times New Roman" w:cs="Times New Roman"/>
          <w:sz w:val="28"/>
          <w:szCs w:val="28"/>
        </w:rPr>
        <w:t xml:space="preserve">Subfamily: </w:t>
      </w:r>
      <w:proofErr w:type="spellStart"/>
      <w:r w:rsidRPr="00D36C8E">
        <w:rPr>
          <w:rFonts w:ascii="Times New Roman" w:hAnsi="Times New Roman" w:cs="Times New Roman"/>
          <w:sz w:val="28"/>
          <w:szCs w:val="28"/>
        </w:rPr>
        <w:t>Orthocoronavirinae</w:t>
      </w:r>
      <w:proofErr w:type="spellEnd"/>
    </w:p>
    <w:p w14:paraId="6DBF5E39" w14:textId="77777777" w:rsidR="00226539" w:rsidRPr="00D36C8E" w:rsidRDefault="00853685" w:rsidP="00D36C8E">
      <w:pPr>
        <w:numPr>
          <w:ilvl w:val="0"/>
          <w:numId w:val="8"/>
        </w:numPr>
        <w:spacing w:line="240" w:lineRule="auto"/>
        <w:ind w:firstLine="0"/>
        <w:jc w:val="both"/>
        <w:rPr>
          <w:rFonts w:ascii="Times New Roman" w:hAnsi="Times New Roman" w:cs="Times New Roman"/>
          <w:sz w:val="28"/>
          <w:szCs w:val="28"/>
        </w:rPr>
      </w:pPr>
      <w:r w:rsidRPr="00D36C8E">
        <w:rPr>
          <w:rFonts w:ascii="Times New Roman" w:hAnsi="Times New Roman" w:cs="Times New Roman"/>
          <w:sz w:val="28"/>
          <w:szCs w:val="28"/>
        </w:rPr>
        <w:t>Genus: Betacoronavirus</w:t>
      </w:r>
    </w:p>
    <w:p w14:paraId="618EA8F7" w14:textId="77777777" w:rsidR="00226539" w:rsidRPr="00D36C8E" w:rsidRDefault="00853685" w:rsidP="00D36C8E">
      <w:pPr>
        <w:numPr>
          <w:ilvl w:val="0"/>
          <w:numId w:val="8"/>
        </w:numPr>
        <w:spacing w:line="240" w:lineRule="auto"/>
        <w:ind w:firstLine="0"/>
        <w:jc w:val="both"/>
        <w:rPr>
          <w:rFonts w:ascii="Times New Roman" w:hAnsi="Times New Roman" w:cs="Times New Roman"/>
          <w:sz w:val="28"/>
          <w:szCs w:val="28"/>
        </w:rPr>
      </w:pPr>
      <w:r w:rsidRPr="00D36C8E">
        <w:rPr>
          <w:rFonts w:ascii="Times New Roman" w:hAnsi="Times New Roman" w:cs="Times New Roman"/>
          <w:sz w:val="28"/>
          <w:szCs w:val="28"/>
        </w:rPr>
        <w:t xml:space="preserve">Subgenus: </w:t>
      </w:r>
      <w:proofErr w:type="spellStart"/>
      <w:r w:rsidRPr="00D36C8E">
        <w:rPr>
          <w:rFonts w:ascii="Times New Roman" w:hAnsi="Times New Roman" w:cs="Times New Roman"/>
          <w:sz w:val="28"/>
          <w:szCs w:val="28"/>
        </w:rPr>
        <w:t>Sarbecovirus</w:t>
      </w:r>
      <w:proofErr w:type="spellEnd"/>
    </w:p>
    <w:p w14:paraId="38F4FA1A" w14:textId="77777777" w:rsidR="00226539" w:rsidRPr="00D36C8E" w:rsidRDefault="00853685" w:rsidP="00D36C8E">
      <w:pPr>
        <w:numPr>
          <w:ilvl w:val="0"/>
          <w:numId w:val="8"/>
        </w:numPr>
        <w:spacing w:line="240" w:lineRule="auto"/>
        <w:ind w:firstLine="0"/>
        <w:jc w:val="both"/>
        <w:rPr>
          <w:rFonts w:ascii="Times New Roman" w:hAnsi="Times New Roman" w:cs="Times New Roman"/>
          <w:sz w:val="28"/>
          <w:szCs w:val="28"/>
        </w:rPr>
      </w:pPr>
      <w:r w:rsidRPr="00D36C8E">
        <w:rPr>
          <w:rFonts w:ascii="Times New Roman" w:hAnsi="Times New Roman" w:cs="Times New Roman"/>
          <w:sz w:val="28"/>
          <w:szCs w:val="28"/>
        </w:rPr>
        <w:t>Species: </w:t>
      </w:r>
      <w:r w:rsidRPr="00D36C8E">
        <w:rPr>
          <w:rFonts w:ascii="Times New Roman" w:hAnsi="Times New Roman" w:cs="Times New Roman"/>
          <w:i/>
          <w:iCs/>
          <w:sz w:val="28"/>
          <w:szCs w:val="28"/>
        </w:rPr>
        <w:t>Severe acute respiratory syndrome-related coronavirus</w:t>
      </w:r>
      <w:r w:rsidRPr="00D36C8E">
        <w:rPr>
          <w:rFonts w:ascii="Times New Roman" w:hAnsi="Times New Roman" w:cs="Times New Roman"/>
          <w:sz w:val="28"/>
          <w:szCs w:val="28"/>
        </w:rPr>
        <w:t> (</w:t>
      </w:r>
      <w:proofErr w:type="spellStart"/>
      <w:r w:rsidRPr="00D36C8E">
        <w:rPr>
          <w:rFonts w:ascii="Times New Roman" w:hAnsi="Times New Roman" w:cs="Times New Roman"/>
          <w:sz w:val="28"/>
          <w:szCs w:val="28"/>
        </w:rPr>
        <w:t>SARSr</w:t>
      </w:r>
      <w:proofErr w:type="spellEnd"/>
      <w:r w:rsidRPr="00D36C8E">
        <w:rPr>
          <w:rFonts w:ascii="Times New Roman" w:hAnsi="Times New Roman" w:cs="Times New Roman"/>
          <w:sz w:val="28"/>
          <w:szCs w:val="28"/>
        </w:rPr>
        <w:t>-CoV)</w:t>
      </w:r>
    </w:p>
    <w:p w14:paraId="04E4EC8D" w14:textId="3D818389" w:rsidR="00226539" w:rsidRPr="00F35016" w:rsidRDefault="00853685" w:rsidP="00D36C8E">
      <w:pPr>
        <w:numPr>
          <w:ilvl w:val="0"/>
          <w:numId w:val="8"/>
        </w:numPr>
        <w:spacing w:line="240" w:lineRule="auto"/>
        <w:ind w:firstLine="0"/>
        <w:jc w:val="both"/>
        <w:rPr>
          <w:rFonts w:ascii="Times New Roman" w:hAnsi="Times New Roman" w:cs="Times New Roman"/>
          <w:sz w:val="28"/>
          <w:szCs w:val="28"/>
        </w:rPr>
      </w:pPr>
      <w:r w:rsidRPr="00D36C8E">
        <w:rPr>
          <w:rFonts w:ascii="Times New Roman" w:hAnsi="Times New Roman" w:cs="Times New Roman"/>
          <w:sz w:val="28"/>
          <w:szCs w:val="28"/>
        </w:rPr>
        <w:t>Virus: SARS-CoV-2 (the causative agent of COVID-19)</w:t>
      </w:r>
      <w:r w:rsidR="004B6C3B">
        <w:rPr>
          <w:rFonts w:ascii="Times New Roman" w:hAnsi="Times New Roman" w:cs="Times New Roman"/>
          <w:sz w:val="28"/>
          <w:szCs w:val="28"/>
        </w:rPr>
        <w:t xml:space="preserve"> </w:t>
      </w:r>
    </w:p>
    <w:p w14:paraId="5D539F02" w14:textId="77777777" w:rsidR="00226539" w:rsidRPr="00D36C8E" w:rsidRDefault="00853685" w:rsidP="00D36C8E">
      <w:pPr>
        <w:spacing w:line="240" w:lineRule="auto"/>
        <w:jc w:val="both"/>
        <w:rPr>
          <w:rFonts w:ascii="Times New Roman" w:hAnsi="Times New Roman" w:cs="Times New Roman"/>
          <w:sz w:val="28"/>
          <w:szCs w:val="28"/>
        </w:rPr>
      </w:pPr>
      <w:r w:rsidRPr="00D36C8E">
        <w:rPr>
          <w:rFonts w:ascii="Times New Roman" w:hAnsi="Times New Roman" w:cs="Times New Roman"/>
          <w:sz w:val="28"/>
          <w:szCs w:val="28"/>
        </w:rPr>
        <w:t>Strain Designation Breakdown</w:t>
      </w:r>
    </w:p>
    <w:p w14:paraId="6C07FBFF" w14:textId="1E6BF360" w:rsidR="00226539" w:rsidRPr="00D36C8E" w:rsidRDefault="00853685" w:rsidP="00D36C8E">
      <w:pPr>
        <w:spacing w:line="240" w:lineRule="auto"/>
        <w:jc w:val="both"/>
        <w:rPr>
          <w:rFonts w:ascii="Times New Roman" w:hAnsi="Times New Roman" w:cs="Times New Roman"/>
          <w:sz w:val="28"/>
          <w:szCs w:val="28"/>
        </w:rPr>
      </w:pPr>
      <w:r w:rsidRPr="00D36C8E">
        <w:rPr>
          <w:rFonts w:ascii="Times New Roman" w:hAnsi="Times New Roman" w:cs="Times New Roman"/>
          <w:sz w:val="28"/>
          <w:szCs w:val="28"/>
        </w:rPr>
        <w:t>The strain name human/KAZ/B 1.1/2021</w:t>
      </w:r>
      <w:r w:rsidR="00FC1219" w:rsidRPr="00D36C8E">
        <w:rPr>
          <w:rFonts w:ascii="Times New Roman" w:hAnsi="Times New Roman" w:cs="Times New Roman"/>
          <w:sz w:val="28"/>
          <w:szCs w:val="28"/>
        </w:rPr>
        <w:t>; alpha</w:t>
      </w:r>
      <w:r w:rsidRPr="00D36C8E">
        <w:rPr>
          <w:rFonts w:ascii="Times New Roman" w:hAnsi="Times New Roman" w:cs="Times New Roman"/>
          <w:sz w:val="28"/>
          <w:szCs w:val="28"/>
        </w:rPr>
        <w:t xml:space="preserve"> variant provides additional contextual information:</w:t>
      </w:r>
    </w:p>
    <w:p w14:paraId="095B518A" w14:textId="77777777" w:rsidR="00226539" w:rsidRPr="00D36C8E" w:rsidRDefault="00853685" w:rsidP="00D36C8E">
      <w:pPr>
        <w:spacing w:line="240" w:lineRule="auto"/>
        <w:ind w:left="720"/>
        <w:jc w:val="both"/>
        <w:rPr>
          <w:rFonts w:ascii="Times New Roman" w:hAnsi="Times New Roman" w:cs="Times New Roman"/>
          <w:sz w:val="28"/>
          <w:szCs w:val="28"/>
        </w:rPr>
      </w:pPr>
      <w:r w:rsidRPr="00D36C8E">
        <w:rPr>
          <w:rFonts w:ascii="Times New Roman" w:hAnsi="Times New Roman" w:cs="Times New Roman"/>
          <w:sz w:val="28"/>
          <w:szCs w:val="28"/>
        </w:rPr>
        <w:t>Host: Human (</w:t>
      </w:r>
      <w:r w:rsidRPr="00D36C8E">
        <w:rPr>
          <w:rFonts w:ascii="Times New Roman" w:hAnsi="Times New Roman" w:cs="Times New Roman"/>
          <w:i/>
          <w:iCs/>
          <w:sz w:val="28"/>
          <w:szCs w:val="28"/>
        </w:rPr>
        <w:t>Homo sapiens</w:t>
      </w:r>
      <w:r w:rsidRPr="00D36C8E">
        <w:rPr>
          <w:rFonts w:ascii="Times New Roman" w:hAnsi="Times New Roman" w:cs="Times New Roman"/>
          <w:sz w:val="28"/>
          <w:szCs w:val="28"/>
        </w:rPr>
        <w:t>).</w:t>
      </w:r>
    </w:p>
    <w:p w14:paraId="0F53BDD4" w14:textId="77777777" w:rsidR="00226539" w:rsidRPr="00D36C8E" w:rsidRDefault="00853685" w:rsidP="00D36C8E">
      <w:pPr>
        <w:spacing w:line="240" w:lineRule="auto"/>
        <w:ind w:left="720"/>
        <w:jc w:val="both"/>
        <w:rPr>
          <w:rFonts w:ascii="Times New Roman" w:hAnsi="Times New Roman" w:cs="Times New Roman"/>
          <w:sz w:val="28"/>
          <w:szCs w:val="28"/>
        </w:rPr>
      </w:pPr>
      <w:r w:rsidRPr="00D36C8E">
        <w:rPr>
          <w:rFonts w:ascii="Times New Roman" w:hAnsi="Times New Roman" w:cs="Times New Roman"/>
          <w:sz w:val="28"/>
          <w:szCs w:val="28"/>
        </w:rPr>
        <w:t xml:space="preserve">Country: Kazakhstan (ISO alpha-3 code: KAZ). -Alpha Variant </w:t>
      </w:r>
    </w:p>
    <w:p w14:paraId="1AA62551" w14:textId="4E71B9AC" w:rsidR="00226539" w:rsidRPr="00D36C8E" w:rsidRDefault="00853685" w:rsidP="00D36C8E">
      <w:pPr>
        <w:spacing w:line="240" w:lineRule="auto"/>
        <w:ind w:left="720"/>
        <w:jc w:val="both"/>
        <w:rPr>
          <w:rFonts w:ascii="Times New Roman" w:hAnsi="Times New Roman" w:cs="Times New Roman"/>
          <w:sz w:val="28"/>
          <w:szCs w:val="28"/>
        </w:rPr>
      </w:pPr>
      <w:r w:rsidRPr="00D36C8E">
        <w:rPr>
          <w:rFonts w:ascii="Times New Roman" w:hAnsi="Times New Roman" w:cs="Times New Roman"/>
          <w:sz w:val="28"/>
          <w:szCs w:val="28"/>
        </w:rPr>
        <w:t xml:space="preserve">Lineage: </w:t>
      </w:r>
      <w:r w:rsidR="00FC1219" w:rsidRPr="00D36C8E">
        <w:rPr>
          <w:rFonts w:ascii="Times New Roman" w:hAnsi="Times New Roman" w:cs="Times New Roman"/>
          <w:sz w:val="28"/>
          <w:szCs w:val="28"/>
        </w:rPr>
        <w:t xml:space="preserve">This likely refers to B.1.1 </w:t>
      </w:r>
      <w:r w:rsidRPr="00D36C8E">
        <w:rPr>
          <w:rFonts w:ascii="Times New Roman" w:hAnsi="Times New Roman" w:cs="Times New Roman"/>
          <w:sz w:val="28"/>
          <w:szCs w:val="28"/>
        </w:rPr>
        <w:t>(per Pango nomenclature, a sublineage of the broader B.1 lineage). The space ("B 1.1") may reflect a formatting inconsistency; standard Pango lineages use dots (e.g., B.1.1).</w:t>
      </w:r>
    </w:p>
    <w:p w14:paraId="72F249D9" w14:textId="77777777" w:rsidR="00226539" w:rsidRPr="00D36C8E" w:rsidRDefault="00853685" w:rsidP="00D36C8E">
      <w:pPr>
        <w:spacing w:line="240" w:lineRule="auto"/>
        <w:ind w:left="720"/>
        <w:jc w:val="both"/>
        <w:rPr>
          <w:rFonts w:ascii="Times New Roman" w:hAnsi="Times New Roman" w:cs="Times New Roman"/>
          <w:sz w:val="28"/>
          <w:szCs w:val="28"/>
        </w:rPr>
      </w:pPr>
      <w:r w:rsidRPr="00D36C8E">
        <w:rPr>
          <w:rFonts w:ascii="Times New Roman" w:hAnsi="Times New Roman" w:cs="Times New Roman"/>
          <w:sz w:val="28"/>
          <w:szCs w:val="28"/>
        </w:rPr>
        <w:t>Collection Year: 2021. -Data collected and submitted</w:t>
      </w:r>
    </w:p>
    <w:p w14:paraId="5407F73A" w14:textId="77777777" w:rsidR="00226539" w:rsidRPr="00D36C8E" w:rsidRDefault="00853685" w:rsidP="00D36C8E">
      <w:pPr>
        <w:numPr>
          <w:ilvl w:val="0"/>
          <w:numId w:val="9"/>
        </w:numPr>
        <w:spacing w:line="240" w:lineRule="auto"/>
        <w:ind w:firstLine="0"/>
        <w:jc w:val="both"/>
        <w:rPr>
          <w:rFonts w:ascii="Times New Roman" w:hAnsi="Times New Roman" w:cs="Times New Roman"/>
          <w:sz w:val="28"/>
          <w:szCs w:val="28"/>
        </w:rPr>
      </w:pPr>
      <w:r w:rsidRPr="00D36C8E">
        <w:rPr>
          <w:rFonts w:ascii="Times New Roman" w:hAnsi="Times New Roman" w:cs="Times New Roman"/>
          <w:sz w:val="28"/>
          <w:szCs w:val="28"/>
        </w:rPr>
        <w:t>Lineage Context: B.1.1 is an early SARS-CoV-2 lineage that gave rise to notable sublineage (e.g., B.1.1.7, the Alpha variant). However, this specific strain (B 1.1) may represent a localized or less-documented sublineage in Kazakhstan.</w:t>
      </w:r>
    </w:p>
    <w:p w14:paraId="50A44D67" w14:textId="77777777" w:rsidR="00226539" w:rsidRPr="00D36C8E" w:rsidRDefault="00853685" w:rsidP="00D36C8E">
      <w:pPr>
        <w:numPr>
          <w:ilvl w:val="0"/>
          <w:numId w:val="9"/>
        </w:numPr>
        <w:spacing w:line="240" w:lineRule="auto"/>
        <w:ind w:firstLine="0"/>
        <w:jc w:val="both"/>
        <w:rPr>
          <w:rFonts w:ascii="Times New Roman" w:hAnsi="Times New Roman" w:cs="Times New Roman"/>
          <w:sz w:val="28"/>
          <w:szCs w:val="28"/>
        </w:rPr>
      </w:pPr>
      <w:r w:rsidRPr="00D36C8E">
        <w:rPr>
          <w:rFonts w:ascii="Times New Roman" w:hAnsi="Times New Roman" w:cs="Times New Roman"/>
          <w:sz w:val="28"/>
          <w:szCs w:val="28"/>
        </w:rPr>
        <w:t>Taxonomic Clarification: While the hierarchical classification (Realm to Species) is universal for SARS-CoV-2, strain names like this one are isolate identifiers, not part of formal taxonomy. They often include host, geographic origin, lineage, and collection date.</w:t>
      </w:r>
    </w:p>
    <w:p w14:paraId="4A3A4062" w14:textId="77777777" w:rsidR="00226539" w:rsidRPr="00D36C8E" w:rsidRDefault="00853685" w:rsidP="00D36C8E">
      <w:pPr>
        <w:spacing w:line="240" w:lineRule="auto"/>
        <w:jc w:val="both"/>
        <w:rPr>
          <w:rFonts w:ascii="Times New Roman" w:hAnsi="Times New Roman" w:cs="Times New Roman"/>
          <w:sz w:val="28"/>
          <w:szCs w:val="28"/>
        </w:rPr>
      </w:pPr>
      <w:r w:rsidRPr="00D36C8E">
        <w:rPr>
          <w:rFonts w:ascii="Times New Roman" w:hAnsi="Times New Roman" w:cs="Times New Roman"/>
          <w:sz w:val="28"/>
          <w:szCs w:val="28"/>
        </w:rPr>
        <w:lastRenderedPageBreak/>
        <w:t>Cross-referencing with databases like GISAID or Pango may clarify its phylogenetic relationships for global tracking.</w:t>
      </w:r>
    </w:p>
    <w:p w14:paraId="37C4D2E2" w14:textId="77777777" w:rsidR="00226539" w:rsidRPr="006531C9" w:rsidRDefault="00853685" w:rsidP="00FF0C86">
      <w:pPr>
        <w:spacing w:line="360" w:lineRule="auto"/>
        <w:jc w:val="both"/>
        <w:rPr>
          <w:rFonts w:ascii="Times New Roman" w:hAnsi="Times New Roman" w:cs="Times New Roman"/>
          <w:sz w:val="24"/>
          <w:szCs w:val="24"/>
        </w:rPr>
      </w:pPr>
      <w:r w:rsidRPr="006531C9">
        <w:rPr>
          <w:rFonts w:ascii="Times New Roman" w:hAnsi="Times New Roman" w:cs="Times New Roman"/>
          <w:noProof/>
          <w:sz w:val="24"/>
          <w:szCs w:val="24"/>
        </w:rPr>
        <w:drawing>
          <wp:inline distT="0" distB="0" distL="0" distR="0" wp14:anchorId="7CA0EE02" wp14:editId="44D7CA92">
            <wp:extent cx="5434330" cy="3842385"/>
            <wp:effectExtent l="0" t="0" r="0" b="5715"/>
            <wp:docPr id="1244092019" name="Рисунок 51" descr="The Rise and Fall of SARS-CoV-2 Variants and Ongoing Diversification of  Omic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092019" name="Рисунок 51" descr="The Rise and Fall of SARS-CoV-2 Variants and Ongoing Diversification of  Omicron"/>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a:xfrm>
                      <a:off x="0" y="0"/>
                      <a:ext cx="5436746" cy="3844306"/>
                    </a:xfrm>
                    <a:prstGeom prst="rect">
                      <a:avLst/>
                    </a:prstGeom>
                    <a:noFill/>
                    <a:ln>
                      <a:noFill/>
                    </a:ln>
                  </pic:spPr>
                </pic:pic>
              </a:graphicData>
            </a:graphic>
          </wp:inline>
        </w:drawing>
      </w:r>
    </w:p>
    <w:p w14:paraId="14DAF56E" w14:textId="272B272D" w:rsidR="00226539" w:rsidRPr="00D36C8E" w:rsidRDefault="00853685" w:rsidP="00D36C8E">
      <w:pPr>
        <w:spacing w:line="240" w:lineRule="auto"/>
        <w:jc w:val="center"/>
        <w:rPr>
          <w:rFonts w:ascii="Times New Roman" w:hAnsi="Times New Roman" w:cs="Times New Roman"/>
          <w:sz w:val="28"/>
          <w:szCs w:val="28"/>
        </w:rPr>
      </w:pPr>
      <w:r w:rsidRPr="00D36C8E">
        <w:rPr>
          <w:rFonts w:ascii="Times New Roman" w:hAnsi="Times New Roman" w:cs="Times New Roman"/>
          <w:sz w:val="28"/>
          <w:szCs w:val="28"/>
        </w:rPr>
        <w:t>Figure 1</w:t>
      </w:r>
      <w:r w:rsidR="00FF0C86" w:rsidRPr="00D36C8E">
        <w:rPr>
          <w:rFonts w:ascii="Times New Roman" w:hAnsi="Times New Roman" w:cs="Times New Roman"/>
          <w:iCs/>
          <w:sz w:val="28"/>
          <w:szCs w:val="28"/>
        </w:rPr>
        <w:t xml:space="preserve">– </w:t>
      </w:r>
      <w:r w:rsidR="00FF0C86" w:rsidRPr="00D36C8E">
        <w:rPr>
          <w:rFonts w:ascii="Times New Roman" w:hAnsi="Times New Roman" w:cs="Times New Roman"/>
          <w:sz w:val="28"/>
          <w:szCs w:val="28"/>
        </w:rPr>
        <w:t>Phylogenetic</w:t>
      </w:r>
      <w:r w:rsidRPr="00D36C8E">
        <w:rPr>
          <w:rFonts w:ascii="Times New Roman" w:hAnsi="Times New Roman" w:cs="Times New Roman"/>
          <w:sz w:val="28"/>
          <w:szCs w:val="28"/>
        </w:rPr>
        <w:t xml:space="preserve"> relationship of named SARS-CoV-2 variants. </w:t>
      </w:r>
      <w:r w:rsidR="00FF0C86" w:rsidRPr="00D36C8E">
        <w:rPr>
          <w:rFonts w:ascii="Times New Roman" w:hAnsi="Times New Roman" w:cs="Times New Roman"/>
          <w:sz w:val="28"/>
          <w:szCs w:val="28"/>
        </w:rPr>
        <w:t xml:space="preserve">A </w:t>
      </w:r>
      <w:r w:rsidR="008809CA">
        <w:rPr>
          <w:rFonts w:ascii="Times New Roman" w:hAnsi="Times New Roman" w:cs="Times New Roman"/>
          <w:sz w:val="28"/>
          <w:szCs w:val="28"/>
        </w:rPr>
        <w:t>coloured node represents a variant</w:t>
      </w:r>
      <w:r w:rsidR="00FF0C86" w:rsidRPr="00D36C8E">
        <w:rPr>
          <w:rFonts w:ascii="Times New Roman" w:hAnsi="Times New Roman" w:cs="Times New Roman"/>
          <w:sz w:val="28"/>
          <w:szCs w:val="28"/>
        </w:rPr>
        <w:t xml:space="preserve"> of concern (VOC)</w:t>
      </w:r>
      <w:r w:rsidRPr="00D36C8E">
        <w:rPr>
          <w:rFonts w:ascii="Times New Roman" w:hAnsi="Times New Roman" w:cs="Times New Roman"/>
          <w:sz w:val="28"/>
          <w:szCs w:val="28"/>
        </w:rPr>
        <w:t xml:space="preserve">. The phylogenetic tree was adapted from data provided by </w:t>
      </w:r>
      <w:proofErr w:type="spellStart"/>
      <w:r w:rsidRPr="00D36C8E">
        <w:rPr>
          <w:rFonts w:ascii="Times New Roman" w:hAnsi="Times New Roman" w:cs="Times New Roman"/>
          <w:sz w:val="28"/>
          <w:szCs w:val="28"/>
        </w:rPr>
        <w:t>NextStrain</w:t>
      </w:r>
      <w:proofErr w:type="spellEnd"/>
      <w:r w:rsidRPr="00D36C8E">
        <w:rPr>
          <w:rFonts w:ascii="Times New Roman" w:hAnsi="Times New Roman" w:cs="Times New Roman"/>
          <w:sz w:val="28"/>
          <w:szCs w:val="28"/>
        </w:rPr>
        <w:t xml:space="preserve">, </w:t>
      </w:r>
      <w:proofErr w:type="spellStart"/>
      <w:r w:rsidRPr="00D36C8E">
        <w:rPr>
          <w:rFonts w:ascii="Times New Roman" w:hAnsi="Times New Roman" w:cs="Times New Roman"/>
          <w:sz w:val="28"/>
          <w:szCs w:val="28"/>
        </w:rPr>
        <w:t>CoVariants</w:t>
      </w:r>
      <w:proofErr w:type="spellEnd"/>
      <w:r w:rsidRPr="00D36C8E">
        <w:rPr>
          <w:rFonts w:ascii="Times New Roman" w:hAnsi="Times New Roman" w:cs="Times New Roman"/>
          <w:sz w:val="28"/>
          <w:szCs w:val="28"/>
        </w:rPr>
        <w:t xml:space="preserve"> (i.e., covariants.org, </w:t>
      </w:r>
      <w:hyperlink r:id="rId175" w:tgtFrame="_blank" w:history="1">
        <w:r w:rsidR="00226539" w:rsidRPr="00D36C8E">
          <w:rPr>
            <w:rStyle w:val="a5"/>
            <w:rFonts w:ascii="Times New Roman" w:hAnsi="Times New Roman" w:cs="Times New Roman"/>
            <w:sz w:val="28"/>
            <w:szCs w:val="28"/>
          </w:rPr>
          <w:t>http://covariants.org</w:t>
        </w:r>
      </w:hyperlink>
      <w:r w:rsidRPr="00D36C8E">
        <w:rPr>
          <w:rFonts w:ascii="Times New Roman" w:hAnsi="Times New Roman" w:cs="Times New Roman"/>
          <w:sz w:val="28"/>
          <w:szCs w:val="28"/>
        </w:rPr>
        <w:t> (accessed on 18 July 2022)), and Pangolin (i.e., cov-lineages.org, </w:t>
      </w:r>
      <w:hyperlink r:id="rId176" w:tgtFrame="_blank" w:history="1">
        <w:r w:rsidR="00226539" w:rsidRPr="00D36C8E">
          <w:rPr>
            <w:rStyle w:val="a5"/>
            <w:rFonts w:ascii="Times New Roman" w:hAnsi="Times New Roman" w:cs="Times New Roman"/>
            <w:sz w:val="28"/>
            <w:szCs w:val="28"/>
          </w:rPr>
          <w:t>http://cov-lineages.org</w:t>
        </w:r>
      </w:hyperlink>
      <w:r w:rsidRPr="00D36C8E">
        <w:rPr>
          <w:rFonts w:ascii="Times New Roman" w:hAnsi="Times New Roman" w:cs="Times New Roman"/>
          <w:sz w:val="28"/>
          <w:szCs w:val="28"/>
        </w:rPr>
        <w:t xml:space="preserve">. Source: Wiegand, T.; </w:t>
      </w:r>
      <w:proofErr w:type="spellStart"/>
      <w:r w:rsidRPr="00D36C8E">
        <w:rPr>
          <w:rFonts w:ascii="Times New Roman" w:hAnsi="Times New Roman" w:cs="Times New Roman"/>
          <w:sz w:val="28"/>
          <w:szCs w:val="28"/>
        </w:rPr>
        <w:t>Nemudryi</w:t>
      </w:r>
      <w:proofErr w:type="spellEnd"/>
      <w:r w:rsidRPr="00D36C8E">
        <w:rPr>
          <w:rFonts w:ascii="Times New Roman" w:hAnsi="Times New Roman" w:cs="Times New Roman"/>
          <w:sz w:val="28"/>
          <w:szCs w:val="28"/>
        </w:rPr>
        <w:t xml:space="preserve">, A.; </w:t>
      </w:r>
      <w:proofErr w:type="spellStart"/>
      <w:r w:rsidRPr="00D36C8E">
        <w:rPr>
          <w:rFonts w:ascii="Times New Roman" w:hAnsi="Times New Roman" w:cs="Times New Roman"/>
          <w:sz w:val="28"/>
          <w:szCs w:val="28"/>
        </w:rPr>
        <w:t>Nemudraia</w:t>
      </w:r>
      <w:proofErr w:type="spellEnd"/>
      <w:r w:rsidRPr="00D36C8E">
        <w:rPr>
          <w:rFonts w:ascii="Times New Roman" w:hAnsi="Times New Roman" w:cs="Times New Roman"/>
          <w:sz w:val="28"/>
          <w:szCs w:val="28"/>
        </w:rPr>
        <w:t>, A.; McVey, A.; Little, A.; Taylor, D.N.;</w:t>
      </w:r>
      <w:r w:rsidRPr="00D36C8E">
        <w:rPr>
          <w:rFonts w:ascii="Times New Roman" w:hAnsi="Times New Roman" w:cs="Times New Roman"/>
          <w:b/>
          <w:bCs/>
          <w:sz w:val="28"/>
          <w:szCs w:val="28"/>
        </w:rPr>
        <w:t xml:space="preserve"> </w:t>
      </w:r>
      <w:r w:rsidRPr="00D36C8E">
        <w:rPr>
          <w:rFonts w:ascii="Times New Roman" w:hAnsi="Times New Roman" w:cs="Times New Roman"/>
          <w:sz w:val="28"/>
          <w:szCs w:val="28"/>
        </w:rPr>
        <w:t xml:space="preserve">Walk, S.T.; Wiedenheft, B. The Rise and Fall of SARS-CoV-2 Variants and Ongoing Diversification of Omicron. Viruses. - 2022, -Vol.14.-P.20-29. </w:t>
      </w:r>
      <w:hyperlink r:id="rId177" w:history="1">
        <w:r w:rsidR="00226539" w:rsidRPr="00D36C8E">
          <w:rPr>
            <w:rStyle w:val="a5"/>
            <w:rFonts w:ascii="Times New Roman" w:hAnsi="Times New Roman" w:cs="Times New Roman"/>
            <w:sz w:val="28"/>
            <w:szCs w:val="28"/>
          </w:rPr>
          <w:t>https://doi.org/10.3390/v14092009</w:t>
        </w:r>
      </w:hyperlink>
    </w:p>
    <w:p w14:paraId="2F0641D2" w14:textId="77777777" w:rsidR="00226539" w:rsidRPr="00D36C8E" w:rsidRDefault="00226539" w:rsidP="00D36C8E">
      <w:pPr>
        <w:spacing w:line="240" w:lineRule="auto"/>
        <w:ind w:firstLineChars="709" w:firstLine="1993"/>
        <w:jc w:val="both"/>
        <w:rPr>
          <w:rFonts w:ascii="Times New Roman" w:hAnsi="Times New Roman" w:cs="Times New Roman"/>
          <w:b/>
          <w:bCs/>
          <w:sz w:val="28"/>
          <w:szCs w:val="28"/>
        </w:rPr>
      </w:pPr>
    </w:p>
    <w:p w14:paraId="1E17EC5C" w14:textId="77777777" w:rsidR="00226539" w:rsidRPr="006531C9" w:rsidRDefault="00226539" w:rsidP="000B4B42">
      <w:pPr>
        <w:spacing w:line="360" w:lineRule="auto"/>
        <w:ind w:firstLineChars="709" w:firstLine="1708"/>
        <w:jc w:val="both"/>
        <w:rPr>
          <w:rFonts w:ascii="Times New Roman" w:hAnsi="Times New Roman" w:cs="Times New Roman"/>
          <w:b/>
          <w:bCs/>
          <w:sz w:val="24"/>
          <w:szCs w:val="24"/>
        </w:rPr>
      </w:pPr>
    </w:p>
    <w:p w14:paraId="3FC6E704" w14:textId="77777777" w:rsidR="00226539" w:rsidRPr="006531C9" w:rsidRDefault="00226539" w:rsidP="00FF0C86">
      <w:pPr>
        <w:spacing w:line="360" w:lineRule="auto"/>
        <w:jc w:val="both"/>
        <w:rPr>
          <w:rFonts w:ascii="Times New Roman" w:hAnsi="Times New Roman" w:cs="Times New Roman"/>
          <w:b/>
          <w:bCs/>
          <w:sz w:val="24"/>
          <w:szCs w:val="24"/>
        </w:rPr>
      </w:pPr>
    </w:p>
    <w:p w14:paraId="4C996CC1" w14:textId="77777777" w:rsidR="00226539" w:rsidRPr="006531C9" w:rsidRDefault="00226539" w:rsidP="000B4B42">
      <w:pPr>
        <w:spacing w:line="360" w:lineRule="auto"/>
        <w:ind w:firstLineChars="709" w:firstLine="1708"/>
        <w:jc w:val="both"/>
        <w:rPr>
          <w:rFonts w:ascii="Times New Roman" w:hAnsi="Times New Roman" w:cs="Times New Roman"/>
          <w:b/>
          <w:bCs/>
          <w:sz w:val="24"/>
          <w:szCs w:val="24"/>
        </w:rPr>
      </w:pPr>
    </w:p>
    <w:p w14:paraId="28E7C9A9" w14:textId="0B957992" w:rsidR="00226539" w:rsidRPr="00FF0C86" w:rsidRDefault="00853685" w:rsidP="00FF0C86">
      <w:pPr>
        <w:spacing w:line="360" w:lineRule="auto"/>
        <w:jc w:val="both"/>
        <w:rPr>
          <w:rFonts w:ascii="Times New Roman" w:hAnsi="Times New Roman" w:cs="Times New Roman"/>
          <w:b/>
          <w:bCs/>
          <w:sz w:val="24"/>
          <w:szCs w:val="24"/>
        </w:rPr>
      </w:pPr>
      <w:r w:rsidRPr="006531C9">
        <w:rPr>
          <w:rFonts w:ascii="Times New Roman" w:hAnsi="Times New Roman" w:cs="Times New Roman"/>
          <w:noProof/>
          <w:sz w:val="24"/>
          <w:szCs w:val="24"/>
        </w:rPr>
        <w:lastRenderedPageBreak/>
        <w:drawing>
          <wp:inline distT="0" distB="0" distL="0" distR="0" wp14:anchorId="25832905" wp14:editId="33C96076">
            <wp:extent cx="5751830" cy="7192645"/>
            <wp:effectExtent l="0" t="0" r="1270" b="8255"/>
            <wp:docPr id="18153488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348897" name="Рисунок 1"/>
                    <pic:cNvPicPr>
                      <a:picLocks noChangeAspect="1"/>
                    </pic:cNvPicPr>
                  </pic:nvPicPr>
                  <pic:blipFill>
                    <a:blip r:embed="rId178"/>
                    <a:srcRect l="24262" t="29907" r="49931" b="12714"/>
                    <a:stretch>
                      <a:fillRect/>
                    </a:stretch>
                  </pic:blipFill>
                  <pic:spPr>
                    <a:xfrm>
                      <a:off x="0" y="0"/>
                      <a:ext cx="5773088" cy="7219751"/>
                    </a:xfrm>
                    <a:prstGeom prst="rect">
                      <a:avLst/>
                    </a:prstGeom>
                    <a:ln>
                      <a:noFill/>
                    </a:ln>
                  </pic:spPr>
                </pic:pic>
              </a:graphicData>
            </a:graphic>
          </wp:inline>
        </w:drawing>
      </w:r>
    </w:p>
    <w:p w14:paraId="5F302233" w14:textId="0C650422" w:rsidR="00226539" w:rsidRPr="00D36C8E" w:rsidRDefault="00853685" w:rsidP="00D36C8E">
      <w:pPr>
        <w:spacing w:line="240" w:lineRule="auto"/>
        <w:jc w:val="center"/>
        <w:rPr>
          <w:rFonts w:ascii="Times New Roman" w:hAnsi="Times New Roman" w:cs="Times New Roman"/>
          <w:sz w:val="28"/>
          <w:szCs w:val="28"/>
        </w:rPr>
      </w:pPr>
      <w:r w:rsidRPr="00D36C8E">
        <w:rPr>
          <w:rFonts w:ascii="Times New Roman" w:hAnsi="Times New Roman" w:cs="Times New Roman"/>
          <w:sz w:val="28"/>
          <w:szCs w:val="28"/>
        </w:rPr>
        <w:t xml:space="preserve">Figure 2 </w:t>
      </w:r>
      <w:r w:rsidR="00FF0C86" w:rsidRPr="00D36C8E">
        <w:rPr>
          <w:rFonts w:ascii="Times New Roman" w:hAnsi="Times New Roman" w:cs="Times New Roman"/>
          <w:iCs/>
          <w:sz w:val="28"/>
          <w:szCs w:val="28"/>
        </w:rPr>
        <w:t xml:space="preserve">– </w:t>
      </w:r>
      <w:r w:rsidR="00FF0C86" w:rsidRPr="00D36C8E">
        <w:rPr>
          <w:rFonts w:ascii="Times New Roman" w:hAnsi="Times New Roman" w:cs="Times New Roman"/>
          <w:sz w:val="28"/>
          <w:szCs w:val="28"/>
        </w:rPr>
        <w:t>Proposed</w:t>
      </w:r>
      <w:r w:rsidRPr="00D36C8E">
        <w:rPr>
          <w:rFonts w:ascii="Times New Roman" w:hAnsi="Times New Roman" w:cs="Times New Roman"/>
          <w:sz w:val="28"/>
          <w:szCs w:val="28"/>
        </w:rPr>
        <w:t xml:space="preserve"> nomenclature of early major lineages of SARS-CoV-2. B1.1. </w:t>
      </w:r>
      <w:r w:rsidR="00FF0C86" w:rsidRPr="00D36C8E">
        <w:rPr>
          <w:rFonts w:ascii="Times New Roman" w:hAnsi="Times New Roman" w:cs="Times New Roman"/>
          <w:sz w:val="28"/>
          <w:szCs w:val="28"/>
        </w:rPr>
        <w:t>The lineage</w:t>
      </w:r>
      <w:r w:rsidRPr="00D36C8E">
        <w:rPr>
          <w:rFonts w:ascii="Times New Roman" w:hAnsi="Times New Roman" w:cs="Times New Roman"/>
          <w:sz w:val="28"/>
          <w:szCs w:val="28"/>
        </w:rPr>
        <w:t xml:space="preserve"> was the closest to the SARS-CoV-2 strain/human/KAZ/B 1.1/2021, </w:t>
      </w:r>
      <w:r w:rsidR="00FF0C86" w:rsidRPr="00D36C8E">
        <w:rPr>
          <w:rFonts w:ascii="Times New Roman" w:hAnsi="Times New Roman" w:cs="Times New Roman"/>
          <w:sz w:val="28"/>
          <w:szCs w:val="28"/>
        </w:rPr>
        <w:t xml:space="preserve">also known as the </w:t>
      </w:r>
      <w:r w:rsidRPr="00D36C8E">
        <w:rPr>
          <w:rFonts w:ascii="Times New Roman" w:hAnsi="Times New Roman" w:cs="Times New Roman"/>
          <w:sz w:val="28"/>
          <w:szCs w:val="28"/>
        </w:rPr>
        <w:t>Alpha variant, due to European exports to the rest of the world. Source:  Rambaut, A., Holmes, E.C., O’Toole, Á. </w:t>
      </w:r>
      <w:r w:rsidRPr="00D36C8E">
        <w:rPr>
          <w:rFonts w:ascii="Times New Roman" w:hAnsi="Times New Roman" w:cs="Times New Roman"/>
          <w:i/>
          <w:iCs/>
          <w:sz w:val="28"/>
          <w:szCs w:val="28"/>
        </w:rPr>
        <w:t>et al.</w:t>
      </w:r>
      <w:r w:rsidRPr="00D36C8E">
        <w:rPr>
          <w:rFonts w:ascii="Times New Roman" w:hAnsi="Times New Roman" w:cs="Times New Roman"/>
          <w:sz w:val="28"/>
          <w:szCs w:val="28"/>
        </w:rPr>
        <w:t> A dynamic nomenclature proposal for SARS-CoV-2 lineages to assist genomic epidemiology. </w:t>
      </w:r>
      <w:r w:rsidRPr="00D36C8E">
        <w:rPr>
          <w:rFonts w:ascii="Times New Roman" w:hAnsi="Times New Roman" w:cs="Times New Roman"/>
          <w:i/>
          <w:iCs/>
          <w:sz w:val="28"/>
          <w:szCs w:val="28"/>
        </w:rPr>
        <w:t xml:space="preserve">Nat </w:t>
      </w:r>
      <w:r w:rsidRPr="00D36C8E">
        <w:rPr>
          <w:rFonts w:ascii="Times New Roman" w:hAnsi="Times New Roman" w:cs="Times New Roman"/>
          <w:sz w:val="28"/>
          <w:szCs w:val="28"/>
        </w:rPr>
        <w:t>Microbiol. -2020.-Vol. 5.-P. 1403–1407. https://doi.org/10.1038/s41564-020-0770-5</w:t>
      </w:r>
    </w:p>
    <w:p w14:paraId="6C1261CB" w14:textId="77777777" w:rsidR="00FF0C86" w:rsidRPr="006531C9" w:rsidRDefault="00FF0C86" w:rsidP="00FF0C86">
      <w:pPr>
        <w:spacing w:line="360" w:lineRule="auto"/>
        <w:jc w:val="both"/>
        <w:rPr>
          <w:rFonts w:ascii="Times New Roman" w:hAnsi="Times New Roman" w:cs="Times New Roman"/>
          <w:sz w:val="24"/>
          <w:szCs w:val="24"/>
        </w:rPr>
      </w:pPr>
    </w:p>
    <w:p w14:paraId="034A42CA" w14:textId="29EDB498" w:rsidR="00226539" w:rsidRPr="004B6C3B" w:rsidRDefault="00EB6D15" w:rsidP="00FF0C86">
      <w:pPr>
        <w:spacing w:line="360" w:lineRule="auto"/>
        <w:jc w:val="center"/>
        <w:rPr>
          <w:rFonts w:ascii="Times New Roman" w:hAnsi="Times New Roman" w:cs="Times New Roman"/>
          <w:b/>
          <w:bCs/>
          <w:sz w:val="28"/>
          <w:szCs w:val="28"/>
          <w:lang w:val="en-US"/>
        </w:rPr>
      </w:pPr>
      <w:r w:rsidRPr="004B6C3B">
        <w:rPr>
          <w:rFonts w:ascii="Times New Roman" w:hAnsi="Times New Roman" w:cs="Times New Roman"/>
          <w:b/>
          <w:bCs/>
          <w:sz w:val="28"/>
          <w:szCs w:val="28"/>
        </w:rPr>
        <w:lastRenderedPageBreak/>
        <w:t xml:space="preserve">APPENDIX </w:t>
      </w:r>
      <w:r w:rsidRPr="004B6C3B">
        <w:rPr>
          <w:rFonts w:ascii="Times New Roman" w:hAnsi="Times New Roman" w:cs="Times New Roman"/>
          <w:b/>
          <w:bCs/>
          <w:sz w:val="28"/>
          <w:szCs w:val="28"/>
          <w:lang w:val="en-US"/>
        </w:rPr>
        <w:t>B</w:t>
      </w:r>
    </w:p>
    <w:p w14:paraId="52F0E36C" w14:textId="77777777" w:rsidR="00226539" w:rsidRPr="004B6C3B" w:rsidRDefault="00853685" w:rsidP="00FF0C86">
      <w:pPr>
        <w:spacing w:line="360" w:lineRule="auto"/>
        <w:jc w:val="center"/>
        <w:rPr>
          <w:rFonts w:ascii="Times New Roman" w:hAnsi="Times New Roman" w:cs="Times New Roman"/>
          <w:b/>
          <w:bCs/>
          <w:sz w:val="28"/>
          <w:szCs w:val="28"/>
        </w:rPr>
      </w:pPr>
      <w:r w:rsidRPr="004B6C3B">
        <w:rPr>
          <w:rFonts w:ascii="Times New Roman" w:hAnsi="Times New Roman" w:cs="Times New Roman"/>
          <w:b/>
          <w:bCs/>
          <w:iCs/>
          <w:sz w:val="28"/>
          <w:szCs w:val="28"/>
        </w:rPr>
        <w:t>The primary data of PCR tests (runs)</w:t>
      </w:r>
    </w:p>
    <w:p w14:paraId="7E518E3C" w14:textId="7D452BA1" w:rsidR="00226539" w:rsidRPr="004B6C3B" w:rsidRDefault="00853685" w:rsidP="00FF0C86">
      <w:pPr>
        <w:spacing w:line="360" w:lineRule="auto"/>
        <w:jc w:val="center"/>
        <w:rPr>
          <w:rFonts w:ascii="Times New Roman" w:hAnsi="Times New Roman" w:cs="Times New Roman"/>
          <w:iCs/>
          <w:sz w:val="28"/>
          <w:szCs w:val="28"/>
        </w:rPr>
      </w:pPr>
      <w:r w:rsidRPr="004B6C3B">
        <w:rPr>
          <w:rFonts w:ascii="Times New Roman" w:hAnsi="Times New Roman" w:cs="Times New Roman"/>
          <w:iCs/>
          <w:sz w:val="28"/>
          <w:szCs w:val="28"/>
        </w:rPr>
        <w:t xml:space="preserve">Table </w:t>
      </w:r>
      <w:r w:rsidR="00FC1219" w:rsidRPr="004B6C3B">
        <w:rPr>
          <w:rFonts w:ascii="Times New Roman" w:hAnsi="Times New Roman" w:cs="Times New Roman"/>
          <w:iCs/>
          <w:sz w:val="28"/>
          <w:szCs w:val="28"/>
        </w:rPr>
        <w:t xml:space="preserve">1: The Quantitative Report, </w:t>
      </w:r>
      <w:r w:rsidR="00963107" w:rsidRPr="004B6C3B">
        <w:rPr>
          <w:rFonts w:ascii="Times New Roman" w:hAnsi="Times New Roman" w:cs="Times New Roman"/>
          <w:iCs/>
          <w:sz w:val="28"/>
          <w:szCs w:val="28"/>
        </w:rPr>
        <w:t>Test Information</w:t>
      </w:r>
      <w:r w:rsidR="00FC1219" w:rsidRPr="004B6C3B">
        <w:rPr>
          <w:rFonts w:ascii="Times New Roman" w:hAnsi="Times New Roman" w:cs="Times New Roman"/>
          <w:iCs/>
          <w:sz w:val="28"/>
          <w:szCs w:val="28"/>
        </w:rPr>
        <w:t>, and Quantitative Analysis Parameters</w:t>
      </w:r>
      <w:r w:rsidRPr="004B6C3B">
        <w:rPr>
          <w:rFonts w:ascii="Times New Roman" w:hAnsi="Times New Roman" w:cs="Times New Roman"/>
          <w:iCs/>
          <w:sz w:val="28"/>
          <w:szCs w:val="28"/>
        </w:rPr>
        <w:t>.</w:t>
      </w:r>
    </w:p>
    <w:p w14:paraId="19CA8923" w14:textId="77777777" w:rsidR="00226539" w:rsidRPr="004B6C3B" w:rsidRDefault="00226539" w:rsidP="00FF0C86">
      <w:pPr>
        <w:spacing w:line="360" w:lineRule="auto"/>
        <w:ind w:right="4959" w:firstLineChars="709" w:firstLine="1985"/>
        <w:rPr>
          <w:rFonts w:ascii="Times New Roman" w:hAnsi="Times New Roman" w:cs="Times New Roman"/>
          <w:iCs/>
          <w:sz w:val="28"/>
          <w:szCs w:val="28"/>
        </w:rPr>
      </w:pPr>
    </w:p>
    <w:tbl>
      <w:tblPr>
        <w:tblW w:w="8359" w:type="dxa"/>
        <w:jc w:val="center"/>
        <w:tblCellMar>
          <w:left w:w="0" w:type="dxa"/>
          <w:right w:w="0" w:type="dxa"/>
        </w:tblCellMar>
        <w:tblLook w:val="04A0" w:firstRow="1" w:lastRow="0" w:firstColumn="1" w:lastColumn="0" w:noHBand="0" w:noVBand="1"/>
      </w:tblPr>
      <w:tblGrid>
        <w:gridCol w:w="4815"/>
        <w:gridCol w:w="3544"/>
      </w:tblGrid>
      <w:tr w:rsidR="00226539" w:rsidRPr="00FF0C86" w14:paraId="151585FC" w14:textId="77777777" w:rsidTr="00FF0C86">
        <w:trPr>
          <w:jc w:val="center"/>
        </w:trPr>
        <w:tc>
          <w:tcPr>
            <w:tcW w:w="48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09FBC894"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The text name</w:t>
            </w:r>
          </w:p>
        </w:tc>
        <w:tc>
          <w:tcPr>
            <w:tcW w:w="3544"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1B4A8679"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Test 2021-03-29 (1)</w:t>
            </w:r>
          </w:p>
        </w:tc>
      </w:tr>
      <w:tr w:rsidR="00226539" w:rsidRPr="00FF0C86" w14:paraId="06E72BBE" w14:textId="77777777" w:rsidTr="00FF0C86">
        <w:trPr>
          <w:jc w:val="center"/>
        </w:trPr>
        <w:tc>
          <w:tcPr>
            <w:tcW w:w="48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75C1C699"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Test begins</w:t>
            </w:r>
          </w:p>
        </w:tc>
        <w:tc>
          <w:tcPr>
            <w:tcW w:w="3544"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25ECC250"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29.03.2021 10:24:30</w:t>
            </w:r>
          </w:p>
        </w:tc>
      </w:tr>
      <w:tr w:rsidR="00226539" w:rsidRPr="00FF0C86" w14:paraId="4E6FE39D" w14:textId="77777777" w:rsidTr="00FF0C86">
        <w:trPr>
          <w:jc w:val="center"/>
        </w:trPr>
        <w:tc>
          <w:tcPr>
            <w:tcW w:w="48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6D85BFBC"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 xml:space="preserve">Test ends </w:t>
            </w:r>
          </w:p>
        </w:tc>
        <w:tc>
          <w:tcPr>
            <w:tcW w:w="3544"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3F19737A"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29.03.2021 12:10:50</w:t>
            </w:r>
          </w:p>
        </w:tc>
      </w:tr>
      <w:tr w:rsidR="00226539" w:rsidRPr="00FF0C86" w14:paraId="7140A265" w14:textId="77777777" w:rsidTr="00FF0C86">
        <w:trPr>
          <w:jc w:val="center"/>
        </w:trPr>
        <w:tc>
          <w:tcPr>
            <w:tcW w:w="48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357BE523"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 xml:space="preserve">Operator </w:t>
            </w:r>
          </w:p>
        </w:tc>
        <w:tc>
          <w:tcPr>
            <w:tcW w:w="3544"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6D124727"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Nurlan</w:t>
            </w:r>
          </w:p>
        </w:tc>
      </w:tr>
      <w:tr w:rsidR="00226539" w:rsidRPr="00FF0C86" w14:paraId="590F4578" w14:textId="77777777" w:rsidTr="00FF0C86">
        <w:trPr>
          <w:jc w:val="center"/>
        </w:trPr>
        <w:tc>
          <w:tcPr>
            <w:tcW w:w="48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57A2E703"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Notes</w:t>
            </w:r>
          </w:p>
        </w:tc>
        <w:tc>
          <w:tcPr>
            <w:tcW w:w="3544"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1F8554B4"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 none</w:t>
            </w:r>
          </w:p>
        </w:tc>
      </w:tr>
      <w:tr w:rsidR="00226539" w:rsidRPr="00FF0C86" w14:paraId="2B9AC7B3" w14:textId="77777777" w:rsidTr="00FF0C86">
        <w:trPr>
          <w:jc w:val="center"/>
        </w:trPr>
        <w:tc>
          <w:tcPr>
            <w:tcW w:w="48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39E902C2"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 xml:space="preserve">Test run the version of </w:t>
            </w:r>
          </w:p>
        </w:tc>
        <w:tc>
          <w:tcPr>
            <w:tcW w:w="3544"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3B1B911D"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Rotor-Gene 1.8.17.5</w:t>
            </w:r>
          </w:p>
        </w:tc>
      </w:tr>
      <w:tr w:rsidR="00226539" w:rsidRPr="00FF0C86" w14:paraId="38A3987A" w14:textId="77777777" w:rsidTr="00FF0C86">
        <w:trPr>
          <w:jc w:val="center"/>
        </w:trPr>
        <w:tc>
          <w:tcPr>
            <w:tcW w:w="48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6BEBE069"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Test signature</w:t>
            </w:r>
          </w:p>
        </w:tc>
        <w:tc>
          <w:tcPr>
            <w:tcW w:w="3544"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530D19CC"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Test signature - correct.</w:t>
            </w:r>
          </w:p>
        </w:tc>
      </w:tr>
      <w:tr w:rsidR="00226539" w:rsidRPr="00FF0C86" w14:paraId="65FFF816" w14:textId="77777777" w:rsidTr="00FF0C86">
        <w:trPr>
          <w:jc w:val="center"/>
        </w:trPr>
        <w:tc>
          <w:tcPr>
            <w:tcW w:w="48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771D5356"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Signal level Green</w:t>
            </w:r>
          </w:p>
        </w:tc>
        <w:tc>
          <w:tcPr>
            <w:tcW w:w="3544"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3B131456"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5,</w:t>
            </w:r>
          </w:p>
        </w:tc>
      </w:tr>
      <w:tr w:rsidR="00226539" w:rsidRPr="00FF0C86" w14:paraId="298F10AE" w14:textId="77777777" w:rsidTr="00FF0C86">
        <w:trPr>
          <w:jc w:val="center"/>
        </w:trPr>
        <w:tc>
          <w:tcPr>
            <w:tcW w:w="48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27DD63D2"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Signal level Orange</w:t>
            </w:r>
          </w:p>
        </w:tc>
        <w:tc>
          <w:tcPr>
            <w:tcW w:w="3544"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734B447B"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5,</w:t>
            </w:r>
          </w:p>
        </w:tc>
      </w:tr>
      <w:tr w:rsidR="00226539" w:rsidRPr="00FF0C86" w14:paraId="3CE320E9" w14:textId="77777777" w:rsidTr="00FF0C86">
        <w:trPr>
          <w:jc w:val="center"/>
        </w:trPr>
        <w:tc>
          <w:tcPr>
            <w:tcW w:w="48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707FAF8F"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Signal level Red</w:t>
            </w:r>
          </w:p>
        </w:tc>
        <w:tc>
          <w:tcPr>
            <w:tcW w:w="3544"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6D7F04AC"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5,</w:t>
            </w:r>
          </w:p>
        </w:tc>
      </w:tr>
      <w:tr w:rsidR="00226539" w:rsidRPr="00FF0C86" w14:paraId="2B418554" w14:textId="77777777" w:rsidTr="00FF0C86">
        <w:trPr>
          <w:jc w:val="center"/>
        </w:trPr>
        <w:tc>
          <w:tcPr>
            <w:tcW w:w="48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7072702B"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CT-value (Threshold)</w:t>
            </w:r>
          </w:p>
        </w:tc>
        <w:tc>
          <w:tcPr>
            <w:tcW w:w="3544"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7146268B"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0,05139</w:t>
            </w:r>
          </w:p>
        </w:tc>
      </w:tr>
      <w:tr w:rsidR="00226539" w:rsidRPr="00FF0C86" w14:paraId="5485DB80" w14:textId="77777777" w:rsidTr="00FF0C86">
        <w:trPr>
          <w:jc w:val="center"/>
        </w:trPr>
        <w:tc>
          <w:tcPr>
            <w:tcW w:w="48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0BA4B179"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 xml:space="preserve">Exclude cycles till  </w:t>
            </w:r>
          </w:p>
        </w:tc>
        <w:tc>
          <w:tcPr>
            <w:tcW w:w="3544"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48392D26"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1,000</w:t>
            </w:r>
          </w:p>
        </w:tc>
      </w:tr>
      <w:tr w:rsidR="00226539" w:rsidRPr="00FF0C86" w14:paraId="350C6216" w14:textId="77777777" w:rsidTr="00FF0C86">
        <w:trPr>
          <w:jc w:val="center"/>
        </w:trPr>
        <w:tc>
          <w:tcPr>
            <w:tcW w:w="48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2E42AF64"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Standard curve imported</w:t>
            </w:r>
          </w:p>
        </w:tc>
        <w:tc>
          <w:tcPr>
            <w:tcW w:w="3544"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4F4F6CC3"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 xml:space="preserve">None </w:t>
            </w:r>
          </w:p>
        </w:tc>
      </w:tr>
      <w:tr w:rsidR="00226539" w:rsidRPr="00FF0C86" w14:paraId="5481D984" w14:textId="77777777" w:rsidTr="00FF0C86">
        <w:trPr>
          <w:jc w:val="center"/>
        </w:trPr>
        <w:tc>
          <w:tcPr>
            <w:tcW w:w="48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371BB963"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Standard graph (1)</w:t>
            </w:r>
          </w:p>
        </w:tc>
        <w:tc>
          <w:tcPr>
            <w:tcW w:w="3544"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3DA3EB2C"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N/A</w:t>
            </w:r>
          </w:p>
        </w:tc>
      </w:tr>
      <w:tr w:rsidR="00226539" w:rsidRPr="00FF0C86" w14:paraId="68587F3D" w14:textId="77777777" w:rsidTr="00FF0C86">
        <w:trPr>
          <w:jc w:val="center"/>
        </w:trPr>
        <w:tc>
          <w:tcPr>
            <w:tcW w:w="48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14827153"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Standard graph (2)</w:t>
            </w:r>
          </w:p>
        </w:tc>
        <w:tc>
          <w:tcPr>
            <w:tcW w:w="3544"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6B4244DB"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N/A</w:t>
            </w:r>
          </w:p>
        </w:tc>
      </w:tr>
      <w:tr w:rsidR="00226539" w:rsidRPr="00FF0C86" w14:paraId="4D31EEC4" w14:textId="77777777" w:rsidTr="00FF0C86">
        <w:trPr>
          <w:jc w:val="center"/>
        </w:trPr>
        <w:tc>
          <w:tcPr>
            <w:tcW w:w="48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261646C4"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 xml:space="preserve">Start normalization with a cycle </w:t>
            </w:r>
            <w:r w:rsidRPr="00FF0C86">
              <w:rPr>
                <w:rFonts w:ascii="Times New Roman" w:hAnsi="Times New Roman" w:cs="Times New Roman"/>
                <w:sz w:val="16"/>
                <w:szCs w:val="16"/>
              </w:rPr>
              <w:t>(Cq)</w:t>
            </w:r>
          </w:p>
        </w:tc>
        <w:tc>
          <w:tcPr>
            <w:tcW w:w="3544"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3FA58D7E"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11</w:t>
            </w:r>
          </w:p>
        </w:tc>
      </w:tr>
      <w:tr w:rsidR="00226539" w:rsidRPr="00FF0C86" w14:paraId="57683ADA" w14:textId="77777777" w:rsidTr="00FF0C86">
        <w:trPr>
          <w:jc w:val="center"/>
        </w:trPr>
        <w:tc>
          <w:tcPr>
            <w:tcW w:w="48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0FA1C6CC"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Slope correction</w:t>
            </w:r>
          </w:p>
        </w:tc>
        <w:tc>
          <w:tcPr>
            <w:tcW w:w="3544"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4C5441AC"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None</w:t>
            </w:r>
          </w:p>
        </w:tc>
      </w:tr>
      <w:tr w:rsidR="00226539" w:rsidRPr="00FF0C86" w14:paraId="7DB1EF87" w14:textId="77777777" w:rsidTr="00FF0C86">
        <w:trPr>
          <w:jc w:val="center"/>
        </w:trPr>
        <w:tc>
          <w:tcPr>
            <w:tcW w:w="48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54A68F17"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Background Threshold (NTC)</w:t>
            </w:r>
          </w:p>
        </w:tc>
        <w:tc>
          <w:tcPr>
            <w:tcW w:w="3544"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14CC53A7"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 xml:space="preserve">0% </w:t>
            </w:r>
          </w:p>
        </w:tc>
      </w:tr>
      <w:tr w:rsidR="00226539" w:rsidRPr="00FF0C86" w14:paraId="094C7000" w14:textId="77777777" w:rsidTr="00FF0C86">
        <w:trPr>
          <w:jc w:val="center"/>
        </w:trPr>
        <w:tc>
          <w:tcPr>
            <w:tcW w:w="48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2E3F0149"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Response Efficiency Threshold</w:t>
            </w:r>
          </w:p>
        </w:tc>
        <w:tc>
          <w:tcPr>
            <w:tcW w:w="3544"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42210F15"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off</w:t>
            </w:r>
          </w:p>
        </w:tc>
      </w:tr>
      <w:tr w:rsidR="00226539" w:rsidRPr="00FF0C86" w14:paraId="4A2AE141" w14:textId="77777777" w:rsidTr="00FF0C86">
        <w:trPr>
          <w:jc w:val="center"/>
        </w:trPr>
        <w:tc>
          <w:tcPr>
            <w:tcW w:w="481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54715B88" w14:textId="77777777" w:rsidR="00226539" w:rsidRPr="00FF0C86" w:rsidRDefault="00853685" w:rsidP="000B4B42">
            <w:pPr>
              <w:spacing w:line="360" w:lineRule="auto"/>
              <w:ind w:firstLineChars="709" w:firstLine="1134"/>
              <w:jc w:val="both"/>
              <w:rPr>
                <w:rFonts w:ascii="Times New Roman" w:hAnsi="Times New Roman" w:cs="Times New Roman"/>
                <w:iCs/>
                <w:sz w:val="16"/>
                <w:szCs w:val="16"/>
              </w:rPr>
            </w:pPr>
            <w:r w:rsidRPr="00FF0C86">
              <w:rPr>
                <w:rFonts w:ascii="Times New Roman" w:hAnsi="Times New Roman" w:cs="Times New Roman"/>
                <w:iCs/>
                <w:sz w:val="16"/>
                <w:szCs w:val="16"/>
              </w:rPr>
              <w:t>Normalization method</w:t>
            </w:r>
          </w:p>
        </w:tc>
        <w:tc>
          <w:tcPr>
            <w:tcW w:w="3544"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1BD15EB4" w14:textId="77777777" w:rsidR="00226539" w:rsidRPr="00FF0C86" w:rsidRDefault="00853685" w:rsidP="000B4B42">
            <w:pPr>
              <w:spacing w:line="360" w:lineRule="auto"/>
              <w:ind w:firstLineChars="709" w:firstLine="1134"/>
              <w:jc w:val="center"/>
              <w:rPr>
                <w:rFonts w:ascii="Times New Roman" w:hAnsi="Times New Roman" w:cs="Times New Roman"/>
                <w:iCs/>
                <w:sz w:val="16"/>
                <w:szCs w:val="16"/>
              </w:rPr>
            </w:pPr>
            <w:r w:rsidRPr="00FF0C86">
              <w:rPr>
                <w:rFonts w:ascii="Times New Roman" w:hAnsi="Times New Roman" w:cs="Times New Roman"/>
                <w:iCs/>
                <w:sz w:val="16"/>
                <w:szCs w:val="16"/>
              </w:rPr>
              <w:t>Dynamic background normalization</w:t>
            </w:r>
          </w:p>
        </w:tc>
      </w:tr>
    </w:tbl>
    <w:p w14:paraId="6A10477D" w14:textId="77777777" w:rsidR="00226539" w:rsidRPr="006531C9" w:rsidRDefault="00226539" w:rsidP="000B4B42">
      <w:pPr>
        <w:spacing w:line="360" w:lineRule="auto"/>
        <w:ind w:firstLineChars="709" w:firstLine="1702"/>
        <w:jc w:val="both"/>
        <w:rPr>
          <w:rFonts w:ascii="Times New Roman" w:hAnsi="Times New Roman" w:cs="Times New Roman"/>
          <w:iCs/>
          <w:sz w:val="24"/>
          <w:szCs w:val="24"/>
        </w:rPr>
      </w:pPr>
    </w:p>
    <w:p w14:paraId="0D936E30" w14:textId="1A53F4B6" w:rsidR="00226539" w:rsidRPr="004B6C3B" w:rsidRDefault="00853685" w:rsidP="00FF0C86">
      <w:pPr>
        <w:spacing w:line="360" w:lineRule="auto"/>
        <w:ind w:firstLine="708"/>
        <w:jc w:val="both"/>
        <w:rPr>
          <w:rFonts w:ascii="Times New Roman" w:hAnsi="Times New Roman" w:cs="Times New Roman"/>
          <w:iCs/>
          <w:sz w:val="28"/>
          <w:szCs w:val="28"/>
        </w:rPr>
      </w:pPr>
      <w:r w:rsidRPr="004B6C3B">
        <w:rPr>
          <w:rFonts w:ascii="Times New Roman" w:hAnsi="Times New Roman" w:cs="Times New Roman"/>
          <w:iCs/>
          <w:sz w:val="28"/>
          <w:szCs w:val="28"/>
        </w:rPr>
        <w:lastRenderedPageBreak/>
        <w:t xml:space="preserve">The samples were </w:t>
      </w:r>
      <w:r w:rsidR="00FC1219" w:rsidRPr="004B6C3B">
        <w:rPr>
          <w:rFonts w:ascii="Times New Roman" w:hAnsi="Times New Roman" w:cs="Times New Roman"/>
          <w:iCs/>
          <w:sz w:val="28"/>
          <w:szCs w:val="28"/>
        </w:rPr>
        <w:t xml:space="preserve">collected from patients with COVID-19 during the pandemic at the Scientific and Practical </w:t>
      </w:r>
      <w:r w:rsidR="00FF0C86" w:rsidRPr="004B6C3B">
        <w:rPr>
          <w:rFonts w:ascii="Times New Roman" w:hAnsi="Times New Roman" w:cs="Times New Roman"/>
          <w:iCs/>
          <w:sz w:val="28"/>
          <w:szCs w:val="28"/>
        </w:rPr>
        <w:t>Centre</w:t>
      </w:r>
      <w:r w:rsidR="00FC1219" w:rsidRPr="004B6C3B">
        <w:rPr>
          <w:rFonts w:ascii="Times New Roman" w:hAnsi="Times New Roman" w:cs="Times New Roman"/>
          <w:iCs/>
          <w:sz w:val="28"/>
          <w:szCs w:val="28"/>
        </w:rPr>
        <w:t xml:space="preserve"> for Sanitary and Epidemiological Expertise and Monitoring in</w:t>
      </w:r>
      <w:r w:rsidRPr="004B6C3B">
        <w:rPr>
          <w:rFonts w:ascii="Times New Roman" w:hAnsi="Times New Roman" w:cs="Times New Roman"/>
          <w:iCs/>
          <w:sz w:val="28"/>
          <w:szCs w:val="28"/>
        </w:rPr>
        <w:t xml:space="preserve"> Almaty.</w:t>
      </w:r>
      <w:r w:rsidRPr="004B6C3B">
        <w:rPr>
          <w:rFonts w:ascii="Times New Roman" w:hAnsi="Times New Roman" w:cs="Times New Roman"/>
          <w:sz w:val="28"/>
          <w:szCs w:val="28"/>
        </w:rPr>
        <w:t xml:space="preserve"> </w:t>
      </w:r>
      <w:r w:rsidRPr="004B6C3B">
        <w:rPr>
          <w:rFonts w:ascii="Times New Roman" w:hAnsi="Times New Roman" w:cs="Times New Roman"/>
          <w:iCs/>
          <w:sz w:val="28"/>
          <w:szCs w:val="28"/>
        </w:rPr>
        <w:t>During Real-Time PCR identification, all samples showed a positive result, with a peak range of 17 to 30 cycles</w:t>
      </w:r>
      <w:r w:rsidRPr="004B6C3B">
        <w:rPr>
          <w:rFonts w:ascii="Times New Roman" w:hAnsi="Times New Roman" w:cs="Times New Roman"/>
          <w:b/>
          <w:bCs/>
          <w:iCs/>
          <w:sz w:val="28"/>
          <w:szCs w:val="28"/>
        </w:rPr>
        <w:t xml:space="preserve">. </w:t>
      </w:r>
      <w:r w:rsidRPr="004B6C3B">
        <w:rPr>
          <w:rFonts w:ascii="Times New Roman" w:hAnsi="Times New Roman" w:cs="Times New Roman"/>
          <w:iCs/>
          <w:sz w:val="28"/>
          <w:szCs w:val="28"/>
        </w:rPr>
        <w:t xml:space="preserve">Detection of SARS-COV-2 virus strains using real-time PCR and electron microscopy. </w:t>
      </w:r>
    </w:p>
    <w:p w14:paraId="6BF6F0DD" w14:textId="77777777" w:rsidR="00226539" w:rsidRPr="004B6C3B" w:rsidRDefault="00853685" w:rsidP="00FF0C86">
      <w:pPr>
        <w:spacing w:line="360" w:lineRule="auto"/>
        <w:ind w:firstLine="708"/>
        <w:jc w:val="both"/>
        <w:rPr>
          <w:rFonts w:ascii="Times New Roman" w:hAnsi="Times New Roman" w:cs="Times New Roman"/>
          <w:iCs/>
          <w:sz w:val="28"/>
          <w:szCs w:val="28"/>
        </w:rPr>
      </w:pPr>
      <w:r w:rsidRPr="004B6C3B">
        <w:rPr>
          <w:rFonts w:ascii="Times New Roman" w:hAnsi="Times New Roman" w:cs="Times New Roman"/>
          <w:iCs/>
          <w:sz w:val="28"/>
          <w:szCs w:val="28"/>
        </w:rPr>
        <w:t>PCR identified the SARS-COV-2 virus from the samples received. The PCR conditions are presented in Tables 7 and 8.</w:t>
      </w:r>
    </w:p>
    <w:p w14:paraId="7B834EC9" w14:textId="3598E7BD" w:rsidR="00226539" w:rsidRPr="004B6C3B" w:rsidRDefault="00853685" w:rsidP="00FF0C86">
      <w:pPr>
        <w:spacing w:line="360" w:lineRule="auto"/>
        <w:jc w:val="center"/>
        <w:rPr>
          <w:rFonts w:ascii="Times New Roman" w:hAnsi="Times New Roman" w:cs="Times New Roman"/>
          <w:iCs/>
          <w:sz w:val="28"/>
          <w:szCs w:val="28"/>
        </w:rPr>
      </w:pPr>
      <w:r w:rsidRPr="004B6C3B">
        <w:rPr>
          <w:rFonts w:ascii="Times New Roman" w:hAnsi="Times New Roman" w:cs="Times New Roman"/>
          <w:iCs/>
          <w:sz w:val="28"/>
          <w:szCs w:val="28"/>
        </w:rPr>
        <w:t xml:space="preserve">Table 2 </w:t>
      </w:r>
      <w:r w:rsidR="00FF0C86" w:rsidRPr="004B6C3B">
        <w:rPr>
          <w:rFonts w:ascii="Times New Roman" w:hAnsi="Times New Roman" w:cs="Times New Roman"/>
          <w:iCs/>
          <w:sz w:val="28"/>
          <w:szCs w:val="28"/>
        </w:rPr>
        <w:t>– Quantitative</w:t>
      </w:r>
      <w:r w:rsidRPr="004B6C3B">
        <w:rPr>
          <w:rFonts w:ascii="Times New Roman" w:hAnsi="Times New Roman" w:cs="Times New Roman"/>
          <w:iCs/>
          <w:sz w:val="28"/>
          <w:szCs w:val="28"/>
        </w:rPr>
        <w:t xml:space="preserve"> report, test information</w:t>
      </w:r>
    </w:p>
    <w:tbl>
      <w:tblPr>
        <w:tblW w:w="0" w:type="auto"/>
        <w:jc w:val="center"/>
        <w:tblCellMar>
          <w:left w:w="0" w:type="dxa"/>
          <w:right w:w="0" w:type="dxa"/>
        </w:tblCellMar>
        <w:tblLook w:val="04A0" w:firstRow="1" w:lastRow="0" w:firstColumn="1" w:lastColumn="0" w:noHBand="0" w:noVBand="1"/>
      </w:tblPr>
      <w:tblGrid>
        <w:gridCol w:w="4258"/>
        <w:gridCol w:w="2694"/>
      </w:tblGrid>
      <w:tr w:rsidR="00226539" w:rsidRPr="00FF0C86" w14:paraId="5D90F6B0" w14:textId="77777777" w:rsidTr="00FF0C86">
        <w:trPr>
          <w:jc w:val="center"/>
        </w:trPr>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777262A3" w14:textId="77777777" w:rsidR="00226539" w:rsidRPr="00FF0C86" w:rsidRDefault="00853685" w:rsidP="000B4B42">
            <w:pPr>
              <w:spacing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iCs/>
                <w:sz w:val="16"/>
                <w:szCs w:val="16"/>
              </w:rPr>
              <w:t>The text name</w:t>
            </w:r>
          </w:p>
        </w:tc>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7A3EFD86" w14:textId="77777777" w:rsidR="00226539" w:rsidRPr="00FF0C86" w:rsidRDefault="00853685" w:rsidP="000B4B42">
            <w:pPr>
              <w:spacing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color w:val="000000"/>
                <w:sz w:val="16"/>
                <w:szCs w:val="16"/>
              </w:rPr>
              <w:t>Test 2021-03-29 (1)</w:t>
            </w:r>
          </w:p>
        </w:tc>
      </w:tr>
      <w:tr w:rsidR="00226539" w:rsidRPr="00FF0C86" w14:paraId="7B491770" w14:textId="77777777" w:rsidTr="00FF0C86">
        <w:trPr>
          <w:jc w:val="center"/>
        </w:trPr>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1D54A544" w14:textId="77777777" w:rsidR="00226539" w:rsidRPr="00FF0C86" w:rsidRDefault="00853685" w:rsidP="000B4B42">
            <w:pPr>
              <w:spacing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iCs/>
                <w:sz w:val="16"/>
                <w:szCs w:val="16"/>
              </w:rPr>
              <w:t>Test begins</w:t>
            </w:r>
          </w:p>
        </w:tc>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5354E7AF" w14:textId="77777777" w:rsidR="00226539" w:rsidRPr="00FF0C86" w:rsidRDefault="00853685" w:rsidP="000B4B42">
            <w:pPr>
              <w:spacing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color w:val="000000"/>
                <w:sz w:val="16"/>
                <w:szCs w:val="16"/>
              </w:rPr>
              <w:t xml:space="preserve">29.03.2021 </w:t>
            </w:r>
            <w:r w:rsidRPr="00FF0C86">
              <w:rPr>
                <w:rFonts w:ascii="Times New Roman" w:hAnsi="Times New Roman" w:cs="Times New Roman"/>
                <w:b/>
                <w:bCs/>
                <w:color w:val="000000"/>
                <w:sz w:val="16"/>
                <w:szCs w:val="16"/>
              </w:rPr>
              <w:t>10:24:30</w:t>
            </w:r>
          </w:p>
        </w:tc>
      </w:tr>
      <w:tr w:rsidR="00226539" w:rsidRPr="00FF0C86" w14:paraId="3C4BA765" w14:textId="77777777" w:rsidTr="00FF0C86">
        <w:trPr>
          <w:jc w:val="center"/>
        </w:trPr>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3E150EFC" w14:textId="77777777" w:rsidR="00226539" w:rsidRPr="00FF0C86" w:rsidRDefault="00853685" w:rsidP="000B4B42">
            <w:pPr>
              <w:spacing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iCs/>
                <w:sz w:val="16"/>
                <w:szCs w:val="16"/>
              </w:rPr>
              <w:t xml:space="preserve">Test ends </w:t>
            </w:r>
          </w:p>
        </w:tc>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48ECB795" w14:textId="77777777" w:rsidR="00226539" w:rsidRPr="00FF0C86" w:rsidRDefault="00853685" w:rsidP="000B4B42">
            <w:pPr>
              <w:spacing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color w:val="000000"/>
                <w:sz w:val="16"/>
                <w:szCs w:val="16"/>
              </w:rPr>
              <w:t xml:space="preserve">29.03.2021 </w:t>
            </w:r>
            <w:r w:rsidRPr="00FF0C86">
              <w:rPr>
                <w:rFonts w:ascii="Times New Roman" w:hAnsi="Times New Roman" w:cs="Times New Roman"/>
                <w:b/>
                <w:bCs/>
                <w:color w:val="000000"/>
                <w:sz w:val="16"/>
                <w:szCs w:val="16"/>
              </w:rPr>
              <w:t>12:10:50</w:t>
            </w:r>
          </w:p>
        </w:tc>
      </w:tr>
      <w:tr w:rsidR="00226539" w:rsidRPr="00FF0C86" w14:paraId="3ECEB430" w14:textId="77777777" w:rsidTr="00FF0C86">
        <w:trPr>
          <w:jc w:val="center"/>
        </w:trPr>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3D61A67B" w14:textId="77777777" w:rsidR="00226539" w:rsidRPr="00FF0C86" w:rsidRDefault="00853685" w:rsidP="000B4B42">
            <w:pPr>
              <w:spacing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iCs/>
                <w:sz w:val="16"/>
                <w:szCs w:val="16"/>
              </w:rPr>
              <w:t xml:space="preserve">Operator </w:t>
            </w:r>
          </w:p>
        </w:tc>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663C9FE3" w14:textId="77777777" w:rsidR="00226539" w:rsidRPr="00FF0C86" w:rsidRDefault="00853685" w:rsidP="000B4B42">
            <w:pPr>
              <w:spacing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color w:val="000000"/>
                <w:sz w:val="16"/>
                <w:szCs w:val="16"/>
              </w:rPr>
              <w:t>Nurlan</w:t>
            </w:r>
          </w:p>
        </w:tc>
      </w:tr>
      <w:tr w:rsidR="00226539" w:rsidRPr="00FF0C86" w14:paraId="58A44538" w14:textId="77777777" w:rsidTr="00FF0C86">
        <w:trPr>
          <w:jc w:val="center"/>
        </w:trPr>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1AE35E6C" w14:textId="77777777" w:rsidR="00226539" w:rsidRPr="00FF0C86" w:rsidRDefault="00853685" w:rsidP="000B4B42">
            <w:pPr>
              <w:spacing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iCs/>
                <w:sz w:val="16"/>
                <w:szCs w:val="16"/>
              </w:rPr>
              <w:t>Notes</w:t>
            </w:r>
          </w:p>
        </w:tc>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1FAA0591" w14:textId="77777777" w:rsidR="00226539" w:rsidRPr="00FF0C86" w:rsidRDefault="00853685" w:rsidP="000B4B42">
            <w:pPr>
              <w:spacing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color w:val="000000"/>
                <w:sz w:val="16"/>
                <w:szCs w:val="16"/>
              </w:rPr>
              <w:t xml:space="preserve"> None </w:t>
            </w:r>
          </w:p>
        </w:tc>
      </w:tr>
      <w:tr w:rsidR="00226539" w:rsidRPr="00FF0C86" w14:paraId="4F034FC9" w14:textId="77777777" w:rsidTr="00FF0C86">
        <w:trPr>
          <w:jc w:val="center"/>
        </w:trPr>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3100625E" w14:textId="77777777" w:rsidR="00226539" w:rsidRPr="00FF0C86" w:rsidRDefault="00853685" w:rsidP="000B4B42">
            <w:pPr>
              <w:spacing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color w:val="000000"/>
                <w:sz w:val="16"/>
                <w:szCs w:val="16"/>
              </w:rPr>
              <w:t>The test was performed on the software version</w:t>
            </w:r>
          </w:p>
        </w:tc>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76CA6EA3" w14:textId="77777777" w:rsidR="00226539" w:rsidRPr="00FF0C86" w:rsidRDefault="00853685" w:rsidP="000B4B42">
            <w:pPr>
              <w:spacing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color w:val="000000"/>
                <w:sz w:val="16"/>
                <w:szCs w:val="16"/>
              </w:rPr>
              <w:t>Rotor-Gene 1.8.17.5</w:t>
            </w:r>
          </w:p>
        </w:tc>
      </w:tr>
      <w:tr w:rsidR="00226539" w:rsidRPr="00FF0C86" w14:paraId="0A471976" w14:textId="77777777" w:rsidTr="00FF0C86">
        <w:trPr>
          <w:jc w:val="center"/>
        </w:trPr>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4D18B380" w14:textId="77777777" w:rsidR="00226539" w:rsidRPr="00FF0C86" w:rsidRDefault="00853685" w:rsidP="000B4B42">
            <w:pPr>
              <w:spacing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iCs/>
                <w:sz w:val="16"/>
                <w:szCs w:val="16"/>
              </w:rPr>
              <w:t>Test signature</w:t>
            </w:r>
          </w:p>
        </w:tc>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47AB1B67" w14:textId="77777777" w:rsidR="00226539" w:rsidRPr="00FF0C86" w:rsidRDefault="00853685" w:rsidP="000B4B42">
            <w:pPr>
              <w:spacing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color w:val="000000"/>
                <w:sz w:val="16"/>
                <w:szCs w:val="16"/>
              </w:rPr>
              <w:t>Test signature -correct.</w:t>
            </w:r>
          </w:p>
        </w:tc>
      </w:tr>
      <w:tr w:rsidR="00226539" w:rsidRPr="00FF0C86" w14:paraId="5FAF4822" w14:textId="77777777" w:rsidTr="00FF0C86">
        <w:trPr>
          <w:jc w:val="center"/>
        </w:trPr>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64A86B94" w14:textId="77777777" w:rsidR="00226539" w:rsidRPr="00FF0C86" w:rsidRDefault="00853685" w:rsidP="000B4B42">
            <w:pPr>
              <w:spacing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iCs/>
                <w:sz w:val="16"/>
                <w:szCs w:val="16"/>
              </w:rPr>
              <w:t>Signal level Green</w:t>
            </w:r>
          </w:p>
        </w:tc>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2C33F0F2" w14:textId="77777777" w:rsidR="00226539" w:rsidRPr="00FF0C86" w:rsidRDefault="00853685" w:rsidP="000B4B42">
            <w:pPr>
              <w:spacing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color w:val="000000"/>
                <w:sz w:val="16"/>
                <w:szCs w:val="16"/>
              </w:rPr>
              <w:t>5,</w:t>
            </w:r>
          </w:p>
        </w:tc>
      </w:tr>
      <w:tr w:rsidR="00226539" w:rsidRPr="00FF0C86" w14:paraId="54100929" w14:textId="77777777" w:rsidTr="00FF0C86">
        <w:trPr>
          <w:jc w:val="center"/>
        </w:trPr>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626F207C" w14:textId="77777777" w:rsidR="00226539" w:rsidRPr="00FF0C86" w:rsidRDefault="00853685" w:rsidP="000B4B42">
            <w:pPr>
              <w:spacing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iCs/>
                <w:sz w:val="16"/>
                <w:szCs w:val="16"/>
              </w:rPr>
              <w:t>Signal level Orange</w:t>
            </w:r>
          </w:p>
        </w:tc>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5C3E109C" w14:textId="77777777" w:rsidR="00226539" w:rsidRPr="00FF0C86" w:rsidRDefault="00853685" w:rsidP="000B4B42">
            <w:pPr>
              <w:spacing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color w:val="000000"/>
                <w:sz w:val="16"/>
                <w:szCs w:val="16"/>
              </w:rPr>
              <w:t>5,</w:t>
            </w:r>
          </w:p>
        </w:tc>
      </w:tr>
      <w:tr w:rsidR="00226539" w:rsidRPr="00FF0C86" w14:paraId="154F2483" w14:textId="77777777" w:rsidTr="00FF0C86">
        <w:trPr>
          <w:jc w:val="center"/>
        </w:trPr>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063C5798" w14:textId="77777777" w:rsidR="00226539" w:rsidRPr="00FF0C86" w:rsidRDefault="00853685" w:rsidP="000B4B42">
            <w:pPr>
              <w:spacing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iCs/>
                <w:sz w:val="16"/>
                <w:szCs w:val="16"/>
              </w:rPr>
              <w:t>Signal level Red</w:t>
            </w:r>
          </w:p>
        </w:tc>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53F912B2" w14:textId="77777777" w:rsidR="00226539" w:rsidRPr="00FF0C86" w:rsidRDefault="00853685" w:rsidP="000B4B42">
            <w:pPr>
              <w:spacing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color w:val="000000"/>
                <w:sz w:val="16"/>
                <w:szCs w:val="16"/>
              </w:rPr>
              <w:t>5,</w:t>
            </w:r>
          </w:p>
        </w:tc>
      </w:tr>
    </w:tbl>
    <w:p w14:paraId="18387402" w14:textId="77777777" w:rsidR="00226539" w:rsidRPr="006531C9" w:rsidRDefault="00226539" w:rsidP="00665DCB">
      <w:pPr>
        <w:spacing w:after="0" w:line="360" w:lineRule="auto"/>
        <w:jc w:val="both"/>
        <w:rPr>
          <w:rFonts w:ascii="Times New Roman" w:hAnsi="Times New Roman" w:cs="Times New Roman"/>
          <w:iCs/>
          <w:sz w:val="24"/>
          <w:szCs w:val="24"/>
        </w:rPr>
      </w:pPr>
    </w:p>
    <w:p w14:paraId="48C72FF7" w14:textId="6F71C059" w:rsidR="00226539" w:rsidRPr="004B6C3B" w:rsidRDefault="00853685" w:rsidP="00665DCB">
      <w:pPr>
        <w:spacing w:after="0" w:line="360" w:lineRule="auto"/>
        <w:jc w:val="center"/>
        <w:rPr>
          <w:rFonts w:ascii="Times New Roman" w:hAnsi="Times New Roman" w:cs="Times New Roman"/>
          <w:iCs/>
          <w:sz w:val="28"/>
          <w:szCs w:val="28"/>
        </w:rPr>
      </w:pPr>
      <w:r w:rsidRPr="004B6C3B">
        <w:rPr>
          <w:rFonts w:ascii="Times New Roman" w:hAnsi="Times New Roman" w:cs="Times New Roman"/>
          <w:iCs/>
          <w:sz w:val="28"/>
          <w:szCs w:val="28"/>
        </w:rPr>
        <w:t>Table 3</w:t>
      </w:r>
      <w:r w:rsidR="00FF0C86" w:rsidRPr="004B6C3B">
        <w:rPr>
          <w:rFonts w:ascii="Times New Roman" w:hAnsi="Times New Roman" w:cs="Times New Roman"/>
          <w:iCs/>
          <w:sz w:val="28"/>
          <w:szCs w:val="28"/>
        </w:rPr>
        <w:t>– Quantitative</w:t>
      </w:r>
      <w:r w:rsidRPr="004B6C3B">
        <w:rPr>
          <w:rFonts w:ascii="Times New Roman" w:hAnsi="Times New Roman" w:cs="Times New Roman"/>
          <w:iCs/>
          <w:sz w:val="28"/>
          <w:szCs w:val="28"/>
        </w:rPr>
        <w:t xml:space="preserve"> analysis parameters</w:t>
      </w:r>
    </w:p>
    <w:tbl>
      <w:tblPr>
        <w:tblW w:w="0" w:type="auto"/>
        <w:jc w:val="center"/>
        <w:tblCellMar>
          <w:left w:w="0" w:type="dxa"/>
          <w:right w:w="0" w:type="dxa"/>
        </w:tblCellMar>
        <w:tblLook w:val="04A0" w:firstRow="1" w:lastRow="0" w:firstColumn="1" w:lastColumn="0" w:noHBand="0" w:noVBand="1"/>
      </w:tblPr>
      <w:tblGrid>
        <w:gridCol w:w="3592"/>
        <w:gridCol w:w="2391"/>
      </w:tblGrid>
      <w:tr w:rsidR="00226539" w:rsidRPr="00FF0C86" w14:paraId="2302C074" w14:textId="77777777" w:rsidTr="00FF0C86">
        <w:trPr>
          <w:jc w:val="center"/>
        </w:trPr>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1C87FC43" w14:textId="77777777" w:rsidR="00226539" w:rsidRPr="00FF0C86" w:rsidRDefault="00853685" w:rsidP="00665DCB">
            <w:pPr>
              <w:spacing w:after="0"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iCs/>
                <w:sz w:val="16"/>
                <w:szCs w:val="16"/>
              </w:rPr>
              <w:t>Ct-value (Threshold)</w:t>
            </w:r>
          </w:p>
        </w:tc>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27E54E8A" w14:textId="77777777" w:rsidR="00226539" w:rsidRPr="00FF0C86" w:rsidRDefault="00853685" w:rsidP="00665DCB">
            <w:pPr>
              <w:spacing w:after="0"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color w:val="000000"/>
                <w:sz w:val="16"/>
                <w:szCs w:val="16"/>
              </w:rPr>
              <w:t>0,05139</w:t>
            </w:r>
          </w:p>
        </w:tc>
      </w:tr>
      <w:tr w:rsidR="00226539" w:rsidRPr="00FF0C86" w14:paraId="4F6DA993" w14:textId="77777777" w:rsidTr="00FF0C86">
        <w:trPr>
          <w:jc w:val="center"/>
        </w:trPr>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3B9DDE15" w14:textId="77777777" w:rsidR="00226539" w:rsidRPr="00FF0C86" w:rsidRDefault="00853685" w:rsidP="00665DCB">
            <w:pPr>
              <w:spacing w:after="0"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iCs/>
                <w:sz w:val="16"/>
                <w:szCs w:val="16"/>
              </w:rPr>
              <w:t xml:space="preserve">Exclude cycles till  </w:t>
            </w:r>
          </w:p>
        </w:tc>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325DB175" w14:textId="77777777" w:rsidR="00226539" w:rsidRPr="00FF0C86" w:rsidRDefault="00853685" w:rsidP="00665DCB">
            <w:pPr>
              <w:spacing w:after="0"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color w:val="000000"/>
                <w:sz w:val="16"/>
                <w:szCs w:val="16"/>
              </w:rPr>
              <w:t>1,000</w:t>
            </w:r>
          </w:p>
        </w:tc>
      </w:tr>
      <w:tr w:rsidR="00226539" w:rsidRPr="00FF0C86" w14:paraId="3BE248B5" w14:textId="77777777" w:rsidTr="00FF0C86">
        <w:trPr>
          <w:jc w:val="center"/>
        </w:trPr>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3D0F3E99" w14:textId="77777777" w:rsidR="00226539" w:rsidRPr="00FF0C86" w:rsidRDefault="00853685" w:rsidP="00C02615">
            <w:pPr>
              <w:spacing w:after="0"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iCs/>
                <w:sz w:val="16"/>
                <w:szCs w:val="16"/>
              </w:rPr>
              <w:t>Standard curve imported</w:t>
            </w:r>
          </w:p>
        </w:tc>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0CE15764" w14:textId="77777777" w:rsidR="00226539" w:rsidRPr="00FF0C86" w:rsidRDefault="00853685" w:rsidP="00C02615">
            <w:pPr>
              <w:spacing w:after="0"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color w:val="000000"/>
                <w:sz w:val="16"/>
                <w:szCs w:val="16"/>
              </w:rPr>
              <w:t>None</w:t>
            </w:r>
          </w:p>
        </w:tc>
      </w:tr>
      <w:tr w:rsidR="00226539" w:rsidRPr="00FF0C86" w14:paraId="3F7ADC05" w14:textId="77777777" w:rsidTr="00FF0C86">
        <w:trPr>
          <w:jc w:val="center"/>
        </w:trPr>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730C1620" w14:textId="77777777" w:rsidR="00226539" w:rsidRPr="00FF0C86" w:rsidRDefault="00853685" w:rsidP="00C02615">
            <w:pPr>
              <w:spacing w:after="0"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iCs/>
                <w:sz w:val="16"/>
                <w:szCs w:val="16"/>
              </w:rPr>
              <w:t>Standard graph (1)</w:t>
            </w:r>
          </w:p>
        </w:tc>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31B9C9AE" w14:textId="77777777" w:rsidR="00226539" w:rsidRPr="00FF0C86" w:rsidRDefault="00853685" w:rsidP="00C02615">
            <w:pPr>
              <w:spacing w:after="0"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color w:val="000000"/>
                <w:sz w:val="16"/>
                <w:szCs w:val="16"/>
              </w:rPr>
              <w:t>N/A</w:t>
            </w:r>
          </w:p>
        </w:tc>
      </w:tr>
      <w:tr w:rsidR="00226539" w:rsidRPr="00FF0C86" w14:paraId="73C1023D" w14:textId="77777777" w:rsidTr="00FF0C86">
        <w:trPr>
          <w:jc w:val="center"/>
        </w:trPr>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6757946A" w14:textId="77777777" w:rsidR="00226539" w:rsidRPr="00FF0C86" w:rsidRDefault="00853685" w:rsidP="00C02615">
            <w:pPr>
              <w:spacing w:after="0"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iCs/>
                <w:sz w:val="16"/>
                <w:szCs w:val="16"/>
              </w:rPr>
              <w:t>Standard graph (2)</w:t>
            </w:r>
          </w:p>
        </w:tc>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25E5963A" w14:textId="77777777" w:rsidR="00226539" w:rsidRPr="00FF0C86" w:rsidRDefault="00853685" w:rsidP="00C02615">
            <w:pPr>
              <w:spacing w:after="0"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color w:val="000000"/>
                <w:sz w:val="16"/>
                <w:szCs w:val="16"/>
              </w:rPr>
              <w:t>N/A</w:t>
            </w:r>
          </w:p>
        </w:tc>
      </w:tr>
      <w:tr w:rsidR="00226539" w:rsidRPr="00FF0C86" w14:paraId="066E6DFB" w14:textId="77777777" w:rsidTr="00FF0C86">
        <w:trPr>
          <w:jc w:val="center"/>
        </w:trPr>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4E7FCFD3" w14:textId="77777777" w:rsidR="00226539" w:rsidRPr="00FF0C86" w:rsidRDefault="00853685" w:rsidP="00C02615">
            <w:pPr>
              <w:spacing w:after="0"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iCs/>
                <w:sz w:val="16"/>
                <w:szCs w:val="16"/>
              </w:rPr>
              <w:t xml:space="preserve">Start normalization with a cycle </w:t>
            </w:r>
            <w:r w:rsidRPr="00FF0C86">
              <w:rPr>
                <w:rFonts w:ascii="Times New Roman" w:hAnsi="Times New Roman" w:cs="Times New Roman"/>
                <w:sz w:val="16"/>
                <w:szCs w:val="16"/>
              </w:rPr>
              <w:t>(Cq)</w:t>
            </w:r>
          </w:p>
        </w:tc>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1854C0A0" w14:textId="77777777" w:rsidR="00226539" w:rsidRPr="00FF0C86" w:rsidRDefault="00853685" w:rsidP="00C02615">
            <w:pPr>
              <w:spacing w:after="0"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color w:val="000000"/>
                <w:sz w:val="16"/>
                <w:szCs w:val="16"/>
              </w:rPr>
              <w:t>11</w:t>
            </w:r>
          </w:p>
        </w:tc>
      </w:tr>
      <w:tr w:rsidR="00226539" w:rsidRPr="00FF0C86" w14:paraId="5A61409F" w14:textId="77777777" w:rsidTr="00FF0C86">
        <w:trPr>
          <w:jc w:val="center"/>
        </w:trPr>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557DDDF8" w14:textId="77777777" w:rsidR="00226539" w:rsidRPr="00FF0C86" w:rsidRDefault="00853685" w:rsidP="00C02615">
            <w:pPr>
              <w:spacing w:after="0"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iCs/>
                <w:sz w:val="16"/>
                <w:szCs w:val="16"/>
              </w:rPr>
              <w:t>Slope correction</w:t>
            </w:r>
          </w:p>
        </w:tc>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58B95E3D" w14:textId="77777777" w:rsidR="00226539" w:rsidRPr="00FF0C86" w:rsidRDefault="00853685" w:rsidP="00C02615">
            <w:pPr>
              <w:spacing w:after="0"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color w:val="000000"/>
                <w:sz w:val="16"/>
                <w:szCs w:val="16"/>
              </w:rPr>
              <w:t>None</w:t>
            </w:r>
          </w:p>
        </w:tc>
      </w:tr>
      <w:tr w:rsidR="00226539" w:rsidRPr="00FF0C86" w14:paraId="16129D0F" w14:textId="77777777" w:rsidTr="00FF0C86">
        <w:trPr>
          <w:jc w:val="center"/>
        </w:trPr>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5FF8F445" w14:textId="77777777" w:rsidR="00226539" w:rsidRPr="00FF0C86" w:rsidRDefault="00853685" w:rsidP="00C02615">
            <w:pPr>
              <w:spacing w:after="0"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iCs/>
                <w:sz w:val="16"/>
                <w:szCs w:val="16"/>
              </w:rPr>
              <w:t>Background Threshold (NTC)</w:t>
            </w:r>
          </w:p>
        </w:tc>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6CBFD31B" w14:textId="77777777" w:rsidR="00226539" w:rsidRPr="00FF0C86" w:rsidRDefault="00853685" w:rsidP="00C02615">
            <w:pPr>
              <w:spacing w:after="0"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color w:val="000000"/>
                <w:sz w:val="16"/>
                <w:szCs w:val="16"/>
              </w:rPr>
              <w:t xml:space="preserve">0% </w:t>
            </w:r>
          </w:p>
        </w:tc>
      </w:tr>
      <w:tr w:rsidR="00226539" w:rsidRPr="00FF0C86" w14:paraId="26131B08" w14:textId="77777777" w:rsidTr="00FF0C86">
        <w:trPr>
          <w:jc w:val="center"/>
        </w:trPr>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632011CD" w14:textId="77777777" w:rsidR="00226539" w:rsidRPr="00FF0C86" w:rsidRDefault="00853685" w:rsidP="00C02615">
            <w:pPr>
              <w:spacing w:after="0"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iCs/>
                <w:sz w:val="16"/>
                <w:szCs w:val="16"/>
              </w:rPr>
              <w:t>Response Efficiency Threshold</w:t>
            </w:r>
          </w:p>
        </w:tc>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6057DF01" w14:textId="77777777" w:rsidR="00226539" w:rsidRPr="00FF0C86" w:rsidRDefault="00853685" w:rsidP="00C02615">
            <w:pPr>
              <w:spacing w:after="0"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color w:val="000000"/>
                <w:sz w:val="16"/>
                <w:szCs w:val="16"/>
              </w:rPr>
              <w:t>off</w:t>
            </w:r>
          </w:p>
        </w:tc>
      </w:tr>
      <w:tr w:rsidR="00226539" w:rsidRPr="00FF0C86" w14:paraId="1BB48C19" w14:textId="77777777" w:rsidTr="00FF0C86">
        <w:trPr>
          <w:jc w:val="center"/>
        </w:trPr>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4600CA70" w14:textId="77777777" w:rsidR="00226539" w:rsidRPr="00FF0C86" w:rsidRDefault="00853685" w:rsidP="00C02615">
            <w:pPr>
              <w:spacing w:after="0" w:line="360" w:lineRule="auto"/>
              <w:ind w:firstLineChars="709" w:firstLine="1134"/>
              <w:jc w:val="both"/>
              <w:rPr>
                <w:rFonts w:ascii="Times New Roman" w:hAnsi="Times New Roman" w:cs="Times New Roman"/>
                <w:color w:val="000000"/>
                <w:sz w:val="16"/>
                <w:szCs w:val="16"/>
              </w:rPr>
            </w:pPr>
            <w:r w:rsidRPr="00FF0C86">
              <w:rPr>
                <w:rFonts w:ascii="Times New Roman" w:hAnsi="Times New Roman" w:cs="Times New Roman"/>
                <w:iCs/>
                <w:sz w:val="16"/>
                <w:szCs w:val="16"/>
              </w:rPr>
              <w:t>Normalization method</w:t>
            </w:r>
          </w:p>
        </w:tc>
        <w:tc>
          <w:tcPr>
            <w:tcW w:w="0" w:type="auto"/>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14:paraId="2762FDEF" w14:textId="77777777" w:rsidR="00226539" w:rsidRPr="00FF0C86" w:rsidRDefault="00853685" w:rsidP="00665DCB">
            <w:pPr>
              <w:spacing w:after="0" w:line="360" w:lineRule="auto"/>
              <w:jc w:val="both"/>
              <w:rPr>
                <w:rFonts w:ascii="Times New Roman" w:hAnsi="Times New Roman" w:cs="Times New Roman"/>
                <w:color w:val="000000"/>
                <w:sz w:val="16"/>
                <w:szCs w:val="16"/>
              </w:rPr>
            </w:pPr>
            <w:r w:rsidRPr="00FF0C86">
              <w:rPr>
                <w:rFonts w:ascii="Times New Roman" w:hAnsi="Times New Roman" w:cs="Times New Roman"/>
                <w:iCs/>
                <w:sz w:val="16"/>
                <w:szCs w:val="16"/>
              </w:rPr>
              <w:t>Dynamic background normalization</w:t>
            </w:r>
          </w:p>
        </w:tc>
      </w:tr>
    </w:tbl>
    <w:p w14:paraId="786F5F7D" w14:textId="77777777" w:rsidR="00226539" w:rsidRPr="006531C9" w:rsidRDefault="00226539" w:rsidP="000B4B42">
      <w:pPr>
        <w:spacing w:line="360" w:lineRule="auto"/>
        <w:ind w:firstLineChars="709" w:firstLine="1702"/>
        <w:jc w:val="both"/>
        <w:rPr>
          <w:rFonts w:ascii="Times New Roman" w:hAnsi="Times New Roman" w:cs="Times New Roman"/>
          <w:iCs/>
          <w:sz w:val="24"/>
          <w:szCs w:val="24"/>
        </w:rPr>
      </w:pPr>
    </w:p>
    <w:p w14:paraId="63AF3864" w14:textId="77777777" w:rsidR="00226539" w:rsidRPr="006531C9" w:rsidRDefault="00853685" w:rsidP="00C02615">
      <w:pPr>
        <w:spacing w:after="0" w:line="240" w:lineRule="auto"/>
        <w:jc w:val="center"/>
        <w:rPr>
          <w:rFonts w:ascii="Times New Roman" w:hAnsi="Times New Roman" w:cs="Times New Roman"/>
          <w:b/>
          <w:bCs/>
          <w:iCs/>
          <w:sz w:val="24"/>
          <w:szCs w:val="24"/>
        </w:rPr>
      </w:pPr>
      <w:r w:rsidRPr="006531C9">
        <w:rPr>
          <w:rFonts w:ascii="Times New Roman" w:hAnsi="Times New Roman" w:cs="Times New Roman"/>
          <w:b/>
          <w:bCs/>
          <w:iCs/>
          <w:noProof/>
          <w:sz w:val="24"/>
          <w:szCs w:val="24"/>
        </w:rPr>
        <w:lastRenderedPageBreak/>
        <w:drawing>
          <wp:inline distT="0" distB="0" distL="0" distR="0" wp14:anchorId="5765B32A" wp14:editId="73974439">
            <wp:extent cx="5631180" cy="3182620"/>
            <wp:effectExtent l="152400" t="152400" r="369570" b="341630"/>
            <wp:docPr id="225087782"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87782" name="Рисунок 4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a:xfrm>
                      <a:off x="0" y="0"/>
                      <a:ext cx="5690105" cy="3215818"/>
                    </a:xfrm>
                    <a:prstGeom prst="rect">
                      <a:avLst/>
                    </a:prstGeom>
                    <a:ln>
                      <a:noFill/>
                    </a:ln>
                    <a:effectLst>
                      <a:outerShdw blurRad="292100" dist="139700" dir="2700000" algn="tl" rotWithShape="0">
                        <a:srgbClr val="333333">
                          <a:alpha val="65000"/>
                        </a:srgbClr>
                      </a:outerShdw>
                    </a:effectLst>
                  </pic:spPr>
                </pic:pic>
              </a:graphicData>
            </a:graphic>
          </wp:inline>
        </w:drawing>
      </w:r>
    </w:p>
    <w:p w14:paraId="54134971" w14:textId="77777777" w:rsidR="00226539" w:rsidRPr="006531C9" w:rsidRDefault="00853685" w:rsidP="00C02615">
      <w:pPr>
        <w:spacing w:after="0" w:line="360" w:lineRule="auto"/>
        <w:jc w:val="center"/>
        <w:rPr>
          <w:rFonts w:ascii="Times New Roman" w:hAnsi="Times New Roman" w:cs="Times New Roman"/>
          <w:iCs/>
          <w:sz w:val="24"/>
          <w:szCs w:val="24"/>
        </w:rPr>
      </w:pPr>
      <w:r w:rsidRPr="006531C9">
        <w:rPr>
          <w:rFonts w:ascii="Times New Roman" w:hAnsi="Times New Roman" w:cs="Times New Roman"/>
          <w:b/>
          <w:bCs/>
          <w:iCs/>
          <w:noProof/>
          <w:sz w:val="24"/>
          <w:szCs w:val="24"/>
        </w:rPr>
        <w:drawing>
          <wp:inline distT="0" distB="0" distL="0" distR="0" wp14:anchorId="0D21231D" wp14:editId="4B4CD24C">
            <wp:extent cx="5597525" cy="3163570"/>
            <wp:effectExtent l="152400" t="152400" r="346075" b="341630"/>
            <wp:docPr id="49619536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195369" name="Рисунок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a:xfrm>
                      <a:off x="0" y="0"/>
                      <a:ext cx="5658745" cy="3198096"/>
                    </a:xfrm>
                    <a:prstGeom prst="rect">
                      <a:avLst/>
                    </a:prstGeom>
                    <a:ln>
                      <a:noFill/>
                    </a:ln>
                    <a:effectLst>
                      <a:outerShdw blurRad="292100" dist="139700" dir="2700000" algn="tl" rotWithShape="0">
                        <a:srgbClr val="333333">
                          <a:alpha val="65000"/>
                        </a:srgbClr>
                      </a:outerShdw>
                    </a:effectLst>
                  </pic:spPr>
                </pic:pic>
              </a:graphicData>
            </a:graphic>
          </wp:inline>
        </w:drawing>
      </w:r>
    </w:p>
    <w:p w14:paraId="172D1BD7" w14:textId="0008A6AA" w:rsidR="00226539" w:rsidRPr="00FF0C86" w:rsidRDefault="00853685" w:rsidP="00FF0C86">
      <w:pPr>
        <w:spacing w:line="360" w:lineRule="auto"/>
        <w:jc w:val="both"/>
        <w:rPr>
          <w:rFonts w:ascii="Times New Roman" w:hAnsi="Times New Roman" w:cs="Times New Roman"/>
          <w:iCs/>
          <w:sz w:val="20"/>
          <w:szCs w:val="20"/>
        </w:rPr>
      </w:pPr>
      <w:r w:rsidRPr="00FF0C86">
        <w:rPr>
          <w:rFonts w:ascii="Times New Roman" w:hAnsi="Times New Roman" w:cs="Times New Roman"/>
          <w:iCs/>
          <w:sz w:val="20"/>
          <w:szCs w:val="20"/>
        </w:rPr>
        <w:t>Figure 1</w:t>
      </w:r>
      <w:r w:rsidR="004A22EC">
        <w:rPr>
          <w:rFonts w:ascii="Times New Roman" w:hAnsi="Times New Roman" w:cs="Times New Roman"/>
          <w:iCs/>
          <w:sz w:val="20"/>
          <w:szCs w:val="20"/>
        </w:rPr>
        <w:t xml:space="preserve"> </w:t>
      </w:r>
      <w:r w:rsidR="004A22EC" w:rsidRPr="00947875">
        <w:rPr>
          <w:rFonts w:ascii="Times New Roman" w:hAnsi="Times New Roman" w:cs="Times New Roman"/>
          <w:iCs/>
          <w:sz w:val="20"/>
          <w:szCs w:val="20"/>
        </w:rPr>
        <w:t>–</w:t>
      </w:r>
      <w:r w:rsidR="004A22EC" w:rsidRPr="00F7381C">
        <w:rPr>
          <w:rFonts w:ascii="Times New Roman" w:hAnsi="Times New Roman" w:cs="Times New Roman"/>
          <w:iCs/>
          <w:sz w:val="20"/>
          <w:szCs w:val="20"/>
        </w:rPr>
        <w:t xml:space="preserve"> </w:t>
      </w:r>
      <w:r w:rsidR="004A22EC">
        <w:rPr>
          <w:rFonts w:ascii="Times New Roman" w:hAnsi="Times New Roman" w:cs="Times New Roman"/>
          <w:iCs/>
          <w:sz w:val="20"/>
          <w:szCs w:val="20"/>
        </w:rPr>
        <w:t>The initial data are the fluorescent signals</w:t>
      </w:r>
      <w:r w:rsidR="00FF0C86">
        <w:rPr>
          <w:rFonts w:ascii="Times New Roman" w:hAnsi="Times New Roman" w:cs="Times New Roman"/>
          <w:iCs/>
          <w:sz w:val="20"/>
          <w:szCs w:val="20"/>
        </w:rPr>
        <w:t>: cycling</w:t>
      </w:r>
      <w:r w:rsidRPr="00FF0C86">
        <w:rPr>
          <w:rFonts w:ascii="Times New Roman" w:hAnsi="Times New Roman" w:cs="Times New Roman"/>
          <w:iCs/>
          <w:sz w:val="20"/>
          <w:szCs w:val="20"/>
        </w:rPr>
        <w:t xml:space="preserve"> A</w:t>
      </w:r>
      <w:r w:rsidR="004A22EC">
        <w:rPr>
          <w:rFonts w:ascii="Times New Roman" w:hAnsi="Times New Roman" w:cs="Times New Roman"/>
          <w:iCs/>
          <w:sz w:val="20"/>
          <w:szCs w:val="20"/>
        </w:rPr>
        <w:t>—red</w:t>
      </w:r>
      <w:r w:rsidRPr="00FF0C86">
        <w:rPr>
          <w:rFonts w:ascii="Times New Roman" w:hAnsi="Times New Roman" w:cs="Times New Roman"/>
          <w:iCs/>
          <w:sz w:val="20"/>
          <w:szCs w:val="20"/>
        </w:rPr>
        <w:t xml:space="preserve"> and Quantitative data for Cycling A. Red. According to the peaks report, the following samples were taken for further </w:t>
      </w:r>
      <w:r w:rsidR="00FF0C86">
        <w:rPr>
          <w:rFonts w:ascii="Times New Roman" w:hAnsi="Times New Roman" w:cs="Times New Roman"/>
          <w:iCs/>
          <w:sz w:val="20"/>
          <w:szCs w:val="20"/>
        </w:rPr>
        <w:t>processing with subsequent Ct (cycle threshold) values</w:t>
      </w:r>
      <w:r w:rsidRPr="00FF0C86">
        <w:rPr>
          <w:rFonts w:ascii="Times New Roman" w:hAnsi="Times New Roman" w:cs="Times New Roman"/>
          <w:iCs/>
          <w:sz w:val="20"/>
          <w:szCs w:val="20"/>
        </w:rPr>
        <w:t xml:space="preserve">. Other samples </w:t>
      </w:r>
      <w:r w:rsidR="00FF0C86">
        <w:rPr>
          <w:rFonts w:ascii="Times New Roman" w:hAnsi="Times New Roman" w:cs="Times New Roman"/>
          <w:iCs/>
          <w:sz w:val="20"/>
          <w:szCs w:val="20"/>
        </w:rPr>
        <w:t>with fewer than 20 cycles and more than 25 cycles</w:t>
      </w:r>
      <w:r w:rsidRPr="00FF0C86">
        <w:rPr>
          <w:rFonts w:ascii="Times New Roman" w:hAnsi="Times New Roman" w:cs="Times New Roman"/>
          <w:iCs/>
          <w:sz w:val="20"/>
          <w:szCs w:val="20"/>
        </w:rPr>
        <w:t xml:space="preserve"> were excluded</w:t>
      </w:r>
      <w:r w:rsidR="004122ED" w:rsidRPr="00FF0C86">
        <w:rPr>
          <w:rFonts w:ascii="Times New Roman" w:hAnsi="Times New Roman" w:cs="Times New Roman"/>
          <w:iCs/>
          <w:sz w:val="20"/>
          <w:szCs w:val="20"/>
        </w:rPr>
        <w:t xml:space="preserve"> [115]</w:t>
      </w:r>
    </w:p>
    <w:p w14:paraId="2B877B00" w14:textId="318A3D5D" w:rsidR="002523D1" w:rsidRPr="004B6C3B" w:rsidRDefault="00853685" w:rsidP="004B6C3B">
      <w:pPr>
        <w:spacing w:line="360" w:lineRule="auto"/>
        <w:rPr>
          <w:rFonts w:ascii="Times New Roman" w:hAnsi="Times New Roman" w:cs="Times New Roman"/>
          <w:iCs/>
          <w:sz w:val="24"/>
          <w:szCs w:val="24"/>
        </w:rPr>
      </w:pPr>
      <w:r w:rsidRPr="006531C9">
        <w:rPr>
          <w:rFonts w:ascii="Times New Roman" w:hAnsi="Times New Roman" w:cs="Times New Roman"/>
          <w:iCs/>
          <w:sz w:val="24"/>
          <w:szCs w:val="24"/>
        </w:rPr>
        <w:t xml:space="preserve">*Note: </w:t>
      </w:r>
      <w:proofErr w:type="spellStart"/>
      <w:r w:rsidRPr="006531C9">
        <w:rPr>
          <w:rFonts w:ascii="Times New Roman" w:hAnsi="Times New Roman" w:cs="Times New Roman"/>
          <w:iCs/>
          <w:sz w:val="24"/>
          <w:szCs w:val="24"/>
        </w:rPr>
        <w:t>Норм</w:t>
      </w:r>
      <w:proofErr w:type="spellEnd"/>
      <w:r w:rsidRPr="006531C9">
        <w:rPr>
          <w:rFonts w:ascii="Times New Roman" w:hAnsi="Times New Roman" w:cs="Times New Roman"/>
          <w:iCs/>
          <w:sz w:val="24"/>
          <w:szCs w:val="24"/>
        </w:rPr>
        <w:t xml:space="preserve">. Флюросенц. -Normal fluorescence. </w:t>
      </w:r>
      <w:proofErr w:type="spellStart"/>
      <w:r w:rsidRPr="006531C9">
        <w:rPr>
          <w:rFonts w:ascii="Times New Roman" w:hAnsi="Times New Roman" w:cs="Times New Roman"/>
          <w:iCs/>
          <w:sz w:val="24"/>
          <w:szCs w:val="24"/>
        </w:rPr>
        <w:t>Порог</w:t>
      </w:r>
      <w:proofErr w:type="spellEnd"/>
      <w:r w:rsidRPr="006531C9">
        <w:rPr>
          <w:rFonts w:ascii="Times New Roman" w:hAnsi="Times New Roman" w:cs="Times New Roman"/>
          <w:iCs/>
          <w:sz w:val="24"/>
          <w:szCs w:val="24"/>
        </w:rPr>
        <w:t xml:space="preserve"> -Threshold. </w:t>
      </w:r>
      <w:proofErr w:type="spellStart"/>
      <w:r w:rsidRPr="006531C9">
        <w:rPr>
          <w:rFonts w:ascii="Times New Roman" w:hAnsi="Times New Roman" w:cs="Times New Roman"/>
          <w:iCs/>
          <w:sz w:val="24"/>
          <w:szCs w:val="24"/>
        </w:rPr>
        <w:t>Цикл</w:t>
      </w:r>
      <w:proofErr w:type="spellEnd"/>
      <w:r w:rsidRPr="006531C9">
        <w:rPr>
          <w:rFonts w:ascii="Times New Roman" w:hAnsi="Times New Roman" w:cs="Times New Roman"/>
          <w:iCs/>
          <w:sz w:val="24"/>
          <w:szCs w:val="24"/>
        </w:rPr>
        <w:t xml:space="preserve"> – Cycle</w:t>
      </w:r>
      <w:r w:rsidR="004B6C3B">
        <w:rPr>
          <w:rFonts w:ascii="Times New Roman" w:hAnsi="Times New Roman" w:cs="Times New Roman"/>
          <w:iCs/>
          <w:sz w:val="24"/>
          <w:szCs w:val="24"/>
        </w:rPr>
        <w:t>.</w:t>
      </w:r>
    </w:p>
    <w:p w14:paraId="64EB8989" w14:textId="77777777" w:rsidR="00C02615" w:rsidRDefault="00C02615" w:rsidP="004A22EC">
      <w:pPr>
        <w:spacing w:line="360" w:lineRule="auto"/>
        <w:jc w:val="both"/>
        <w:rPr>
          <w:rFonts w:ascii="Times New Roman" w:hAnsi="Times New Roman" w:cs="Times New Roman"/>
          <w:iCs/>
          <w:sz w:val="20"/>
          <w:szCs w:val="20"/>
        </w:rPr>
      </w:pPr>
    </w:p>
    <w:p w14:paraId="4254C201" w14:textId="77777777" w:rsidR="00F10897" w:rsidRPr="004A22EC" w:rsidRDefault="00F10897" w:rsidP="004A22EC">
      <w:pPr>
        <w:spacing w:line="360" w:lineRule="auto"/>
        <w:jc w:val="both"/>
        <w:rPr>
          <w:rFonts w:ascii="Times New Roman" w:hAnsi="Times New Roman" w:cs="Times New Roman"/>
          <w:iCs/>
          <w:sz w:val="20"/>
          <w:szCs w:val="20"/>
        </w:rPr>
      </w:pPr>
    </w:p>
    <w:p w14:paraId="58C6018F" w14:textId="1EFF7E51" w:rsidR="00B90FAD" w:rsidRPr="00732044" w:rsidRDefault="00B90FAD" w:rsidP="00732044">
      <w:pPr>
        <w:spacing w:line="240" w:lineRule="auto"/>
        <w:jc w:val="center"/>
        <w:rPr>
          <w:rFonts w:ascii="Times New Roman" w:hAnsi="Times New Roman" w:cs="Times New Roman"/>
          <w:b/>
          <w:bCs/>
          <w:iCs/>
          <w:sz w:val="28"/>
          <w:szCs w:val="28"/>
          <w:lang w:val="en-US"/>
        </w:rPr>
      </w:pPr>
      <w:r w:rsidRPr="00732044">
        <w:rPr>
          <w:rFonts w:ascii="Times New Roman" w:hAnsi="Times New Roman" w:cs="Times New Roman"/>
          <w:b/>
          <w:bCs/>
          <w:iCs/>
          <w:sz w:val="28"/>
          <w:szCs w:val="28"/>
        </w:rPr>
        <w:lastRenderedPageBreak/>
        <w:t xml:space="preserve">APPENDIX </w:t>
      </w:r>
      <w:r w:rsidR="0045204B" w:rsidRPr="00732044">
        <w:rPr>
          <w:rFonts w:ascii="Times New Roman" w:hAnsi="Times New Roman" w:cs="Times New Roman"/>
          <w:b/>
          <w:bCs/>
          <w:iCs/>
          <w:sz w:val="28"/>
          <w:szCs w:val="28"/>
          <w:lang w:val="en-US"/>
        </w:rPr>
        <w:t>C</w:t>
      </w:r>
    </w:p>
    <w:p w14:paraId="4B3D4B3D" w14:textId="582C61D5" w:rsidR="005E48EF" w:rsidRPr="00732044" w:rsidRDefault="005E48EF" w:rsidP="00732044">
      <w:pPr>
        <w:spacing w:line="240" w:lineRule="auto"/>
        <w:jc w:val="center"/>
        <w:rPr>
          <w:rFonts w:ascii="Times New Roman" w:hAnsi="Times New Roman" w:cs="Times New Roman"/>
          <w:b/>
          <w:bCs/>
          <w:iCs/>
          <w:sz w:val="28"/>
          <w:szCs w:val="28"/>
        </w:rPr>
      </w:pPr>
      <w:r w:rsidRPr="00732044">
        <w:rPr>
          <w:rFonts w:ascii="Times New Roman" w:hAnsi="Times New Roman" w:cs="Times New Roman"/>
          <w:b/>
          <w:bCs/>
          <w:iCs/>
          <w:sz w:val="28"/>
          <w:szCs w:val="28"/>
        </w:rPr>
        <w:t>MONOGRAPH</w:t>
      </w:r>
    </w:p>
    <w:p w14:paraId="7F36B70D" w14:textId="3C043E28" w:rsidR="005E48EF" w:rsidRPr="00732044" w:rsidRDefault="005E48EF" w:rsidP="00732044">
      <w:pPr>
        <w:spacing w:line="240" w:lineRule="auto"/>
        <w:jc w:val="center"/>
        <w:rPr>
          <w:rFonts w:ascii="Times New Roman" w:hAnsi="Times New Roman" w:cs="Times New Roman"/>
          <w:b/>
          <w:bCs/>
          <w:iCs/>
          <w:sz w:val="28"/>
          <w:szCs w:val="28"/>
        </w:rPr>
      </w:pPr>
      <w:r w:rsidRPr="00732044">
        <w:rPr>
          <w:rFonts w:ascii="Times New Roman" w:hAnsi="Times New Roman" w:cs="Times New Roman"/>
          <w:b/>
          <w:bCs/>
          <w:iCs/>
          <w:sz w:val="28"/>
          <w:szCs w:val="28"/>
        </w:rPr>
        <w:t>VIRUSES (SARS-COV2, INFLUENZA A, D) MODERN SCIENTIFIC ASPECTS OF DIAGNOSIS AND TREATMENT</w:t>
      </w:r>
    </w:p>
    <w:p w14:paraId="74F4108A" w14:textId="77777777" w:rsidR="00B90FAD" w:rsidRPr="00732044" w:rsidRDefault="00B90FAD" w:rsidP="00732044">
      <w:pPr>
        <w:spacing w:line="240" w:lineRule="auto"/>
        <w:ind w:firstLineChars="709" w:firstLine="1993"/>
        <w:jc w:val="center"/>
        <w:rPr>
          <w:rFonts w:ascii="Times New Roman" w:hAnsi="Times New Roman" w:cs="Times New Roman"/>
          <w:b/>
          <w:bCs/>
          <w:iCs/>
          <w:sz w:val="28"/>
          <w:szCs w:val="28"/>
        </w:rPr>
      </w:pPr>
    </w:p>
    <w:p w14:paraId="467792CD" w14:textId="7D1AA4E5" w:rsidR="00B90FAD" w:rsidRPr="006531C9" w:rsidRDefault="00B90FAD" w:rsidP="004A22EC">
      <w:pPr>
        <w:spacing w:line="360" w:lineRule="auto"/>
        <w:jc w:val="center"/>
        <w:rPr>
          <w:rFonts w:ascii="Times New Roman" w:hAnsi="Times New Roman" w:cs="Times New Roman"/>
          <w:b/>
          <w:bCs/>
          <w:iCs/>
          <w:sz w:val="24"/>
          <w:szCs w:val="24"/>
        </w:rPr>
      </w:pPr>
      <w:r w:rsidRPr="006531C9">
        <w:rPr>
          <w:rFonts w:ascii="Times New Roman" w:hAnsi="Times New Roman" w:cs="Times New Roman"/>
          <w:b/>
          <w:bCs/>
          <w:iCs/>
          <w:noProof/>
          <w:sz w:val="24"/>
          <w:szCs w:val="24"/>
        </w:rPr>
        <w:drawing>
          <wp:inline distT="0" distB="0" distL="0" distR="0" wp14:anchorId="3E262D0F" wp14:editId="5C466085">
            <wp:extent cx="5448300" cy="3890523"/>
            <wp:effectExtent l="0" t="0" r="0" b="0"/>
            <wp:docPr id="1214270046" name="Рисунок 5">
              <a:extLst xmlns:a="http://schemas.openxmlformats.org/drawingml/2006/main">
                <a:ext uri="{FF2B5EF4-FFF2-40B4-BE49-F238E27FC236}">
                  <a16:creationId xmlns:a16="http://schemas.microsoft.com/office/drawing/2014/main" id="{E2EB1CA1-84C2-D44F-AE2E-D3645B6AE9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E2EB1CA1-84C2-D44F-AE2E-D3645B6AE96F}"/>
                        </a:ext>
                      </a:extLst>
                    </pic:cNvPr>
                    <pic:cNvPicPr>
                      <a:picLocks noChangeAspect="1"/>
                    </pic:cNvPicPr>
                  </pic:nvPicPr>
                  <pic:blipFill>
                    <a:blip r:embed="rId181">
                      <a:extLst>
                        <a:ext uri="{BEBA8EAE-BF5A-486C-A8C5-ECC9F3942E4B}">
                          <a14:imgProps xmlns:a14="http://schemas.microsoft.com/office/drawing/2010/main">
                            <a14:imgLayer r:embed="rId182">
                              <a14:imgEffect>
                                <a14:brightnessContrast bright="-20000" contrast="20000"/>
                              </a14:imgEffect>
                            </a14:imgLayer>
                          </a14:imgProps>
                        </a:ext>
                      </a:extLst>
                    </a:blip>
                    <a:srcRect l="14174" t="16875" r="8461" b="6477"/>
                    <a:stretch/>
                  </pic:blipFill>
                  <pic:spPr>
                    <a:xfrm>
                      <a:off x="0" y="0"/>
                      <a:ext cx="5474750" cy="3909410"/>
                    </a:xfrm>
                    <a:prstGeom prst="rect">
                      <a:avLst/>
                    </a:prstGeom>
                  </pic:spPr>
                </pic:pic>
              </a:graphicData>
            </a:graphic>
          </wp:inline>
        </w:drawing>
      </w:r>
    </w:p>
    <w:p w14:paraId="0234E459" w14:textId="4228E740" w:rsidR="00AB14E1" w:rsidRPr="006531C9" w:rsidRDefault="00AB14E1" w:rsidP="000B4B42">
      <w:pPr>
        <w:spacing w:line="360" w:lineRule="auto"/>
        <w:ind w:firstLineChars="709" w:firstLine="1708"/>
        <w:jc w:val="center"/>
        <w:rPr>
          <w:rFonts w:ascii="Times New Roman" w:hAnsi="Times New Roman" w:cs="Times New Roman"/>
          <w:b/>
          <w:bCs/>
          <w:iCs/>
          <w:sz w:val="24"/>
          <w:szCs w:val="24"/>
        </w:rPr>
      </w:pPr>
    </w:p>
    <w:p w14:paraId="363C4F94" w14:textId="42C5BCA1" w:rsidR="00AB14E1" w:rsidRPr="006531C9" w:rsidRDefault="00AB14E1" w:rsidP="000B4B42">
      <w:pPr>
        <w:spacing w:line="360" w:lineRule="auto"/>
        <w:ind w:firstLineChars="709" w:firstLine="1708"/>
        <w:jc w:val="center"/>
        <w:rPr>
          <w:rFonts w:ascii="Times New Roman" w:hAnsi="Times New Roman" w:cs="Times New Roman"/>
          <w:b/>
          <w:bCs/>
          <w:iCs/>
          <w:sz w:val="24"/>
          <w:szCs w:val="24"/>
        </w:rPr>
      </w:pPr>
    </w:p>
    <w:p w14:paraId="36E23A7D" w14:textId="1FEAAAA0" w:rsidR="00AB14E1" w:rsidRPr="006531C9" w:rsidRDefault="00AB14E1" w:rsidP="000B4B42">
      <w:pPr>
        <w:spacing w:line="360" w:lineRule="auto"/>
        <w:ind w:firstLineChars="709" w:firstLine="1708"/>
        <w:jc w:val="center"/>
        <w:rPr>
          <w:rFonts w:ascii="Times New Roman" w:hAnsi="Times New Roman" w:cs="Times New Roman"/>
          <w:b/>
          <w:bCs/>
          <w:iCs/>
          <w:sz w:val="24"/>
          <w:szCs w:val="24"/>
        </w:rPr>
      </w:pPr>
    </w:p>
    <w:p w14:paraId="08A06E1B" w14:textId="0DACBB35" w:rsidR="00AB14E1" w:rsidRPr="006531C9" w:rsidRDefault="00AB14E1" w:rsidP="000B4B42">
      <w:pPr>
        <w:spacing w:line="360" w:lineRule="auto"/>
        <w:ind w:firstLineChars="709" w:firstLine="1708"/>
        <w:jc w:val="center"/>
        <w:rPr>
          <w:rFonts w:ascii="Times New Roman" w:hAnsi="Times New Roman" w:cs="Times New Roman"/>
          <w:b/>
          <w:bCs/>
          <w:iCs/>
          <w:sz w:val="24"/>
          <w:szCs w:val="24"/>
        </w:rPr>
      </w:pPr>
    </w:p>
    <w:p w14:paraId="369698FA" w14:textId="4A77758D" w:rsidR="00AB14E1" w:rsidRPr="006531C9" w:rsidRDefault="00AB14E1" w:rsidP="000B4B42">
      <w:pPr>
        <w:spacing w:line="360" w:lineRule="auto"/>
        <w:ind w:firstLineChars="709" w:firstLine="1708"/>
        <w:jc w:val="center"/>
        <w:rPr>
          <w:rFonts w:ascii="Times New Roman" w:hAnsi="Times New Roman" w:cs="Times New Roman"/>
          <w:b/>
          <w:bCs/>
          <w:iCs/>
          <w:sz w:val="24"/>
          <w:szCs w:val="24"/>
        </w:rPr>
      </w:pPr>
    </w:p>
    <w:p w14:paraId="63E58E0B" w14:textId="78872471" w:rsidR="00AB14E1" w:rsidRPr="006531C9" w:rsidRDefault="00AB14E1" w:rsidP="000B4B42">
      <w:pPr>
        <w:spacing w:line="360" w:lineRule="auto"/>
        <w:ind w:firstLineChars="709" w:firstLine="1708"/>
        <w:jc w:val="center"/>
        <w:rPr>
          <w:rFonts w:ascii="Times New Roman" w:hAnsi="Times New Roman" w:cs="Times New Roman"/>
          <w:b/>
          <w:bCs/>
          <w:iCs/>
          <w:sz w:val="24"/>
          <w:szCs w:val="24"/>
        </w:rPr>
      </w:pPr>
    </w:p>
    <w:p w14:paraId="738E0B31" w14:textId="2B5058A7" w:rsidR="00AB14E1" w:rsidRPr="006531C9" w:rsidRDefault="00AB14E1" w:rsidP="000B4B42">
      <w:pPr>
        <w:spacing w:line="360" w:lineRule="auto"/>
        <w:ind w:firstLineChars="709" w:firstLine="1708"/>
        <w:jc w:val="center"/>
        <w:rPr>
          <w:rFonts w:ascii="Times New Roman" w:hAnsi="Times New Roman" w:cs="Times New Roman"/>
          <w:b/>
          <w:bCs/>
          <w:iCs/>
          <w:sz w:val="24"/>
          <w:szCs w:val="24"/>
        </w:rPr>
      </w:pPr>
    </w:p>
    <w:p w14:paraId="4465D044" w14:textId="10F39321" w:rsidR="00AB14E1" w:rsidRPr="006531C9" w:rsidRDefault="00AB14E1" w:rsidP="000B4B42">
      <w:pPr>
        <w:spacing w:line="360" w:lineRule="auto"/>
        <w:ind w:firstLineChars="709" w:firstLine="1708"/>
        <w:jc w:val="center"/>
        <w:rPr>
          <w:rFonts w:ascii="Times New Roman" w:hAnsi="Times New Roman" w:cs="Times New Roman"/>
          <w:b/>
          <w:bCs/>
          <w:iCs/>
          <w:sz w:val="24"/>
          <w:szCs w:val="24"/>
        </w:rPr>
      </w:pPr>
    </w:p>
    <w:p w14:paraId="27081451" w14:textId="77777777" w:rsidR="00732044" w:rsidRDefault="00732044" w:rsidP="00971A15">
      <w:pPr>
        <w:spacing w:line="360" w:lineRule="auto"/>
        <w:rPr>
          <w:rFonts w:ascii="Times New Roman" w:hAnsi="Times New Roman" w:cs="Times New Roman"/>
          <w:b/>
          <w:bCs/>
          <w:iCs/>
          <w:sz w:val="24"/>
          <w:szCs w:val="24"/>
        </w:rPr>
      </w:pPr>
    </w:p>
    <w:p w14:paraId="003575DA" w14:textId="77777777" w:rsidR="006E53C0" w:rsidRPr="006531C9" w:rsidRDefault="006E53C0" w:rsidP="00971A15">
      <w:pPr>
        <w:spacing w:line="360" w:lineRule="auto"/>
        <w:rPr>
          <w:rFonts w:ascii="Times New Roman" w:hAnsi="Times New Roman" w:cs="Times New Roman"/>
          <w:b/>
          <w:bCs/>
          <w:iCs/>
          <w:sz w:val="24"/>
          <w:szCs w:val="24"/>
        </w:rPr>
      </w:pPr>
    </w:p>
    <w:p w14:paraId="26DB0FBC" w14:textId="61309861" w:rsidR="00AB14E1" w:rsidRPr="00732044" w:rsidRDefault="00AB14E1" w:rsidP="00732044">
      <w:pPr>
        <w:spacing w:line="240" w:lineRule="auto"/>
        <w:jc w:val="center"/>
        <w:rPr>
          <w:rFonts w:ascii="Times New Roman" w:hAnsi="Times New Roman" w:cs="Times New Roman"/>
          <w:b/>
          <w:bCs/>
          <w:iCs/>
          <w:sz w:val="28"/>
          <w:szCs w:val="28"/>
          <w:lang w:val="en-US"/>
        </w:rPr>
      </w:pPr>
      <w:r w:rsidRPr="00732044">
        <w:rPr>
          <w:rFonts w:ascii="Times New Roman" w:hAnsi="Times New Roman" w:cs="Times New Roman"/>
          <w:b/>
          <w:bCs/>
          <w:iCs/>
          <w:sz w:val="28"/>
          <w:szCs w:val="28"/>
        </w:rPr>
        <w:lastRenderedPageBreak/>
        <w:t xml:space="preserve">APPENDIX </w:t>
      </w:r>
      <w:r w:rsidR="0045204B" w:rsidRPr="00732044">
        <w:rPr>
          <w:rFonts w:ascii="Times New Roman" w:hAnsi="Times New Roman" w:cs="Times New Roman"/>
          <w:b/>
          <w:bCs/>
          <w:iCs/>
          <w:sz w:val="28"/>
          <w:szCs w:val="28"/>
        </w:rPr>
        <w:t>D</w:t>
      </w:r>
    </w:p>
    <w:p w14:paraId="6E15C159" w14:textId="63F80835" w:rsidR="00AB14E1" w:rsidRPr="00732044" w:rsidRDefault="00AB14E1" w:rsidP="00732044">
      <w:pPr>
        <w:spacing w:line="240" w:lineRule="auto"/>
        <w:jc w:val="center"/>
        <w:rPr>
          <w:rFonts w:ascii="Times New Roman" w:hAnsi="Times New Roman" w:cs="Times New Roman"/>
          <w:b/>
          <w:bCs/>
          <w:iCs/>
          <w:sz w:val="28"/>
          <w:szCs w:val="28"/>
        </w:rPr>
      </w:pPr>
      <w:r w:rsidRPr="00732044">
        <w:rPr>
          <w:rFonts w:ascii="Times New Roman" w:hAnsi="Times New Roman" w:cs="Times New Roman"/>
          <w:b/>
          <w:bCs/>
          <w:iCs/>
          <w:sz w:val="28"/>
          <w:szCs w:val="28"/>
        </w:rPr>
        <w:t xml:space="preserve">DRUG BROCHURES </w:t>
      </w:r>
    </w:p>
    <w:p w14:paraId="3D5FC633" w14:textId="654DF7E1" w:rsidR="00AB14E1" w:rsidRPr="00732044" w:rsidRDefault="00AB14E1" w:rsidP="00732044">
      <w:pPr>
        <w:spacing w:line="240" w:lineRule="auto"/>
        <w:jc w:val="center"/>
        <w:rPr>
          <w:rFonts w:ascii="Times New Roman" w:hAnsi="Times New Roman" w:cs="Times New Roman"/>
          <w:b/>
          <w:bCs/>
          <w:iCs/>
          <w:sz w:val="28"/>
          <w:szCs w:val="28"/>
        </w:rPr>
      </w:pPr>
      <w:r w:rsidRPr="00732044">
        <w:rPr>
          <w:rFonts w:ascii="Times New Roman" w:hAnsi="Times New Roman" w:cs="Times New Roman"/>
          <w:b/>
          <w:bCs/>
          <w:iCs/>
          <w:sz w:val="28"/>
          <w:szCs w:val="28"/>
        </w:rPr>
        <w:t>Favipiravir</w:t>
      </w:r>
      <w:r w:rsidR="00B408EB" w:rsidRPr="00732044">
        <w:rPr>
          <w:rFonts w:ascii="Times New Roman" w:hAnsi="Times New Roman" w:cs="Times New Roman"/>
          <w:b/>
          <w:bCs/>
          <w:iCs/>
          <w:sz w:val="28"/>
          <w:szCs w:val="28"/>
        </w:rPr>
        <w:t xml:space="preserve"> (pro-drug/active component) </w:t>
      </w:r>
      <w:r w:rsidRPr="00732044">
        <w:rPr>
          <w:rFonts w:ascii="Times New Roman" w:hAnsi="Times New Roman" w:cs="Times New Roman"/>
          <w:b/>
          <w:bCs/>
          <w:iCs/>
          <w:sz w:val="28"/>
          <w:szCs w:val="28"/>
        </w:rPr>
        <w:t xml:space="preserve"> </w:t>
      </w:r>
    </w:p>
    <w:p w14:paraId="794E8F28" w14:textId="33C9C519" w:rsidR="00AB14E1" w:rsidRPr="00732044" w:rsidRDefault="00AB14E1" w:rsidP="00732044">
      <w:pPr>
        <w:spacing w:line="240" w:lineRule="auto"/>
        <w:jc w:val="center"/>
        <w:rPr>
          <w:rFonts w:ascii="Times New Roman" w:hAnsi="Times New Roman" w:cs="Times New Roman"/>
          <w:b/>
          <w:bCs/>
          <w:iCs/>
          <w:sz w:val="28"/>
          <w:szCs w:val="28"/>
        </w:rPr>
      </w:pPr>
      <w:r w:rsidRPr="00732044">
        <w:rPr>
          <w:rFonts w:ascii="Times New Roman" w:hAnsi="Times New Roman" w:cs="Times New Roman"/>
          <w:noProof/>
          <w:sz w:val="28"/>
          <w:szCs w:val="28"/>
        </w:rPr>
        <w:drawing>
          <wp:inline distT="0" distB="0" distL="0" distR="0" wp14:anchorId="5E9B2799" wp14:editId="4A99F8D1">
            <wp:extent cx="4610100" cy="320734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31078" t="23600" r="11542" b="5400"/>
                    <a:stretch/>
                  </pic:blipFill>
                  <pic:spPr bwMode="auto">
                    <a:xfrm>
                      <a:off x="0" y="0"/>
                      <a:ext cx="4629236" cy="3220659"/>
                    </a:xfrm>
                    <a:prstGeom prst="rect">
                      <a:avLst/>
                    </a:prstGeom>
                    <a:ln>
                      <a:noFill/>
                    </a:ln>
                    <a:extLst>
                      <a:ext uri="{53640926-AAD7-44D8-BBD7-CCE9431645EC}">
                        <a14:shadowObscured xmlns:a14="http://schemas.microsoft.com/office/drawing/2010/main"/>
                      </a:ext>
                    </a:extLst>
                  </pic:spPr>
                </pic:pic>
              </a:graphicData>
            </a:graphic>
          </wp:inline>
        </w:drawing>
      </w:r>
    </w:p>
    <w:p w14:paraId="4986FDDE" w14:textId="544DE5DF" w:rsidR="004A22EC" w:rsidRPr="00732044" w:rsidRDefault="00AB14E1" w:rsidP="00732044">
      <w:pPr>
        <w:spacing w:line="240" w:lineRule="auto"/>
        <w:ind w:firstLineChars="709" w:firstLine="1985"/>
        <w:jc w:val="center"/>
        <w:rPr>
          <w:rFonts w:ascii="Times New Roman" w:hAnsi="Times New Roman" w:cs="Times New Roman"/>
          <w:sz w:val="28"/>
          <w:szCs w:val="28"/>
        </w:rPr>
      </w:pPr>
      <w:r w:rsidRPr="00732044">
        <w:rPr>
          <w:rFonts w:ascii="Times New Roman" w:hAnsi="Times New Roman" w:cs="Times New Roman"/>
          <w:iCs/>
          <w:sz w:val="28"/>
          <w:szCs w:val="28"/>
        </w:rPr>
        <w:t xml:space="preserve">Figure 1 – Fabiflu brochure, source: </w:t>
      </w:r>
      <w:hyperlink r:id="rId184" w:history="1">
        <w:r w:rsidRPr="00732044">
          <w:rPr>
            <w:rStyle w:val="a5"/>
            <w:rFonts w:ascii="Times New Roman" w:hAnsi="Times New Roman" w:cs="Times New Roman"/>
            <w:iCs/>
            <w:sz w:val="28"/>
            <w:szCs w:val="28"/>
          </w:rPr>
          <w:t>https://glenmark.b-cdn.net/gpl_pdfs/media/Glenmark-introduces-higher-strength-400-mg-of-FabiFlu.pdf</w:t>
        </w:r>
      </w:hyperlink>
    </w:p>
    <w:p w14:paraId="6FCD1BE9" w14:textId="413BDDF5" w:rsidR="00B408EB" w:rsidRPr="00732044" w:rsidRDefault="00B408EB" w:rsidP="00732044">
      <w:pPr>
        <w:spacing w:line="240" w:lineRule="auto"/>
        <w:jc w:val="center"/>
        <w:rPr>
          <w:rFonts w:ascii="Times New Roman" w:hAnsi="Times New Roman" w:cs="Times New Roman"/>
          <w:b/>
          <w:bCs/>
          <w:iCs/>
          <w:sz w:val="28"/>
          <w:szCs w:val="28"/>
        </w:rPr>
      </w:pPr>
      <w:r w:rsidRPr="00732044">
        <w:rPr>
          <w:rFonts w:ascii="Times New Roman" w:hAnsi="Times New Roman" w:cs="Times New Roman"/>
          <w:b/>
          <w:bCs/>
          <w:iCs/>
          <w:sz w:val="28"/>
          <w:szCs w:val="28"/>
        </w:rPr>
        <w:t xml:space="preserve">Tenofovir -TDF (pro-drug/active component)  </w:t>
      </w:r>
    </w:p>
    <w:p w14:paraId="1062A043" w14:textId="768224CA" w:rsidR="00AB14E1" w:rsidRPr="00732044" w:rsidRDefault="007D3778" w:rsidP="00732044">
      <w:pPr>
        <w:spacing w:line="240" w:lineRule="auto"/>
        <w:jc w:val="center"/>
        <w:rPr>
          <w:rFonts w:ascii="Times New Roman" w:hAnsi="Times New Roman" w:cs="Times New Roman"/>
          <w:iCs/>
          <w:sz w:val="28"/>
          <w:szCs w:val="28"/>
        </w:rPr>
      </w:pPr>
      <w:r w:rsidRPr="00732044">
        <w:rPr>
          <w:rFonts w:ascii="Times New Roman" w:hAnsi="Times New Roman" w:cs="Times New Roman"/>
          <w:noProof/>
          <w:sz w:val="28"/>
          <w:szCs w:val="28"/>
        </w:rPr>
        <w:drawing>
          <wp:inline distT="0" distB="0" distL="0" distR="0" wp14:anchorId="759FE70E" wp14:editId="58BB70B4">
            <wp:extent cx="2876550" cy="2323872"/>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32751" t="16795" r="13099" b="5400"/>
                    <a:stretch/>
                  </pic:blipFill>
                  <pic:spPr bwMode="auto">
                    <a:xfrm>
                      <a:off x="0" y="0"/>
                      <a:ext cx="2890197" cy="2334897"/>
                    </a:xfrm>
                    <a:prstGeom prst="rect">
                      <a:avLst/>
                    </a:prstGeom>
                    <a:ln>
                      <a:noFill/>
                    </a:ln>
                    <a:extLst>
                      <a:ext uri="{53640926-AAD7-44D8-BBD7-CCE9431645EC}">
                        <a14:shadowObscured xmlns:a14="http://schemas.microsoft.com/office/drawing/2010/main"/>
                      </a:ext>
                    </a:extLst>
                  </pic:spPr>
                </pic:pic>
              </a:graphicData>
            </a:graphic>
          </wp:inline>
        </w:drawing>
      </w:r>
    </w:p>
    <w:p w14:paraId="79CA3D7C" w14:textId="3D336BC9" w:rsidR="007D3778" w:rsidRPr="00732044" w:rsidRDefault="007D3778" w:rsidP="00732044">
      <w:pPr>
        <w:spacing w:line="240" w:lineRule="auto"/>
        <w:jc w:val="center"/>
        <w:rPr>
          <w:rFonts w:ascii="Times New Roman" w:hAnsi="Times New Roman" w:cs="Times New Roman"/>
          <w:iCs/>
          <w:sz w:val="28"/>
          <w:szCs w:val="28"/>
        </w:rPr>
      </w:pPr>
      <w:r w:rsidRPr="00732044">
        <w:rPr>
          <w:rFonts w:ascii="Times New Roman" w:hAnsi="Times New Roman" w:cs="Times New Roman"/>
          <w:iCs/>
          <w:sz w:val="28"/>
          <w:szCs w:val="28"/>
        </w:rPr>
        <w:t xml:space="preserve">Figure </w:t>
      </w:r>
      <w:r w:rsidR="00B408EB" w:rsidRPr="00732044">
        <w:rPr>
          <w:rFonts w:ascii="Times New Roman" w:hAnsi="Times New Roman" w:cs="Times New Roman"/>
          <w:iCs/>
          <w:sz w:val="28"/>
          <w:szCs w:val="28"/>
        </w:rPr>
        <w:t>2</w:t>
      </w:r>
      <w:r w:rsidRPr="00732044">
        <w:rPr>
          <w:rFonts w:ascii="Times New Roman" w:hAnsi="Times New Roman" w:cs="Times New Roman"/>
          <w:iCs/>
          <w:sz w:val="28"/>
          <w:szCs w:val="28"/>
        </w:rPr>
        <w:t xml:space="preserve"> – Tenvir (TDF) brochure, source: </w:t>
      </w:r>
      <w:hyperlink r:id="rId186" w:history="1">
        <w:r w:rsidR="00B408EB" w:rsidRPr="00732044">
          <w:rPr>
            <w:rStyle w:val="a5"/>
            <w:rFonts w:ascii="Times New Roman" w:hAnsi="Times New Roman" w:cs="Times New Roman"/>
            <w:iCs/>
            <w:sz w:val="28"/>
            <w:szCs w:val="28"/>
          </w:rPr>
          <w:t>https://pdf.hres.ca/dpd_pm/00059975.PDF</w:t>
        </w:r>
      </w:hyperlink>
    </w:p>
    <w:p w14:paraId="2E6C6739" w14:textId="77777777" w:rsidR="00965358" w:rsidRPr="00732044" w:rsidRDefault="00965358" w:rsidP="00732044">
      <w:pPr>
        <w:spacing w:line="240" w:lineRule="auto"/>
        <w:jc w:val="center"/>
        <w:rPr>
          <w:rFonts w:ascii="Times New Roman" w:hAnsi="Times New Roman" w:cs="Times New Roman"/>
          <w:iCs/>
          <w:sz w:val="28"/>
          <w:szCs w:val="28"/>
        </w:rPr>
      </w:pPr>
    </w:p>
    <w:p w14:paraId="7314FD76" w14:textId="77777777" w:rsidR="00965358" w:rsidRPr="00732044" w:rsidRDefault="00965358" w:rsidP="00732044">
      <w:pPr>
        <w:spacing w:line="240" w:lineRule="auto"/>
        <w:jc w:val="center"/>
        <w:rPr>
          <w:rFonts w:ascii="Times New Roman" w:hAnsi="Times New Roman" w:cs="Times New Roman"/>
          <w:iCs/>
          <w:sz w:val="28"/>
          <w:szCs w:val="28"/>
        </w:rPr>
      </w:pPr>
    </w:p>
    <w:p w14:paraId="03C838E9" w14:textId="77777777" w:rsidR="002523D1" w:rsidRDefault="002523D1" w:rsidP="00732044">
      <w:pPr>
        <w:spacing w:line="240" w:lineRule="auto"/>
        <w:jc w:val="center"/>
        <w:rPr>
          <w:rFonts w:ascii="Times New Roman" w:hAnsi="Times New Roman" w:cs="Times New Roman"/>
          <w:iCs/>
          <w:sz w:val="28"/>
          <w:szCs w:val="28"/>
        </w:rPr>
      </w:pPr>
    </w:p>
    <w:p w14:paraId="2A15A8EF" w14:textId="77777777" w:rsidR="00732044" w:rsidRPr="00732044" w:rsidRDefault="00732044" w:rsidP="00732044">
      <w:pPr>
        <w:spacing w:line="240" w:lineRule="auto"/>
        <w:jc w:val="center"/>
        <w:rPr>
          <w:rFonts w:ascii="Times New Roman" w:hAnsi="Times New Roman" w:cs="Times New Roman"/>
          <w:iCs/>
          <w:sz w:val="28"/>
          <w:szCs w:val="28"/>
        </w:rPr>
      </w:pPr>
    </w:p>
    <w:p w14:paraId="4026B6E9" w14:textId="4C7689C0" w:rsidR="00E97771" w:rsidRPr="00732044" w:rsidRDefault="00B408EB" w:rsidP="00732044">
      <w:pPr>
        <w:spacing w:line="240" w:lineRule="auto"/>
        <w:jc w:val="center"/>
        <w:rPr>
          <w:rFonts w:ascii="Times New Roman" w:hAnsi="Times New Roman" w:cs="Times New Roman"/>
          <w:b/>
          <w:bCs/>
          <w:iCs/>
          <w:sz w:val="28"/>
          <w:szCs w:val="28"/>
        </w:rPr>
      </w:pPr>
      <w:r w:rsidRPr="00732044">
        <w:rPr>
          <w:rFonts w:ascii="Times New Roman" w:hAnsi="Times New Roman" w:cs="Times New Roman"/>
          <w:b/>
          <w:bCs/>
          <w:iCs/>
          <w:sz w:val="28"/>
          <w:szCs w:val="28"/>
        </w:rPr>
        <w:lastRenderedPageBreak/>
        <w:t xml:space="preserve">Ribavirin (pro-drug/active component)  </w:t>
      </w:r>
    </w:p>
    <w:p w14:paraId="501DB7AA" w14:textId="282B7481" w:rsidR="00E97771" w:rsidRPr="00732044" w:rsidRDefault="00E97771" w:rsidP="00732044">
      <w:pPr>
        <w:spacing w:line="240" w:lineRule="auto"/>
        <w:jc w:val="center"/>
        <w:rPr>
          <w:rFonts w:ascii="Times New Roman" w:hAnsi="Times New Roman" w:cs="Times New Roman"/>
          <w:b/>
          <w:bCs/>
          <w:iCs/>
          <w:sz w:val="28"/>
          <w:szCs w:val="28"/>
        </w:rPr>
      </w:pPr>
      <w:r w:rsidRPr="00732044">
        <w:rPr>
          <w:rFonts w:ascii="Times New Roman" w:hAnsi="Times New Roman" w:cs="Times New Roman"/>
          <w:noProof/>
          <w:sz w:val="28"/>
          <w:szCs w:val="28"/>
        </w:rPr>
        <w:drawing>
          <wp:inline distT="0" distB="0" distL="0" distR="0" wp14:anchorId="26213A21" wp14:editId="3346ACD9">
            <wp:extent cx="3763794" cy="2904135"/>
            <wp:effectExtent l="0" t="0" r="825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34425" t="19558" r="10116" b="4334"/>
                    <a:stretch/>
                  </pic:blipFill>
                  <pic:spPr bwMode="auto">
                    <a:xfrm>
                      <a:off x="0" y="0"/>
                      <a:ext cx="3764972" cy="2905044"/>
                    </a:xfrm>
                    <a:prstGeom prst="rect">
                      <a:avLst/>
                    </a:prstGeom>
                    <a:ln>
                      <a:noFill/>
                    </a:ln>
                    <a:extLst>
                      <a:ext uri="{53640926-AAD7-44D8-BBD7-CCE9431645EC}">
                        <a14:shadowObscured xmlns:a14="http://schemas.microsoft.com/office/drawing/2010/main"/>
                      </a:ext>
                    </a:extLst>
                  </pic:spPr>
                </pic:pic>
              </a:graphicData>
            </a:graphic>
          </wp:inline>
        </w:drawing>
      </w:r>
    </w:p>
    <w:p w14:paraId="47BD3768" w14:textId="1F5E4EFB" w:rsidR="00AB14E1" w:rsidRPr="00732044" w:rsidRDefault="00E97771" w:rsidP="00732044">
      <w:pPr>
        <w:spacing w:line="240" w:lineRule="auto"/>
        <w:jc w:val="center"/>
        <w:rPr>
          <w:rFonts w:ascii="Times New Roman" w:hAnsi="Times New Roman" w:cs="Times New Roman"/>
          <w:b/>
          <w:bCs/>
          <w:iCs/>
          <w:sz w:val="28"/>
          <w:szCs w:val="28"/>
        </w:rPr>
      </w:pPr>
      <w:r w:rsidRPr="00732044">
        <w:rPr>
          <w:rFonts w:ascii="Times New Roman" w:hAnsi="Times New Roman" w:cs="Times New Roman"/>
          <w:iCs/>
          <w:sz w:val="28"/>
          <w:szCs w:val="28"/>
        </w:rPr>
        <w:t>Figure 3 –Ribavirin brochure, source:</w:t>
      </w:r>
      <w:r w:rsidRPr="00732044">
        <w:rPr>
          <w:rFonts w:ascii="Times New Roman" w:hAnsi="Times New Roman" w:cs="Times New Roman"/>
          <w:sz w:val="28"/>
          <w:szCs w:val="28"/>
        </w:rPr>
        <w:t xml:space="preserve"> </w:t>
      </w:r>
      <w:hyperlink r:id="rId188" w:history="1">
        <w:r w:rsidRPr="00732044">
          <w:rPr>
            <w:rStyle w:val="a5"/>
            <w:rFonts w:ascii="Times New Roman" w:hAnsi="Times New Roman" w:cs="Times New Roman"/>
            <w:iCs/>
            <w:sz w:val="28"/>
            <w:szCs w:val="28"/>
          </w:rPr>
          <w:t>https://www.medicines.org.uk/emc/files/pil.7108.pdf</w:t>
        </w:r>
      </w:hyperlink>
    </w:p>
    <w:p w14:paraId="3D996ADA" w14:textId="41A5108D" w:rsidR="00AB14E1" w:rsidRPr="00732044" w:rsidRDefault="00AB14E1" w:rsidP="00732044">
      <w:pPr>
        <w:spacing w:line="240" w:lineRule="auto"/>
        <w:ind w:firstLineChars="709" w:firstLine="1993"/>
        <w:jc w:val="center"/>
        <w:rPr>
          <w:rFonts w:ascii="Times New Roman" w:hAnsi="Times New Roman" w:cs="Times New Roman"/>
          <w:b/>
          <w:bCs/>
          <w:iCs/>
          <w:sz w:val="28"/>
          <w:szCs w:val="28"/>
        </w:rPr>
      </w:pPr>
    </w:p>
    <w:p w14:paraId="672C3086" w14:textId="3307C753" w:rsidR="00AB14E1" w:rsidRPr="00732044" w:rsidRDefault="00E97771" w:rsidP="00732044">
      <w:pPr>
        <w:spacing w:line="240" w:lineRule="auto"/>
        <w:jc w:val="center"/>
        <w:rPr>
          <w:rFonts w:ascii="Times New Roman" w:hAnsi="Times New Roman" w:cs="Times New Roman"/>
          <w:b/>
          <w:bCs/>
          <w:iCs/>
          <w:sz w:val="28"/>
          <w:szCs w:val="28"/>
        </w:rPr>
      </w:pPr>
      <w:r w:rsidRPr="00732044">
        <w:rPr>
          <w:rFonts w:ascii="Times New Roman" w:hAnsi="Times New Roman" w:cs="Times New Roman"/>
          <w:b/>
          <w:bCs/>
          <w:iCs/>
          <w:sz w:val="28"/>
          <w:szCs w:val="28"/>
        </w:rPr>
        <w:t xml:space="preserve">Dexamethasone (pro-drug/active component)  </w:t>
      </w:r>
    </w:p>
    <w:p w14:paraId="05A834B8" w14:textId="77A00FCF" w:rsidR="00E97771" w:rsidRPr="00732044" w:rsidRDefault="00E97771" w:rsidP="00732044">
      <w:pPr>
        <w:spacing w:line="240" w:lineRule="auto"/>
        <w:jc w:val="center"/>
        <w:rPr>
          <w:rFonts w:ascii="Times New Roman" w:hAnsi="Times New Roman" w:cs="Times New Roman"/>
          <w:b/>
          <w:bCs/>
          <w:iCs/>
          <w:sz w:val="28"/>
          <w:szCs w:val="28"/>
        </w:rPr>
      </w:pPr>
      <w:r w:rsidRPr="00732044">
        <w:rPr>
          <w:rFonts w:ascii="Times New Roman" w:hAnsi="Times New Roman" w:cs="Times New Roman"/>
          <w:noProof/>
          <w:sz w:val="28"/>
          <w:szCs w:val="28"/>
        </w:rPr>
        <w:drawing>
          <wp:inline distT="0" distB="0" distL="0" distR="0" wp14:anchorId="50EADCC6" wp14:editId="478579FC">
            <wp:extent cx="3194050" cy="3041301"/>
            <wp:effectExtent l="0" t="0" r="635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34663" t="16797" r="14768" b="10077"/>
                    <a:stretch/>
                  </pic:blipFill>
                  <pic:spPr bwMode="auto">
                    <a:xfrm>
                      <a:off x="0" y="0"/>
                      <a:ext cx="3211547" cy="3057962"/>
                    </a:xfrm>
                    <a:prstGeom prst="rect">
                      <a:avLst/>
                    </a:prstGeom>
                    <a:ln>
                      <a:noFill/>
                    </a:ln>
                    <a:extLst>
                      <a:ext uri="{53640926-AAD7-44D8-BBD7-CCE9431645EC}">
                        <a14:shadowObscured xmlns:a14="http://schemas.microsoft.com/office/drawing/2010/main"/>
                      </a:ext>
                    </a:extLst>
                  </pic:spPr>
                </pic:pic>
              </a:graphicData>
            </a:graphic>
          </wp:inline>
        </w:drawing>
      </w:r>
    </w:p>
    <w:p w14:paraId="50274574" w14:textId="3872E884" w:rsidR="00AB14E1" w:rsidRPr="00732044" w:rsidRDefault="00E97771" w:rsidP="00732044">
      <w:pPr>
        <w:spacing w:line="240" w:lineRule="auto"/>
        <w:jc w:val="center"/>
        <w:rPr>
          <w:rFonts w:ascii="Times New Roman" w:hAnsi="Times New Roman" w:cs="Times New Roman"/>
          <w:iCs/>
          <w:sz w:val="28"/>
          <w:szCs w:val="28"/>
        </w:rPr>
      </w:pPr>
      <w:r w:rsidRPr="00732044">
        <w:rPr>
          <w:rFonts w:ascii="Times New Roman" w:hAnsi="Times New Roman" w:cs="Times New Roman"/>
          <w:iCs/>
          <w:sz w:val="28"/>
          <w:szCs w:val="28"/>
        </w:rPr>
        <w:t>Figure 4 –Dexamethasone brochure, source:</w:t>
      </w:r>
      <w:r w:rsidRPr="00732044">
        <w:rPr>
          <w:rFonts w:ascii="Times New Roman" w:hAnsi="Times New Roman" w:cs="Times New Roman"/>
          <w:sz w:val="28"/>
          <w:szCs w:val="28"/>
        </w:rPr>
        <w:t xml:space="preserve"> </w:t>
      </w:r>
      <w:hyperlink r:id="rId190" w:history="1">
        <w:r w:rsidRPr="00732044">
          <w:rPr>
            <w:rStyle w:val="a5"/>
            <w:rFonts w:ascii="Times New Roman" w:hAnsi="Times New Roman" w:cs="Times New Roman"/>
            <w:iCs/>
            <w:sz w:val="28"/>
            <w:szCs w:val="28"/>
          </w:rPr>
          <w:t>https://www.medicines.org.uk/emc/files/pil.10720.pdf</w:t>
        </w:r>
      </w:hyperlink>
    </w:p>
    <w:p w14:paraId="7D455AB4" w14:textId="77777777" w:rsidR="00957A56" w:rsidRPr="00732044" w:rsidRDefault="00957A56" w:rsidP="00732044">
      <w:pPr>
        <w:spacing w:line="240" w:lineRule="auto"/>
        <w:ind w:firstLineChars="709" w:firstLine="1985"/>
        <w:jc w:val="center"/>
        <w:rPr>
          <w:rFonts w:ascii="Times New Roman" w:hAnsi="Times New Roman" w:cs="Times New Roman"/>
          <w:iCs/>
          <w:sz w:val="28"/>
          <w:szCs w:val="28"/>
        </w:rPr>
      </w:pPr>
    </w:p>
    <w:sectPr w:rsidR="00957A56" w:rsidRPr="00732044" w:rsidSect="007F5935">
      <w:footerReference w:type="default" r:id="rId191"/>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937096" w14:textId="77777777" w:rsidR="005529E6" w:rsidRPr="006531C9" w:rsidRDefault="005529E6">
      <w:pPr>
        <w:spacing w:line="240" w:lineRule="auto"/>
      </w:pPr>
      <w:r w:rsidRPr="006531C9">
        <w:separator/>
      </w:r>
    </w:p>
  </w:endnote>
  <w:endnote w:type="continuationSeparator" w:id="0">
    <w:p w14:paraId="1C536B29" w14:textId="77777777" w:rsidR="005529E6" w:rsidRPr="006531C9" w:rsidRDefault="005529E6">
      <w:pPr>
        <w:spacing w:line="240" w:lineRule="auto"/>
      </w:pPr>
      <w:r w:rsidRPr="006531C9">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Cambria Math">
    <w:panose1 w:val="02040503050406030204"/>
    <w:charset w:val="CC"/>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3238439"/>
    </w:sdtPr>
    <w:sdtContent>
      <w:p w14:paraId="587C0C56" w14:textId="77777777" w:rsidR="00226539" w:rsidRPr="006531C9" w:rsidRDefault="00853685" w:rsidP="001B0EE6">
        <w:pPr>
          <w:pStyle w:val="ac"/>
          <w:jc w:val="center"/>
        </w:pPr>
        <w:r w:rsidRPr="006531C9">
          <w:fldChar w:fldCharType="begin"/>
        </w:r>
        <w:r w:rsidRPr="006531C9">
          <w:instrText>PAGE   \* MERGEFORMAT</w:instrText>
        </w:r>
        <w:r w:rsidRPr="006531C9">
          <w:fldChar w:fldCharType="separate"/>
        </w:r>
        <w:r w:rsidRPr="006531C9">
          <w:t>2</w:t>
        </w:r>
        <w:r w:rsidRPr="006531C9">
          <w:fldChar w:fldCharType="end"/>
        </w:r>
      </w:p>
    </w:sdtContent>
  </w:sdt>
  <w:p w14:paraId="29F21590" w14:textId="77777777" w:rsidR="00226539" w:rsidRPr="006531C9" w:rsidRDefault="00226539">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B5F97F" w14:textId="77777777" w:rsidR="005529E6" w:rsidRPr="006531C9" w:rsidRDefault="005529E6">
      <w:pPr>
        <w:spacing w:after="0"/>
      </w:pPr>
      <w:r w:rsidRPr="006531C9">
        <w:separator/>
      </w:r>
    </w:p>
  </w:footnote>
  <w:footnote w:type="continuationSeparator" w:id="0">
    <w:p w14:paraId="1FCC8C97" w14:textId="77777777" w:rsidR="005529E6" w:rsidRPr="006531C9" w:rsidRDefault="005529E6">
      <w:pPr>
        <w:spacing w:after="0"/>
      </w:pPr>
      <w:r w:rsidRPr="006531C9">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25C00"/>
    <w:multiLevelType w:val="multilevel"/>
    <w:tmpl w:val="8D1CE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963301"/>
    <w:multiLevelType w:val="hybridMultilevel"/>
    <w:tmpl w:val="E28EF5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5C20814"/>
    <w:multiLevelType w:val="multilevel"/>
    <w:tmpl w:val="05C20814"/>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 w15:restartNumberingAfterBreak="0">
    <w:nsid w:val="0693689F"/>
    <w:multiLevelType w:val="hybridMultilevel"/>
    <w:tmpl w:val="5D3C1D1C"/>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0419000D">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6CB3961"/>
    <w:multiLevelType w:val="multilevel"/>
    <w:tmpl w:val="1F5EA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49359C"/>
    <w:multiLevelType w:val="multilevel"/>
    <w:tmpl w:val="A816C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852D2D"/>
    <w:multiLevelType w:val="multilevel"/>
    <w:tmpl w:val="37B8E91A"/>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heme="minorHAnsi"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C0C63CE"/>
    <w:multiLevelType w:val="multilevel"/>
    <w:tmpl w:val="6108D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F5572C9"/>
    <w:multiLevelType w:val="multilevel"/>
    <w:tmpl w:val="C1069E0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2B449F1"/>
    <w:multiLevelType w:val="hybridMultilevel"/>
    <w:tmpl w:val="00E0EF38"/>
    <w:lvl w:ilvl="0" w:tplc="FFFFFFFF">
      <w:start w:val="1"/>
      <w:numFmt w:val="bullet"/>
      <w:lvlText w:val=""/>
      <w:lvlJc w:val="left"/>
      <w:pPr>
        <w:ind w:left="1428" w:hanging="360"/>
      </w:pPr>
      <w:rPr>
        <w:rFonts w:ascii="Symbol" w:hAnsi="Symbol" w:hint="default"/>
      </w:rPr>
    </w:lvl>
    <w:lvl w:ilvl="1" w:tplc="041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10" w15:restartNumberingAfterBreak="0">
    <w:nsid w:val="1A6011C6"/>
    <w:multiLevelType w:val="hybridMultilevel"/>
    <w:tmpl w:val="FB86F08E"/>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15:restartNumberingAfterBreak="0">
    <w:nsid w:val="1AE33D37"/>
    <w:multiLevelType w:val="multilevel"/>
    <w:tmpl w:val="2B20BF5E"/>
    <w:lvl w:ilvl="0">
      <w:start w:val="3"/>
      <w:numFmt w:val="decimal"/>
      <w:lvlText w:val="%1"/>
      <w:lvlJc w:val="left"/>
      <w:pPr>
        <w:ind w:left="375" w:hanging="375"/>
      </w:pPr>
      <w:rPr>
        <w:rFonts w:hint="default"/>
      </w:rPr>
    </w:lvl>
    <w:lvl w:ilvl="1">
      <w:start w:val="3"/>
      <w:numFmt w:val="decimal"/>
      <w:lvlText w:val="%1.%2"/>
      <w:lvlJc w:val="left"/>
      <w:pPr>
        <w:ind w:left="736" w:hanging="375"/>
      </w:pPr>
      <w:rPr>
        <w:rFonts w:hint="default"/>
      </w:rPr>
    </w:lvl>
    <w:lvl w:ilvl="2">
      <w:start w:val="1"/>
      <w:numFmt w:val="decimal"/>
      <w:lvlText w:val="%1.%2.%3"/>
      <w:lvlJc w:val="left"/>
      <w:pPr>
        <w:ind w:left="1442" w:hanging="720"/>
      </w:pPr>
      <w:rPr>
        <w:rFonts w:hint="default"/>
      </w:rPr>
    </w:lvl>
    <w:lvl w:ilvl="3">
      <w:start w:val="1"/>
      <w:numFmt w:val="decimal"/>
      <w:lvlText w:val="%1.%2.%3.%4"/>
      <w:lvlJc w:val="left"/>
      <w:pPr>
        <w:ind w:left="2163" w:hanging="1080"/>
      </w:pPr>
      <w:rPr>
        <w:rFonts w:hint="default"/>
      </w:rPr>
    </w:lvl>
    <w:lvl w:ilvl="4">
      <w:start w:val="1"/>
      <w:numFmt w:val="decimal"/>
      <w:lvlText w:val="%1.%2.%3.%4.%5"/>
      <w:lvlJc w:val="left"/>
      <w:pPr>
        <w:ind w:left="2524" w:hanging="1080"/>
      </w:pPr>
      <w:rPr>
        <w:rFonts w:hint="default"/>
      </w:rPr>
    </w:lvl>
    <w:lvl w:ilvl="5">
      <w:start w:val="1"/>
      <w:numFmt w:val="decimal"/>
      <w:lvlText w:val="%1.%2.%3.%4.%5.%6"/>
      <w:lvlJc w:val="left"/>
      <w:pPr>
        <w:ind w:left="3245" w:hanging="1440"/>
      </w:pPr>
      <w:rPr>
        <w:rFonts w:hint="default"/>
      </w:rPr>
    </w:lvl>
    <w:lvl w:ilvl="6">
      <w:start w:val="1"/>
      <w:numFmt w:val="decimal"/>
      <w:lvlText w:val="%1.%2.%3.%4.%5.%6.%7"/>
      <w:lvlJc w:val="left"/>
      <w:pPr>
        <w:ind w:left="3606" w:hanging="1440"/>
      </w:pPr>
      <w:rPr>
        <w:rFonts w:hint="default"/>
      </w:rPr>
    </w:lvl>
    <w:lvl w:ilvl="7">
      <w:start w:val="1"/>
      <w:numFmt w:val="decimal"/>
      <w:lvlText w:val="%1.%2.%3.%4.%5.%6.%7.%8"/>
      <w:lvlJc w:val="left"/>
      <w:pPr>
        <w:ind w:left="4327" w:hanging="1800"/>
      </w:pPr>
      <w:rPr>
        <w:rFonts w:hint="default"/>
      </w:rPr>
    </w:lvl>
    <w:lvl w:ilvl="8">
      <w:start w:val="1"/>
      <w:numFmt w:val="decimal"/>
      <w:lvlText w:val="%1.%2.%3.%4.%5.%6.%7.%8.%9"/>
      <w:lvlJc w:val="left"/>
      <w:pPr>
        <w:ind w:left="5048" w:hanging="2160"/>
      </w:pPr>
      <w:rPr>
        <w:rFonts w:hint="default"/>
      </w:rPr>
    </w:lvl>
  </w:abstractNum>
  <w:abstractNum w:abstractNumId="12" w15:restartNumberingAfterBreak="0">
    <w:nsid w:val="1B7642A4"/>
    <w:multiLevelType w:val="multilevel"/>
    <w:tmpl w:val="822C3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DE05EE0"/>
    <w:multiLevelType w:val="multilevel"/>
    <w:tmpl w:val="1DE05EE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1E1E149E"/>
    <w:multiLevelType w:val="multilevel"/>
    <w:tmpl w:val="5A447A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E51496B"/>
    <w:multiLevelType w:val="multilevel"/>
    <w:tmpl w:val="CEA2A53A"/>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E914986"/>
    <w:multiLevelType w:val="hybridMultilevel"/>
    <w:tmpl w:val="DEEEDD3C"/>
    <w:lvl w:ilvl="0" w:tplc="2000000D">
      <w:start w:val="1"/>
      <w:numFmt w:val="bullet"/>
      <w:lvlText w:val=""/>
      <w:lvlJc w:val="left"/>
      <w:pPr>
        <w:ind w:left="720" w:hanging="360"/>
      </w:pPr>
      <w:rPr>
        <w:rFonts w:ascii="Wingdings" w:hAnsi="Wingdings"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 w15:restartNumberingAfterBreak="0">
    <w:nsid w:val="1F0E00E3"/>
    <w:multiLevelType w:val="multilevel"/>
    <w:tmpl w:val="3B78CEE8"/>
    <w:lvl w:ilvl="0">
      <w:start w:val="1"/>
      <w:numFmt w:val="decimal"/>
      <w:lvlText w:val="%1."/>
      <w:lvlJc w:val="left"/>
      <w:pPr>
        <w:ind w:left="1080" w:hanging="360"/>
      </w:pPr>
      <w:rPr>
        <w:rFonts w:ascii="Times New Roman" w:eastAsiaTheme="minorHAnsi" w:hAnsi="Times New Roman" w:cs="Times New Roman"/>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 w15:restartNumberingAfterBreak="0">
    <w:nsid w:val="22D17672"/>
    <w:multiLevelType w:val="multilevel"/>
    <w:tmpl w:val="22D17672"/>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9" w15:restartNumberingAfterBreak="0">
    <w:nsid w:val="230E7BF9"/>
    <w:multiLevelType w:val="multilevel"/>
    <w:tmpl w:val="A094E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3703B17"/>
    <w:multiLevelType w:val="multilevel"/>
    <w:tmpl w:val="526698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3AF3BA8"/>
    <w:multiLevelType w:val="multilevel"/>
    <w:tmpl w:val="9BDA7CC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3F812C4"/>
    <w:multiLevelType w:val="multilevel"/>
    <w:tmpl w:val="23F812C4"/>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3" w15:restartNumberingAfterBreak="0">
    <w:nsid w:val="24686128"/>
    <w:multiLevelType w:val="multilevel"/>
    <w:tmpl w:val="3008E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69C60C1"/>
    <w:multiLevelType w:val="multilevel"/>
    <w:tmpl w:val="431A90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7A0527F"/>
    <w:multiLevelType w:val="hybridMultilevel"/>
    <w:tmpl w:val="033441AC"/>
    <w:lvl w:ilvl="0" w:tplc="7CB0CA94">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2C5C08F5"/>
    <w:multiLevelType w:val="multilevel"/>
    <w:tmpl w:val="2D3A8A9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C6D1708"/>
    <w:multiLevelType w:val="multilevel"/>
    <w:tmpl w:val="2C6D1708"/>
    <w:lvl w:ilvl="0">
      <w:start w:val="1"/>
      <w:numFmt w:val="decimal"/>
      <w:lvlText w:val="%1"/>
      <w:lvlJc w:val="left"/>
      <w:pPr>
        <w:ind w:left="7448" w:hanging="360"/>
      </w:pPr>
      <w:rPr>
        <w:rFonts w:hint="default"/>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28" w15:restartNumberingAfterBreak="0">
    <w:nsid w:val="2F1B603F"/>
    <w:multiLevelType w:val="multilevel"/>
    <w:tmpl w:val="44784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1D85900"/>
    <w:multiLevelType w:val="multilevel"/>
    <w:tmpl w:val="4912993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261020F"/>
    <w:multiLevelType w:val="multilevel"/>
    <w:tmpl w:val="35043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5FE1A22"/>
    <w:multiLevelType w:val="multilevel"/>
    <w:tmpl w:val="9D844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7AE55CB"/>
    <w:multiLevelType w:val="multilevel"/>
    <w:tmpl w:val="098C86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95E1B7A"/>
    <w:multiLevelType w:val="multilevel"/>
    <w:tmpl w:val="B1581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AAE63D3"/>
    <w:multiLevelType w:val="multilevel"/>
    <w:tmpl w:val="A6D01D58"/>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3B4800B5"/>
    <w:multiLevelType w:val="multilevel"/>
    <w:tmpl w:val="AD8A27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3E2B4AFE"/>
    <w:multiLevelType w:val="multilevel"/>
    <w:tmpl w:val="68864B4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E5572A3"/>
    <w:multiLevelType w:val="multilevel"/>
    <w:tmpl w:val="8EDCFF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ind w:left="2160" w:hanging="360"/>
      </w:pPr>
      <w:rPr>
        <w:rFonts w:ascii="Wingdings" w:hAnsi="Wingdings" w:hint="default"/>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044302F"/>
    <w:multiLevelType w:val="multilevel"/>
    <w:tmpl w:val="8894378A"/>
    <w:lvl w:ilvl="0">
      <w:start w:val="1"/>
      <w:numFmt w:val="decimal"/>
      <w:lvlText w:val="%1"/>
      <w:lvlJc w:val="left"/>
      <w:pPr>
        <w:ind w:left="375" w:hanging="375"/>
      </w:pPr>
      <w:rPr>
        <w:rFonts w:hint="default"/>
      </w:rPr>
    </w:lvl>
    <w:lvl w:ilvl="1">
      <w:start w:val="2"/>
      <w:numFmt w:val="decimal"/>
      <w:lvlText w:val="%1.%2"/>
      <w:lvlJc w:val="left"/>
      <w:pPr>
        <w:ind w:left="736" w:hanging="375"/>
      </w:pPr>
      <w:rPr>
        <w:rFonts w:hint="default"/>
      </w:rPr>
    </w:lvl>
    <w:lvl w:ilvl="2">
      <w:start w:val="1"/>
      <w:numFmt w:val="decimal"/>
      <w:lvlText w:val="%1.%2.%3"/>
      <w:lvlJc w:val="left"/>
      <w:pPr>
        <w:ind w:left="1442" w:hanging="720"/>
      </w:pPr>
      <w:rPr>
        <w:rFonts w:hint="default"/>
      </w:rPr>
    </w:lvl>
    <w:lvl w:ilvl="3">
      <w:start w:val="1"/>
      <w:numFmt w:val="decimal"/>
      <w:lvlText w:val="%1.%2.%3.%4"/>
      <w:lvlJc w:val="left"/>
      <w:pPr>
        <w:ind w:left="2163" w:hanging="1080"/>
      </w:pPr>
      <w:rPr>
        <w:rFonts w:hint="default"/>
      </w:rPr>
    </w:lvl>
    <w:lvl w:ilvl="4">
      <w:start w:val="1"/>
      <w:numFmt w:val="decimal"/>
      <w:lvlText w:val="%1.%2.%3.%4.%5"/>
      <w:lvlJc w:val="left"/>
      <w:pPr>
        <w:ind w:left="2524" w:hanging="1080"/>
      </w:pPr>
      <w:rPr>
        <w:rFonts w:hint="default"/>
      </w:rPr>
    </w:lvl>
    <w:lvl w:ilvl="5">
      <w:start w:val="1"/>
      <w:numFmt w:val="decimal"/>
      <w:lvlText w:val="%1.%2.%3.%4.%5.%6"/>
      <w:lvlJc w:val="left"/>
      <w:pPr>
        <w:ind w:left="3245" w:hanging="1440"/>
      </w:pPr>
      <w:rPr>
        <w:rFonts w:hint="default"/>
      </w:rPr>
    </w:lvl>
    <w:lvl w:ilvl="6">
      <w:start w:val="1"/>
      <w:numFmt w:val="decimal"/>
      <w:lvlText w:val="%1.%2.%3.%4.%5.%6.%7"/>
      <w:lvlJc w:val="left"/>
      <w:pPr>
        <w:ind w:left="3606" w:hanging="1440"/>
      </w:pPr>
      <w:rPr>
        <w:rFonts w:hint="default"/>
      </w:rPr>
    </w:lvl>
    <w:lvl w:ilvl="7">
      <w:start w:val="1"/>
      <w:numFmt w:val="decimal"/>
      <w:lvlText w:val="%1.%2.%3.%4.%5.%6.%7.%8"/>
      <w:lvlJc w:val="left"/>
      <w:pPr>
        <w:ind w:left="4327" w:hanging="1800"/>
      </w:pPr>
      <w:rPr>
        <w:rFonts w:hint="default"/>
      </w:rPr>
    </w:lvl>
    <w:lvl w:ilvl="8">
      <w:start w:val="1"/>
      <w:numFmt w:val="decimal"/>
      <w:lvlText w:val="%1.%2.%3.%4.%5.%6.%7.%8.%9"/>
      <w:lvlJc w:val="left"/>
      <w:pPr>
        <w:ind w:left="5048" w:hanging="2160"/>
      </w:pPr>
      <w:rPr>
        <w:rFonts w:hint="default"/>
      </w:rPr>
    </w:lvl>
  </w:abstractNum>
  <w:abstractNum w:abstractNumId="39" w15:restartNumberingAfterBreak="0">
    <w:nsid w:val="40BC2CDF"/>
    <w:multiLevelType w:val="multilevel"/>
    <w:tmpl w:val="270EC07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43F96BE3"/>
    <w:multiLevelType w:val="hybridMultilevel"/>
    <w:tmpl w:val="54FE10A0"/>
    <w:lvl w:ilvl="0" w:tplc="2000000D">
      <w:start w:val="1"/>
      <w:numFmt w:val="bullet"/>
      <w:lvlText w:val=""/>
      <w:lvlJc w:val="left"/>
      <w:pPr>
        <w:ind w:left="720" w:hanging="360"/>
      </w:pPr>
      <w:rPr>
        <w:rFonts w:ascii="Wingdings" w:hAnsi="Wingdings" w:hint="default"/>
      </w:rPr>
    </w:lvl>
    <w:lvl w:ilvl="1" w:tplc="20000001">
      <w:start w:val="1"/>
      <w:numFmt w:val="bullet"/>
      <w:lvlText w:val=""/>
      <w:lvlJc w:val="left"/>
      <w:pPr>
        <w:ind w:left="1440" w:hanging="360"/>
      </w:pPr>
      <w:rPr>
        <w:rFonts w:ascii="Symbol" w:hAnsi="Symbol"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1" w15:restartNumberingAfterBreak="0">
    <w:nsid w:val="452D1D43"/>
    <w:multiLevelType w:val="multilevel"/>
    <w:tmpl w:val="B1FCBE64"/>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47AF4EB3"/>
    <w:multiLevelType w:val="hybridMultilevel"/>
    <w:tmpl w:val="B9C09C72"/>
    <w:lvl w:ilvl="0" w:tplc="20000001">
      <w:start w:val="1"/>
      <w:numFmt w:val="bullet"/>
      <w:lvlText w:val=""/>
      <w:lvlJc w:val="left"/>
      <w:pPr>
        <w:ind w:left="1800" w:hanging="360"/>
      </w:pPr>
      <w:rPr>
        <w:rFonts w:ascii="Symbol" w:hAnsi="Symbol" w:hint="default"/>
      </w:rPr>
    </w:lvl>
    <w:lvl w:ilvl="1" w:tplc="20000003" w:tentative="1">
      <w:start w:val="1"/>
      <w:numFmt w:val="bullet"/>
      <w:lvlText w:val="o"/>
      <w:lvlJc w:val="left"/>
      <w:pPr>
        <w:ind w:left="2520" w:hanging="360"/>
      </w:pPr>
      <w:rPr>
        <w:rFonts w:ascii="Courier New" w:hAnsi="Courier New" w:cs="Courier New" w:hint="default"/>
      </w:rPr>
    </w:lvl>
    <w:lvl w:ilvl="2" w:tplc="20000005" w:tentative="1">
      <w:start w:val="1"/>
      <w:numFmt w:val="bullet"/>
      <w:lvlText w:val=""/>
      <w:lvlJc w:val="left"/>
      <w:pPr>
        <w:ind w:left="3240" w:hanging="360"/>
      </w:pPr>
      <w:rPr>
        <w:rFonts w:ascii="Wingdings" w:hAnsi="Wingdings" w:hint="default"/>
      </w:rPr>
    </w:lvl>
    <w:lvl w:ilvl="3" w:tplc="20000001" w:tentative="1">
      <w:start w:val="1"/>
      <w:numFmt w:val="bullet"/>
      <w:lvlText w:val=""/>
      <w:lvlJc w:val="left"/>
      <w:pPr>
        <w:ind w:left="3960" w:hanging="360"/>
      </w:pPr>
      <w:rPr>
        <w:rFonts w:ascii="Symbol" w:hAnsi="Symbol" w:hint="default"/>
      </w:rPr>
    </w:lvl>
    <w:lvl w:ilvl="4" w:tplc="20000003" w:tentative="1">
      <w:start w:val="1"/>
      <w:numFmt w:val="bullet"/>
      <w:lvlText w:val="o"/>
      <w:lvlJc w:val="left"/>
      <w:pPr>
        <w:ind w:left="4680" w:hanging="360"/>
      </w:pPr>
      <w:rPr>
        <w:rFonts w:ascii="Courier New" w:hAnsi="Courier New" w:cs="Courier New" w:hint="default"/>
      </w:rPr>
    </w:lvl>
    <w:lvl w:ilvl="5" w:tplc="20000005" w:tentative="1">
      <w:start w:val="1"/>
      <w:numFmt w:val="bullet"/>
      <w:lvlText w:val=""/>
      <w:lvlJc w:val="left"/>
      <w:pPr>
        <w:ind w:left="5400" w:hanging="360"/>
      </w:pPr>
      <w:rPr>
        <w:rFonts w:ascii="Wingdings" w:hAnsi="Wingdings" w:hint="default"/>
      </w:rPr>
    </w:lvl>
    <w:lvl w:ilvl="6" w:tplc="20000001" w:tentative="1">
      <w:start w:val="1"/>
      <w:numFmt w:val="bullet"/>
      <w:lvlText w:val=""/>
      <w:lvlJc w:val="left"/>
      <w:pPr>
        <w:ind w:left="6120" w:hanging="360"/>
      </w:pPr>
      <w:rPr>
        <w:rFonts w:ascii="Symbol" w:hAnsi="Symbol" w:hint="default"/>
      </w:rPr>
    </w:lvl>
    <w:lvl w:ilvl="7" w:tplc="20000003" w:tentative="1">
      <w:start w:val="1"/>
      <w:numFmt w:val="bullet"/>
      <w:lvlText w:val="o"/>
      <w:lvlJc w:val="left"/>
      <w:pPr>
        <w:ind w:left="6840" w:hanging="360"/>
      </w:pPr>
      <w:rPr>
        <w:rFonts w:ascii="Courier New" w:hAnsi="Courier New" w:cs="Courier New" w:hint="default"/>
      </w:rPr>
    </w:lvl>
    <w:lvl w:ilvl="8" w:tplc="20000005" w:tentative="1">
      <w:start w:val="1"/>
      <w:numFmt w:val="bullet"/>
      <w:lvlText w:val=""/>
      <w:lvlJc w:val="left"/>
      <w:pPr>
        <w:ind w:left="7560" w:hanging="360"/>
      </w:pPr>
      <w:rPr>
        <w:rFonts w:ascii="Wingdings" w:hAnsi="Wingdings" w:hint="default"/>
      </w:rPr>
    </w:lvl>
  </w:abstractNum>
  <w:abstractNum w:abstractNumId="43" w15:restartNumberingAfterBreak="0">
    <w:nsid w:val="47B64984"/>
    <w:multiLevelType w:val="multilevel"/>
    <w:tmpl w:val="53E83BD6"/>
    <w:lvl w:ilvl="0">
      <w:start w:val="1"/>
      <w:numFmt w:val="decimal"/>
      <w:lvlText w:val="%1"/>
      <w:lvlJc w:val="left"/>
      <w:pPr>
        <w:ind w:left="720" w:hanging="360"/>
      </w:pPr>
      <w:rPr>
        <w:rFonts w:hint="default"/>
      </w:rPr>
    </w:lvl>
    <w:lvl w:ilvl="1">
      <w:start w:val="1"/>
      <w:numFmt w:val="decimal"/>
      <w:isLgl/>
      <w:lvlText w:val="%1.%2"/>
      <w:lvlJc w:val="left"/>
      <w:pPr>
        <w:ind w:left="781" w:hanging="420"/>
      </w:pPr>
      <w:rPr>
        <w:rFonts w:hint="default"/>
      </w:rPr>
    </w:lvl>
    <w:lvl w:ilvl="2">
      <w:start w:val="1"/>
      <w:numFmt w:val="decimal"/>
      <w:isLgl/>
      <w:lvlText w:val="%1.%2.%3"/>
      <w:lvlJc w:val="left"/>
      <w:pPr>
        <w:ind w:left="1082" w:hanging="720"/>
      </w:pPr>
      <w:rPr>
        <w:rFonts w:hint="default"/>
      </w:rPr>
    </w:lvl>
    <w:lvl w:ilvl="3">
      <w:start w:val="1"/>
      <w:numFmt w:val="decimal"/>
      <w:isLgl/>
      <w:lvlText w:val="%1.%2.%3.%4"/>
      <w:lvlJc w:val="left"/>
      <w:pPr>
        <w:ind w:left="1443" w:hanging="1080"/>
      </w:pPr>
      <w:rPr>
        <w:rFonts w:hint="default"/>
      </w:rPr>
    </w:lvl>
    <w:lvl w:ilvl="4">
      <w:start w:val="1"/>
      <w:numFmt w:val="decimal"/>
      <w:isLgl/>
      <w:lvlText w:val="%1.%2.%3.%4.%5"/>
      <w:lvlJc w:val="left"/>
      <w:pPr>
        <w:ind w:left="1444" w:hanging="1080"/>
      </w:pPr>
      <w:rPr>
        <w:rFonts w:hint="default"/>
      </w:rPr>
    </w:lvl>
    <w:lvl w:ilvl="5">
      <w:start w:val="1"/>
      <w:numFmt w:val="decimal"/>
      <w:isLgl/>
      <w:lvlText w:val="%1.%2.%3.%4.%5.%6"/>
      <w:lvlJc w:val="left"/>
      <w:pPr>
        <w:ind w:left="1805" w:hanging="1440"/>
      </w:pPr>
      <w:rPr>
        <w:rFonts w:hint="default"/>
      </w:rPr>
    </w:lvl>
    <w:lvl w:ilvl="6">
      <w:start w:val="1"/>
      <w:numFmt w:val="decimal"/>
      <w:isLgl/>
      <w:lvlText w:val="%1.%2.%3.%4.%5.%6.%7"/>
      <w:lvlJc w:val="left"/>
      <w:pPr>
        <w:ind w:left="1806" w:hanging="1440"/>
      </w:pPr>
      <w:rPr>
        <w:rFonts w:hint="default"/>
      </w:rPr>
    </w:lvl>
    <w:lvl w:ilvl="7">
      <w:start w:val="1"/>
      <w:numFmt w:val="decimal"/>
      <w:isLgl/>
      <w:lvlText w:val="%1.%2.%3.%4.%5.%6.%7.%8"/>
      <w:lvlJc w:val="left"/>
      <w:pPr>
        <w:ind w:left="2167" w:hanging="1800"/>
      </w:pPr>
      <w:rPr>
        <w:rFonts w:hint="default"/>
      </w:rPr>
    </w:lvl>
    <w:lvl w:ilvl="8">
      <w:start w:val="1"/>
      <w:numFmt w:val="decimal"/>
      <w:isLgl/>
      <w:lvlText w:val="%1.%2.%3.%4.%5.%6.%7.%8.%9"/>
      <w:lvlJc w:val="left"/>
      <w:pPr>
        <w:ind w:left="2528" w:hanging="2160"/>
      </w:pPr>
      <w:rPr>
        <w:rFonts w:hint="default"/>
      </w:rPr>
    </w:lvl>
  </w:abstractNum>
  <w:abstractNum w:abstractNumId="44" w15:restartNumberingAfterBreak="0">
    <w:nsid w:val="4AC51C40"/>
    <w:multiLevelType w:val="multilevel"/>
    <w:tmpl w:val="DA0E0EA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4CA0661F"/>
    <w:multiLevelType w:val="multilevel"/>
    <w:tmpl w:val="0C9409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DA20279"/>
    <w:multiLevelType w:val="multilevel"/>
    <w:tmpl w:val="2CF0620A"/>
    <w:lvl w:ilvl="0">
      <w:start w:val="3"/>
      <w:numFmt w:val="decimal"/>
      <w:lvlText w:val="%1"/>
      <w:lvlJc w:val="left"/>
      <w:pPr>
        <w:ind w:left="375" w:hanging="375"/>
      </w:pPr>
      <w:rPr>
        <w:rFonts w:hint="default"/>
      </w:rPr>
    </w:lvl>
    <w:lvl w:ilvl="1">
      <w:start w:val="3"/>
      <w:numFmt w:val="decimal"/>
      <w:lvlText w:val="%1.%2"/>
      <w:lvlJc w:val="left"/>
      <w:pPr>
        <w:ind w:left="1156" w:hanging="375"/>
      </w:pPr>
      <w:rPr>
        <w:rFonts w:hint="default"/>
      </w:rPr>
    </w:lvl>
    <w:lvl w:ilvl="2">
      <w:start w:val="1"/>
      <w:numFmt w:val="decimal"/>
      <w:lvlText w:val="%1.%2.%3"/>
      <w:lvlJc w:val="left"/>
      <w:pPr>
        <w:ind w:left="2282" w:hanging="720"/>
      </w:pPr>
      <w:rPr>
        <w:rFonts w:hint="default"/>
      </w:rPr>
    </w:lvl>
    <w:lvl w:ilvl="3">
      <w:start w:val="1"/>
      <w:numFmt w:val="decimal"/>
      <w:lvlText w:val="%1.%2.%3.%4"/>
      <w:lvlJc w:val="left"/>
      <w:pPr>
        <w:ind w:left="3423" w:hanging="1080"/>
      </w:pPr>
      <w:rPr>
        <w:rFonts w:hint="default"/>
      </w:rPr>
    </w:lvl>
    <w:lvl w:ilvl="4">
      <w:start w:val="1"/>
      <w:numFmt w:val="decimal"/>
      <w:lvlText w:val="%1.%2.%3.%4.%5"/>
      <w:lvlJc w:val="left"/>
      <w:pPr>
        <w:ind w:left="4204" w:hanging="1080"/>
      </w:pPr>
      <w:rPr>
        <w:rFonts w:hint="default"/>
      </w:rPr>
    </w:lvl>
    <w:lvl w:ilvl="5">
      <w:start w:val="1"/>
      <w:numFmt w:val="decimal"/>
      <w:lvlText w:val="%1.%2.%3.%4.%5.%6"/>
      <w:lvlJc w:val="left"/>
      <w:pPr>
        <w:ind w:left="5345" w:hanging="1440"/>
      </w:pPr>
      <w:rPr>
        <w:rFonts w:hint="default"/>
      </w:rPr>
    </w:lvl>
    <w:lvl w:ilvl="6">
      <w:start w:val="1"/>
      <w:numFmt w:val="decimal"/>
      <w:lvlText w:val="%1.%2.%3.%4.%5.%6.%7"/>
      <w:lvlJc w:val="left"/>
      <w:pPr>
        <w:ind w:left="6126" w:hanging="1440"/>
      </w:pPr>
      <w:rPr>
        <w:rFonts w:hint="default"/>
      </w:rPr>
    </w:lvl>
    <w:lvl w:ilvl="7">
      <w:start w:val="1"/>
      <w:numFmt w:val="decimal"/>
      <w:lvlText w:val="%1.%2.%3.%4.%5.%6.%7.%8"/>
      <w:lvlJc w:val="left"/>
      <w:pPr>
        <w:ind w:left="7267" w:hanging="1800"/>
      </w:pPr>
      <w:rPr>
        <w:rFonts w:hint="default"/>
      </w:rPr>
    </w:lvl>
    <w:lvl w:ilvl="8">
      <w:start w:val="1"/>
      <w:numFmt w:val="decimal"/>
      <w:lvlText w:val="%1.%2.%3.%4.%5.%6.%7.%8.%9"/>
      <w:lvlJc w:val="left"/>
      <w:pPr>
        <w:ind w:left="8408" w:hanging="2160"/>
      </w:pPr>
      <w:rPr>
        <w:rFonts w:hint="default"/>
      </w:rPr>
    </w:lvl>
  </w:abstractNum>
  <w:abstractNum w:abstractNumId="47" w15:restartNumberingAfterBreak="0">
    <w:nsid w:val="4EDF757C"/>
    <w:multiLevelType w:val="hybridMultilevel"/>
    <w:tmpl w:val="E690A3CA"/>
    <w:lvl w:ilvl="0" w:tplc="04190001">
      <w:start w:val="1"/>
      <w:numFmt w:val="bullet"/>
      <w:lvlText w:val=""/>
      <w:lvlJc w:val="left"/>
      <w:pPr>
        <w:ind w:left="2148" w:hanging="360"/>
      </w:pPr>
      <w:rPr>
        <w:rFonts w:ascii="Symbol" w:hAnsi="Symbol" w:hint="default"/>
      </w:rPr>
    </w:lvl>
    <w:lvl w:ilvl="1" w:tplc="04190003" w:tentative="1">
      <w:start w:val="1"/>
      <w:numFmt w:val="bullet"/>
      <w:lvlText w:val="o"/>
      <w:lvlJc w:val="left"/>
      <w:pPr>
        <w:ind w:left="2868" w:hanging="360"/>
      </w:pPr>
      <w:rPr>
        <w:rFonts w:ascii="Courier New" w:hAnsi="Courier New" w:cs="Courier New" w:hint="default"/>
      </w:rPr>
    </w:lvl>
    <w:lvl w:ilvl="2" w:tplc="04190005" w:tentative="1">
      <w:start w:val="1"/>
      <w:numFmt w:val="bullet"/>
      <w:lvlText w:val=""/>
      <w:lvlJc w:val="left"/>
      <w:pPr>
        <w:ind w:left="3588" w:hanging="360"/>
      </w:pPr>
      <w:rPr>
        <w:rFonts w:ascii="Wingdings" w:hAnsi="Wingdings" w:hint="default"/>
      </w:rPr>
    </w:lvl>
    <w:lvl w:ilvl="3" w:tplc="04190001" w:tentative="1">
      <w:start w:val="1"/>
      <w:numFmt w:val="bullet"/>
      <w:lvlText w:val=""/>
      <w:lvlJc w:val="left"/>
      <w:pPr>
        <w:ind w:left="4308" w:hanging="360"/>
      </w:pPr>
      <w:rPr>
        <w:rFonts w:ascii="Symbol" w:hAnsi="Symbol" w:hint="default"/>
      </w:rPr>
    </w:lvl>
    <w:lvl w:ilvl="4" w:tplc="04190003" w:tentative="1">
      <w:start w:val="1"/>
      <w:numFmt w:val="bullet"/>
      <w:lvlText w:val="o"/>
      <w:lvlJc w:val="left"/>
      <w:pPr>
        <w:ind w:left="5028" w:hanging="360"/>
      </w:pPr>
      <w:rPr>
        <w:rFonts w:ascii="Courier New" w:hAnsi="Courier New" w:cs="Courier New" w:hint="default"/>
      </w:rPr>
    </w:lvl>
    <w:lvl w:ilvl="5" w:tplc="04190005" w:tentative="1">
      <w:start w:val="1"/>
      <w:numFmt w:val="bullet"/>
      <w:lvlText w:val=""/>
      <w:lvlJc w:val="left"/>
      <w:pPr>
        <w:ind w:left="5748" w:hanging="360"/>
      </w:pPr>
      <w:rPr>
        <w:rFonts w:ascii="Wingdings" w:hAnsi="Wingdings" w:hint="default"/>
      </w:rPr>
    </w:lvl>
    <w:lvl w:ilvl="6" w:tplc="04190001" w:tentative="1">
      <w:start w:val="1"/>
      <w:numFmt w:val="bullet"/>
      <w:lvlText w:val=""/>
      <w:lvlJc w:val="left"/>
      <w:pPr>
        <w:ind w:left="6468" w:hanging="360"/>
      </w:pPr>
      <w:rPr>
        <w:rFonts w:ascii="Symbol" w:hAnsi="Symbol" w:hint="default"/>
      </w:rPr>
    </w:lvl>
    <w:lvl w:ilvl="7" w:tplc="04190003" w:tentative="1">
      <w:start w:val="1"/>
      <w:numFmt w:val="bullet"/>
      <w:lvlText w:val="o"/>
      <w:lvlJc w:val="left"/>
      <w:pPr>
        <w:ind w:left="7188" w:hanging="360"/>
      </w:pPr>
      <w:rPr>
        <w:rFonts w:ascii="Courier New" w:hAnsi="Courier New" w:cs="Courier New" w:hint="default"/>
      </w:rPr>
    </w:lvl>
    <w:lvl w:ilvl="8" w:tplc="04190005" w:tentative="1">
      <w:start w:val="1"/>
      <w:numFmt w:val="bullet"/>
      <w:lvlText w:val=""/>
      <w:lvlJc w:val="left"/>
      <w:pPr>
        <w:ind w:left="7908" w:hanging="360"/>
      </w:pPr>
      <w:rPr>
        <w:rFonts w:ascii="Wingdings" w:hAnsi="Wingdings" w:hint="default"/>
      </w:rPr>
    </w:lvl>
  </w:abstractNum>
  <w:abstractNum w:abstractNumId="48" w15:restartNumberingAfterBreak="0">
    <w:nsid w:val="508C54E9"/>
    <w:multiLevelType w:val="multilevel"/>
    <w:tmpl w:val="7A66271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514A5B1F"/>
    <w:multiLevelType w:val="multilevel"/>
    <w:tmpl w:val="DE2847C8"/>
    <w:lvl w:ilvl="0">
      <w:start w:val="1"/>
      <w:numFmt w:val="decimal"/>
      <w:lvlText w:val="%1"/>
      <w:lvlJc w:val="left"/>
      <w:pPr>
        <w:ind w:left="375" w:hanging="375"/>
      </w:pPr>
      <w:rPr>
        <w:rFonts w:hint="default"/>
      </w:rPr>
    </w:lvl>
    <w:lvl w:ilvl="1">
      <w:start w:val="2"/>
      <w:numFmt w:val="decimal"/>
      <w:lvlText w:val="%1.%2"/>
      <w:lvlJc w:val="left"/>
      <w:pPr>
        <w:ind w:left="1083" w:hanging="37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50" w15:restartNumberingAfterBreak="0">
    <w:nsid w:val="51586E46"/>
    <w:multiLevelType w:val="multilevel"/>
    <w:tmpl w:val="80A6EE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2EF6D24"/>
    <w:multiLevelType w:val="multilevel"/>
    <w:tmpl w:val="7DBC3C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3715252"/>
    <w:multiLevelType w:val="multilevel"/>
    <w:tmpl w:val="AADC640C"/>
    <w:lvl w:ilvl="0">
      <w:start w:val="2"/>
      <w:numFmt w:val="decimal"/>
      <w:lvlText w:val="%1"/>
      <w:lvlJc w:val="left"/>
      <w:pPr>
        <w:ind w:left="375" w:hanging="375"/>
      </w:pPr>
      <w:rPr>
        <w:rFonts w:hint="default"/>
      </w:rPr>
    </w:lvl>
    <w:lvl w:ilvl="1">
      <w:start w:val="3"/>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53" w15:restartNumberingAfterBreak="0">
    <w:nsid w:val="54230EDB"/>
    <w:multiLevelType w:val="multilevel"/>
    <w:tmpl w:val="5AB653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4895C2B"/>
    <w:multiLevelType w:val="multilevel"/>
    <w:tmpl w:val="4AB692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56472B03"/>
    <w:multiLevelType w:val="multilevel"/>
    <w:tmpl w:val="E2F0C4C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69C7611"/>
    <w:multiLevelType w:val="multilevel"/>
    <w:tmpl w:val="6F5C7C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8E34858"/>
    <w:multiLevelType w:val="hybridMultilevel"/>
    <w:tmpl w:val="1A4C4E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5B3B37A8"/>
    <w:multiLevelType w:val="multilevel"/>
    <w:tmpl w:val="D0D8A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BC30D8A"/>
    <w:multiLevelType w:val="multilevel"/>
    <w:tmpl w:val="4D30BB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C43367D"/>
    <w:multiLevelType w:val="multilevel"/>
    <w:tmpl w:val="11D37DCC"/>
    <w:styleLink w:val="1"/>
    <w:lvl w:ilvl="0">
      <w:start w:val="2"/>
      <w:numFmt w:val="decimal"/>
      <w:lvlText w:val="%1"/>
      <w:lvlJc w:val="left"/>
      <w:pPr>
        <w:ind w:left="375" w:hanging="375"/>
      </w:pPr>
      <w:rPr>
        <w:rFonts w:hint="default"/>
        <w:b/>
      </w:rPr>
    </w:lvl>
    <w:lvl w:ilvl="1">
      <w:start w:val="1"/>
      <w:numFmt w:val="decimal"/>
      <w:lvlText w:val="%1.%2"/>
      <w:lvlJc w:val="left"/>
      <w:pPr>
        <w:ind w:left="375" w:hanging="37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61" w15:restartNumberingAfterBreak="0">
    <w:nsid w:val="5CCF301B"/>
    <w:multiLevelType w:val="multilevel"/>
    <w:tmpl w:val="91F609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60461C08"/>
    <w:multiLevelType w:val="multilevel"/>
    <w:tmpl w:val="395E28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0544839"/>
    <w:multiLevelType w:val="multilevel"/>
    <w:tmpl w:val="60544839"/>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4" w15:restartNumberingAfterBreak="0">
    <w:nsid w:val="60AB50BB"/>
    <w:multiLevelType w:val="hybridMultilevel"/>
    <w:tmpl w:val="BF98BC52"/>
    <w:lvl w:ilvl="0" w:tplc="2000000B">
      <w:start w:val="1"/>
      <w:numFmt w:val="bullet"/>
      <w:lvlText w:val=""/>
      <w:lvlJc w:val="left"/>
      <w:pPr>
        <w:ind w:left="3240" w:hanging="360"/>
      </w:pPr>
      <w:rPr>
        <w:rFonts w:ascii="Wingdings" w:hAnsi="Wingdings" w:hint="default"/>
      </w:rPr>
    </w:lvl>
    <w:lvl w:ilvl="1" w:tplc="FFFFFFFF" w:tentative="1">
      <w:start w:val="1"/>
      <w:numFmt w:val="bullet"/>
      <w:lvlText w:val="o"/>
      <w:lvlJc w:val="left"/>
      <w:pPr>
        <w:ind w:left="3960" w:hanging="360"/>
      </w:pPr>
      <w:rPr>
        <w:rFonts w:ascii="Courier New" w:hAnsi="Courier New" w:cs="Courier New" w:hint="default"/>
      </w:rPr>
    </w:lvl>
    <w:lvl w:ilvl="2" w:tplc="FFFFFFFF" w:tentative="1">
      <w:start w:val="1"/>
      <w:numFmt w:val="bullet"/>
      <w:lvlText w:val=""/>
      <w:lvlJc w:val="left"/>
      <w:pPr>
        <w:ind w:left="4680" w:hanging="360"/>
      </w:pPr>
      <w:rPr>
        <w:rFonts w:ascii="Wingdings" w:hAnsi="Wingdings" w:hint="default"/>
      </w:rPr>
    </w:lvl>
    <w:lvl w:ilvl="3" w:tplc="FFFFFFFF" w:tentative="1">
      <w:start w:val="1"/>
      <w:numFmt w:val="bullet"/>
      <w:lvlText w:val=""/>
      <w:lvlJc w:val="left"/>
      <w:pPr>
        <w:ind w:left="5400" w:hanging="360"/>
      </w:pPr>
      <w:rPr>
        <w:rFonts w:ascii="Symbol" w:hAnsi="Symbol" w:hint="default"/>
      </w:rPr>
    </w:lvl>
    <w:lvl w:ilvl="4" w:tplc="FFFFFFFF" w:tentative="1">
      <w:start w:val="1"/>
      <w:numFmt w:val="bullet"/>
      <w:lvlText w:val="o"/>
      <w:lvlJc w:val="left"/>
      <w:pPr>
        <w:ind w:left="6120" w:hanging="360"/>
      </w:pPr>
      <w:rPr>
        <w:rFonts w:ascii="Courier New" w:hAnsi="Courier New" w:cs="Courier New" w:hint="default"/>
      </w:rPr>
    </w:lvl>
    <w:lvl w:ilvl="5" w:tplc="FFFFFFFF" w:tentative="1">
      <w:start w:val="1"/>
      <w:numFmt w:val="bullet"/>
      <w:lvlText w:val=""/>
      <w:lvlJc w:val="left"/>
      <w:pPr>
        <w:ind w:left="6840" w:hanging="360"/>
      </w:pPr>
      <w:rPr>
        <w:rFonts w:ascii="Wingdings" w:hAnsi="Wingdings" w:hint="default"/>
      </w:rPr>
    </w:lvl>
    <w:lvl w:ilvl="6" w:tplc="FFFFFFFF" w:tentative="1">
      <w:start w:val="1"/>
      <w:numFmt w:val="bullet"/>
      <w:lvlText w:val=""/>
      <w:lvlJc w:val="left"/>
      <w:pPr>
        <w:ind w:left="7560" w:hanging="360"/>
      </w:pPr>
      <w:rPr>
        <w:rFonts w:ascii="Symbol" w:hAnsi="Symbol" w:hint="default"/>
      </w:rPr>
    </w:lvl>
    <w:lvl w:ilvl="7" w:tplc="FFFFFFFF" w:tentative="1">
      <w:start w:val="1"/>
      <w:numFmt w:val="bullet"/>
      <w:lvlText w:val="o"/>
      <w:lvlJc w:val="left"/>
      <w:pPr>
        <w:ind w:left="8280" w:hanging="360"/>
      </w:pPr>
      <w:rPr>
        <w:rFonts w:ascii="Courier New" w:hAnsi="Courier New" w:cs="Courier New" w:hint="default"/>
      </w:rPr>
    </w:lvl>
    <w:lvl w:ilvl="8" w:tplc="FFFFFFFF" w:tentative="1">
      <w:start w:val="1"/>
      <w:numFmt w:val="bullet"/>
      <w:lvlText w:val=""/>
      <w:lvlJc w:val="left"/>
      <w:pPr>
        <w:ind w:left="9000" w:hanging="360"/>
      </w:pPr>
      <w:rPr>
        <w:rFonts w:ascii="Wingdings" w:hAnsi="Wingdings" w:hint="default"/>
      </w:rPr>
    </w:lvl>
  </w:abstractNum>
  <w:abstractNum w:abstractNumId="65" w15:restartNumberingAfterBreak="0">
    <w:nsid w:val="60EA4F2C"/>
    <w:multiLevelType w:val="multilevel"/>
    <w:tmpl w:val="27F67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66510861"/>
    <w:multiLevelType w:val="multilevel"/>
    <w:tmpl w:val="358CC44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66C852C0"/>
    <w:multiLevelType w:val="multilevel"/>
    <w:tmpl w:val="C244577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66EE0CEC"/>
    <w:multiLevelType w:val="multilevel"/>
    <w:tmpl w:val="B3CAC9C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677E2639"/>
    <w:multiLevelType w:val="multilevel"/>
    <w:tmpl w:val="014E8E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AA04616"/>
    <w:multiLevelType w:val="multilevel"/>
    <w:tmpl w:val="F970F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6ADC547C"/>
    <w:multiLevelType w:val="multilevel"/>
    <w:tmpl w:val="C0F05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D82511A"/>
    <w:multiLevelType w:val="multilevel"/>
    <w:tmpl w:val="41A4B62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6DA7670D"/>
    <w:multiLevelType w:val="hybridMultilevel"/>
    <w:tmpl w:val="3C7CEC08"/>
    <w:lvl w:ilvl="0" w:tplc="20000001">
      <w:start w:val="1"/>
      <w:numFmt w:val="bullet"/>
      <w:lvlText w:val=""/>
      <w:lvlJc w:val="left"/>
      <w:pPr>
        <w:ind w:left="1800" w:hanging="360"/>
      </w:pPr>
      <w:rPr>
        <w:rFonts w:ascii="Symbol" w:hAnsi="Symbol" w:hint="default"/>
      </w:rPr>
    </w:lvl>
    <w:lvl w:ilvl="1" w:tplc="20000003" w:tentative="1">
      <w:start w:val="1"/>
      <w:numFmt w:val="bullet"/>
      <w:lvlText w:val="o"/>
      <w:lvlJc w:val="left"/>
      <w:pPr>
        <w:ind w:left="2520" w:hanging="360"/>
      </w:pPr>
      <w:rPr>
        <w:rFonts w:ascii="Courier New" w:hAnsi="Courier New" w:cs="Courier New" w:hint="default"/>
      </w:rPr>
    </w:lvl>
    <w:lvl w:ilvl="2" w:tplc="20000005" w:tentative="1">
      <w:start w:val="1"/>
      <w:numFmt w:val="bullet"/>
      <w:lvlText w:val=""/>
      <w:lvlJc w:val="left"/>
      <w:pPr>
        <w:ind w:left="3240" w:hanging="360"/>
      </w:pPr>
      <w:rPr>
        <w:rFonts w:ascii="Wingdings" w:hAnsi="Wingdings" w:hint="default"/>
      </w:rPr>
    </w:lvl>
    <w:lvl w:ilvl="3" w:tplc="20000001" w:tentative="1">
      <w:start w:val="1"/>
      <w:numFmt w:val="bullet"/>
      <w:lvlText w:val=""/>
      <w:lvlJc w:val="left"/>
      <w:pPr>
        <w:ind w:left="3960" w:hanging="360"/>
      </w:pPr>
      <w:rPr>
        <w:rFonts w:ascii="Symbol" w:hAnsi="Symbol" w:hint="default"/>
      </w:rPr>
    </w:lvl>
    <w:lvl w:ilvl="4" w:tplc="20000003" w:tentative="1">
      <w:start w:val="1"/>
      <w:numFmt w:val="bullet"/>
      <w:lvlText w:val="o"/>
      <w:lvlJc w:val="left"/>
      <w:pPr>
        <w:ind w:left="4680" w:hanging="360"/>
      </w:pPr>
      <w:rPr>
        <w:rFonts w:ascii="Courier New" w:hAnsi="Courier New" w:cs="Courier New" w:hint="default"/>
      </w:rPr>
    </w:lvl>
    <w:lvl w:ilvl="5" w:tplc="20000005" w:tentative="1">
      <w:start w:val="1"/>
      <w:numFmt w:val="bullet"/>
      <w:lvlText w:val=""/>
      <w:lvlJc w:val="left"/>
      <w:pPr>
        <w:ind w:left="5400" w:hanging="360"/>
      </w:pPr>
      <w:rPr>
        <w:rFonts w:ascii="Wingdings" w:hAnsi="Wingdings" w:hint="default"/>
      </w:rPr>
    </w:lvl>
    <w:lvl w:ilvl="6" w:tplc="20000001" w:tentative="1">
      <w:start w:val="1"/>
      <w:numFmt w:val="bullet"/>
      <w:lvlText w:val=""/>
      <w:lvlJc w:val="left"/>
      <w:pPr>
        <w:ind w:left="6120" w:hanging="360"/>
      </w:pPr>
      <w:rPr>
        <w:rFonts w:ascii="Symbol" w:hAnsi="Symbol" w:hint="default"/>
      </w:rPr>
    </w:lvl>
    <w:lvl w:ilvl="7" w:tplc="20000003" w:tentative="1">
      <w:start w:val="1"/>
      <w:numFmt w:val="bullet"/>
      <w:lvlText w:val="o"/>
      <w:lvlJc w:val="left"/>
      <w:pPr>
        <w:ind w:left="6840" w:hanging="360"/>
      </w:pPr>
      <w:rPr>
        <w:rFonts w:ascii="Courier New" w:hAnsi="Courier New" w:cs="Courier New" w:hint="default"/>
      </w:rPr>
    </w:lvl>
    <w:lvl w:ilvl="8" w:tplc="20000005" w:tentative="1">
      <w:start w:val="1"/>
      <w:numFmt w:val="bullet"/>
      <w:lvlText w:val=""/>
      <w:lvlJc w:val="left"/>
      <w:pPr>
        <w:ind w:left="7560" w:hanging="360"/>
      </w:pPr>
      <w:rPr>
        <w:rFonts w:ascii="Wingdings" w:hAnsi="Wingdings" w:hint="default"/>
      </w:rPr>
    </w:lvl>
  </w:abstractNum>
  <w:abstractNum w:abstractNumId="74" w15:restartNumberingAfterBreak="0">
    <w:nsid w:val="7127271B"/>
    <w:multiLevelType w:val="multilevel"/>
    <w:tmpl w:val="D36459D8"/>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72B3133F"/>
    <w:multiLevelType w:val="multilevel"/>
    <w:tmpl w:val="F16AF8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747751C3"/>
    <w:multiLevelType w:val="multilevel"/>
    <w:tmpl w:val="747751C3"/>
    <w:lvl w:ilvl="0">
      <w:start w:val="1"/>
      <w:numFmt w:val="bullet"/>
      <w:lvlText w:val=""/>
      <w:lvlJc w:val="left"/>
      <w:pPr>
        <w:ind w:left="1428" w:hanging="360"/>
      </w:pPr>
      <w:rPr>
        <w:rFonts w:ascii="Symbol" w:hAnsi="Symbol" w:hint="default"/>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hint="default"/>
      </w:rPr>
    </w:lvl>
    <w:lvl w:ilvl="3">
      <w:start w:val="1"/>
      <w:numFmt w:val="bullet"/>
      <w:lvlText w:val=""/>
      <w:lvlJc w:val="left"/>
      <w:pPr>
        <w:ind w:left="3588" w:hanging="360"/>
      </w:pPr>
      <w:rPr>
        <w:rFonts w:ascii="Symbol" w:hAnsi="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hint="default"/>
      </w:rPr>
    </w:lvl>
    <w:lvl w:ilvl="6">
      <w:start w:val="1"/>
      <w:numFmt w:val="bullet"/>
      <w:lvlText w:val=""/>
      <w:lvlJc w:val="left"/>
      <w:pPr>
        <w:ind w:left="5748" w:hanging="360"/>
      </w:pPr>
      <w:rPr>
        <w:rFonts w:ascii="Symbol" w:hAnsi="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hint="default"/>
      </w:rPr>
    </w:lvl>
  </w:abstractNum>
  <w:abstractNum w:abstractNumId="77" w15:restartNumberingAfterBreak="0">
    <w:nsid w:val="7BB81CB4"/>
    <w:multiLevelType w:val="hybridMultilevel"/>
    <w:tmpl w:val="9B268E44"/>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7CE35C7F"/>
    <w:multiLevelType w:val="multilevel"/>
    <w:tmpl w:val="7CE35C7F"/>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9" w15:restartNumberingAfterBreak="0">
    <w:nsid w:val="7EEE38F9"/>
    <w:multiLevelType w:val="multilevel"/>
    <w:tmpl w:val="B7441CC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7F721DFA"/>
    <w:multiLevelType w:val="multilevel"/>
    <w:tmpl w:val="8940FBB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29885985">
    <w:abstractNumId w:val="17"/>
  </w:num>
  <w:num w:numId="2" w16cid:durableId="761028388">
    <w:abstractNumId w:val="78"/>
  </w:num>
  <w:num w:numId="3" w16cid:durableId="604580945">
    <w:abstractNumId w:val="76"/>
  </w:num>
  <w:num w:numId="4" w16cid:durableId="286131792">
    <w:abstractNumId w:val="13"/>
  </w:num>
  <w:num w:numId="5" w16cid:durableId="1669601237">
    <w:abstractNumId w:val="2"/>
  </w:num>
  <w:num w:numId="6" w16cid:durableId="1052116112">
    <w:abstractNumId w:val="63"/>
  </w:num>
  <w:num w:numId="7" w16cid:durableId="996609249">
    <w:abstractNumId w:val="27"/>
  </w:num>
  <w:num w:numId="8" w16cid:durableId="1054738614">
    <w:abstractNumId w:val="18"/>
  </w:num>
  <w:num w:numId="9" w16cid:durableId="197201876">
    <w:abstractNumId w:val="22"/>
  </w:num>
  <w:num w:numId="10" w16cid:durableId="1220482734">
    <w:abstractNumId w:val="24"/>
  </w:num>
  <w:num w:numId="11" w16cid:durableId="1705013943">
    <w:abstractNumId w:val="6"/>
  </w:num>
  <w:num w:numId="12" w16cid:durableId="202253440">
    <w:abstractNumId w:val="54"/>
  </w:num>
  <w:num w:numId="13" w16cid:durableId="275721728">
    <w:abstractNumId w:val="5"/>
  </w:num>
  <w:num w:numId="14" w16cid:durableId="1143885409">
    <w:abstractNumId w:val="60"/>
  </w:num>
  <w:num w:numId="15" w16cid:durableId="1331714106">
    <w:abstractNumId w:val="52"/>
  </w:num>
  <w:num w:numId="16" w16cid:durableId="1701006625">
    <w:abstractNumId w:val="47"/>
  </w:num>
  <w:num w:numId="17" w16cid:durableId="1634555351">
    <w:abstractNumId w:val="9"/>
  </w:num>
  <w:num w:numId="18" w16cid:durableId="1214972767">
    <w:abstractNumId w:val="49"/>
  </w:num>
  <w:num w:numId="19" w16cid:durableId="1450734013">
    <w:abstractNumId w:val="57"/>
  </w:num>
  <w:num w:numId="20" w16cid:durableId="720400652">
    <w:abstractNumId w:val="79"/>
  </w:num>
  <w:num w:numId="21" w16cid:durableId="1632401772">
    <w:abstractNumId w:val="34"/>
  </w:num>
  <w:num w:numId="22" w16cid:durableId="1145396526">
    <w:abstractNumId w:val="41"/>
  </w:num>
  <w:num w:numId="23" w16cid:durableId="370344545">
    <w:abstractNumId w:val="74"/>
  </w:num>
  <w:num w:numId="24" w16cid:durableId="1729187880">
    <w:abstractNumId w:val="15"/>
  </w:num>
  <w:num w:numId="25" w16cid:durableId="1207835402">
    <w:abstractNumId w:val="14"/>
  </w:num>
  <w:num w:numId="26" w16cid:durableId="989096268">
    <w:abstractNumId w:val="28"/>
  </w:num>
  <w:num w:numId="27" w16cid:durableId="2099908158">
    <w:abstractNumId w:val="75"/>
  </w:num>
  <w:num w:numId="28" w16cid:durableId="30420777">
    <w:abstractNumId w:val="62"/>
  </w:num>
  <w:num w:numId="29" w16cid:durableId="1559366777">
    <w:abstractNumId w:val="45"/>
  </w:num>
  <w:num w:numId="30" w16cid:durableId="1944222570">
    <w:abstractNumId w:val="31"/>
  </w:num>
  <w:num w:numId="31" w16cid:durableId="1220239569">
    <w:abstractNumId w:val="50"/>
  </w:num>
  <w:num w:numId="32" w16cid:durableId="2122650756">
    <w:abstractNumId w:val="26"/>
  </w:num>
  <w:num w:numId="33" w16cid:durableId="107629194">
    <w:abstractNumId w:val="35"/>
  </w:num>
  <w:num w:numId="34" w16cid:durableId="981808074">
    <w:abstractNumId w:val="20"/>
  </w:num>
  <w:num w:numId="35" w16cid:durableId="731003889">
    <w:abstractNumId w:val="65"/>
  </w:num>
  <w:num w:numId="36" w16cid:durableId="1489325411">
    <w:abstractNumId w:val="56"/>
  </w:num>
  <w:num w:numId="37" w16cid:durableId="18706876">
    <w:abstractNumId w:val="36"/>
  </w:num>
  <w:num w:numId="38" w16cid:durableId="1856259746">
    <w:abstractNumId w:val="55"/>
  </w:num>
  <w:num w:numId="39" w16cid:durableId="318388519">
    <w:abstractNumId w:val="53"/>
  </w:num>
  <w:num w:numId="40" w16cid:durableId="1211183898">
    <w:abstractNumId w:val="59"/>
  </w:num>
  <w:num w:numId="41" w16cid:durableId="736629462">
    <w:abstractNumId w:val="37"/>
  </w:num>
  <w:num w:numId="42" w16cid:durableId="1330401576">
    <w:abstractNumId w:val="3"/>
  </w:num>
  <w:num w:numId="43" w16cid:durableId="232089634">
    <w:abstractNumId w:val="77"/>
  </w:num>
  <w:num w:numId="44" w16cid:durableId="1921475180">
    <w:abstractNumId w:val="10"/>
  </w:num>
  <w:num w:numId="45" w16cid:durableId="969361501">
    <w:abstractNumId w:val="71"/>
  </w:num>
  <w:num w:numId="46" w16cid:durableId="1827168739">
    <w:abstractNumId w:val="32"/>
  </w:num>
  <w:num w:numId="47" w16cid:durableId="1938631463">
    <w:abstractNumId w:val="61"/>
  </w:num>
  <w:num w:numId="48" w16cid:durableId="1421218389">
    <w:abstractNumId w:val="8"/>
  </w:num>
  <w:num w:numId="49" w16cid:durableId="1812672273">
    <w:abstractNumId w:val="66"/>
  </w:num>
  <w:num w:numId="50" w16cid:durableId="959802313">
    <w:abstractNumId w:val="68"/>
  </w:num>
  <w:num w:numId="51" w16cid:durableId="94057216">
    <w:abstractNumId w:val="69"/>
  </w:num>
  <w:num w:numId="52" w16cid:durableId="1929849542">
    <w:abstractNumId w:val="51"/>
  </w:num>
  <w:num w:numId="53" w16cid:durableId="618297303">
    <w:abstractNumId w:val="70"/>
  </w:num>
  <w:num w:numId="54" w16cid:durableId="1303537929">
    <w:abstractNumId w:val="29"/>
  </w:num>
  <w:num w:numId="55" w16cid:durableId="1900282413">
    <w:abstractNumId w:val="73"/>
  </w:num>
  <w:num w:numId="56" w16cid:durableId="2042053549">
    <w:abstractNumId w:val="48"/>
  </w:num>
  <w:num w:numId="57" w16cid:durableId="504439122">
    <w:abstractNumId w:val="16"/>
  </w:num>
  <w:num w:numId="58" w16cid:durableId="385300762">
    <w:abstractNumId w:val="42"/>
  </w:num>
  <w:num w:numId="59" w16cid:durableId="2118746092">
    <w:abstractNumId w:val="40"/>
  </w:num>
  <w:num w:numId="60" w16cid:durableId="1178886855">
    <w:abstractNumId w:val="21"/>
  </w:num>
  <w:num w:numId="61" w16cid:durableId="239560079">
    <w:abstractNumId w:val="67"/>
  </w:num>
  <w:num w:numId="62" w16cid:durableId="1698192038">
    <w:abstractNumId w:val="80"/>
  </w:num>
  <w:num w:numId="63" w16cid:durableId="1778409655">
    <w:abstractNumId w:val="39"/>
  </w:num>
  <w:num w:numId="64" w16cid:durableId="1373311414">
    <w:abstractNumId w:val="44"/>
  </w:num>
  <w:num w:numId="65" w16cid:durableId="1080299124">
    <w:abstractNumId w:val="72"/>
  </w:num>
  <w:num w:numId="66" w16cid:durableId="1494879381">
    <w:abstractNumId w:val="64"/>
  </w:num>
  <w:num w:numId="67" w16cid:durableId="1523396687">
    <w:abstractNumId w:val="12"/>
  </w:num>
  <w:num w:numId="68" w16cid:durableId="1556433641">
    <w:abstractNumId w:val="4"/>
  </w:num>
  <w:num w:numId="69" w16cid:durableId="2145156836">
    <w:abstractNumId w:val="0"/>
  </w:num>
  <w:num w:numId="70" w16cid:durableId="1354116304">
    <w:abstractNumId w:val="58"/>
  </w:num>
  <w:num w:numId="71" w16cid:durableId="1913269764">
    <w:abstractNumId w:val="43"/>
  </w:num>
  <w:num w:numId="72" w16cid:durableId="253787060">
    <w:abstractNumId w:val="11"/>
  </w:num>
  <w:num w:numId="73" w16cid:durableId="1421750812">
    <w:abstractNumId w:val="46"/>
  </w:num>
  <w:num w:numId="74" w16cid:durableId="1765809206">
    <w:abstractNumId w:val="1"/>
  </w:num>
  <w:num w:numId="75" w16cid:durableId="1443761460">
    <w:abstractNumId w:val="25"/>
  </w:num>
  <w:num w:numId="76" w16cid:durableId="48919195">
    <w:abstractNumId w:val="38"/>
  </w:num>
  <w:num w:numId="77" w16cid:durableId="81068240">
    <w:abstractNumId w:val="33"/>
  </w:num>
  <w:num w:numId="78" w16cid:durableId="391660764">
    <w:abstractNumId w:val="7"/>
  </w:num>
  <w:num w:numId="79" w16cid:durableId="889727230">
    <w:abstractNumId w:val="19"/>
  </w:num>
  <w:num w:numId="80" w16cid:durableId="511993981">
    <w:abstractNumId w:val="23"/>
  </w:num>
  <w:num w:numId="81" w16cid:durableId="14617632">
    <w:abstractNumId w:val="30"/>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7370"/>
    <w:rsid w:val="0000040E"/>
    <w:rsid w:val="000005EB"/>
    <w:rsid w:val="00000F6C"/>
    <w:rsid w:val="00001381"/>
    <w:rsid w:val="00001824"/>
    <w:rsid w:val="000021F1"/>
    <w:rsid w:val="00002B5E"/>
    <w:rsid w:val="00003370"/>
    <w:rsid w:val="00003FD7"/>
    <w:rsid w:val="00003FFC"/>
    <w:rsid w:val="00004144"/>
    <w:rsid w:val="000043BA"/>
    <w:rsid w:val="000046CC"/>
    <w:rsid w:val="00004B21"/>
    <w:rsid w:val="000050C4"/>
    <w:rsid w:val="0000546B"/>
    <w:rsid w:val="00005508"/>
    <w:rsid w:val="00005751"/>
    <w:rsid w:val="00005A5C"/>
    <w:rsid w:val="000064A1"/>
    <w:rsid w:val="00006A56"/>
    <w:rsid w:val="0000729F"/>
    <w:rsid w:val="00007313"/>
    <w:rsid w:val="000076D7"/>
    <w:rsid w:val="0000795A"/>
    <w:rsid w:val="00007B7C"/>
    <w:rsid w:val="00007CE4"/>
    <w:rsid w:val="00007F93"/>
    <w:rsid w:val="00010473"/>
    <w:rsid w:val="000105D4"/>
    <w:rsid w:val="000116FF"/>
    <w:rsid w:val="00011900"/>
    <w:rsid w:val="00011C38"/>
    <w:rsid w:val="000122E2"/>
    <w:rsid w:val="00013402"/>
    <w:rsid w:val="0001360E"/>
    <w:rsid w:val="0001375D"/>
    <w:rsid w:val="0001376A"/>
    <w:rsid w:val="00013A8C"/>
    <w:rsid w:val="00013EEA"/>
    <w:rsid w:val="00014021"/>
    <w:rsid w:val="00014CFD"/>
    <w:rsid w:val="00015114"/>
    <w:rsid w:val="0001608C"/>
    <w:rsid w:val="000162BA"/>
    <w:rsid w:val="00016446"/>
    <w:rsid w:val="000169E6"/>
    <w:rsid w:val="00016FDB"/>
    <w:rsid w:val="0001722C"/>
    <w:rsid w:val="00017563"/>
    <w:rsid w:val="00017751"/>
    <w:rsid w:val="000178DD"/>
    <w:rsid w:val="00017C10"/>
    <w:rsid w:val="00020BA8"/>
    <w:rsid w:val="00021AAB"/>
    <w:rsid w:val="00021F01"/>
    <w:rsid w:val="000228C0"/>
    <w:rsid w:val="00022DE4"/>
    <w:rsid w:val="0002305C"/>
    <w:rsid w:val="000233A8"/>
    <w:rsid w:val="00023421"/>
    <w:rsid w:val="00023715"/>
    <w:rsid w:val="000246E2"/>
    <w:rsid w:val="00024B06"/>
    <w:rsid w:val="00025FF5"/>
    <w:rsid w:val="00026E26"/>
    <w:rsid w:val="00027A2B"/>
    <w:rsid w:val="0003067F"/>
    <w:rsid w:val="00030A69"/>
    <w:rsid w:val="00030B8D"/>
    <w:rsid w:val="00030CC2"/>
    <w:rsid w:val="00030FFF"/>
    <w:rsid w:val="00031577"/>
    <w:rsid w:val="000316BE"/>
    <w:rsid w:val="000320A1"/>
    <w:rsid w:val="00032AEF"/>
    <w:rsid w:val="00032F0C"/>
    <w:rsid w:val="00033036"/>
    <w:rsid w:val="00033149"/>
    <w:rsid w:val="0003329F"/>
    <w:rsid w:val="00033665"/>
    <w:rsid w:val="000339A6"/>
    <w:rsid w:val="00033BF4"/>
    <w:rsid w:val="00033D65"/>
    <w:rsid w:val="00034912"/>
    <w:rsid w:val="00035073"/>
    <w:rsid w:val="00035C09"/>
    <w:rsid w:val="00035C4C"/>
    <w:rsid w:val="00035CF4"/>
    <w:rsid w:val="000360A5"/>
    <w:rsid w:val="000363E7"/>
    <w:rsid w:val="00036601"/>
    <w:rsid w:val="000371B2"/>
    <w:rsid w:val="000403C6"/>
    <w:rsid w:val="0004051C"/>
    <w:rsid w:val="00040842"/>
    <w:rsid w:val="0004194F"/>
    <w:rsid w:val="000423B6"/>
    <w:rsid w:val="000425BF"/>
    <w:rsid w:val="00042CA1"/>
    <w:rsid w:val="00043292"/>
    <w:rsid w:val="0004349A"/>
    <w:rsid w:val="00043CE2"/>
    <w:rsid w:val="00043D8B"/>
    <w:rsid w:val="000448E3"/>
    <w:rsid w:val="00044F2D"/>
    <w:rsid w:val="0004540B"/>
    <w:rsid w:val="00045D63"/>
    <w:rsid w:val="00045EA8"/>
    <w:rsid w:val="00046452"/>
    <w:rsid w:val="00046561"/>
    <w:rsid w:val="00046C54"/>
    <w:rsid w:val="00047A7C"/>
    <w:rsid w:val="00050176"/>
    <w:rsid w:val="00050CCD"/>
    <w:rsid w:val="000510A1"/>
    <w:rsid w:val="00051AFC"/>
    <w:rsid w:val="0005219D"/>
    <w:rsid w:val="0005231D"/>
    <w:rsid w:val="00052323"/>
    <w:rsid w:val="00052513"/>
    <w:rsid w:val="0005298F"/>
    <w:rsid w:val="00052A70"/>
    <w:rsid w:val="000531CD"/>
    <w:rsid w:val="00053778"/>
    <w:rsid w:val="000539FD"/>
    <w:rsid w:val="00053D9C"/>
    <w:rsid w:val="00054872"/>
    <w:rsid w:val="000548DB"/>
    <w:rsid w:val="00054A7A"/>
    <w:rsid w:val="00055AB8"/>
    <w:rsid w:val="000563BC"/>
    <w:rsid w:val="000563EF"/>
    <w:rsid w:val="00056A15"/>
    <w:rsid w:val="00056DEE"/>
    <w:rsid w:val="000570C0"/>
    <w:rsid w:val="000574B1"/>
    <w:rsid w:val="000577D4"/>
    <w:rsid w:val="00057889"/>
    <w:rsid w:val="0006031E"/>
    <w:rsid w:val="000609FA"/>
    <w:rsid w:val="00060D3A"/>
    <w:rsid w:val="00060E0F"/>
    <w:rsid w:val="000615FB"/>
    <w:rsid w:val="00061D59"/>
    <w:rsid w:val="00062304"/>
    <w:rsid w:val="000629F9"/>
    <w:rsid w:val="000635D0"/>
    <w:rsid w:val="00063664"/>
    <w:rsid w:val="0006405B"/>
    <w:rsid w:val="00064646"/>
    <w:rsid w:val="00064BB2"/>
    <w:rsid w:val="00064F94"/>
    <w:rsid w:val="00064FCA"/>
    <w:rsid w:val="000653BA"/>
    <w:rsid w:val="00065746"/>
    <w:rsid w:val="00065924"/>
    <w:rsid w:val="0006607B"/>
    <w:rsid w:val="0006616D"/>
    <w:rsid w:val="00066814"/>
    <w:rsid w:val="00066998"/>
    <w:rsid w:val="00066BAC"/>
    <w:rsid w:val="000676F2"/>
    <w:rsid w:val="0006793A"/>
    <w:rsid w:val="00067AC6"/>
    <w:rsid w:val="0007002B"/>
    <w:rsid w:val="00070E5C"/>
    <w:rsid w:val="00070FD7"/>
    <w:rsid w:val="00071055"/>
    <w:rsid w:val="000714A1"/>
    <w:rsid w:val="00071865"/>
    <w:rsid w:val="00072131"/>
    <w:rsid w:val="0007279A"/>
    <w:rsid w:val="00072807"/>
    <w:rsid w:val="00072D71"/>
    <w:rsid w:val="00072DAE"/>
    <w:rsid w:val="0007351B"/>
    <w:rsid w:val="0007369A"/>
    <w:rsid w:val="000737E1"/>
    <w:rsid w:val="00074143"/>
    <w:rsid w:val="00074E85"/>
    <w:rsid w:val="0007522D"/>
    <w:rsid w:val="000753F0"/>
    <w:rsid w:val="00075853"/>
    <w:rsid w:val="000759E0"/>
    <w:rsid w:val="00075A2B"/>
    <w:rsid w:val="00075B4C"/>
    <w:rsid w:val="00075C34"/>
    <w:rsid w:val="00075C67"/>
    <w:rsid w:val="000762DC"/>
    <w:rsid w:val="000765B7"/>
    <w:rsid w:val="00076FF8"/>
    <w:rsid w:val="00077A2E"/>
    <w:rsid w:val="00077BC2"/>
    <w:rsid w:val="00077C7B"/>
    <w:rsid w:val="00077F05"/>
    <w:rsid w:val="0008032B"/>
    <w:rsid w:val="00081720"/>
    <w:rsid w:val="00081DCF"/>
    <w:rsid w:val="00081FFB"/>
    <w:rsid w:val="000820D1"/>
    <w:rsid w:val="00082719"/>
    <w:rsid w:val="00082AE8"/>
    <w:rsid w:val="00082D68"/>
    <w:rsid w:val="000836E2"/>
    <w:rsid w:val="00084898"/>
    <w:rsid w:val="00084D32"/>
    <w:rsid w:val="00085413"/>
    <w:rsid w:val="00085A7D"/>
    <w:rsid w:val="00085E8E"/>
    <w:rsid w:val="0008660E"/>
    <w:rsid w:val="000868DF"/>
    <w:rsid w:val="000876FD"/>
    <w:rsid w:val="000877DB"/>
    <w:rsid w:val="00090B60"/>
    <w:rsid w:val="00090BEB"/>
    <w:rsid w:val="000911ED"/>
    <w:rsid w:val="000933E5"/>
    <w:rsid w:val="00093540"/>
    <w:rsid w:val="00093EB8"/>
    <w:rsid w:val="0009438F"/>
    <w:rsid w:val="000946DC"/>
    <w:rsid w:val="0009498E"/>
    <w:rsid w:val="00094DBF"/>
    <w:rsid w:val="0009531D"/>
    <w:rsid w:val="00095320"/>
    <w:rsid w:val="0009549A"/>
    <w:rsid w:val="00095736"/>
    <w:rsid w:val="00095C65"/>
    <w:rsid w:val="00096C5B"/>
    <w:rsid w:val="00096CBA"/>
    <w:rsid w:val="00097005"/>
    <w:rsid w:val="000970C7"/>
    <w:rsid w:val="00097340"/>
    <w:rsid w:val="00097503"/>
    <w:rsid w:val="00097B6E"/>
    <w:rsid w:val="00097D3C"/>
    <w:rsid w:val="00097FCB"/>
    <w:rsid w:val="000A0238"/>
    <w:rsid w:val="000A0ADC"/>
    <w:rsid w:val="000A17D7"/>
    <w:rsid w:val="000A211D"/>
    <w:rsid w:val="000A23AD"/>
    <w:rsid w:val="000A257C"/>
    <w:rsid w:val="000A28AD"/>
    <w:rsid w:val="000A2A3B"/>
    <w:rsid w:val="000A2ADD"/>
    <w:rsid w:val="000A3941"/>
    <w:rsid w:val="000A3E8F"/>
    <w:rsid w:val="000A3FD7"/>
    <w:rsid w:val="000A4139"/>
    <w:rsid w:val="000A4232"/>
    <w:rsid w:val="000A43B8"/>
    <w:rsid w:val="000A44D8"/>
    <w:rsid w:val="000A4552"/>
    <w:rsid w:val="000A559B"/>
    <w:rsid w:val="000A5814"/>
    <w:rsid w:val="000A6020"/>
    <w:rsid w:val="000A602C"/>
    <w:rsid w:val="000A63A7"/>
    <w:rsid w:val="000A63D0"/>
    <w:rsid w:val="000A7190"/>
    <w:rsid w:val="000A71EF"/>
    <w:rsid w:val="000A74B3"/>
    <w:rsid w:val="000A7889"/>
    <w:rsid w:val="000A7B61"/>
    <w:rsid w:val="000B0474"/>
    <w:rsid w:val="000B06EE"/>
    <w:rsid w:val="000B0715"/>
    <w:rsid w:val="000B13C1"/>
    <w:rsid w:val="000B14C6"/>
    <w:rsid w:val="000B1750"/>
    <w:rsid w:val="000B1EEC"/>
    <w:rsid w:val="000B217E"/>
    <w:rsid w:val="000B2A7C"/>
    <w:rsid w:val="000B2C2D"/>
    <w:rsid w:val="000B2C75"/>
    <w:rsid w:val="000B2CB3"/>
    <w:rsid w:val="000B39F4"/>
    <w:rsid w:val="000B4B42"/>
    <w:rsid w:val="000B4BEF"/>
    <w:rsid w:val="000B4F18"/>
    <w:rsid w:val="000B5038"/>
    <w:rsid w:val="000B5431"/>
    <w:rsid w:val="000B5D56"/>
    <w:rsid w:val="000B5F41"/>
    <w:rsid w:val="000B6042"/>
    <w:rsid w:val="000B6206"/>
    <w:rsid w:val="000B7609"/>
    <w:rsid w:val="000C0767"/>
    <w:rsid w:val="000C09BE"/>
    <w:rsid w:val="000C127E"/>
    <w:rsid w:val="000C1370"/>
    <w:rsid w:val="000C1A54"/>
    <w:rsid w:val="000C2056"/>
    <w:rsid w:val="000C368D"/>
    <w:rsid w:val="000C47A9"/>
    <w:rsid w:val="000C4D0C"/>
    <w:rsid w:val="000C4F8E"/>
    <w:rsid w:val="000C58B2"/>
    <w:rsid w:val="000C5B5C"/>
    <w:rsid w:val="000C5CB6"/>
    <w:rsid w:val="000C636C"/>
    <w:rsid w:val="000C711E"/>
    <w:rsid w:val="000C7A81"/>
    <w:rsid w:val="000C7AF4"/>
    <w:rsid w:val="000C7D57"/>
    <w:rsid w:val="000C7ECD"/>
    <w:rsid w:val="000D0AB1"/>
    <w:rsid w:val="000D199C"/>
    <w:rsid w:val="000D1D1B"/>
    <w:rsid w:val="000D281E"/>
    <w:rsid w:val="000D2FDF"/>
    <w:rsid w:val="000D389C"/>
    <w:rsid w:val="000D3A0E"/>
    <w:rsid w:val="000D4A65"/>
    <w:rsid w:val="000D4B35"/>
    <w:rsid w:val="000D4C94"/>
    <w:rsid w:val="000D50E1"/>
    <w:rsid w:val="000D5967"/>
    <w:rsid w:val="000D60FF"/>
    <w:rsid w:val="000D63E6"/>
    <w:rsid w:val="000D6824"/>
    <w:rsid w:val="000D6B10"/>
    <w:rsid w:val="000D77E1"/>
    <w:rsid w:val="000E0795"/>
    <w:rsid w:val="000E09F5"/>
    <w:rsid w:val="000E0EAA"/>
    <w:rsid w:val="000E1A43"/>
    <w:rsid w:val="000E1A64"/>
    <w:rsid w:val="000E1EB5"/>
    <w:rsid w:val="000E238E"/>
    <w:rsid w:val="000E2584"/>
    <w:rsid w:val="000E2F93"/>
    <w:rsid w:val="000E36FE"/>
    <w:rsid w:val="000E3749"/>
    <w:rsid w:val="000E4D88"/>
    <w:rsid w:val="000E60CA"/>
    <w:rsid w:val="000E6DC0"/>
    <w:rsid w:val="000E7016"/>
    <w:rsid w:val="000E75CC"/>
    <w:rsid w:val="000E7AFD"/>
    <w:rsid w:val="000E7DE1"/>
    <w:rsid w:val="000F00A4"/>
    <w:rsid w:val="000F18F6"/>
    <w:rsid w:val="000F1ADF"/>
    <w:rsid w:val="000F1C07"/>
    <w:rsid w:val="000F28CB"/>
    <w:rsid w:val="000F2FC9"/>
    <w:rsid w:val="000F357D"/>
    <w:rsid w:val="000F35A9"/>
    <w:rsid w:val="000F35FC"/>
    <w:rsid w:val="000F48E7"/>
    <w:rsid w:val="000F4C9F"/>
    <w:rsid w:val="000F4CBD"/>
    <w:rsid w:val="000F5043"/>
    <w:rsid w:val="000F5672"/>
    <w:rsid w:val="000F5CC0"/>
    <w:rsid w:val="000F6DD1"/>
    <w:rsid w:val="000F7D11"/>
    <w:rsid w:val="00100634"/>
    <w:rsid w:val="00100718"/>
    <w:rsid w:val="00100C7D"/>
    <w:rsid w:val="00101274"/>
    <w:rsid w:val="001012BE"/>
    <w:rsid w:val="00102240"/>
    <w:rsid w:val="00102653"/>
    <w:rsid w:val="00103720"/>
    <w:rsid w:val="001039BE"/>
    <w:rsid w:val="00103F01"/>
    <w:rsid w:val="00104512"/>
    <w:rsid w:val="001047E1"/>
    <w:rsid w:val="00104B04"/>
    <w:rsid w:val="00104D4C"/>
    <w:rsid w:val="0010518C"/>
    <w:rsid w:val="001053C7"/>
    <w:rsid w:val="001053DF"/>
    <w:rsid w:val="00105D6E"/>
    <w:rsid w:val="00105FB2"/>
    <w:rsid w:val="00106379"/>
    <w:rsid w:val="0010695D"/>
    <w:rsid w:val="00106A44"/>
    <w:rsid w:val="00106C1A"/>
    <w:rsid w:val="00106C52"/>
    <w:rsid w:val="00107A99"/>
    <w:rsid w:val="00107E54"/>
    <w:rsid w:val="00110379"/>
    <w:rsid w:val="00110500"/>
    <w:rsid w:val="0011070B"/>
    <w:rsid w:val="00110739"/>
    <w:rsid w:val="00110A91"/>
    <w:rsid w:val="00111DC1"/>
    <w:rsid w:val="00111E0B"/>
    <w:rsid w:val="001124D5"/>
    <w:rsid w:val="001125B4"/>
    <w:rsid w:val="00112697"/>
    <w:rsid w:val="00112846"/>
    <w:rsid w:val="00112D5C"/>
    <w:rsid w:val="00112F95"/>
    <w:rsid w:val="0011326A"/>
    <w:rsid w:val="001135C4"/>
    <w:rsid w:val="0011394F"/>
    <w:rsid w:val="00113B22"/>
    <w:rsid w:val="00113D0D"/>
    <w:rsid w:val="0011405C"/>
    <w:rsid w:val="001140B9"/>
    <w:rsid w:val="00114363"/>
    <w:rsid w:val="001148EF"/>
    <w:rsid w:val="00114E7C"/>
    <w:rsid w:val="00114F38"/>
    <w:rsid w:val="001153EE"/>
    <w:rsid w:val="001156C6"/>
    <w:rsid w:val="00115A74"/>
    <w:rsid w:val="00117270"/>
    <w:rsid w:val="0011768F"/>
    <w:rsid w:val="00120CF1"/>
    <w:rsid w:val="00120D77"/>
    <w:rsid w:val="00121285"/>
    <w:rsid w:val="00121633"/>
    <w:rsid w:val="0012196C"/>
    <w:rsid w:val="00121BAF"/>
    <w:rsid w:val="00121DA3"/>
    <w:rsid w:val="001223B8"/>
    <w:rsid w:val="00122D63"/>
    <w:rsid w:val="00123350"/>
    <w:rsid w:val="00123459"/>
    <w:rsid w:val="00123817"/>
    <w:rsid w:val="001247C6"/>
    <w:rsid w:val="00125237"/>
    <w:rsid w:val="00125731"/>
    <w:rsid w:val="001258B6"/>
    <w:rsid w:val="00125A33"/>
    <w:rsid w:val="00125ACE"/>
    <w:rsid w:val="00126425"/>
    <w:rsid w:val="00126750"/>
    <w:rsid w:val="001269B1"/>
    <w:rsid w:val="00126A5E"/>
    <w:rsid w:val="00126B6E"/>
    <w:rsid w:val="00126B7C"/>
    <w:rsid w:val="00126D63"/>
    <w:rsid w:val="00126E58"/>
    <w:rsid w:val="00127207"/>
    <w:rsid w:val="00127234"/>
    <w:rsid w:val="001272EA"/>
    <w:rsid w:val="00130811"/>
    <w:rsid w:val="00131E2C"/>
    <w:rsid w:val="0013273E"/>
    <w:rsid w:val="0013289C"/>
    <w:rsid w:val="001330EF"/>
    <w:rsid w:val="00133830"/>
    <w:rsid w:val="00133977"/>
    <w:rsid w:val="00133998"/>
    <w:rsid w:val="00133D5F"/>
    <w:rsid w:val="00134259"/>
    <w:rsid w:val="00134576"/>
    <w:rsid w:val="00134DD8"/>
    <w:rsid w:val="001351B7"/>
    <w:rsid w:val="001351D5"/>
    <w:rsid w:val="00135889"/>
    <w:rsid w:val="00135939"/>
    <w:rsid w:val="00136281"/>
    <w:rsid w:val="00136430"/>
    <w:rsid w:val="00140396"/>
    <w:rsid w:val="00140965"/>
    <w:rsid w:val="00141391"/>
    <w:rsid w:val="00141C21"/>
    <w:rsid w:val="0014258D"/>
    <w:rsid w:val="00143124"/>
    <w:rsid w:val="001434A4"/>
    <w:rsid w:val="00143518"/>
    <w:rsid w:val="00143632"/>
    <w:rsid w:val="00143FA2"/>
    <w:rsid w:val="00144729"/>
    <w:rsid w:val="00146378"/>
    <w:rsid w:val="00146582"/>
    <w:rsid w:val="0014673D"/>
    <w:rsid w:val="0014692F"/>
    <w:rsid w:val="00146AA6"/>
    <w:rsid w:val="00146DB6"/>
    <w:rsid w:val="001477B6"/>
    <w:rsid w:val="001508D2"/>
    <w:rsid w:val="00150A1B"/>
    <w:rsid w:val="001510B3"/>
    <w:rsid w:val="00151655"/>
    <w:rsid w:val="00151F5E"/>
    <w:rsid w:val="001524AA"/>
    <w:rsid w:val="0015287A"/>
    <w:rsid w:val="00152AB8"/>
    <w:rsid w:val="001530BD"/>
    <w:rsid w:val="00154B86"/>
    <w:rsid w:val="00154D61"/>
    <w:rsid w:val="001550F1"/>
    <w:rsid w:val="0015549F"/>
    <w:rsid w:val="00155A18"/>
    <w:rsid w:val="00155B3E"/>
    <w:rsid w:val="0015657A"/>
    <w:rsid w:val="0015659F"/>
    <w:rsid w:val="001565A2"/>
    <w:rsid w:val="001565E0"/>
    <w:rsid w:val="00156E62"/>
    <w:rsid w:val="0015740B"/>
    <w:rsid w:val="0015745D"/>
    <w:rsid w:val="00160522"/>
    <w:rsid w:val="00160DC4"/>
    <w:rsid w:val="001613C4"/>
    <w:rsid w:val="001617CB"/>
    <w:rsid w:val="0016253D"/>
    <w:rsid w:val="00162559"/>
    <w:rsid w:val="00162BC7"/>
    <w:rsid w:val="00162C70"/>
    <w:rsid w:val="00163281"/>
    <w:rsid w:val="001642B1"/>
    <w:rsid w:val="001643F9"/>
    <w:rsid w:val="0016459B"/>
    <w:rsid w:val="00164B7C"/>
    <w:rsid w:val="00164C03"/>
    <w:rsid w:val="00164C9E"/>
    <w:rsid w:val="00164F3C"/>
    <w:rsid w:val="00165119"/>
    <w:rsid w:val="00165BD6"/>
    <w:rsid w:val="001667C5"/>
    <w:rsid w:val="00166A23"/>
    <w:rsid w:val="00166D58"/>
    <w:rsid w:val="00167732"/>
    <w:rsid w:val="00167A1F"/>
    <w:rsid w:val="00167B1F"/>
    <w:rsid w:val="0017072A"/>
    <w:rsid w:val="00170BE9"/>
    <w:rsid w:val="00171D36"/>
    <w:rsid w:val="00172F4F"/>
    <w:rsid w:val="001730D5"/>
    <w:rsid w:val="001736FB"/>
    <w:rsid w:val="00173B77"/>
    <w:rsid w:val="001745F9"/>
    <w:rsid w:val="001748DD"/>
    <w:rsid w:val="00175E49"/>
    <w:rsid w:val="00175FF0"/>
    <w:rsid w:val="0017626F"/>
    <w:rsid w:val="00177211"/>
    <w:rsid w:val="00180057"/>
    <w:rsid w:val="001808D8"/>
    <w:rsid w:val="001808DE"/>
    <w:rsid w:val="00180EDF"/>
    <w:rsid w:val="001810D7"/>
    <w:rsid w:val="00181D4B"/>
    <w:rsid w:val="001829ED"/>
    <w:rsid w:val="00182BB9"/>
    <w:rsid w:val="00183AF4"/>
    <w:rsid w:val="0018432A"/>
    <w:rsid w:val="00184544"/>
    <w:rsid w:val="00184854"/>
    <w:rsid w:val="00184E5E"/>
    <w:rsid w:val="00185232"/>
    <w:rsid w:val="00185811"/>
    <w:rsid w:val="00185B3D"/>
    <w:rsid w:val="00186595"/>
    <w:rsid w:val="00186879"/>
    <w:rsid w:val="001871AB"/>
    <w:rsid w:val="00187457"/>
    <w:rsid w:val="001902C2"/>
    <w:rsid w:val="001905CD"/>
    <w:rsid w:val="001907E0"/>
    <w:rsid w:val="0019116C"/>
    <w:rsid w:val="00191229"/>
    <w:rsid w:val="0019136D"/>
    <w:rsid w:val="00191E87"/>
    <w:rsid w:val="0019235C"/>
    <w:rsid w:val="00192392"/>
    <w:rsid w:val="00192BB0"/>
    <w:rsid w:val="001937DE"/>
    <w:rsid w:val="00193921"/>
    <w:rsid w:val="00193D26"/>
    <w:rsid w:val="00194630"/>
    <w:rsid w:val="001947A8"/>
    <w:rsid w:val="001952CE"/>
    <w:rsid w:val="0019536E"/>
    <w:rsid w:val="00195938"/>
    <w:rsid w:val="00196580"/>
    <w:rsid w:val="001965E7"/>
    <w:rsid w:val="0019673C"/>
    <w:rsid w:val="001970EF"/>
    <w:rsid w:val="00197631"/>
    <w:rsid w:val="00197DBD"/>
    <w:rsid w:val="001A00AD"/>
    <w:rsid w:val="001A0676"/>
    <w:rsid w:val="001A12C7"/>
    <w:rsid w:val="001A1422"/>
    <w:rsid w:val="001A14A8"/>
    <w:rsid w:val="001A1542"/>
    <w:rsid w:val="001A1975"/>
    <w:rsid w:val="001A1A4B"/>
    <w:rsid w:val="001A1AD9"/>
    <w:rsid w:val="001A1B44"/>
    <w:rsid w:val="001A1C48"/>
    <w:rsid w:val="001A1F4F"/>
    <w:rsid w:val="001A2112"/>
    <w:rsid w:val="001A21AC"/>
    <w:rsid w:val="001A225F"/>
    <w:rsid w:val="001A261C"/>
    <w:rsid w:val="001A2A89"/>
    <w:rsid w:val="001A2EDB"/>
    <w:rsid w:val="001A3124"/>
    <w:rsid w:val="001A386E"/>
    <w:rsid w:val="001A3921"/>
    <w:rsid w:val="001A4321"/>
    <w:rsid w:val="001A49A9"/>
    <w:rsid w:val="001A49E8"/>
    <w:rsid w:val="001A4B58"/>
    <w:rsid w:val="001A53F2"/>
    <w:rsid w:val="001A5ED1"/>
    <w:rsid w:val="001A6586"/>
    <w:rsid w:val="001A6A8E"/>
    <w:rsid w:val="001A6E39"/>
    <w:rsid w:val="001A6EC7"/>
    <w:rsid w:val="001A6FDD"/>
    <w:rsid w:val="001A7243"/>
    <w:rsid w:val="001B0018"/>
    <w:rsid w:val="001B02A1"/>
    <w:rsid w:val="001B070B"/>
    <w:rsid w:val="001B07FF"/>
    <w:rsid w:val="001B0EE6"/>
    <w:rsid w:val="001B1423"/>
    <w:rsid w:val="001B154A"/>
    <w:rsid w:val="001B1A2B"/>
    <w:rsid w:val="001B2066"/>
    <w:rsid w:val="001B27A1"/>
    <w:rsid w:val="001B27AE"/>
    <w:rsid w:val="001B2C64"/>
    <w:rsid w:val="001B2CF4"/>
    <w:rsid w:val="001B3415"/>
    <w:rsid w:val="001B3598"/>
    <w:rsid w:val="001B36CF"/>
    <w:rsid w:val="001B43CF"/>
    <w:rsid w:val="001B4792"/>
    <w:rsid w:val="001B488F"/>
    <w:rsid w:val="001B4B29"/>
    <w:rsid w:val="001B5017"/>
    <w:rsid w:val="001B53F1"/>
    <w:rsid w:val="001B559A"/>
    <w:rsid w:val="001B5AE2"/>
    <w:rsid w:val="001B6249"/>
    <w:rsid w:val="001B6645"/>
    <w:rsid w:val="001B6656"/>
    <w:rsid w:val="001B76DD"/>
    <w:rsid w:val="001B7F7A"/>
    <w:rsid w:val="001C0758"/>
    <w:rsid w:val="001C27AC"/>
    <w:rsid w:val="001C3914"/>
    <w:rsid w:val="001C4899"/>
    <w:rsid w:val="001C4CF0"/>
    <w:rsid w:val="001C503C"/>
    <w:rsid w:val="001C506E"/>
    <w:rsid w:val="001C513B"/>
    <w:rsid w:val="001C69A2"/>
    <w:rsid w:val="001C7D25"/>
    <w:rsid w:val="001C7D99"/>
    <w:rsid w:val="001D0229"/>
    <w:rsid w:val="001D0400"/>
    <w:rsid w:val="001D09A3"/>
    <w:rsid w:val="001D09BD"/>
    <w:rsid w:val="001D13CC"/>
    <w:rsid w:val="001D1F91"/>
    <w:rsid w:val="001D288B"/>
    <w:rsid w:val="001D28D0"/>
    <w:rsid w:val="001D2D58"/>
    <w:rsid w:val="001D2DC0"/>
    <w:rsid w:val="001D309E"/>
    <w:rsid w:val="001D3251"/>
    <w:rsid w:val="001D4129"/>
    <w:rsid w:val="001D4147"/>
    <w:rsid w:val="001D469D"/>
    <w:rsid w:val="001D5F4D"/>
    <w:rsid w:val="001D5FF1"/>
    <w:rsid w:val="001D66C4"/>
    <w:rsid w:val="001D6DE3"/>
    <w:rsid w:val="001D7597"/>
    <w:rsid w:val="001D77C3"/>
    <w:rsid w:val="001D7D9B"/>
    <w:rsid w:val="001E0A0E"/>
    <w:rsid w:val="001E0BD7"/>
    <w:rsid w:val="001E193D"/>
    <w:rsid w:val="001E281C"/>
    <w:rsid w:val="001E3B99"/>
    <w:rsid w:val="001E42FE"/>
    <w:rsid w:val="001E50F0"/>
    <w:rsid w:val="001E5141"/>
    <w:rsid w:val="001E53DD"/>
    <w:rsid w:val="001E56B5"/>
    <w:rsid w:val="001E5EF7"/>
    <w:rsid w:val="001E6441"/>
    <w:rsid w:val="001E6579"/>
    <w:rsid w:val="001E6F50"/>
    <w:rsid w:val="001E70EB"/>
    <w:rsid w:val="001E7693"/>
    <w:rsid w:val="001E7AA6"/>
    <w:rsid w:val="001E7CBC"/>
    <w:rsid w:val="001E7CE3"/>
    <w:rsid w:val="001F068C"/>
    <w:rsid w:val="001F0755"/>
    <w:rsid w:val="001F086A"/>
    <w:rsid w:val="001F1658"/>
    <w:rsid w:val="001F16A3"/>
    <w:rsid w:val="001F1848"/>
    <w:rsid w:val="001F1D95"/>
    <w:rsid w:val="001F1F8E"/>
    <w:rsid w:val="001F21D5"/>
    <w:rsid w:val="001F24E3"/>
    <w:rsid w:val="001F2687"/>
    <w:rsid w:val="001F2CC1"/>
    <w:rsid w:val="001F3440"/>
    <w:rsid w:val="001F362F"/>
    <w:rsid w:val="001F371A"/>
    <w:rsid w:val="001F37A8"/>
    <w:rsid w:val="001F39DB"/>
    <w:rsid w:val="001F3B75"/>
    <w:rsid w:val="001F4074"/>
    <w:rsid w:val="001F414B"/>
    <w:rsid w:val="001F4DDB"/>
    <w:rsid w:val="001F558F"/>
    <w:rsid w:val="001F5745"/>
    <w:rsid w:val="001F59ED"/>
    <w:rsid w:val="001F5EBC"/>
    <w:rsid w:val="001F60AE"/>
    <w:rsid w:val="001F61FC"/>
    <w:rsid w:val="001F698B"/>
    <w:rsid w:val="001F6AE2"/>
    <w:rsid w:val="001F6C5A"/>
    <w:rsid w:val="001F6D3C"/>
    <w:rsid w:val="001F70C8"/>
    <w:rsid w:val="001F720C"/>
    <w:rsid w:val="001F734F"/>
    <w:rsid w:val="001F7366"/>
    <w:rsid w:val="001F737A"/>
    <w:rsid w:val="001F738F"/>
    <w:rsid w:val="001F7579"/>
    <w:rsid w:val="001F7B3C"/>
    <w:rsid w:val="001F7E47"/>
    <w:rsid w:val="00200186"/>
    <w:rsid w:val="00200AD5"/>
    <w:rsid w:val="002013F5"/>
    <w:rsid w:val="002019A2"/>
    <w:rsid w:val="00201BB7"/>
    <w:rsid w:val="00201EEE"/>
    <w:rsid w:val="0020244C"/>
    <w:rsid w:val="00202853"/>
    <w:rsid w:val="00202AD6"/>
    <w:rsid w:val="00202C73"/>
    <w:rsid w:val="00203A53"/>
    <w:rsid w:val="00203AA6"/>
    <w:rsid w:val="00203C61"/>
    <w:rsid w:val="002040F3"/>
    <w:rsid w:val="00204EB1"/>
    <w:rsid w:val="00204F2C"/>
    <w:rsid w:val="002051DA"/>
    <w:rsid w:val="00205335"/>
    <w:rsid w:val="00205A90"/>
    <w:rsid w:val="00206558"/>
    <w:rsid w:val="00206F99"/>
    <w:rsid w:val="00207919"/>
    <w:rsid w:val="00207CDF"/>
    <w:rsid w:val="002100A3"/>
    <w:rsid w:val="00210597"/>
    <w:rsid w:val="00210A5F"/>
    <w:rsid w:val="002118D7"/>
    <w:rsid w:val="00212387"/>
    <w:rsid w:val="00213444"/>
    <w:rsid w:val="00213494"/>
    <w:rsid w:val="00213817"/>
    <w:rsid w:val="00213AD1"/>
    <w:rsid w:val="00213E2F"/>
    <w:rsid w:val="00213F85"/>
    <w:rsid w:val="0021417E"/>
    <w:rsid w:val="002142C0"/>
    <w:rsid w:val="0021436A"/>
    <w:rsid w:val="002149C5"/>
    <w:rsid w:val="00215A54"/>
    <w:rsid w:val="00215C36"/>
    <w:rsid w:val="00216B0A"/>
    <w:rsid w:val="00216E90"/>
    <w:rsid w:val="00216EB0"/>
    <w:rsid w:val="00217F8F"/>
    <w:rsid w:val="00217FC2"/>
    <w:rsid w:val="00220AF8"/>
    <w:rsid w:val="00220EE3"/>
    <w:rsid w:val="0022115D"/>
    <w:rsid w:val="002217A8"/>
    <w:rsid w:val="00221DFC"/>
    <w:rsid w:val="00221E2D"/>
    <w:rsid w:val="00222288"/>
    <w:rsid w:val="00222591"/>
    <w:rsid w:val="0022288F"/>
    <w:rsid w:val="00222D3C"/>
    <w:rsid w:val="00223120"/>
    <w:rsid w:val="00223493"/>
    <w:rsid w:val="002234CD"/>
    <w:rsid w:val="002234ED"/>
    <w:rsid w:val="00223765"/>
    <w:rsid w:val="002237EC"/>
    <w:rsid w:val="002239BC"/>
    <w:rsid w:val="00223B9D"/>
    <w:rsid w:val="00223F7F"/>
    <w:rsid w:val="00224300"/>
    <w:rsid w:val="00224309"/>
    <w:rsid w:val="0022443B"/>
    <w:rsid w:val="0022451B"/>
    <w:rsid w:val="00224536"/>
    <w:rsid w:val="00224C52"/>
    <w:rsid w:val="00225117"/>
    <w:rsid w:val="0022551F"/>
    <w:rsid w:val="002255D2"/>
    <w:rsid w:val="00225819"/>
    <w:rsid w:val="00225893"/>
    <w:rsid w:val="00226539"/>
    <w:rsid w:val="00226927"/>
    <w:rsid w:val="0022741E"/>
    <w:rsid w:val="0023023D"/>
    <w:rsid w:val="002305CA"/>
    <w:rsid w:val="002308BC"/>
    <w:rsid w:val="00230A39"/>
    <w:rsid w:val="00231162"/>
    <w:rsid w:val="0023134B"/>
    <w:rsid w:val="002326CD"/>
    <w:rsid w:val="00232B54"/>
    <w:rsid w:val="00232C07"/>
    <w:rsid w:val="00233BC5"/>
    <w:rsid w:val="00233CE5"/>
    <w:rsid w:val="00235C57"/>
    <w:rsid w:val="00236BBE"/>
    <w:rsid w:val="00237026"/>
    <w:rsid w:val="00237AEC"/>
    <w:rsid w:val="00237B2F"/>
    <w:rsid w:val="002400B6"/>
    <w:rsid w:val="002412F5"/>
    <w:rsid w:val="00242D08"/>
    <w:rsid w:val="00243236"/>
    <w:rsid w:val="002433EB"/>
    <w:rsid w:val="0024346B"/>
    <w:rsid w:val="00243F8E"/>
    <w:rsid w:val="00244B80"/>
    <w:rsid w:val="00244C43"/>
    <w:rsid w:val="00245153"/>
    <w:rsid w:val="002451B1"/>
    <w:rsid w:val="00245494"/>
    <w:rsid w:val="002457CB"/>
    <w:rsid w:val="00245C2A"/>
    <w:rsid w:val="00245CE9"/>
    <w:rsid w:val="00245F7D"/>
    <w:rsid w:val="0024622C"/>
    <w:rsid w:val="002468F1"/>
    <w:rsid w:val="00246D9B"/>
    <w:rsid w:val="00247411"/>
    <w:rsid w:val="002478AB"/>
    <w:rsid w:val="0024799E"/>
    <w:rsid w:val="00247B39"/>
    <w:rsid w:val="0025150B"/>
    <w:rsid w:val="0025199C"/>
    <w:rsid w:val="00251FFC"/>
    <w:rsid w:val="00252365"/>
    <w:rsid w:val="002523D1"/>
    <w:rsid w:val="00252411"/>
    <w:rsid w:val="00252A7D"/>
    <w:rsid w:val="00252F7D"/>
    <w:rsid w:val="00254726"/>
    <w:rsid w:val="002559D7"/>
    <w:rsid w:val="00255D2A"/>
    <w:rsid w:val="002560D3"/>
    <w:rsid w:val="0025681B"/>
    <w:rsid w:val="002569D4"/>
    <w:rsid w:val="002569F6"/>
    <w:rsid w:val="00256F72"/>
    <w:rsid w:val="002574B1"/>
    <w:rsid w:val="002579EE"/>
    <w:rsid w:val="00260D4B"/>
    <w:rsid w:val="00261218"/>
    <w:rsid w:val="002615CD"/>
    <w:rsid w:val="00261CBE"/>
    <w:rsid w:val="00262643"/>
    <w:rsid w:val="002627E7"/>
    <w:rsid w:val="002629AB"/>
    <w:rsid w:val="00262B50"/>
    <w:rsid w:val="00263584"/>
    <w:rsid w:val="00263928"/>
    <w:rsid w:val="00263F39"/>
    <w:rsid w:val="00264507"/>
    <w:rsid w:val="00264A0A"/>
    <w:rsid w:val="00265580"/>
    <w:rsid w:val="002657C9"/>
    <w:rsid w:val="00265920"/>
    <w:rsid w:val="00266601"/>
    <w:rsid w:val="00266627"/>
    <w:rsid w:val="002667BE"/>
    <w:rsid w:val="00266F81"/>
    <w:rsid w:val="00267AA7"/>
    <w:rsid w:val="00270454"/>
    <w:rsid w:val="00270C67"/>
    <w:rsid w:val="00270DD6"/>
    <w:rsid w:val="00270E25"/>
    <w:rsid w:val="002711CC"/>
    <w:rsid w:val="00271BFD"/>
    <w:rsid w:val="00272555"/>
    <w:rsid w:val="00272624"/>
    <w:rsid w:val="002730FD"/>
    <w:rsid w:val="002732F1"/>
    <w:rsid w:val="002736FD"/>
    <w:rsid w:val="002737BE"/>
    <w:rsid w:val="00273BBE"/>
    <w:rsid w:val="00273CCD"/>
    <w:rsid w:val="00273E1F"/>
    <w:rsid w:val="00274236"/>
    <w:rsid w:val="002744C9"/>
    <w:rsid w:val="002745B2"/>
    <w:rsid w:val="002745E9"/>
    <w:rsid w:val="0027503E"/>
    <w:rsid w:val="00275245"/>
    <w:rsid w:val="0027529E"/>
    <w:rsid w:val="0027580B"/>
    <w:rsid w:val="00275F34"/>
    <w:rsid w:val="002766D9"/>
    <w:rsid w:val="00276C7A"/>
    <w:rsid w:val="00277203"/>
    <w:rsid w:val="00277895"/>
    <w:rsid w:val="00277EBB"/>
    <w:rsid w:val="0028021C"/>
    <w:rsid w:val="002805C4"/>
    <w:rsid w:val="00280765"/>
    <w:rsid w:val="0028119A"/>
    <w:rsid w:val="00281638"/>
    <w:rsid w:val="002820F3"/>
    <w:rsid w:val="00282815"/>
    <w:rsid w:val="00282BDC"/>
    <w:rsid w:val="0028360B"/>
    <w:rsid w:val="002842BB"/>
    <w:rsid w:val="002844CD"/>
    <w:rsid w:val="00284622"/>
    <w:rsid w:val="00284EDF"/>
    <w:rsid w:val="002855B1"/>
    <w:rsid w:val="00285764"/>
    <w:rsid w:val="002857E3"/>
    <w:rsid w:val="00286315"/>
    <w:rsid w:val="00286D20"/>
    <w:rsid w:val="002876CA"/>
    <w:rsid w:val="00290B4C"/>
    <w:rsid w:val="00291047"/>
    <w:rsid w:val="002915BE"/>
    <w:rsid w:val="00292211"/>
    <w:rsid w:val="002926F1"/>
    <w:rsid w:val="00292AAC"/>
    <w:rsid w:val="00292E35"/>
    <w:rsid w:val="00293057"/>
    <w:rsid w:val="002931BA"/>
    <w:rsid w:val="0029351D"/>
    <w:rsid w:val="0029397E"/>
    <w:rsid w:val="00293C3A"/>
    <w:rsid w:val="00293D16"/>
    <w:rsid w:val="002957A7"/>
    <w:rsid w:val="00295B24"/>
    <w:rsid w:val="00295D69"/>
    <w:rsid w:val="00296D26"/>
    <w:rsid w:val="00297C56"/>
    <w:rsid w:val="002A09D8"/>
    <w:rsid w:val="002A0B80"/>
    <w:rsid w:val="002A0D64"/>
    <w:rsid w:val="002A0F0F"/>
    <w:rsid w:val="002A2407"/>
    <w:rsid w:val="002A2532"/>
    <w:rsid w:val="002A27FF"/>
    <w:rsid w:val="002A2859"/>
    <w:rsid w:val="002A2BA0"/>
    <w:rsid w:val="002A4594"/>
    <w:rsid w:val="002A54A1"/>
    <w:rsid w:val="002A5CDB"/>
    <w:rsid w:val="002A64B6"/>
    <w:rsid w:val="002A6CAA"/>
    <w:rsid w:val="002A6E3E"/>
    <w:rsid w:val="002A71F1"/>
    <w:rsid w:val="002A7377"/>
    <w:rsid w:val="002A787B"/>
    <w:rsid w:val="002A7C48"/>
    <w:rsid w:val="002A7FFD"/>
    <w:rsid w:val="002B0A7D"/>
    <w:rsid w:val="002B0AFF"/>
    <w:rsid w:val="002B0BDD"/>
    <w:rsid w:val="002B0FCD"/>
    <w:rsid w:val="002B11B9"/>
    <w:rsid w:val="002B24E6"/>
    <w:rsid w:val="002B26E2"/>
    <w:rsid w:val="002B34AD"/>
    <w:rsid w:val="002B34BB"/>
    <w:rsid w:val="002B40F6"/>
    <w:rsid w:val="002B467C"/>
    <w:rsid w:val="002B4802"/>
    <w:rsid w:val="002B4DB6"/>
    <w:rsid w:val="002B5065"/>
    <w:rsid w:val="002B5905"/>
    <w:rsid w:val="002B6460"/>
    <w:rsid w:val="002B64BA"/>
    <w:rsid w:val="002B6578"/>
    <w:rsid w:val="002B741A"/>
    <w:rsid w:val="002B7CA8"/>
    <w:rsid w:val="002C00D5"/>
    <w:rsid w:val="002C099B"/>
    <w:rsid w:val="002C203A"/>
    <w:rsid w:val="002C2270"/>
    <w:rsid w:val="002C2351"/>
    <w:rsid w:val="002C2BCD"/>
    <w:rsid w:val="002C3375"/>
    <w:rsid w:val="002C37F8"/>
    <w:rsid w:val="002C3803"/>
    <w:rsid w:val="002C3D20"/>
    <w:rsid w:val="002C3EBE"/>
    <w:rsid w:val="002C5681"/>
    <w:rsid w:val="002C66F2"/>
    <w:rsid w:val="002C6E7F"/>
    <w:rsid w:val="002C7733"/>
    <w:rsid w:val="002C7DF8"/>
    <w:rsid w:val="002C7EC6"/>
    <w:rsid w:val="002D00B9"/>
    <w:rsid w:val="002D0759"/>
    <w:rsid w:val="002D0E71"/>
    <w:rsid w:val="002D1566"/>
    <w:rsid w:val="002D176D"/>
    <w:rsid w:val="002D185C"/>
    <w:rsid w:val="002D282D"/>
    <w:rsid w:val="002D31A0"/>
    <w:rsid w:val="002D3FC1"/>
    <w:rsid w:val="002D405C"/>
    <w:rsid w:val="002D4409"/>
    <w:rsid w:val="002D4B46"/>
    <w:rsid w:val="002D4C15"/>
    <w:rsid w:val="002D4CF8"/>
    <w:rsid w:val="002D4E46"/>
    <w:rsid w:val="002D54A1"/>
    <w:rsid w:val="002D5F96"/>
    <w:rsid w:val="002D65B1"/>
    <w:rsid w:val="002D677E"/>
    <w:rsid w:val="002D76C1"/>
    <w:rsid w:val="002D7D18"/>
    <w:rsid w:val="002E094F"/>
    <w:rsid w:val="002E13F1"/>
    <w:rsid w:val="002E1E4A"/>
    <w:rsid w:val="002E259C"/>
    <w:rsid w:val="002E2CA8"/>
    <w:rsid w:val="002E323F"/>
    <w:rsid w:val="002E3857"/>
    <w:rsid w:val="002E3B03"/>
    <w:rsid w:val="002E4521"/>
    <w:rsid w:val="002E4C2F"/>
    <w:rsid w:val="002E57E7"/>
    <w:rsid w:val="002E5969"/>
    <w:rsid w:val="002E6771"/>
    <w:rsid w:val="002E6E8C"/>
    <w:rsid w:val="002E74FF"/>
    <w:rsid w:val="002E780E"/>
    <w:rsid w:val="002F13B0"/>
    <w:rsid w:val="002F24CB"/>
    <w:rsid w:val="002F30CD"/>
    <w:rsid w:val="002F3312"/>
    <w:rsid w:val="002F3D04"/>
    <w:rsid w:val="002F4606"/>
    <w:rsid w:val="002F4747"/>
    <w:rsid w:val="002F4E7D"/>
    <w:rsid w:val="002F5F96"/>
    <w:rsid w:val="002F60C8"/>
    <w:rsid w:val="002F6ABB"/>
    <w:rsid w:val="002F6C88"/>
    <w:rsid w:val="002F7144"/>
    <w:rsid w:val="002F7342"/>
    <w:rsid w:val="002F73BC"/>
    <w:rsid w:val="002F7737"/>
    <w:rsid w:val="002F7A6B"/>
    <w:rsid w:val="002F7C17"/>
    <w:rsid w:val="003000B5"/>
    <w:rsid w:val="00300801"/>
    <w:rsid w:val="00301634"/>
    <w:rsid w:val="00302856"/>
    <w:rsid w:val="00302FDD"/>
    <w:rsid w:val="0030309D"/>
    <w:rsid w:val="00303B41"/>
    <w:rsid w:val="003060F4"/>
    <w:rsid w:val="00306F3B"/>
    <w:rsid w:val="00307394"/>
    <w:rsid w:val="0030791E"/>
    <w:rsid w:val="00307CCA"/>
    <w:rsid w:val="00307D52"/>
    <w:rsid w:val="00307E37"/>
    <w:rsid w:val="00310033"/>
    <w:rsid w:val="0031016F"/>
    <w:rsid w:val="00310698"/>
    <w:rsid w:val="003107E0"/>
    <w:rsid w:val="003119C6"/>
    <w:rsid w:val="003120A8"/>
    <w:rsid w:val="00312EC2"/>
    <w:rsid w:val="00313842"/>
    <w:rsid w:val="00314579"/>
    <w:rsid w:val="003145E5"/>
    <w:rsid w:val="00314B07"/>
    <w:rsid w:val="00317795"/>
    <w:rsid w:val="00317AC6"/>
    <w:rsid w:val="00317DE5"/>
    <w:rsid w:val="0032008D"/>
    <w:rsid w:val="00320156"/>
    <w:rsid w:val="003205B4"/>
    <w:rsid w:val="00320A94"/>
    <w:rsid w:val="00320E6B"/>
    <w:rsid w:val="00321912"/>
    <w:rsid w:val="00321B80"/>
    <w:rsid w:val="00322A56"/>
    <w:rsid w:val="003230CC"/>
    <w:rsid w:val="003231E1"/>
    <w:rsid w:val="003232CA"/>
    <w:rsid w:val="00323F56"/>
    <w:rsid w:val="00323F79"/>
    <w:rsid w:val="00323F7B"/>
    <w:rsid w:val="003240A0"/>
    <w:rsid w:val="003242AC"/>
    <w:rsid w:val="00324331"/>
    <w:rsid w:val="003256EE"/>
    <w:rsid w:val="003261F3"/>
    <w:rsid w:val="00326538"/>
    <w:rsid w:val="003265D3"/>
    <w:rsid w:val="00326799"/>
    <w:rsid w:val="00326916"/>
    <w:rsid w:val="00326CAD"/>
    <w:rsid w:val="00326EEE"/>
    <w:rsid w:val="003270DE"/>
    <w:rsid w:val="00327385"/>
    <w:rsid w:val="003274EA"/>
    <w:rsid w:val="00327519"/>
    <w:rsid w:val="00327952"/>
    <w:rsid w:val="00327E42"/>
    <w:rsid w:val="0033012F"/>
    <w:rsid w:val="00330896"/>
    <w:rsid w:val="00330B6A"/>
    <w:rsid w:val="00330C20"/>
    <w:rsid w:val="00331142"/>
    <w:rsid w:val="00331348"/>
    <w:rsid w:val="00331DB2"/>
    <w:rsid w:val="00331FFB"/>
    <w:rsid w:val="003325ED"/>
    <w:rsid w:val="003329BD"/>
    <w:rsid w:val="003331F8"/>
    <w:rsid w:val="003336CC"/>
    <w:rsid w:val="0033465D"/>
    <w:rsid w:val="00334A8B"/>
    <w:rsid w:val="003351CC"/>
    <w:rsid w:val="00335A3C"/>
    <w:rsid w:val="00335BD8"/>
    <w:rsid w:val="0033697E"/>
    <w:rsid w:val="00337483"/>
    <w:rsid w:val="00340162"/>
    <w:rsid w:val="003410F1"/>
    <w:rsid w:val="003418EE"/>
    <w:rsid w:val="0034272E"/>
    <w:rsid w:val="003427FD"/>
    <w:rsid w:val="00342CA6"/>
    <w:rsid w:val="00342D71"/>
    <w:rsid w:val="003437F7"/>
    <w:rsid w:val="00343A5D"/>
    <w:rsid w:val="003442B2"/>
    <w:rsid w:val="00347423"/>
    <w:rsid w:val="00347737"/>
    <w:rsid w:val="003503F5"/>
    <w:rsid w:val="00350520"/>
    <w:rsid w:val="00350884"/>
    <w:rsid w:val="00350FCA"/>
    <w:rsid w:val="0035108E"/>
    <w:rsid w:val="00351160"/>
    <w:rsid w:val="00352214"/>
    <w:rsid w:val="00352521"/>
    <w:rsid w:val="003525EC"/>
    <w:rsid w:val="00352772"/>
    <w:rsid w:val="00352E4B"/>
    <w:rsid w:val="00353356"/>
    <w:rsid w:val="00354465"/>
    <w:rsid w:val="00354AA3"/>
    <w:rsid w:val="00354BFD"/>
    <w:rsid w:val="00356234"/>
    <w:rsid w:val="0035644A"/>
    <w:rsid w:val="00356B14"/>
    <w:rsid w:val="00356CD6"/>
    <w:rsid w:val="00356FBA"/>
    <w:rsid w:val="00357E69"/>
    <w:rsid w:val="0036053A"/>
    <w:rsid w:val="003617A9"/>
    <w:rsid w:val="00362703"/>
    <w:rsid w:val="0036299B"/>
    <w:rsid w:val="00363422"/>
    <w:rsid w:val="003636E0"/>
    <w:rsid w:val="00364118"/>
    <w:rsid w:val="0036424D"/>
    <w:rsid w:val="00364378"/>
    <w:rsid w:val="00364CF1"/>
    <w:rsid w:val="003655D0"/>
    <w:rsid w:val="0036569F"/>
    <w:rsid w:val="00365963"/>
    <w:rsid w:val="003660CF"/>
    <w:rsid w:val="00366195"/>
    <w:rsid w:val="0036625E"/>
    <w:rsid w:val="00366E64"/>
    <w:rsid w:val="00367629"/>
    <w:rsid w:val="00367A62"/>
    <w:rsid w:val="003701D2"/>
    <w:rsid w:val="003703B2"/>
    <w:rsid w:val="003705E5"/>
    <w:rsid w:val="0037076D"/>
    <w:rsid w:val="00370A93"/>
    <w:rsid w:val="00371AE9"/>
    <w:rsid w:val="00371DE4"/>
    <w:rsid w:val="00372225"/>
    <w:rsid w:val="0037223D"/>
    <w:rsid w:val="00372767"/>
    <w:rsid w:val="00372941"/>
    <w:rsid w:val="00373056"/>
    <w:rsid w:val="0037314E"/>
    <w:rsid w:val="00373640"/>
    <w:rsid w:val="003737B5"/>
    <w:rsid w:val="00373CFA"/>
    <w:rsid w:val="00373FB7"/>
    <w:rsid w:val="003745BC"/>
    <w:rsid w:val="003746F3"/>
    <w:rsid w:val="00374BE6"/>
    <w:rsid w:val="00374DF8"/>
    <w:rsid w:val="00375820"/>
    <w:rsid w:val="00375B04"/>
    <w:rsid w:val="003769BE"/>
    <w:rsid w:val="00377290"/>
    <w:rsid w:val="0037778C"/>
    <w:rsid w:val="00377863"/>
    <w:rsid w:val="00377EB6"/>
    <w:rsid w:val="00377F3C"/>
    <w:rsid w:val="00377F4A"/>
    <w:rsid w:val="003808F9"/>
    <w:rsid w:val="00380ED0"/>
    <w:rsid w:val="00381CC5"/>
    <w:rsid w:val="00381E4E"/>
    <w:rsid w:val="00382CC8"/>
    <w:rsid w:val="0038315E"/>
    <w:rsid w:val="003838F1"/>
    <w:rsid w:val="003838F4"/>
    <w:rsid w:val="00383DC6"/>
    <w:rsid w:val="00383FCB"/>
    <w:rsid w:val="00384173"/>
    <w:rsid w:val="00384200"/>
    <w:rsid w:val="003844A5"/>
    <w:rsid w:val="00384AAC"/>
    <w:rsid w:val="00384BCF"/>
    <w:rsid w:val="00385627"/>
    <w:rsid w:val="003858D0"/>
    <w:rsid w:val="00385ADE"/>
    <w:rsid w:val="00385EBC"/>
    <w:rsid w:val="003860CF"/>
    <w:rsid w:val="00386302"/>
    <w:rsid w:val="0038663D"/>
    <w:rsid w:val="0038694B"/>
    <w:rsid w:val="003869E1"/>
    <w:rsid w:val="00386CA8"/>
    <w:rsid w:val="00386D2D"/>
    <w:rsid w:val="00386F3D"/>
    <w:rsid w:val="00387038"/>
    <w:rsid w:val="00387040"/>
    <w:rsid w:val="003876D1"/>
    <w:rsid w:val="003876F9"/>
    <w:rsid w:val="003878D8"/>
    <w:rsid w:val="00390523"/>
    <w:rsid w:val="00390B7B"/>
    <w:rsid w:val="00390CE3"/>
    <w:rsid w:val="00391020"/>
    <w:rsid w:val="00391BAB"/>
    <w:rsid w:val="0039207A"/>
    <w:rsid w:val="00392319"/>
    <w:rsid w:val="0039235A"/>
    <w:rsid w:val="00392A2A"/>
    <w:rsid w:val="00393097"/>
    <w:rsid w:val="003942D0"/>
    <w:rsid w:val="00394760"/>
    <w:rsid w:val="003949B0"/>
    <w:rsid w:val="00394AF4"/>
    <w:rsid w:val="00395190"/>
    <w:rsid w:val="00395814"/>
    <w:rsid w:val="00396B70"/>
    <w:rsid w:val="00396BF1"/>
    <w:rsid w:val="00396F13"/>
    <w:rsid w:val="003971F2"/>
    <w:rsid w:val="0039757C"/>
    <w:rsid w:val="003975EE"/>
    <w:rsid w:val="00397A34"/>
    <w:rsid w:val="003A02AB"/>
    <w:rsid w:val="003A09FF"/>
    <w:rsid w:val="003A0C5A"/>
    <w:rsid w:val="003A1909"/>
    <w:rsid w:val="003A2659"/>
    <w:rsid w:val="003A2CA5"/>
    <w:rsid w:val="003A2E16"/>
    <w:rsid w:val="003A331A"/>
    <w:rsid w:val="003A3DF1"/>
    <w:rsid w:val="003A3F04"/>
    <w:rsid w:val="003A3FC9"/>
    <w:rsid w:val="003A421B"/>
    <w:rsid w:val="003A49AA"/>
    <w:rsid w:val="003A4C24"/>
    <w:rsid w:val="003A4E6A"/>
    <w:rsid w:val="003A5830"/>
    <w:rsid w:val="003A5B03"/>
    <w:rsid w:val="003A6B7E"/>
    <w:rsid w:val="003B1C91"/>
    <w:rsid w:val="003B1D70"/>
    <w:rsid w:val="003B2069"/>
    <w:rsid w:val="003B20A3"/>
    <w:rsid w:val="003B2102"/>
    <w:rsid w:val="003B2684"/>
    <w:rsid w:val="003B30BF"/>
    <w:rsid w:val="003B324E"/>
    <w:rsid w:val="003B3C89"/>
    <w:rsid w:val="003B4D00"/>
    <w:rsid w:val="003B5318"/>
    <w:rsid w:val="003B5A67"/>
    <w:rsid w:val="003B5D78"/>
    <w:rsid w:val="003B6754"/>
    <w:rsid w:val="003B78A6"/>
    <w:rsid w:val="003B7A78"/>
    <w:rsid w:val="003B7EEE"/>
    <w:rsid w:val="003C00FA"/>
    <w:rsid w:val="003C1206"/>
    <w:rsid w:val="003C2342"/>
    <w:rsid w:val="003C2644"/>
    <w:rsid w:val="003C2E7E"/>
    <w:rsid w:val="003C3524"/>
    <w:rsid w:val="003C3BD2"/>
    <w:rsid w:val="003C42DC"/>
    <w:rsid w:val="003C4716"/>
    <w:rsid w:val="003C48C7"/>
    <w:rsid w:val="003C4B26"/>
    <w:rsid w:val="003C5381"/>
    <w:rsid w:val="003C5652"/>
    <w:rsid w:val="003C57A6"/>
    <w:rsid w:val="003C738C"/>
    <w:rsid w:val="003D05BD"/>
    <w:rsid w:val="003D0D58"/>
    <w:rsid w:val="003D11DA"/>
    <w:rsid w:val="003D134E"/>
    <w:rsid w:val="003D200C"/>
    <w:rsid w:val="003D2B25"/>
    <w:rsid w:val="003D3474"/>
    <w:rsid w:val="003D3787"/>
    <w:rsid w:val="003D3AB1"/>
    <w:rsid w:val="003D4644"/>
    <w:rsid w:val="003D4A51"/>
    <w:rsid w:val="003D4AD8"/>
    <w:rsid w:val="003D4F01"/>
    <w:rsid w:val="003D4F4F"/>
    <w:rsid w:val="003D52BD"/>
    <w:rsid w:val="003D55ED"/>
    <w:rsid w:val="003D57F7"/>
    <w:rsid w:val="003D5D23"/>
    <w:rsid w:val="003D6C59"/>
    <w:rsid w:val="003D7D59"/>
    <w:rsid w:val="003D7EC2"/>
    <w:rsid w:val="003E3CED"/>
    <w:rsid w:val="003E3F3B"/>
    <w:rsid w:val="003E4043"/>
    <w:rsid w:val="003E4254"/>
    <w:rsid w:val="003E4410"/>
    <w:rsid w:val="003E4532"/>
    <w:rsid w:val="003E4CC1"/>
    <w:rsid w:val="003E4F93"/>
    <w:rsid w:val="003E5BEF"/>
    <w:rsid w:val="003E6D37"/>
    <w:rsid w:val="003E744A"/>
    <w:rsid w:val="003E7A6B"/>
    <w:rsid w:val="003E7FB4"/>
    <w:rsid w:val="003F025A"/>
    <w:rsid w:val="003F0491"/>
    <w:rsid w:val="003F073C"/>
    <w:rsid w:val="003F0F0B"/>
    <w:rsid w:val="003F2183"/>
    <w:rsid w:val="003F22BC"/>
    <w:rsid w:val="003F2697"/>
    <w:rsid w:val="003F361A"/>
    <w:rsid w:val="003F390A"/>
    <w:rsid w:val="003F3AFC"/>
    <w:rsid w:val="003F407E"/>
    <w:rsid w:val="003F53BF"/>
    <w:rsid w:val="003F57A0"/>
    <w:rsid w:val="003F57E8"/>
    <w:rsid w:val="003F5C22"/>
    <w:rsid w:val="003F5F04"/>
    <w:rsid w:val="003F5F99"/>
    <w:rsid w:val="003F62E2"/>
    <w:rsid w:val="003F698A"/>
    <w:rsid w:val="003F69F9"/>
    <w:rsid w:val="003F7AC6"/>
    <w:rsid w:val="0040013E"/>
    <w:rsid w:val="004002C5"/>
    <w:rsid w:val="004004AE"/>
    <w:rsid w:val="00400850"/>
    <w:rsid w:val="00400967"/>
    <w:rsid w:val="00400B60"/>
    <w:rsid w:val="00400EF0"/>
    <w:rsid w:val="004016AF"/>
    <w:rsid w:val="00401BE9"/>
    <w:rsid w:val="00401C79"/>
    <w:rsid w:val="00402181"/>
    <w:rsid w:val="0040238B"/>
    <w:rsid w:val="004029BF"/>
    <w:rsid w:val="00402E65"/>
    <w:rsid w:val="004034EF"/>
    <w:rsid w:val="004035C0"/>
    <w:rsid w:val="0040394E"/>
    <w:rsid w:val="00403B1F"/>
    <w:rsid w:val="00403FB0"/>
    <w:rsid w:val="00404865"/>
    <w:rsid w:val="004051F7"/>
    <w:rsid w:val="004058F7"/>
    <w:rsid w:val="00406DA9"/>
    <w:rsid w:val="00407049"/>
    <w:rsid w:val="00407559"/>
    <w:rsid w:val="00407979"/>
    <w:rsid w:val="00407E97"/>
    <w:rsid w:val="0041049F"/>
    <w:rsid w:val="00410B80"/>
    <w:rsid w:val="00410C56"/>
    <w:rsid w:val="00411898"/>
    <w:rsid w:val="00411CA7"/>
    <w:rsid w:val="004122ED"/>
    <w:rsid w:val="00412616"/>
    <w:rsid w:val="004127B2"/>
    <w:rsid w:val="00412EA8"/>
    <w:rsid w:val="00413048"/>
    <w:rsid w:val="00413162"/>
    <w:rsid w:val="004132F7"/>
    <w:rsid w:val="004135C1"/>
    <w:rsid w:val="00413786"/>
    <w:rsid w:val="0041382B"/>
    <w:rsid w:val="004141F7"/>
    <w:rsid w:val="0041447D"/>
    <w:rsid w:val="0041457B"/>
    <w:rsid w:val="00414767"/>
    <w:rsid w:val="004147DE"/>
    <w:rsid w:val="00414F75"/>
    <w:rsid w:val="004153EE"/>
    <w:rsid w:val="0041545C"/>
    <w:rsid w:val="00415650"/>
    <w:rsid w:val="00415E82"/>
    <w:rsid w:val="00415FF1"/>
    <w:rsid w:val="00416285"/>
    <w:rsid w:val="004166AC"/>
    <w:rsid w:val="004168EC"/>
    <w:rsid w:val="00416F9A"/>
    <w:rsid w:val="0041760F"/>
    <w:rsid w:val="004219FF"/>
    <w:rsid w:val="00421ED7"/>
    <w:rsid w:val="0042209C"/>
    <w:rsid w:val="004233D9"/>
    <w:rsid w:val="0042349F"/>
    <w:rsid w:val="004239D5"/>
    <w:rsid w:val="00423A79"/>
    <w:rsid w:val="00423E8F"/>
    <w:rsid w:val="004242AA"/>
    <w:rsid w:val="004242B0"/>
    <w:rsid w:val="0042437E"/>
    <w:rsid w:val="004245F5"/>
    <w:rsid w:val="00424CDD"/>
    <w:rsid w:val="00424FBA"/>
    <w:rsid w:val="004253B2"/>
    <w:rsid w:val="00425945"/>
    <w:rsid w:val="00425BC3"/>
    <w:rsid w:val="00425DD1"/>
    <w:rsid w:val="00425DE5"/>
    <w:rsid w:val="00425F1F"/>
    <w:rsid w:val="004260FE"/>
    <w:rsid w:val="004265D7"/>
    <w:rsid w:val="0042694D"/>
    <w:rsid w:val="004273DA"/>
    <w:rsid w:val="0042770C"/>
    <w:rsid w:val="00427BCE"/>
    <w:rsid w:val="00427E39"/>
    <w:rsid w:val="0043010D"/>
    <w:rsid w:val="00430259"/>
    <w:rsid w:val="004305A7"/>
    <w:rsid w:val="00430980"/>
    <w:rsid w:val="0043116B"/>
    <w:rsid w:val="0043135E"/>
    <w:rsid w:val="004313D4"/>
    <w:rsid w:val="00431429"/>
    <w:rsid w:val="00431E87"/>
    <w:rsid w:val="00432595"/>
    <w:rsid w:val="00433F46"/>
    <w:rsid w:val="0043464C"/>
    <w:rsid w:val="00434A6E"/>
    <w:rsid w:val="004351D6"/>
    <w:rsid w:val="004365A5"/>
    <w:rsid w:val="004365FB"/>
    <w:rsid w:val="00436B17"/>
    <w:rsid w:val="00436C71"/>
    <w:rsid w:val="00436EEA"/>
    <w:rsid w:val="0043728A"/>
    <w:rsid w:val="00437442"/>
    <w:rsid w:val="004376EE"/>
    <w:rsid w:val="004379EE"/>
    <w:rsid w:val="00437B5F"/>
    <w:rsid w:val="00440AD7"/>
    <w:rsid w:val="00440D86"/>
    <w:rsid w:val="00441A74"/>
    <w:rsid w:val="004421EF"/>
    <w:rsid w:val="00442224"/>
    <w:rsid w:val="004422A2"/>
    <w:rsid w:val="0044237B"/>
    <w:rsid w:val="00442B73"/>
    <w:rsid w:val="00442CB6"/>
    <w:rsid w:val="00442EE5"/>
    <w:rsid w:val="0044334D"/>
    <w:rsid w:val="004433EF"/>
    <w:rsid w:val="004439C0"/>
    <w:rsid w:val="0044426F"/>
    <w:rsid w:val="0044437C"/>
    <w:rsid w:val="00444EF1"/>
    <w:rsid w:val="00445AF2"/>
    <w:rsid w:val="0044601B"/>
    <w:rsid w:val="004466B3"/>
    <w:rsid w:val="004468F3"/>
    <w:rsid w:val="00446D63"/>
    <w:rsid w:val="004472AE"/>
    <w:rsid w:val="00447C78"/>
    <w:rsid w:val="004503F9"/>
    <w:rsid w:val="00450CE3"/>
    <w:rsid w:val="004511AE"/>
    <w:rsid w:val="0045204B"/>
    <w:rsid w:val="00453127"/>
    <w:rsid w:val="004538AC"/>
    <w:rsid w:val="00454375"/>
    <w:rsid w:val="00454AEC"/>
    <w:rsid w:val="00454DD5"/>
    <w:rsid w:val="00454F57"/>
    <w:rsid w:val="00455DC4"/>
    <w:rsid w:val="00456B01"/>
    <w:rsid w:val="00456E5E"/>
    <w:rsid w:val="00457863"/>
    <w:rsid w:val="004579ED"/>
    <w:rsid w:val="00457EE1"/>
    <w:rsid w:val="00460392"/>
    <w:rsid w:val="00460AFB"/>
    <w:rsid w:val="0046110C"/>
    <w:rsid w:val="004619B8"/>
    <w:rsid w:val="004623CB"/>
    <w:rsid w:val="00462D2D"/>
    <w:rsid w:val="0046304A"/>
    <w:rsid w:val="00463E33"/>
    <w:rsid w:val="004645B5"/>
    <w:rsid w:val="004648F1"/>
    <w:rsid w:val="00464A20"/>
    <w:rsid w:val="00464A5F"/>
    <w:rsid w:val="00464C75"/>
    <w:rsid w:val="0046570C"/>
    <w:rsid w:val="00465DD6"/>
    <w:rsid w:val="00466170"/>
    <w:rsid w:val="004661C2"/>
    <w:rsid w:val="0046658D"/>
    <w:rsid w:val="004665D9"/>
    <w:rsid w:val="00466D0E"/>
    <w:rsid w:val="0046701E"/>
    <w:rsid w:val="004675BF"/>
    <w:rsid w:val="00467A8C"/>
    <w:rsid w:val="004703C3"/>
    <w:rsid w:val="00470A66"/>
    <w:rsid w:val="00470B3E"/>
    <w:rsid w:val="00471137"/>
    <w:rsid w:val="0047120E"/>
    <w:rsid w:val="00471233"/>
    <w:rsid w:val="004728D8"/>
    <w:rsid w:val="00472AE4"/>
    <w:rsid w:val="00472C70"/>
    <w:rsid w:val="004739B7"/>
    <w:rsid w:val="0047426A"/>
    <w:rsid w:val="004742FA"/>
    <w:rsid w:val="004746BD"/>
    <w:rsid w:val="00474E61"/>
    <w:rsid w:val="004750B0"/>
    <w:rsid w:val="0047522E"/>
    <w:rsid w:val="00475842"/>
    <w:rsid w:val="00475CE2"/>
    <w:rsid w:val="00475FCF"/>
    <w:rsid w:val="00476C80"/>
    <w:rsid w:val="004801B7"/>
    <w:rsid w:val="00480350"/>
    <w:rsid w:val="0048069D"/>
    <w:rsid w:val="00480729"/>
    <w:rsid w:val="00480E9F"/>
    <w:rsid w:val="00481EA7"/>
    <w:rsid w:val="004820A6"/>
    <w:rsid w:val="004823B0"/>
    <w:rsid w:val="00482D7B"/>
    <w:rsid w:val="00483280"/>
    <w:rsid w:val="00483585"/>
    <w:rsid w:val="00483C42"/>
    <w:rsid w:val="00483D51"/>
    <w:rsid w:val="00483F23"/>
    <w:rsid w:val="00484062"/>
    <w:rsid w:val="0048414D"/>
    <w:rsid w:val="00484172"/>
    <w:rsid w:val="004848F8"/>
    <w:rsid w:val="00484A2D"/>
    <w:rsid w:val="00484B0A"/>
    <w:rsid w:val="0048524D"/>
    <w:rsid w:val="00485D83"/>
    <w:rsid w:val="00485FE2"/>
    <w:rsid w:val="0048643A"/>
    <w:rsid w:val="00486718"/>
    <w:rsid w:val="00486CA8"/>
    <w:rsid w:val="00487237"/>
    <w:rsid w:val="00487410"/>
    <w:rsid w:val="00487A1F"/>
    <w:rsid w:val="00487D10"/>
    <w:rsid w:val="00487D77"/>
    <w:rsid w:val="0049108C"/>
    <w:rsid w:val="0049157F"/>
    <w:rsid w:val="0049186B"/>
    <w:rsid w:val="00491CE7"/>
    <w:rsid w:val="004930D7"/>
    <w:rsid w:val="004939A4"/>
    <w:rsid w:val="00493D9F"/>
    <w:rsid w:val="004947BC"/>
    <w:rsid w:val="004948C0"/>
    <w:rsid w:val="00494DFB"/>
    <w:rsid w:val="00494FF3"/>
    <w:rsid w:val="00495052"/>
    <w:rsid w:val="00496179"/>
    <w:rsid w:val="0049694F"/>
    <w:rsid w:val="004970BE"/>
    <w:rsid w:val="0049719E"/>
    <w:rsid w:val="004976EA"/>
    <w:rsid w:val="00497C15"/>
    <w:rsid w:val="00497EB3"/>
    <w:rsid w:val="004A03D4"/>
    <w:rsid w:val="004A07D1"/>
    <w:rsid w:val="004A0B14"/>
    <w:rsid w:val="004A11FF"/>
    <w:rsid w:val="004A1214"/>
    <w:rsid w:val="004A16FB"/>
    <w:rsid w:val="004A1BF6"/>
    <w:rsid w:val="004A22EC"/>
    <w:rsid w:val="004A241D"/>
    <w:rsid w:val="004A26CF"/>
    <w:rsid w:val="004A2B60"/>
    <w:rsid w:val="004A382D"/>
    <w:rsid w:val="004A3942"/>
    <w:rsid w:val="004A456A"/>
    <w:rsid w:val="004A4C06"/>
    <w:rsid w:val="004A4F1B"/>
    <w:rsid w:val="004A5891"/>
    <w:rsid w:val="004A590A"/>
    <w:rsid w:val="004A608C"/>
    <w:rsid w:val="004A67A0"/>
    <w:rsid w:val="004A6A16"/>
    <w:rsid w:val="004A6C8D"/>
    <w:rsid w:val="004A7278"/>
    <w:rsid w:val="004A728B"/>
    <w:rsid w:val="004A730A"/>
    <w:rsid w:val="004A732C"/>
    <w:rsid w:val="004A73EC"/>
    <w:rsid w:val="004A780D"/>
    <w:rsid w:val="004A782A"/>
    <w:rsid w:val="004B08CD"/>
    <w:rsid w:val="004B1226"/>
    <w:rsid w:val="004B1460"/>
    <w:rsid w:val="004B1A7F"/>
    <w:rsid w:val="004B1BC0"/>
    <w:rsid w:val="004B2BBC"/>
    <w:rsid w:val="004B2CD5"/>
    <w:rsid w:val="004B31B9"/>
    <w:rsid w:val="004B3B45"/>
    <w:rsid w:val="004B3F0C"/>
    <w:rsid w:val="004B5333"/>
    <w:rsid w:val="004B542C"/>
    <w:rsid w:val="004B5AE6"/>
    <w:rsid w:val="004B6385"/>
    <w:rsid w:val="004B69D6"/>
    <w:rsid w:val="004B6C3B"/>
    <w:rsid w:val="004B6CF6"/>
    <w:rsid w:val="004B6EC1"/>
    <w:rsid w:val="004B70EE"/>
    <w:rsid w:val="004B7133"/>
    <w:rsid w:val="004B72A4"/>
    <w:rsid w:val="004B746B"/>
    <w:rsid w:val="004B75DE"/>
    <w:rsid w:val="004B7B95"/>
    <w:rsid w:val="004C00BC"/>
    <w:rsid w:val="004C0175"/>
    <w:rsid w:val="004C0475"/>
    <w:rsid w:val="004C080E"/>
    <w:rsid w:val="004C0E51"/>
    <w:rsid w:val="004C1C7B"/>
    <w:rsid w:val="004C2807"/>
    <w:rsid w:val="004C2911"/>
    <w:rsid w:val="004C292F"/>
    <w:rsid w:val="004C2A64"/>
    <w:rsid w:val="004C37FC"/>
    <w:rsid w:val="004C49EF"/>
    <w:rsid w:val="004C58C9"/>
    <w:rsid w:val="004C6233"/>
    <w:rsid w:val="004C62B1"/>
    <w:rsid w:val="004C6429"/>
    <w:rsid w:val="004C7727"/>
    <w:rsid w:val="004D0AC1"/>
    <w:rsid w:val="004D119E"/>
    <w:rsid w:val="004D132E"/>
    <w:rsid w:val="004D29B5"/>
    <w:rsid w:val="004D29C3"/>
    <w:rsid w:val="004D3182"/>
    <w:rsid w:val="004D3F61"/>
    <w:rsid w:val="004D48B7"/>
    <w:rsid w:val="004D490A"/>
    <w:rsid w:val="004D4A87"/>
    <w:rsid w:val="004D4AE9"/>
    <w:rsid w:val="004D5B18"/>
    <w:rsid w:val="004D6331"/>
    <w:rsid w:val="004D6BDF"/>
    <w:rsid w:val="004D6F94"/>
    <w:rsid w:val="004D6FB5"/>
    <w:rsid w:val="004D7484"/>
    <w:rsid w:val="004E02E6"/>
    <w:rsid w:val="004E12DB"/>
    <w:rsid w:val="004E1710"/>
    <w:rsid w:val="004E22C4"/>
    <w:rsid w:val="004E23C5"/>
    <w:rsid w:val="004E25A8"/>
    <w:rsid w:val="004E2607"/>
    <w:rsid w:val="004E2D38"/>
    <w:rsid w:val="004E3765"/>
    <w:rsid w:val="004E432A"/>
    <w:rsid w:val="004E4403"/>
    <w:rsid w:val="004E5676"/>
    <w:rsid w:val="004E5A30"/>
    <w:rsid w:val="004E7673"/>
    <w:rsid w:val="004F06A0"/>
    <w:rsid w:val="004F0F15"/>
    <w:rsid w:val="004F1349"/>
    <w:rsid w:val="004F19FB"/>
    <w:rsid w:val="004F20CE"/>
    <w:rsid w:val="004F21B4"/>
    <w:rsid w:val="004F2358"/>
    <w:rsid w:val="004F312C"/>
    <w:rsid w:val="004F33A0"/>
    <w:rsid w:val="004F4D78"/>
    <w:rsid w:val="004F510B"/>
    <w:rsid w:val="004F52A3"/>
    <w:rsid w:val="004F534A"/>
    <w:rsid w:val="004F58AA"/>
    <w:rsid w:val="004F6050"/>
    <w:rsid w:val="004F629D"/>
    <w:rsid w:val="004F62D5"/>
    <w:rsid w:val="004F7158"/>
    <w:rsid w:val="004F71B1"/>
    <w:rsid w:val="004F7F7C"/>
    <w:rsid w:val="0050036A"/>
    <w:rsid w:val="00500857"/>
    <w:rsid w:val="00500DE8"/>
    <w:rsid w:val="00501597"/>
    <w:rsid w:val="00501A58"/>
    <w:rsid w:val="0050216F"/>
    <w:rsid w:val="005032D4"/>
    <w:rsid w:val="00503519"/>
    <w:rsid w:val="0050391C"/>
    <w:rsid w:val="005046CA"/>
    <w:rsid w:val="005049DE"/>
    <w:rsid w:val="0050507E"/>
    <w:rsid w:val="00506529"/>
    <w:rsid w:val="00506C54"/>
    <w:rsid w:val="005100A6"/>
    <w:rsid w:val="00510A84"/>
    <w:rsid w:val="00510F85"/>
    <w:rsid w:val="00511295"/>
    <w:rsid w:val="00512334"/>
    <w:rsid w:val="0051297F"/>
    <w:rsid w:val="0051356D"/>
    <w:rsid w:val="005136FE"/>
    <w:rsid w:val="005157CA"/>
    <w:rsid w:val="00515BFF"/>
    <w:rsid w:val="005167E8"/>
    <w:rsid w:val="005170E0"/>
    <w:rsid w:val="005201F5"/>
    <w:rsid w:val="0052090C"/>
    <w:rsid w:val="00520AD5"/>
    <w:rsid w:val="00520FEF"/>
    <w:rsid w:val="005211D0"/>
    <w:rsid w:val="00521BAB"/>
    <w:rsid w:val="00521DFB"/>
    <w:rsid w:val="005222F2"/>
    <w:rsid w:val="005225F6"/>
    <w:rsid w:val="00522CD6"/>
    <w:rsid w:val="005234F6"/>
    <w:rsid w:val="005236D8"/>
    <w:rsid w:val="005240C7"/>
    <w:rsid w:val="0052465C"/>
    <w:rsid w:val="00524677"/>
    <w:rsid w:val="0052485A"/>
    <w:rsid w:val="00524D6E"/>
    <w:rsid w:val="00525A53"/>
    <w:rsid w:val="00526F08"/>
    <w:rsid w:val="00527863"/>
    <w:rsid w:val="00527C81"/>
    <w:rsid w:val="00527D85"/>
    <w:rsid w:val="00530525"/>
    <w:rsid w:val="00530835"/>
    <w:rsid w:val="00530F5F"/>
    <w:rsid w:val="005317BF"/>
    <w:rsid w:val="00532225"/>
    <w:rsid w:val="00532584"/>
    <w:rsid w:val="005328A0"/>
    <w:rsid w:val="00532C12"/>
    <w:rsid w:val="00532F40"/>
    <w:rsid w:val="00533082"/>
    <w:rsid w:val="00533362"/>
    <w:rsid w:val="0053368E"/>
    <w:rsid w:val="00534761"/>
    <w:rsid w:val="005347E4"/>
    <w:rsid w:val="00535226"/>
    <w:rsid w:val="00535487"/>
    <w:rsid w:val="005355B1"/>
    <w:rsid w:val="005358CE"/>
    <w:rsid w:val="00536593"/>
    <w:rsid w:val="00536AD6"/>
    <w:rsid w:val="00536FF8"/>
    <w:rsid w:val="0053793B"/>
    <w:rsid w:val="00537A41"/>
    <w:rsid w:val="00540E5F"/>
    <w:rsid w:val="00541499"/>
    <w:rsid w:val="00541989"/>
    <w:rsid w:val="00541CD9"/>
    <w:rsid w:val="00541EDE"/>
    <w:rsid w:val="00542BA1"/>
    <w:rsid w:val="00542E4F"/>
    <w:rsid w:val="00543899"/>
    <w:rsid w:val="00543C84"/>
    <w:rsid w:val="00543F69"/>
    <w:rsid w:val="0054403F"/>
    <w:rsid w:val="005441C1"/>
    <w:rsid w:val="0054474C"/>
    <w:rsid w:val="0054490E"/>
    <w:rsid w:val="0054504E"/>
    <w:rsid w:val="0054521F"/>
    <w:rsid w:val="005463C5"/>
    <w:rsid w:val="00546437"/>
    <w:rsid w:val="00546480"/>
    <w:rsid w:val="00546F9A"/>
    <w:rsid w:val="0054770D"/>
    <w:rsid w:val="005502A2"/>
    <w:rsid w:val="00550312"/>
    <w:rsid w:val="00550599"/>
    <w:rsid w:val="005523FC"/>
    <w:rsid w:val="005529E6"/>
    <w:rsid w:val="005531F8"/>
    <w:rsid w:val="0055334D"/>
    <w:rsid w:val="0055347E"/>
    <w:rsid w:val="005536B0"/>
    <w:rsid w:val="005540CC"/>
    <w:rsid w:val="00555785"/>
    <w:rsid w:val="00555815"/>
    <w:rsid w:val="00555987"/>
    <w:rsid w:val="00555C5C"/>
    <w:rsid w:val="00556878"/>
    <w:rsid w:val="005577CE"/>
    <w:rsid w:val="00560449"/>
    <w:rsid w:val="00560C5D"/>
    <w:rsid w:val="00560DB8"/>
    <w:rsid w:val="00560F5C"/>
    <w:rsid w:val="0056115D"/>
    <w:rsid w:val="00561427"/>
    <w:rsid w:val="00561F96"/>
    <w:rsid w:val="00562859"/>
    <w:rsid w:val="00562B4A"/>
    <w:rsid w:val="0056319D"/>
    <w:rsid w:val="0056541D"/>
    <w:rsid w:val="005654E6"/>
    <w:rsid w:val="0056603D"/>
    <w:rsid w:val="00566860"/>
    <w:rsid w:val="00566A06"/>
    <w:rsid w:val="0056713E"/>
    <w:rsid w:val="005677A8"/>
    <w:rsid w:val="00567A45"/>
    <w:rsid w:val="00567ACA"/>
    <w:rsid w:val="0057095E"/>
    <w:rsid w:val="00570DAF"/>
    <w:rsid w:val="00570F52"/>
    <w:rsid w:val="005714BE"/>
    <w:rsid w:val="00571795"/>
    <w:rsid w:val="00571981"/>
    <w:rsid w:val="0057273F"/>
    <w:rsid w:val="00573C24"/>
    <w:rsid w:val="00573EF0"/>
    <w:rsid w:val="0057429D"/>
    <w:rsid w:val="00574EEC"/>
    <w:rsid w:val="005760C8"/>
    <w:rsid w:val="00576210"/>
    <w:rsid w:val="00576AD4"/>
    <w:rsid w:val="00576C1B"/>
    <w:rsid w:val="0057716A"/>
    <w:rsid w:val="0057791A"/>
    <w:rsid w:val="00577AD5"/>
    <w:rsid w:val="00577FBC"/>
    <w:rsid w:val="00580C98"/>
    <w:rsid w:val="00580DC4"/>
    <w:rsid w:val="005813DA"/>
    <w:rsid w:val="00582745"/>
    <w:rsid w:val="00582B0C"/>
    <w:rsid w:val="00582DEF"/>
    <w:rsid w:val="0058304B"/>
    <w:rsid w:val="005831AE"/>
    <w:rsid w:val="00583906"/>
    <w:rsid w:val="00583C7C"/>
    <w:rsid w:val="00583EDA"/>
    <w:rsid w:val="00584097"/>
    <w:rsid w:val="00585B14"/>
    <w:rsid w:val="00585BEA"/>
    <w:rsid w:val="00585CAC"/>
    <w:rsid w:val="005860AD"/>
    <w:rsid w:val="0058634C"/>
    <w:rsid w:val="005863A1"/>
    <w:rsid w:val="00586650"/>
    <w:rsid w:val="00586A36"/>
    <w:rsid w:val="00586A9D"/>
    <w:rsid w:val="0058709E"/>
    <w:rsid w:val="00587109"/>
    <w:rsid w:val="00587357"/>
    <w:rsid w:val="0058776B"/>
    <w:rsid w:val="00590134"/>
    <w:rsid w:val="0059014A"/>
    <w:rsid w:val="005907A9"/>
    <w:rsid w:val="00591731"/>
    <w:rsid w:val="005921A1"/>
    <w:rsid w:val="00592CAD"/>
    <w:rsid w:val="0059318B"/>
    <w:rsid w:val="00593890"/>
    <w:rsid w:val="00594706"/>
    <w:rsid w:val="00596141"/>
    <w:rsid w:val="0059666F"/>
    <w:rsid w:val="0059684C"/>
    <w:rsid w:val="00596962"/>
    <w:rsid w:val="005A063D"/>
    <w:rsid w:val="005A074A"/>
    <w:rsid w:val="005A1412"/>
    <w:rsid w:val="005A1961"/>
    <w:rsid w:val="005A1B74"/>
    <w:rsid w:val="005A1DF9"/>
    <w:rsid w:val="005A1E87"/>
    <w:rsid w:val="005A38CF"/>
    <w:rsid w:val="005A3ACC"/>
    <w:rsid w:val="005A3F0C"/>
    <w:rsid w:val="005A3F1D"/>
    <w:rsid w:val="005A441D"/>
    <w:rsid w:val="005A53D0"/>
    <w:rsid w:val="005A5519"/>
    <w:rsid w:val="005A569D"/>
    <w:rsid w:val="005A5788"/>
    <w:rsid w:val="005A5AD5"/>
    <w:rsid w:val="005A5C83"/>
    <w:rsid w:val="005A5E7C"/>
    <w:rsid w:val="005A71FA"/>
    <w:rsid w:val="005A7726"/>
    <w:rsid w:val="005B0031"/>
    <w:rsid w:val="005B0541"/>
    <w:rsid w:val="005B0EE6"/>
    <w:rsid w:val="005B0EE8"/>
    <w:rsid w:val="005B10F8"/>
    <w:rsid w:val="005B16AF"/>
    <w:rsid w:val="005B1EE9"/>
    <w:rsid w:val="005B2479"/>
    <w:rsid w:val="005B2C4A"/>
    <w:rsid w:val="005B2EC1"/>
    <w:rsid w:val="005B30CD"/>
    <w:rsid w:val="005B3132"/>
    <w:rsid w:val="005B320A"/>
    <w:rsid w:val="005B3230"/>
    <w:rsid w:val="005B34FF"/>
    <w:rsid w:val="005B401B"/>
    <w:rsid w:val="005B4133"/>
    <w:rsid w:val="005B415A"/>
    <w:rsid w:val="005B539E"/>
    <w:rsid w:val="005B59CD"/>
    <w:rsid w:val="005B5DCE"/>
    <w:rsid w:val="005B5F8E"/>
    <w:rsid w:val="005B600D"/>
    <w:rsid w:val="005B6476"/>
    <w:rsid w:val="005B6F97"/>
    <w:rsid w:val="005B70B5"/>
    <w:rsid w:val="005B799D"/>
    <w:rsid w:val="005B7CA0"/>
    <w:rsid w:val="005C129F"/>
    <w:rsid w:val="005C1735"/>
    <w:rsid w:val="005C1982"/>
    <w:rsid w:val="005C2761"/>
    <w:rsid w:val="005C2CC3"/>
    <w:rsid w:val="005C2DA8"/>
    <w:rsid w:val="005C317D"/>
    <w:rsid w:val="005C33C8"/>
    <w:rsid w:val="005C3647"/>
    <w:rsid w:val="005C451A"/>
    <w:rsid w:val="005C4899"/>
    <w:rsid w:val="005C525C"/>
    <w:rsid w:val="005C53D3"/>
    <w:rsid w:val="005C579C"/>
    <w:rsid w:val="005C582F"/>
    <w:rsid w:val="005C588C"/>
    <w:rsid w:val="005C58FA"/>
    <w:rsid w:val="005C5C18"/>
    <w:rsid w:val="005C5CA4"/>
    <w:rsid w:val="005C704D"/>
    <w:rsid w:val="005D0698"/>
    <w:rsid w:val="005D06AC"/>
    <w:rsid w:val="005D0B34"/>
    <w:rsid w:val="005D1444"/>
    <w:rsid w:val="005D1782"/>
    <w:rsid w:val="005D17FA"/>
    <w:rsid w:val="005D1951"/>
    <w:rsid w:val="005D1C17"/>
    <w:rsid w:val="005D1CC3"/>
    <w:rsid w:val="005D210D"/>
    <w:rsid w:val="005D210F"/>
    <w:rsid w:val="005D24F6"/>
    <w:rsid w:val="005D2B2F"/>
    <w:rsid w:val="005D30B0"/>
    <w:rsid w:val="005D4664"/>
    <w:rsid w:val="005D496B"/>
    <w:rsid w:val="005D4FCE"/>
    <w:rsid w:val="005D56BF"/>
    <w:rsid w:val="005D58DF"/>
    <w:rsid w:val="005D5EC7"/>
    <w:rsid w:val="005D5F0C"/>
    <w:rsid w:val="005D6E54"/>
    <w:rsid w:val="005E033F"/>
    <w:rsid w:val="005E088E"/>
    <w:rsid w:val="005E0EBE"/>
    <w:rsid w:val="005E109F"/>
    <w:rsid w:val="005E1A86"/>
    <w:rsid w:val="005E1BE1"/>
    <w:rsid w:val="005E1EDE"/>
    <w:rsid w:val="005E22E7"/>
    <w:rsid w:val="005E2683"/>
    <w:rsid w:val="005E2D69"/>
    <w:rsid w:val="005E3021"/>
    <w:rsid w:val="005E39C1"/>
    <w:rsid w:val="005E3A35"/>
    <w:rsid w:val="005E4894"/>
    <w:rsid w:val="005E48EF"/>
    <w:rsid w:val="005E4C41"/>
    <w:rsid w:val="005E4F99"/>
    <w:rsid w:val="005E52A3"/>
    <w:rsid w:val="005E5635"/>
    <w:rsid w:val="005E5B5A"/>
    <w:rsid w:val="005E603A"/>
    <w:rsid w:val="005E677B"/>
    <w:rsid w:val="005E7A2C"/>
    <w:rsid w:val="005F14E6"/>
    <w:rsid w:val="005F1B32"/>
    <w:rsid w:val="005F1B93"/>
    <w:rsid w:val="005F1F12"/>
    <w:rsid w:val="005F1FE4"/>
    <w:rsid w:val="005F2254"/>
    <w:rsid w:val="005F22CD"/>
    <w:rsid w:val="005F29C7"/>
    <w:rsid w:val="005F3594"/>
    <w:rsid w:val="005F40F7"/>
    <w:rsid w:val="005F4E3F"/>
    <w:rsid w:val="005F4E83"/>
    <w:rsid w:val="005F6815"/>
    <w:rsid w:val="005F7E1A"/>
    <w:rsid w:val="006000EF"/>
    <w:rsid w:val="006005C8"/>
    <w:rsid w:val="0060084A"/>
    <w:rsid w:val="006009F1"/>
    <w:rsid w:val="00600AE0"/>
    <w:rsid w:val="00600D0C"/>
    <w:rsid w:val="0060233B"/>
    <w:rsid w:val="006023F7"/>
    <w:rsid w:val="0060257D"/>
    <w:rsid w:val="006031BA"/>
    <w:rsid w:val="006037F4"/>
    <w:rsid w:val="00603EA7"/>
    <w:rsid w:val="0060447C"/>
    <w:rsid w:val="00605316"/>
    <w:rsid w:val="00605565"/>
    <w:rsid w:val="00605DB9"/>
    <w:rsid w:val="00605EB8"/>
    <w:rsid w:val="006061AC"/>
    <w:rsid w:val="0060676D"/>
    <w:rsid w:val="00606D91"/>
    <w:rsid w:val="00607528"/>
    <w:rsid w:val="00607B3A"/>
    <w:rsid w:val="0061028D"/>
    <w:rsid w:val="006103EC"/>
    <w:rsid w:val="006105D5"/>
    <w:rsid w:val="00610CE7"/>
    <w:rsid w:val="00611009"/>
    <w:rsid w:val="00611169"/>
    <w:rsid w:val="006111F2"/>
    <w:rsid w:val="00611940"/>
    <w:rsid w:val="00611BE3"/>
    <w:rsid w:val="00612A1C"/>
    <w:rsid w:val="00612EC3"/>
    <w:rsid w:val="0061332E"/>
    <w:rsid w:val="006140C7"/>
    <w:rsid w:val="00614272"/>
    <w:rsid w:val="00614530"/>
    <w:rsid w:val="00615880"/>
    <w:rsid w:val="00615937"/>
    <w:rsid w:val="00615C94"/>
    <w:rsid w:val="00616120"/>
    <w:rsid w:val="006162A7"/>
    <w:rsid w:val="00616739"/>
    <w:rsid w:val="00616CBA"/>
    <w:rsid w:val="00617030"/>
    <w:rsid w:val="00617105"/>
    <w:rsid w:val="006173DF"/>
    <w:rsid w:val="00617887"/>
    <w:rsid w:val="00617B80"/>
    <w:rsid w:val="0062105C"/>
    <w:rsid w:val="006210F4"/>
    <w:rsid w:val="006211CD"/>
    <w:rsid w:val="00621813"/>
    <w:rsid w:val="00621836"/>
    <w:rsid w:val="00621BDE"/>
    <w:rsid w:val="00621C7A"/>
    <w:rsid w:val="00621E13"/>
    <w:rsid w:val="00621ED4"/>
    <w:rsid w:val="00622476"/>
    <w:rsid w:val="00622877"/>
    <w:rsid w:val="00623439"/>
    <w:rsid w:val="00623FFF"/>
    <w:rsid w:val="006242E8"/>
    <w:rsid w:val="0062490A"/>
    <w:rsid w:val="00625491"/>
    <w:rsid w:val="00625A21"/>
    <w:rsid w:val="00625D5C"/>
    <w:rsid w:val="00625DC3"/>
    <w:rsid w:val="00625E54"/>
    <w:rsid w:val="0062674F"/>
    <w:rsid w:val="006269D6"/>
    <w:rsid w:val="00626D73"/>
    <w:rsid w:val="006276F2"/>
    <w:rsid w:val="00627734"/>
    <w:rsid w:val="006302B2"/>
    <w:rsid w:val="00630903"/>
    <w:rsid w:val="00630CE8"/>
    <w:rsid w:val="00631473"/>
    <w:rsid w:val="00631A85"/>
    <w:rsid w:val="00631E63"/>
    <w:rsid w:val="006325E3"/>
    <w:rsid w:val="0063308E"/>
    <w:rsid w:val="00633884"/>
    <w:rsid w:val="006338D9"/>
    <w:rsid w:val="006339A0"/>
    <w:rsid w:val="00633DAA"/>
    <w:rsid w:val="00634325"/>
    <w:rsid w:val="00634349"/>
    <w:rsid w:val="00634858"/>
    <w:rsid w:val="00634861"/>
    <w:rsid w:val="00634CF7"/>
    <w:rsid w:val="00635078"/>
    <w:rsid w:val="006351FE"/>
    <w:rsid w:val="00635206"/>
    <w:rsid w:val="00635B09"/>
    <w:rsid w:val="00635D1E"/>
    <w:rsid w:val="00635E98"/>
    <w:rsid w:val="00636421"/>
    <w:rsid w:val="00636571"/>
    <w:rsid w:val="0063680F"/>
    <w:rsid w:val="006371C3"/>
    <w:rsid w:val="00637940"/>
    <w:rsid w:val="00637D7C"/>
    <w:rsid w:val="00640FE4"/>
    <w:rsid w:val="00641AA1"/>
    <w:rsid w:val="00641FE6"/>
    <w:rsid w:val="006423A2"/>
    <w:rsid w:val="00642495"/>
    <w:rsid w:val="0064262A"/>
    <w:rsid w:val="0064268D"/>
    <w:rsid w:val="00642D65"/>
    <w:rsid w:val="00642F24"/>
    <w:rsid w:val="006434B5"/>
    <w:rsid w:val="0064352B"/>
    <w:rsid w:val="0064411B"/>
    <w:rsid w:val="00644432"/>
    <w:rsid w:val="00644ACA"/>
    <w:rsid w:val="00644B0D"/>
    <w:rsid w:val="00645BC3"/>
    <w:rsid w:val="00645DA7"/>
    <w:rsid w:val="00646031"/>
    <w:rsid w:val="006472E6"/>
    <w:rsid w:val="00647302"/>
    <w:rsid w:val="00647A4B"/>
    <w:rsid w:val="00650025"/>
    <w:rsid w:val="006504D8"/>
    <w:rsid w:val="006509EB"/>
    <w:rsid w:val="0065132C"/>
    <w:rsid w:val="00651AC9"/>
    <w:rsid w:val="00651C59"/>
    <w:rsid w:val="006520C3"/>
    <w:rsid w:val="00652322"/>
    <w:rsid w:val="00652554"/>
    <w:rsid w:val="00652585"/>
    <w:rsid w:val="006531C9"/>
    <w:rsid w:val="0065344C"/>
    <w:rsid w:val="00653A77"/>
    <w:rsid w:val="00653E80"/>
    <w:rsid w:val="0065497C"/>
    <w:rsid w:val="00654C98"/>
    <w:rsid w:val="00654C9C"/>
    <w:rsid w:val="00655179"/>
    <w:rsid w:val="006552BF"/>
    <w:rsid w:val="00655F36"/>
    <w:rsid w:val="006564E0"/>
    <w:rsid w:val="00656DF0"/>
    <w:rsid w:val="006570AE"/>
    <w:rsid w:val="00657514"/>
    <w:rsid w:val="0065775E"/>
    <w:rsid w:val="00657F60"/>
    <w:rsid w:val="00661541"/>
    <w:rsid w:val="00661665"/>
    <w:rsid w:val="00661698"/>
    <w:rsid w:val="00661B2D"/>
    <w:rsid w:val="00661C1A"/>
    <w:rsid w:val="00661F62"/>
    <w:rsid w:val="0066280A"/>
    <w:rsid w:val="006633E4"/>
    <w:rsid w:val="006635B1"/>
    <w:rsid w:val="00663915"/>
    <w:rsid w:val="00665119"/>
    <w:rsid w:val="00665306"/>
    <w:rsid w:val="006655FA"/>
    <w:rsid w:val="00665619"/>
    <w:rsid w:val="00665B4B"/>
    <w:rsid w:val="00665DCB"/>
    <w:rsid w:val="00667266"/>
    <w:rsid w:val="006676B3"/>
    <w:rsid w:val="0066780C"/>
    <w:rsid w:val="00667E77"/>
    <w:rsid w:val="00667E85"/>
    <w:rsid w:val="00670631"/>
    <w:rsid w:val="0067079E"/>
    <w:rsid w:val="0067095E"/>
    <w:rsid w:val="00670B0E"/>
    <w:rsid w:val="00670CBA"/>
    <w:rsid w:val="00671464"/>
    <w:rsid w:val="00671550"/>
    <w:rsid w:val="0067175C"/>
    <w:rsid w:val="00671B51"/>
    <w:rsid w:val="0067208D"/>
    <w:rsid w:val="0067230F"/>
    <w:rsid w:val="00672C1D"/>
    <w:rsid w:val="00672CBA"/>
    <w:rsid w:val="00673E43"/>
    <w:rsid w:val="00674A46"/>
    <w:rsid w:val="00674BFB"/>
    <w:rsid w:val="00676962"/>
    <w:rsid w:val="00677DCD"/>
    <w:rsid w:val="006800C2"/>
    <w:rsid w:val="00680341"/>
    <w:rsid w:val="00680749"/>
    <w:rsid w:val="0068084B"/>
    <w:rsid w:val="00680F49"/>
    <w:rsid w:val="006812E2"/>
    <w:rsid w:val="006817A3"/>
    <w:rsid w:val="006819B7"/>
    <w:rsid w:val="00681D4A"/>
    <w:rsid w:val="0068260A"/>
    <w:rsid w:val="00682BC0"/>
    <w:rsid w:val="00683391"/>
    <w:rsid w:val="0068405C"/>
    <w:rsid w:val="006841EF"/>
    <w:rsid w:val="00684576"/>
    <w:rsid w:val="00684AE7"/>
    <w:rsid w:val="006851C6"/>
    <w:rsid w:val="006851FE"/>
    <w:rsid w:val="006852CF"/>
    <w:rsid w:val="00685587"/>
    <w:rsid w:val="00685AC8"/>
    <w:rsid w:val="00686645"/>
    <w:rsid w:val="00690120"/>
    <w:rsid w:val="006905BB"/>
    <w:rsid w:val="0069093A"/>
    <w:rsid w:val="00690A91"/>
    <w:rsid w:val="0069111C"/>
    <w:rsid w:val="0069181B"/>
    <w:rsid w:val="0069210E"/>
    <w:rsid w:val="0069248D"/>
    <w:rsid w:val="0069260E"/>
    <w:rsid w:val="0069279D"/>
    <w:rsid w:val="00692AFC"/>
    <w:rsid w:val="00692D63"/>
    <w:rsid w:val="00692FBD"/>
    <w:rsid w:val="00693118"/>
    <w:rsid w:val="006940CA"/>
    <w:rsid w:val="00694A6D"/>
    <w:rsid w:val="00694DB5"/>
    <w:rsid w:val="006951BA"/>
    <w:rsid w:val="006957F1"/>
    <w:rsid w:val="00696236"/>
    <w:rsid w:val="006962F0"/>
    <w:rsid w:val="006965A4"/>
    <w:rsid w:val="006966B9"/>
    <w:rsid w:val="00696B5F"/>
    <w:rsid w:val="00697108"/>
    <w:rsid w:val="0069757C"/>
    <w:rsid w:val="00697D5E"/>
    <w:rsid w:val="006A054D"/>
    <w:rsid w:val="006A0C93"/>
    <w:rsid w:val="006A13C5"/>
    <w:rsid w:val="006A2095"/>
    <w:rsid w:val="006A21DA"/>
    <w:rsid w:val="006A2520"/>
    <w:rsid w:val="006A25CA"/>
    <w:rsid w:val="006A283E"/>
    <w:rsid w:val="006A3604"/>
    <w:rsid w:val="006A3901"/>
    <w:rsid w:val="006A4AF1"/>
    <w:rsid w:val="006A4FC7"/>
    <w:rsid w:val="006A5261"/>
    <w:rsid w:val="006A584C"/>
    <w:rsid w:val="006A5DAB"/>
    <w:rsid w:val="006A61EC"/>
    <w:rsid w:val="006A626B"/>
    <w:rsid w:val="006A6349"/>
    <w:rsid w:val="006A685C"/>
    <w:rsid w:val="006A7350"/>
    <w:rsid w:val="006A7462"/>
    <w:rsid w:val="006B02BF"/>
    <w:rsid w:val="006B078B"/>
    <w:rsid w:val="006B082B"/>
    <w:rsid w:val="006B087C"/>
    <w:rsid w:val="006B0E6A"/>
    <w:rsid w:val="006B0E9B"/>
    <w:rsid w:val="006B1607"/>
    <w:rsid w:val="006B18CD"/>
    <w:rsid w:val="006B1914"/>
    <w:rsid w:val="006B22FC"/>
    <w:rsid w:val="006B2437"/>
    <w:rsid w:val="006B34DF"/>
    <w:rsid w:val="006B3567"/>
    <w:rsid w:val="006B3E45"/>
    <w:rsid w:val="006B4031"/>
    <w:rsid w:val="006B42C7"/>
    <w:rsid w:val="006B481B"/>
    <w:rsid w:val="006B6134"/>
    <w:rsid w:val="006B67B9"/>
    <w:rsid w:val="006B6BD1"/>
    <w:rsid w:val="006B7AB7"/>
    <w:rsid w:val="006B7D1B"/>
    <w:rsid w:val="006C04A1"/>
    <w:rsid w:val="006C0E63"/>
    <w:rsid w:val="006C0EC7"/>
    <w:rsid w:val="006C1507"/>
    <w:rsid w:val="006C212C"/>
    <w:rsid w:val="006C4072"/>
    <w:rsid w:val="006C42CC"/>
    <w:rsid w:val="006C4312"/>
    <w:rsid w:val="006C4BD7"/>
    <w:rsid w:val="006C5548"/>
    <w:rsid w:val="006C597A"/>
    <w:rsid w:val="006C5B48"/>
    <w:rsid w:val="006C5C11"/>
    <w:rsid w:val="006C6AAB"/>
    <w:rsid w:val="006C6D1F"/>
    <w:rsid w:val="006C6FAD"/>
    <w:rsid w:val="006C6FE4"/>
    <w:rsid w:val="006C7C61"/>
    <w:rsid w:val="006D07E0"/>
    <w:rsid w:val="006D0B2F"/>
    <w:rsid w:val="006D1FFF"/>
    <w:rsid w:val="006D249D"/>
    <w:rsid w:val="006D2F51"/>
    <w:rsid w:val="006D38D1"/>
    <w:rsid w:val="006D3B67"/>
    <w:rsid w:val="006D3B8F"/>
    <w:rsid w:val="006D3F01"/>
    <w:rsid w:val="006D4B43"/>
    <w:rsid w:val="006D4F31"/>
    <w:rsid w:val="006D52F5"/>
    <w:rsid w:val="006D59DE"/>
    <w:rsid w:val="006D5C15"/>
    <w:rsid w:val="006D5FEC"/>
    <w:rsid w:val="006D616A"/>
    <w:rsid w:val="006D63D0"/>
    <w:rsid w:val="006D6646"/>
    <w:rsid w:val="006D6848"/>
    <w:rsid w:val="006D6E76"/>
    <w:rsid w:val="006D6FF5"/>
    <w:rsid w:val="006D75FC"/>
    <w:rsid w:val="006E0809"/>
    <w:rsid w:val="006E0B30"/>
    <w:rsid w:val="006E0D7E"/>
    <w:rsid w:val="006E1021"/>
    <w:rsid w:val="006E1E80"/>
    <w:rsid w:val="006E1ED1"/>
    <w:rsid w:val="006E21DB"/>
    <w:rsid w:val="006E21EF"/>
    <w:rsid w:val="006E32E0"/>
    <w:rsid w:val="006E341F"/>
    <w:rsid w:val="006E3567"/>
    <w:rsid w:val="006E3FB4"/>
    <w:rsid w:val="006E5041"/>
    <w:rsid w:val="006E5306"/>
    <w:rsid w:val="006E53C0"/>
    <w:rsid w:val="006E5E48"/>
    <w:rsid w:val="006E6A3B"/>
    <w:rsid w:val="006E6C7B"/>
    <w:rsid w:val="006E73D2"/>
    <w:rsid w:val="006E7CA7"/>
    <w:rsid w:val="006E7E41"/>
    <w:rsid w:val="006E7E7A"/>
    <w:rsid w:val="006E7EAF"/>
    <w:rsid w:val="006F05A2"/>
    <w:rsid w:val="006F0F43"/>
    <w:rsid w:val="006F1BED"/>
    <w:rsid w:val="006F1C91"/>
    <w:rsid w:val="006F20E2"/>
    <w:rsid w:val="006F2616"/>
    <w:rsid w:val="006F2FA6"/>
    <w:rsid w:val="006F3508"/>
    <w:rsid w:val="006F3793"/>
    <w:rsid w:val="006F47D7"/>
    <w:rsid w:val="006F4A1E"/>
    <w:rsid w:val="006F5DAB"/>
    <w:rsid w:val="006F5E81"/>
    <w:rsid w:val="006F6A43"/>
    <w:rsid w:val="006F74DA"/>
    <w:rsid w:val="006F778E"/>
    <w:rsid w:val="006F7F90"/>
    <w:rsid w:val="00700101"/>
    <w:rsid w:val="007001F2"/>
    <w:rsid w:val="007002F1"/>
    <w:rsid w:val="00700DA2"/>
    <w:rsid w:val="007020C5"/>
    <w:rsid w:val="0070277E"/>
    <w:rsid w:val="00702AAB"/>
    <w:rsid w:val="00702E48"/>
    <w:rsid w:val="007031A5"/>
    <w:rsid w:val="00703445"/>
    <w:rsid w:val="00703D23"/>
    <w:rsid w:val="007041EB"/>
    <w:rsid w:val="0070425A"/>
    <w:rsid w:val="0070472E"/>
    <w:rsid w:val="00704824"/>
    <w:rsid w:val="00704E3C"/>
    <w:rsid w:val="00705E99"/>
    <w:rsid w:val="007060A6"/>
    <w:rsid w:val="00706DEF"/>
    <w:rsid w:val="0070717F"/>
    <w:rsid w:val="00707321"/>
    <w:rsid w:val="00707474"/>
    <w:rsid w:val="00707F56"/>
    <w:rsid w:val="00710281"/>
    <w:rsid w:val="00710A06"/>
    <w:rsid w:val="00710A29"/>
    <w:rsid w:val="007118F3"/>
    <w:rsid w:val="00711BB3"/>
    <w:rsid w:val="00711C6E"/>
    <w:rsid w:val="00712558"/>
    <w:rsid w:val="00712882"/>
    <w:rsid w:val="00712E69"/>
    <w:rsid w:val="007138F7"/>
    <w:rsid w:val="007139B4"/>
    <w:rsid w:val="007144A1"/>
    <w:rsid w:val="00714CE0"/>
    <w:rsid w:val="00715515"/>
    <w:rsid w:val="00715601"/>
    <w:rsid w:val="00716202"/>
    <w:rsid w:val="0071621C"/>
    <w:rsid w:val="00716437"/>
    <w:rsid w:val="00716823"/>
    <w:rsid w:val="00716D18"/>
    <w:rsid w:val="00716DFB"/>
    <w:rsid w:val="00717290"/>
    <w:rsid w:val="0071763E"/>
    <w:rsid w:val="0071775C"/>
    <w:rsid w:val="00717809"/>
    <w:rsid w:val="007203BC"/>
    <w:rsid w:val="00720F7E"/>
    <w:rsid w:val="00721B06"/>
    <w:rsid w:val="00721F6F"/>
    <w:rsid w:val="00722958"/>
    <w:rsid w:val="00722A02"/>
    <w:rsid w:val="00723637"/>
    <w:rsid w:val="00723686"/>
    <w:rsid w:val="007236C0"/>
    <w:rsid w:val="00723742"/>
    <w:rsid w:val="00723FA8"/>
    <w:rsid w:val="007256C0"/>
    <w:rsid w:val="0072570F"/>
    <w:rsid w:val="00725EB0"/>
    <w:rsid w:val="00725EE4"/>
    <w:rsid w:val="00726DD0"/>
    <w:rsid w:val="007274B8"/>
    <w:rsid w:val="0073016F"/>
    <w:rsid w:val="007302AF"/>
    <w:rsid w:val="00730BB0"/>
    <w:rsid w:val="0073156F"/>
    <w:rsid w:val="007316BC"/>
    <w:rsid w:val="00732044"/>
    <w:rsid w:val="0073234C"/>
    <w:rsid w:val="007328E3"/>
    <w:rsid w:val="00732A5F"/>
    <w:rsid w:val="00732D7D"/>
    <w:rsid w:val="00733AFA"/>
    <w:rsid w:val="0073449E"/>
    <w:rsid w:val="00734704"/>
    <w:rsid w:val="0073475D"/>
    <w:rsid w:val="00734C9B"/>
    <w:rsid w:val="00735398"/>
    <w:rsid w:val="00735755"/>
    <w:rsid w:val="00735876"/>
    <w:rsid w:val="00735CAD"/>
    <w:rsid w:val="007365A2"/>
    <w:rsid w:val="007379E8"/>
    <w:rsid w:val="00737C90"/>
    <w:rsid w:val="00740259"/>
    <w:rsid w:val="00740948"/>
    <w:rsid w:val="007409E2"/>
    <w:rsid w:val="00740E20"/>
    <w:rsid w:val="00740E86"/>
    <w:rsid w:val="007415DD"/>
    <w:rsid w:val="0074194B"/>
    <w:rsid w:val="00741ACC"/>
    <w:rsid w:val="00741CA3"/>
    <w:rsid w:val="00742B5A"/>
    <w:rsid w:val="0074386A"/>
    <w:rsid w:val="00743CB0"/>
    <w:rsid w:val="00744777"/>
    <w:rsid w:val="007457B6"/>
    <w:rsid w:val="0074621A"/>
    <w:rsid w:val="007468B0"/>
    <w:rsid w:val="007469F6"/>
    <w:rsid w:val="007475FC"/>
    <w:rsid w:val="007477C8"/>
    <w:rsid w:val="007504BC"/>
    <w:rsid w:val="007507AF"/>
    <w:rsid w:val="00751370"/>
    <w:rsid w:val="00751427"/>
    <w:rsid w:val="00751587"/>
    <w:rsid w:val="0075189F"/>
    <w:rsid w:val="0075196B"/>
    <w:rsid w:val="00751C96"/>
    <w:rsid w:val="00751F2E"/>
    <w:rsid w:val="00752C2B"/>
    <w:rsid w:val="00753122"/>
    <w:rsid w:val="00753283"/>
    <w:rsid w:val="0075390D"/>
    <w:rsid w:val="00754140"/>
    <w:rsid w:val="007545B8"/>
    <w:rsid w:val="00754876"/>
    <w:rsid w:val="00754AD7"/>
    <w:rsid w:val="00754F95"/>
    <w:rsid w:val="0075522E"/>
    <w:rsid w:val="00755954"/>
    <w:rsid w:val="00755B75"/>
    <w:rsid w:val="00756499"/>
    <w:rsid w:val="0075671B"/>
    <w:rsid w:val="00756C2F"/>
    <w:rsid w:val="007600E2"/>
    <w:rsid w:val="007601C1"/>
    <w:rsid w:val="00760CBB"/>
    <w:rsid w:val="00760E8F"/>
    <w:rsid w:val="007613BF"/>
    <w:rsid w:val="007619F6"/>
    <w:rsid w:val="00761D00"/>
    <w:rsid w:val="00761F3F"/>
    <w:rsid w:val="00762234"/>
    <w:rsid w:val="0076262C"/>
    <w:rsid w:val="007629DF"/>
    <w:rsid w:val="00762FF0"/>
    <w:rsid w:val="00763A48"/>
    <w:rsid w:val="00763C0B"/>
    <w:rsid w:val="00763D4E"/>
    <w:rsid w:val="0076430C"/>
    <w:rsid w:val="00764938"/>
    <w:rsid w:val="007652CF"/>
    <w:rsid w:val="0076557B"/>
    <w:rsid w:val="0076567C"/>
    <w:rsid w:val="007658A2"/>
    <w:rsid w:val="007662C9"/>
    <w:rsid w:val="00766881"/>
    <w:rsid w:val="007672BD"/>
    <w:rsid w:val="0076743D"/>
    <w:rsid w:val="00770803"/>
    <w:rsid w:val="007711BC"/>
    <w:rsid w:val="00771472"/>
    <w:rsid w:val="007715D6"/>
    <w:rsid w:val="007717AB"/>
    <w:rsid w:val="0077256F"/>
    <w:rsid w:val="007727D9"/>
    <w:rsid w:val="0077377B"/>
    <w:rsid w:val="00773A01"/>
    <w:rsid w:val="00773E45"/>
    <w:rsid w:val="007745BB"/>
    <w:rsid w:val="00775332"/>
    <w:rsid w:val="00775994"/>
    <w:rsid w:val="0077683E"/>
    <w:rsid w:val="00776B99"/>
    <w:rsid w:val="00776BB5"/>
    <w:rsid w:val="007772D8"/>
    <w:rsid w:val="00777862"/>
    <w:rsid w:val="00780C8F"/>
    <w:rsid w:val="007815A1"/>
    <w:rsid w:val="0078186E"/>
    <w:rsid w:val="0078193A"/>
    <w:rsid w:val="007819D8"/>
    <w:rsid w:val="00781A59"/>
    <w:rsid w:val="00781D62"/>
    <w:rsid w:val="00782475"/>
    <w:rsid w:val="00782738"/>
    <w:rsid w:val="00782D24"/>
    <w:rsid w:val="00782F50"/>
    <w:rsid w:val="0078359F"/>
    <w:rsid w:val="0078423C"/>
    <w:rsid w:val="007843BF"/>
    <w:rsid w:val="00784928"/>
    <w:rsid w:val="00784EC6"/>
    <w:rsid w:val="00785467"/>
    <w:rsid w:val="007855FF"/>
    <w:rsid w:val="00785A6F"/>
    <w:rsid w:val="007864AF"/>
    <w:rsid w:val="00786848"/>
    <w:rsid w:val="00787AF7"/>
    <w:rsid w:val="00787B18"/>
    <w:rsid w:val="00787F00"/>
    <w:rsid w:val="00790259"/>
    <w:rsid w:val="007902A2"/>
    <w:rsid w:val="0079112C"/>
    <w:rsid w:val="0079146F"/>
    <w:rsid w:val="0079177F"/>
    <w:rsid w:val="00791AFB"/>
    <w:rsid w:val="007926F2"/>
    <w:rsid w:val="00792AB1"/>
    <w:rsid w:val="00792F2E"/>
    <w:rsid w:val="0079333C"/>
    <w:rsid w:val="0079353D"/>
    <w:rsid w:val="00793D98"/>
    <w:rsid w:val="007940FD"/>
    <w:rsid w:val="00794C04"/>
    <w:rsid w:val="00795185"/>
    <w:rsid w:val="007951DB"/>
    <w:rsid w:val="00795647"/>
    <w:rsid w:val="0079584A"/>
    <w:rsid w:val="00795F31"/>
    <w:rsid w:val="0079640B"/>
    <w:rsid w:val="00796589"/>
    <w:rsid w:val="00796952"/>
    <w:rsid w:val="007A0BB9"/>
    <w:rsid w:val="007A1AFF"/>
    <w:rsid w:val="007A1DDD"/>
    <w:rsid w:val="007A2697"/>
    <w:rsid w:val="007A2E9B"/>
    <w:rsid w:val="007A3030"/>
    <w:rsid w:val="007A34AF"/>
    <w:rsid w:val="007A3A81"/>
    <w:rsid w:val="007A3CBB"/>
    <w:rsid w:val="007A4372"/>
    <w:rsid w:val="007A43BF"/>
    <w:rsid w:val="007A4938"/>
    <w:rsid w:val="007A4C94"/>
    <w:rsid w:val="007A54C4"/>
    <w:rsid w:val="007A5A55"/>
    <w:rsid w:val="007A61EB"/>
    <w:rsid w:val="007A6680"/>
    <w:rsid w:val="007A6994"/>
    <w:rsid w:val="007A6BFA"/>
    <w:rsid w:val="007A7BF1"/>
    <w:rsid w:val="007A7CE3"/>
    <w:rsid w:val="007A7E9C"/>
    <w:rsid w:val="007B0EF3"/>
    <w:rsid w:val="007B1F3E"/>
    <w:rsid w:val="007B204D"/>
    <w:rsid w:val="007B2B2F"/>
    <w:rsid w:val="007B2BBE"/>
    <w:rsid w:val="007B3648"/>
    <w:rsid w:val="007B454D"/>
    <w:rsid w:val="007B4740"/>
    <w:rsid w:val="007B4DD0"/>
    <w:rsid w:val="007B5971"/>
    <w:rsid w:val="007B5C2C"/>
    <w:rsid w:val="007B5CB0"/>
    <w:rsid w:val="007B5D00"/>
    <w:rsid w:val="007B6310"/>
    <w:rsid w:val="007B6516"/>
    <w:rsid w:val="007B73CA"/>
    <w:rsid w:val="007B756A"/>
    <w:rsid w:val="007B7B1B"/>
    <w:rsid w:val="007C0887"/>
    <w:rsid w:val="007C144D"/>
    <w:rsid w:val="007C1AA4"/>
    <w:rsid w:val="007C1B1A"/>
    <w:rsid w:val="007C2A16"/>
    <w:rsid w:val="007C362C"/>
    <w:rsid w:val="007C3845"/>
    <w:rsid w:val="007C4825"/>
    <w:rsid w:val="007C518C"/>
    <w:rsid w:val="007C5935"/>
    <w:rsid w:val="007C6A0B"/>
    <w:rsid w:val="007C6AD6"/>
    <w:rsid w:val="007C7692"/>
    <w:rsid w:val="007C77C4"/>
    <w:rsid w:val="007C7956"/>
    <w:rsid w:val="007C7D50"/>
    <w:rsid w:val="007C7F04"/>
    <w:rsid w:val="007D0164"/>
    <w:rsid w:val="007D0E59"/>
    <w:rsid w:val="007D16E8"/>
    <w:rsid w:val="007D178B"/>
    <w:rsid w:val="007D1B00"/>
    <w:rsid w:val="007D1B75"/>
    <w:rsid w:val="007D2492"/>
    <w:rsid w:val="007D257E"/>
    <w:rsid w:val="007D26EB"/>
    <w:rsid w:val="007D27FD"/>
    <w:rsid w:val="007D34FD"/>
    <w:rsid w:val="007D3778"/>
    <w:rsid w:val="007D3F60"/>
    <w:rsid w:val="007D496C"/>
    <w:rsid w:val="007D4A50"/>
    <w:rsid w:val="007D5132"/>
    <w:rsid w:val="007D544E"/>
    <w:rsid w:val="007D563E"/>
    <w:rsid w:val="007D70C6"/>
    <w:rsid w:val="007D7214"/>
    <w:rsid w:val="007D7691"/>
    <w:rsid w:val="007D777F"/>
    <w:rsid w:val="007D7A0F"/>
    <w:rsid w:val="007E0721"/>
    <w:rsid w:val="007E207D"/>
    <w:rsid w:val="007E2278"/>
    <w:rsid w:val="007E22AB"/>
    <w:rsid w:val="007E2D4A"/>
    <w:rsid w:val="007E339E"/>
    <w:rsid w:val="007E35E6"/>
    <w:rsid w:val="007E3618"/>
    <w:rsid w:val="007E41F1"/>
    <w:rsid w:val="007E43A0"/>
    <w:rsid w:val="007E45FB"/>
    <w:rsid w:val="007E5670"/>
    <w:rsid w:val="007E5BF0"/>
    <w:rsid w:val="007E5E19"/>
    <w:rsid w:val="007E615E"/>
    <w:rsid w:val="007E74D1"/>
    <w:rsid w:val="007E7523"/>
    <w:rsid w:val="007F005A"/>
    <w:rsid w:val="007F0783"/>
    <w:rsid w:val="007F142D"/>
    <w:rsid w:val="007F162A"/>
    <w:rsid w:val="007F1E2B"/>
    <w:rsid w:val="007F230E"/>
    <w:rsid w:val="007F2BCE"/>
    <w:rsid w:val="007F30CF"/>
    <w:rsid w:val="007F39DD"/>
    <w:rsid w:val="007F4093"/>
    <w:rsid w:val="007F42E4"/>
    <w:rsid w:val="007F4334"/>
    <w:rsid w:val="007F48FD"/>
    <w:rsid w:val="007F4F66"/>
    <w:rsid w:val="007F580E"/>
    <w:rsid w:val="007F5935"/>
    <w:rsid w:val="007F6179"/>
    <w:rsid w:val="007F67D7"/>
    <w:rsid w:val="007F68EF"/>
    <w:rsid w:val="007F6904"/>
    <w:rsid w:val="007F71F2"/>
    <w:rsid w:val="007F7903"/>
    <w:rsid w:val="008002E7"/>
    <w:rsid w:val="00800923"/>
    <w:rsid w:val="008010B7"/>
    <w:rsid w:val="008017B3"/>
    <w:rsid w:val="00801992"/>
    <w:rsid w:val="00801C99"/>
    <w:rsid w:val="0080225A"/>
    <w:rsid w:val="0080280E"/>
    <w:rsid w:val="008028E2"/>
    <w:rsid w:val="00803224"/>
    <w:rsid w:val="00803BA2"/>
    <w:rsid w:val="00803F07"/>
    <w:rsid w:val="008044C1"/>
    <w:rsid w:val="008048F9"/>
    <w:rsid w:val="00805716"/>
    <w:rsid w:val="008067C6"/>
    <w:rsid w:val="00807101"/>
    <w:rsid w:val="0080755B"/>
    <w:rsid w:val="008075F8"/>
    <w:rsid w:val="00807841"/>
    <w:rsid w:val="0081087A"/>
    <w:rsid w:val="00810F28"/>
    <w:rsid w:val="008114D7"/>
    <w:rsid w:val="008119BF"/>
    <w:rsid w:val="00813BA2"/>
    <w:rsid w:val="00814212"/>
    <w:rsid w:val="008146E9"/>
    <w:rsid w:val="00815984"/>
    <w:rsid w:val="00815ADA"/>
    <w:rsid w:val="00815D31"/>
    <w:rsid w:val="00815EDF"/>
    <w:rsid w:val="00815F14"/>
    <w:rsid w:val="00816171"/>
    <w:rsid w:val="0081618A"/>
    <w:rsid w:val="0081622F"/>
    <w:rsid w:val="0081673D"/>
    <w:rsid w:val="008168C1"/>
    <w:rsid w:val="00816ABA"/>
    <w:rsid w:val="00816C05"/>
    <w:rsid w:val="0081731C"/>
    <w:rsid w:val="00817A98"/>
    <w:rsid w:val="00817EDC"/>
    <w:rsid w:val="00820391"/>
    <w:rsid w:val="00820AB7"/>
    <w:rsid w:val="008219C1"/>
    <w:rsid w:val="00822CB9"/>
    <w:rsid w:val="0082345F"/>
    <w:rsid w:val="00823A43"/>
    <w:rsid w:val="00823E65"/>
    <w:rsid w:val="0082521C"/>
    <w:rsid w:val="00825BDA"/>
    <w:rsid w:val="00825DF7"/>
    <w:rsid w:val="008262A3"/>
    <w:rsid w:val="008264F6"/>
    <w:rsid w:val="008265D2"/>
    <w:rsid w:val="0082660D"/>
    <w:rsid w:val="00826A57"/>
    <w:rsid w:val="008278DD"/>
    <w:rsid w:val="00830289"/>
    <w:rsid w:val="008303D5"/>
    <w:rsid w:val="008303E1"/>
    <w:rsid w:val="00830405"/>
    <w:rsid w:val="008309EC"/>
    <w:rsid w:val="00830B0B"/>
    <w:rsid w:val="00831901"/>
    <w:rsid w:val="00831EA3"/>
    <w:rsid w:val="00832167"/>
    <w:rsid w:val="00832447"/>
    <w:rsid w:val="008329A7"/>
    <w:rsid w:val="008329B9"/>
    <w:rsid w:val="00832F2D"/>
    <w:rsid w:val="0083323A"/>
    <w:rsid w:val="0083329F"/>
    <w:rsid w:val="008334B2"/>
    <w:rsid w:val="00833CA9"/>
    <w:rsid w:val="00833D15"/>
    <w:rsid w:val="00833DBE"/>
    <w:rsid w:val="008340BD"/>
    <w:rsid w:val="008341E9"/>
    <w:rsid w:val="00834D30"/>
    <w:rsid w:val="008352C3"/>
    <w:rsid w:val="00835515"/>
    <w:rsid w:val="008361E5"/>
    <w:rsid w:val="008369BB"/>
    <w:rsid w:val="00836A20"/>
    <w:rsid w:val="00836C5C"/>
    <w:rsid w:val="00836CA5"/>
    <w:rsid w:val="00837D8A"/>
    <w:rsid w:val="00837E36"/>
    <w:rsid w:val="008409C2"/>
    <w:rsid w:val="00840F64"/>
    <w:rsid w:val="0084105C"/>
    <w:rsid w:val="00841691"/>
    <w:rsid w:val="00841EC8"/>
    <w:rsid w:val="00842B8B"/>
    <w:rsid w:val="00842C27"/>
    <w:rsid w:val="00842EFC"/>
    <w:rsid w:val="00844017"/>
    <w:rsid w:val="00844831"/>
    <w:rsid w:val="008449ED"/>
    <w:rsid w:val="00845139"/>
    <w:rsid w:val="0084516D"/>
    <w:rsid w:val="0084576A"/>
    <w:rsid w:val="00845C7D"/>
    <w:rsid w:val="00845F39"/>
    <w:rsid w:val="00847797"/>
    <w:rsid w:val="00847B34"/>
    <w:rsid w:val="00847D2F"/>
    <w:rsid w:val="00847D34"/>
    <w:rsid w:val="008500BD"/>
    <w:rsid w:val="008501C5"/>
    <w:rsid w:val="0085086C"/>
    <w:rsid w:val="00850BD6"/>
    <w:rsid w:val="00851171"/>
    <w:rsid w:val="00851305"/>
    <w:rsid w:val="00851684"/>
    <w:rsid w:val="0085185F"/>
    <w:rsid w:val="00852126"/>
    <w:rsid w:val="00852704"/>
    <w:rsid w:val="008532F1"/>
    <w:rsid w:val="00853685"/>
    <w:rsid w:val="00853DDF"/>
    <w:rsid w:val="00853E65"/>
    <w:rsid w:val="00853F2B"/>
    <w:rsid w:val="00854081"/>
    <w:rsid w:val="00854FF4"/>
    <w:rsid w:val="0085513A"/>
    <w:rsid w:val="0085541A"/>
    <w:rsid w:val="0085557F"/>
    <w:rsid w:val="00855D4E"/>
    <w:rsid w:val="00856505"/>
    <w:rsid w:val="008568DB"/>
    <w:rsid w:val="00856D90"/>
    <w:rsid w:val="008571A4"/>
    <w:rsid w:val="008572A2"/>
    <w:rsid w:val="008575DB"/>
    <w:rsid w:val="008579AC"/>
    <w:rsid w:val="008606D6"/>
    <w:rsid w:val="00860ACB"/>
    <w:rsid w:val="00861AD3"/>
    <w:rsid w:val="00861BBE"/>
    <w:rsid w:val="00861C24"/>
    <w:rsid w:val="00861DFD"/>
    <w:rsid w:val="008620BD"/>
    <w:rsid w:val="0086223D"/>
    <w:rsid w:val="00862652"/>
    <w:rsid w:val="0086299F"/>
    <w:rsid w:val="00862E88"/>
    <w:rsid w:val="008638C6"/>
    <w:rsid w:val="00863C0B"/>
    <w:rsid w:val="0086533B"/>
    <w:rsid w:val="008653A5"/>
    <w:rsid w:val="00866269"/>
    <w:rsid w:val="00867786"/>
    <w:rsid w:val="008677E2"/>
    <w:rsid w:val="00867866"/>
    <w:rsid w:val="0087024E"/>
    <w:rsid w:val="008708E0"/>
    <w:rsid w:val="00870AE3"/>
    <w:rsid w:val="008719C6"/>
    <w:rsid w:val="00871E43"/>
    <w:rsid w:val="00872CB6"/>
    <w:rsid w:val="00872F2A"/>
    <w:rsid w:val="0087313D"/>
    <w:rsid w:val="00873967"/>
    <w:rsid w:val="00873A85"/>
    <w:rsid w:val="00873B3A"/>
    <w:rsid w:val="00874D3C"/>
    <w:rsid w:val="00875CCB"/>
    <w:rsid w:val="0087687B"/>
    <w:rsid w:val="008769AF"/>
    <w:rsid w:val="00876EF6"/>
    <w:rsid w:val="00876F58"/>
    <w:rsid w:val="00877C4C"/>
    <w:rsid w:val="00877D63"/>
    <w:rsid w:val="008801C5"/>
    <w:rsid w:val="008807EA"/>
    <w:rsid w:val="008809CA"/>
    <w:rsid w:val="00880A8E"/>
    <w:rsid w:val="0088149B"/>
    <w:rsid w:val="00881548"/>
    <w:rsid w:val="008815A5"/>
    <w:rsid w:val="00881A6A"/>
    <w:rsid w:val="00881AAC"/>
    <w:rsid w:val="00881BC5"/>
    <w:rsid w:val="00882388"/>
    <w:rsid w:val="008824C8"/>
    <w:rsid w:val="00882CC2"/>
    <w:rsid w:val="00882DF5"/>
    <w:rsid w:val="00882FF3"/>
    <w:rsid w:val="008841C8"/>
    <w:rsid w:val="00884675"/>
    <w:rsid w:val="00884ED2"/>
    <w:rsid w:val="00884F87"/>
    <w:rsid w:val="00885424"/>
    <w:rsid w:val="00885B41"/>
    <w:rsid w:val="00886124"/>
    <w:rsid w:val="00886399"/>
    <w:rsid w:val="00887741"/>
    <w:rsid w:val="0088790A"/>
    <w:rsid w:val="00887CB8"/>
    <w:rsid w:val="008901D6"/>
    <w:rsid w:val="00890667"/>
    <w:rsid w:val="00890BAF"/>
    <w:rsid w:val="00890D20"/>
    <w:rsid w:val="0089112C"/>
    <w:rsid w:val="008915F9"/>
    <w:rsid w:val="00891995"/>
    <w:rsid w:val="00892187"/>
    <w:rsid w:val="00892322"/>
    <w:rsid w:val="00892C7E"/>
    <w:rsid w:val="008931A1"/>
    <w:rsid w:val="0089350C"/>
    <w:rsid w:val="00893A85"/>
    <w:rsid w:val="00893F36"/>
    <w:rsid w:val="0089409F"/>
    <w:rsid w:val="008947EB"/>
    <w:rsid w:val="00894C7D"/>
    <w:rsid w:val="00894D1C"/>
    <w:rsid w:val="008964C2"/>
    <w:rsid w:val="0089659F"/>
    <w:rsid w:val="00896C35"/>
    <w:rsid w:val="00896EA3"/>
    <w:rsid w:val="00896F1F"/>
    <w:rsid w:val="00897573"/>
    <w:rsid w:val="008A04C9"/>
    <w:rsid w:val="008A1149"/>
    <w:rsid w:val="008A1BD7"/>
    <w:rsid w:val="008A23D9"/>
    <w:rsid w:val="008A2A63"/>
    <w:rsid w:val="008A2E7B"/>
    <w:rsid w:val="008A3916"/>
    <w:rsid w:val="008A3DBF"/>
    <w:rsid w:val="008A42F5"/>
    <w:rsid w:val="008A5334"/>
    <w:rsid w:val="008A545B"/>
    <w:rsid w:val="008A578A"/>
    <w:rsid w:val="008A57D7"/>
    <w:rsid w:val="008A5A31"/>
    <w:rsid w:val="008A6A59"/>
    <w:rsid w:val="008A6B90"/>
    <w:rsid w:val="008A6C1C"/>
    <w:rsid w:val="008A6CCD"/>
    <w:rsid w:val="008A6D25"/>
    <w:rsid w:val="008A7413"/>
    <w:rsid w:val="008A742A"/>
    <w:rsid w:val="008A7531"/>
    <w:rsid w:val="008A7651"/>
    <w:rsid w:val="008A7D68"/>
    <w:rsid w:val="008A7E4F"/>
    <w:rsid w:val="008B00E8"/>
    <w:rsid w:val="008B054B"/>
    <w:rsid w:val="008B0A2E"/>
    <w:rsid w:val="008B0F28"/>
    <w:rsid w:val="008B1377"/>
    <w:rsid w:val="008B1B0C"/>
    <w:rsid w:val="008B1FBB"/>
    <w:rsid w:val="008B2165"/>
    <w:rsid w:val="008B21D3"/>
    <w:rsid w:val="008B33C3"/>
    <w:rsid w:val="008B3755"/>
    <w:rsid w:val="008B3E36"/>
    <w:rsid w:val="008B4168"/>
    <w:rsid w:val="008B46A9"/>
    <w:rsid w:val="008B46B2"/>
    <w:rsid w:val="008B52D7"/>
    <w:rsid w:val="008B53C6"/>
    <w:rsid w:val="008B7BC9"/>
    <w:rsid w:val="008B7C25"/>
    <w:rsid w:val="008B7EE4"/>
    <w:rsid w:val="008C087A"/>
    <w:rsid w:val="008C0D12"/>
    <w:rsid w:val="008C0D7F"/>
    <w:rsid w:val="008C117B"/>
    <w:rsid w:val="008C16B6"/>
    <w:rsid w:val="008C197D"/>
    <w:rsid w:val="008C1CF5"/>
    <w:rsid w:val="008C2C2E"/>
    <w:rsid w:val="008C31B2"/>
    <w:rsid w:val="008C3A3D"/>
    <w:rsid w:val="008C579A"/>
    <w:rsid w:val="008C5D34"/>
    <w:rsid w:val="008C6131"/>
    <w:rsid w:val="008C6138"/>
    <w:rsid w:val="008C6A60"/>
    <w:rsid w:val="008C7691"/>
    <w:rsid w:val="008D0023"/>
    <w:rsid w:val="008D045E"/>
    <w:rsid w:val="008D0933"/>
    <w:rsid w:val="008D0ACE"/>
    <w:rsid w:val="008D105C"/>
    <w:rsid w:val="008D1192"/>
    <w:rsid w:val="008D199D"/>
    <w:rsid w:val="008D1AA3"/>
    <w:rsid w:val="008D1AF8"/>
    <w:rsid w:val="008D2366"/>
    <w:rsid w:val="008D2977"/>
    <w:rsid w:val="008D2DE5"/>
    <w:rsid w:val="008D316D"/>
    <w:rsid w:val="008D3670"/>
    <w:rsid w:val="008D3825"/>
    <w:rsid w:val="008D384E"/>
    <w:rsid w:val="008D39B9"/>
    <w:rsid w:val="008D3F63"/>
    <w:rsid w:val="008D46A6"/>
    <w:rsid w:val="008D487B"/>
    <w:rsid w:val="008D5EAA"/>
    <w:rsid w:val="008D658F"/>
    <w:rsid w:val="008D67AD"/>
    <w:rsid w:val="008D7B4A"/>
    <w:rsid w:val="008E0247"/>
    <w:rsid w:val="008E0976"/>
    <w:rsid w:val="008E0F42"/>
    <w:rsid w:val="008E18BE"/>
    <w:rsid w:val="008E24CF"/>
    <w:rsid w:val="008E268B"/>
    <w:rsid w:val="008E34B5"/>
    <w:rsid w:val="008E379C"/>
    <w:rsid w:val="008E3A3D"/>
    <w:rsid w:val="008E3ABB"/>
    <w:rsid w:val="008E3E62"/>
    <w:rsid w:val="008E4DE1"/>
    <w:rsid w:val="008E58EA"/>
    <w:rsid w:val="008E65AC"/>
    <w:rsid w:val="008E7D9B"/>
    <w:rsid w:val="008F023E"/>
    <w:rsid w:val="008F051B"/>
    <w:rsid w:val="008F0D3B"/>
    <w:rsid w:val="008F0E74"/>
    <w:rsid w:val="008F10E1"/>
    <w:rsid w:val="008F1C19"/>
    <w:rsid w:val="008F1D0E"/>
    <w:rsid w:val="008F2117"/>
    <w:rsid w:val="008F25F6"/>
    <w:rsid w:val="008F2B9C"/>
    <w:rsid w:val="008F32FB"/>
    <w:rsid w:val="008F3A71"/>
    <w:rsid w:val="008F402B"/>
    <w:rsid w:val="008F43D0"/>
    <w:rsid w:val="008F487F"/>
    <w:rsid w:val="008F48AC"/>
    <w:rsid w:val="008F4C36"/>
    <w:rsid w:val="008F4DA5"/>
    <w:rsid w:val="008F5867"/>
    <w:rsid w:val="008F6DFA"/>
    <w:rsid w:val="00900A86"/>
    <w:rsid w:val="00900AE4"/>
    <w:rsid w:val="00900E79"/>
    <w:rsid w:val="00901617"/>
    <w:rsid w:val="00901645"/>
    <w:rsid w:val="00902276"/>
    <w:rsid w:val="009023FA"/>
    <w:rsid w:val="00902A44"/>
    <w:rsid w:val="00902E9F"/>
    <w:rsid w:val="009036EA"/>
    <w:rsid w:val="00903CA4"/>
    <w:rsid w:val="009048A1"/>
    <w:rsid w:val="00904B88"/>
    <w:rsid w:val="00906347"/>
    <w:rsid w:val="00906D2D"/>
    <w:rsid w:val="009070C1"/>
    <w:rsid w:val="00907459"/>
    <w:rsid w:val="00907932"/>
    <w:rsid w:val="009108E0"/>
    <w:rsid w:val="00911219"/>
    <w:rsid w:val="009121A8"/>
    <w:rsid w:val="00912357"/>
    <w:rsid w:val="0091334D"/>
    <w:rsid w:val="00913610"/>
    <w:rsid w:val="00913951"/>
    <w:rsid w:val="00913C0A"/>
    <w:rsid w:val="00913E47"/>
    <w:rsid w:val="00915BE5"/>
    <w:rsid w:val="00916CCB"/>
    <w:rsid w:val="00916D7F"/>
    <w:rsid w:val="00916F37"/>
    <w:rsid w:val="00917B3D"/>
    <w:rsid w:val="00917DB2"/>
    <w:rsid w:val="0092045A"/>
    <w:rsid w:val="0092086D"/>
    <w:rsid w:val="00920D34"/>
    <w:rsid w:val="00921713"/>
    <w:rsid w:val="00921737"/>
    <w:rsid w:val="00922BAD"/>
    <w:rsid w:val="00923020"/>
    <w:rsid w:val="00923A06"/>
    <w:rsid w:val="009241A1"/>
    <w:rsid w:val="0092481C"/>
    <w:rsid w:val="00924FFD"/>
    <w:rsid w:val="00925369"/>
    <w:rsid w:val="009263C3"/>
    <w:rsid w:val="009274FC"/>
    <w:rsid w:val="00927B60"/>
    <w:rsid w:val="00927E4E"/>
    <w:rsid w:val="00930694"/>
    <w:rsid w:val="00930A19"/>
    <w:rsid w:val="00931040"/>
    <w:rsid w:val="00931312"/>
    <w:rsid w:val="0093384D"/>
    <w:rsid w:val="00933DE2"/>
    <w:rsid w:val="00934364"/>
    <w:rsid w:val="009343D9"/>
    <w:rsid w:val="0093498E"/>
    <w:rsid w:val="00934B08"/>
    <w:rsid w:val="00935DCA"/>
    <w:rsid w:val="00936089"/>
    <w:rsid w:val="00936E29"/>
    <w:rsid w:val="009370BB"/>
    <w:rsid w:val="009376CD"/>
    <w:rsid w:val="00937C5A"/>
    <w:rsid w:val="0094125B"/>
    <w:rsid w:val="00941D50"/>
    <w:rsid w:val="009428E9"/>
    <w:rsid w:val="00942BB4"/>
    <w:rsid w:val="00943A85"/>
    <w:rsid w:val="009442B1"/>
    <w:rsid w:val="00944517"/>
    <w:rsid w:val="00944C35"/>
    <w:rsid w:val="0094525B"/>
    <w:rsid w:val="009460A0"/>
    <w:rsid w:val="009469A6"/>
    <w:rsid w:val="00946F35"/>
    <w:rsid w:val="00946F82"/>
    <w:rsid w:val="00946F8B"/>
    <w:rsid w:val="00946FE5"/>
    <w:rsid w:val="00947126"/>
    <w:rsid w:val="00947139"/>
    <w:rsid w:val="00947875"/>
    <w:rsid w:val="00947D1D"/>
    <w:rsid w:val="00947EE2"/>
    <w:rsid w:val="009504B6"/>
    <w:rsid w:val="00951643"/>
    <w:rsid w:val="00951CAF"/>
    <w:rsid w:val="00951EB6"/>
    <w:rsid w:val="00952321"/>
    <w:rsid w:val="0095268A"/>
    <w:rsid w:val="009532E8"/>
    <w:rsid w:val="00953540"/>
    <w:rsid w:val="009536B0"/>
    <w:rsid w:val="00953ABB"/>
    <w:rsid w:val="00954704"/>
    <w:rsid w:val="00955C3F"/>
    <w:rsid w:val="009560D0"/>
    <w:rsid w:val="00956455"/>
    <w:rsid w:val="00956CCA"/>
    <w:rsid w:val="0095725E"/>
    <w:rsid w:val="009573C6"/>
    <w:rsid w:val="00957A56"/>
    <w:rsid w:val="00957E28"/>
    <w:rsid w:val="009605CE"/>
    <w:rsid w:val="00961366"/>
    <w:rsid w:val="00961BAC"/>
    <w:rsid w:val="00961D0A"/>
    <w:rsid w:val="00962CD2"/>
    <w:rsid w:val="00963107"/>
    <w:rsid w:val="00963E65"/>
    <w:rsid w:val="009644E4"/>
    <w:rsid w:val="00964D87"/>
    <w:rsid w:val="00965358"/>
    <w:rsid w:val="00965A7A"/>
    <w:rsid w:val="009660EE"/>
    <w:rsid w:val="00966EFE"/>
    <w:rsid w:val="00966FB8"/>
    <w:rsid w:val="00967666"/>
    <w:rsid w:val="00967F42"/>
    <w:rsid w:val="009700AB"/>
    <w:rsid w:val="00970702"/>
    <w:rsid w:val="00970BC6"/>
    <w:rsid w:val="009710F4"/>
    <w:rsid w:val="0097189C"/>
    <w:rsid w:val="00971A15"/>
    <w:rsid w:val="00971A2B"/>
    <w:rsid w:val="00971F02"/>
    <w:rsid w:val="00972805"/>
    <w:rsid w:val="00972A3F"/>
    <w:rsid w:val="00972AFC"/>
    <w:rsid w:val="009732ED"/>
    <w:rsid w:val="00974900"/>
    <w:rsid w:val="00975281"/>
    <w:rsid w:val="009753B0"/>
    <w:rsid w:val="009756C7"/>
    <w:rsid w:val="00975A6B"/>
    <w:rsid w:val="00976135"/>
    <w:rsid w:val="009768E1"/>
    <w:rsid w:val="00976FB8"/>
    <w:rsid w:val="00977305"/>
    <w:rsid w:val="00977336"/>
    <w:rsid w:val="00977709"/>
    <w:rsid w:val="0097771B"/>
    <w:rsid w:val="00980329"/>
    <w:rsid w:val="0098119C"/>
    <w:rsid w:val="00981921"/>
    <w:rsid w:val="00981AB4"/>
    <w:rsid w:val="0098385C"/>
    <w:rsid w:val="009844A6"/>
    <w:rsid w:val="00984754"/>
    <w:rsid w:val="00985050"/>
    <w:rsid w:val="009867B3"/>
    <w:rsid w:val="00986805"/>
    <w:rsid w:val="00986B12"/>
    <w:rsid w:val="00987284"/>
    <w:rsid w:val="009874AB"/>
    <w:rsid w:val="00987955"/>
    <w:rsid w:val="00987B73"/>
    <w:rsid w:val="00987EF6"/>
    <w:rsid w:val="009905F6"/>
    <w:rsid w:val="009909E4"/>
    <w:rsid w:val="0099104C"/>
    <w:rsid w:val="0099127A"/>
    <w:rsid w:val="0099147D"/>
    <w:rsid w:val="00991680"/>
    <w:rsid w:val="00991D7C"/>
    <w:rsid w:val="00991F1E"/>
    <w:rsid w:val="009920EF"/>
    <w:rsid w:val="009921E9"/>
    <w:rsid w:val="009924CB"/>
    <w:rsid w:val="0099338C"/>
    <w:rsid w:val="00993692"/>
    <w:rsid w:val="00993800"/>
    <w:rsid w:val="00993AE4"/>
    <w:rsid w:val="00994580"/>
    <w:rsid w:val="009947D1"/>
    <w:rsid w:val="009949E9"/>
    <w:rsid w:val="009957E0"/>
    <w:rsid w:val="0099631F"/>
    <w:rsid w:val="009969E0"/>
    <w:rsid w:val="00996BD8"/>
    <w:rsid w:val="0099726F"/>
    <w:rsid w:val="00997CEC"/>
    <w:rsid w:val="009A0536"/>
    <w:rsid w:val="009A06C8"/>
    <w:rsid w:val="009A071C"/>
    <w:rsid w:val="009A0769"/>
    <w:rsid w:val="009A0D90"/>
    <w:rsid w:val="009A0E85"/>
    <w:rsid w:val="009A1146"/>
    <w:rsid w:val="009A1C5C"/>
    <w:rsid w:val="009A1C81"/>
    <w:rsid w:val="009A28D2"/>
    <w:rsid w:val="009A2BDD"/>
    <w:rsid w:val="009A3EEE"/>
    <w:rsid w:val="009A3FF6"/>
    <w:rsid w:val="009A47F8"/>
    <w:rsid w:val="009A4F13"/>
    <w:rsid w:val="009A4F2D"/>
    <w:rsid w:val="009A5A79"/>
    <w:rsid w:val="009A5A86"/>
    <w:rsid w:val="009A5B5C"/>
    <w:rsid w:val="009A5F18"/>
    <w:rsid w:val="009A607C"/>
    <w:rsid w:val="009A646C"/>
    <w:rsid w:val="009A675E"/>
    <w:rsid w:val="009A748F"/>
    <w:rsid w:val="009B0115"/>
    <w:rsid w:val="009B0340"/>
    <w:rsid w:val="009B0D87"/>
    <w:rsid w:val="009B142B"/>
    <w:rsid w:val="009B165D"/>
    <w:rsid w:val="009B17AC"/>
    <w:rsid w:val="009B1DA0"/>
    <w:rsid w:val="009B1E2B"/>
    <w:rsid w:val="009B2217"/>
    <w:rsid w:val="009B2331"/>
    <w:rsid w:val="009B2B6D"/>
    <w:rsid w:val="009B43FF"/>
    <w:rsid w:val="009B470A"/>
    <w:rsid w:val="009B475D"/>
    <w:rsid w:val="009B4B35"/>
    <w:rsid w:val="009B4BA8"/>
    <w:rsid w:val="009B4DA5"/>
    <w:rsid w:val="009B4EE5"/>
    <w:rsid w:val="009B5CE3"/>
    <w:rsid w:val="009B5DDF"/>
    <w:rsid w:val="009B665C"/>
    <w:rsid w:val="009B6D7D"/>
    <w:rsid w:val="009B7325"/>
    <w:rsid w:val="009C06E8"/>
    <w:rsid w:val="009C0C87"/>
    <w:rsid w:val="009C1036"/>
    <w:rsid w:val="009C11AA"/>
    <w:rsid w:val="009C123B"/>
    <w:rsid w:val="009C297A"/>
    <w:rsid w:val="009C30A8"/>
    <w:rsid w:val="009C3795"/>
    <w:rsid w:val="009C3920"/>
    <w:rsid w:val="009C3BC0"/>
    <w:rsid w:val="009C3EE6"/>
    <w:rsid w:val="009C40C4"/>
    <w:rsid w:val="009C4C4F"/>
    <w:rsid w:val="009C4C8A"/>
    <w:rsid w:val="009C4DD0"/>
    <w:rsid w:val="009C4F53"/>
    <w:rsid w:val="009C5130"/>
    <w:rsid w:val="009C5C7B"/>
    <w:rsid w:val="009C63B2"/>
    <w:rsid w:val="009C6F07"/>
    <w:rsid w:val="009C70C0"/>
    <w:rsid w:val="009C7486"/>
    <w:rsid w:val="009C77F6"/>
    <w:rsid w:val="009C7B7D"/>
    <w:rsid w:val="009D090C"/>
    <w:rsid w:val="009D0AD3"/>
    <w:rsid w:val="009D0DCB"/>
    <w:rsid w:val="009D18D5"/>
    <w:rsid w:val="009D22FA"/>
    <w:rsid w:val="009D2A3E"/>
    <w:rsid w:val="009D2E23"/>
    <w:rsid w:val="009D2FFA"/>
    <w:rsid w:val="009D3295"/>
    <w:rsid w:val="009D39E8"/>
    <w:rsid w:val="009D476A"/>
    <w:rsid w:val="009D4AA5"/>
    <w:rsid w:val="009D4C9B"/>
    <w:rsid w:val="009D4FEB"/>
    <w:rsid w:val="009D5803"/>
    <w:rsid w:val="009D5C79"/>
    <w:rsid w:val="009D5F70"/>
    <w:rsid w:val="009D69B0"/>
    <w:rsid w:val="009D69C0"/>
    <w:rsid w:val="009D6EDB"/>
    <w:rsid w:val="009D6F3C"/>
    <w:rsid w:val="009D7A90"/>
    <w:rsid w:val="009E0A91"/>
    <w:rsid w:val="009E162F"/>
    <w:rsid w:val="009E1762"/>
    <w:rsid w:val="009E1D48"/>
    <w:rsid w:val="009E2A16"/>
    <w:rsid w:val="009E2C27"/>
    <w:rsid w:val="009E2D3F"/>
    <w:rsid w:val="009E2F65"/>
    <w:rsid w:val="009E426C"/>
    <w:rsid w:val="009E4769"/>
    <w:rsid w:val="009E4AFC"/>
    <w:rsid w:val="009E4D87"/>
    <w:rsid w:val="009E5CE7"/>
    <w:rsid w:val="009E7533"/>
    <w:rsid w:val="009E7E27"/>
    <w:rsid w:val="009E7FAD"/>
    <w:rsid w:val="009F01BA"/>
    <w:rsid w:val="009F0775"/>
    <w:rsid w:val="009F104D"/>
    <w:rsid w:val="009F1519"/>
    <w:rsid w:val="009F17F4"/>
    <w:rsid w:val="009F18C5"/>
    <w:rsid w:val="009F248B"/>
    <w:rsid w:val="009F24F6"/>
    <w:rsid w:val="009F331D"/>
    <w:rsid w:val="009F38F8"/>
    <w:rsid w:val="009F3EAF"/>
    <w:rsid w:val="009F526F"/>
    <w:rsid w:val="009F52EA"/>
    <w:rsid w:val="009F602D"/>
    <w:rsid w:val="009F6489"/>
    <w:rsid w:val="009F6DC3"/>
    <w:rsid w:val="009F72B7"/>
    <w:rsid w:val="009F75E9"/>
    <w:rsid w:val="009F7BC3"/>
    <w:rsid w:val="00A00777"/>
    <w:rsid w:val="00A00DF4"/>
    <w:rsid w:val="00A0118D"/>
    <w:rsid w:val="00A01438"/>
    <w:rsid w:val="00A01DC4"/>
    <w:rsid w:val="00A0261C"/>
    <w:rsid w:val="00A026D5"/>
    <w:rsid w:val="00A02C7E"/>
    <w:rsid w:val="00A03355"/>
    <w:rsid w:val="00A0350B"/>
    <w:rsid w:val="00A03564"/>
    <w:rsid w:val="00A03B46"/>
    <w:rsid w:val="00A041F7"/>
    <w:rsid w:val="00A0435C"/>
    <w:rsid w:val="00A04427"/>
    <w:rsid w:val="00A045EE"/>
    <w:rsid w:val="00A047F4"/>
    <w:rsid w:val="00A04E26"/>
    <w:rsid w:val="00A051DD"/>
    <w:rsid w:val="00A05AE2"/>
    <w:rsid w:val="00A05F21"/>
    <w:rsid w:val="00A06267"/>
    <w:rsid w:val="00A06286"/>
    <w:rsid w:val="00A06537"/>
    <w:rsid w:val="00A068D1"/>
    <w:rsid w:val="00A07985"/>
    <w:rsid w:val="00A07ABC"/>
    <w:rsid w:val="00A10505"/>
    <w:rsid w:val="00A106E3"/>
    <w:rsid w:val="00A10C60"/>
    <w:rsid w:val="00A10D10"/>
    <w:rsid w:val="00A110C2"/>
    <w:rsid w:val="00A11D63"/>
    <w:rsid w:val="00A11ECF"/>
    <w:rsid w:val="00A12EE4"/>
    <w:rsid w:val="00A12F63"/>
    <w:rsid w:val="00A13E26"/>
    <w:rsid w:val="00A13E58"/>
    <w:rsid w:val="00A13E5C"/>
    <w:rsid w:val="00A146BD"/>
    <w:rsid w:val="00A14B8E"/>
    <w:rsid w:val="00A1592F"/>
    <w:rsid w:val="00A15E66"/>
    <w:rsid w:val="00A16579"/>
    <w:rsid w:val="00A1680B"/>
    <w:rsid w:val="00A169B6"/>
    <w:rsid w:val="00A1751D"/>
    <w:rsid w:val="00A17C6D"/>
    <w:rsid w:val="00A17CF3"/>
    <w:rsid w:val="00A206BD"/>
    <w:rsid w:val="00A21024"/>
    <w:rsid w:val="00A211D4"/>
    <w:rsid w:val="00A21CE2"/>
    <w:rsid w:val="00A21FA5"/>
    <w:rsid w:val="00A226F8"/>
    <w:rsid w:val="00A22956"/>
    <w:rsid w:val="00A22D73"/>
    <w:rsid w:val="00A22F6E"/>
    <w:rsid w:val="00A231D5"/>
    <w:rsid w:val="00A23395"/>
    <w:rsid w:val="00A23AA9"/>
    <w:rsid w:val="00A23EA4"/>
    <w:rsid w:val="00A23FFE"/>
    <w:rsid w:val="00A24073"/>
    <w:rsid w:val="00A2443B"/>
    <w:rsid w:val="00A2469A"/>
    <w:rsid w:val="00A247C9"/>
    <w:rsid w:val="00A24B41"/>
    <w:rsid w:val="00A260C6"/>
    <w:rsid w:val="00A278C2"/>
    <w:rsid w:val="00A302F7"/>
    <w:rsid w:val="00A3041E"/>
    <w:rsid w:val="00A3058E"/>
    <w:rsid w:val="00A30EE4"/>
    <w:rsid w:val="00A30F4B"/>
    <w:rsid w:val="00A31C06"/>
    <w:rsid w:val="00A320A6"/>
    <w:rsid w:val="00A3285D"/>
    <w:rsid w:val="00A32A63"/>
    <w:rsid w:val="00A33196"/>
    <w:rsid w:val="00A33376"/>
    <w:rsid w:val="00A33688"/>
    <w:rsid w:val="00A337ED"/>
    <w:rsid w:val="00A3397C"/>
    <w:rsid w:val="00A3403B"/>
    <w:rsid w:val="00A34631"/>
    <w:rsid w:val="00A34A79"/>
    <w:rsid w:val="00A34B1D"/>
    <w:rsid w:val="00A34CBC"/>
    <w:rsid w:val="00A34DBB"/>
    <w:rsid w:val="00A35A61"/>
    <w:rsid w:val="00A35CCB"/>
    <w:rsid w:val="00A35FD8"/>
    <w:rsid w:val="00A36680"/>
    <w:rsid w:val="00A3732C"/>
    <w:rsid w:val="00A40149"/>
    <w:rsid w:val="00A4016C"/>
    <w:rsid w:val="00A40409"/>
    <w:rsid w:val="00A405E2"/>
    <w:rsid w:val="00A40E6C"/>
    <w:rsid w:val="00A40FCD"/>
    <w:rsid w:val="00A412E7"/>
    <w:rsid w:val="00A41AD0"/>
    <w:rsid w:val="00A41BC9"/>
    <w:rsid w:val="00A420AE"/>
    <w:rsid w:val="00A425A3"/>
    <w:rsid w:val="00A42998"/>
    <w:rsid w:val="00A429BF"/>
    <w:rsid w:val="00A42AF1"/>
    <w:rsid w:val="00A42DA8"/>
    <w:rsid w:val="00A44C1A"/>
    <w:rsid w:val="00A44EBF"/>
    <w:rsid w:val="00A4584A"/>
    <w:rsid w:val="00A45F7A"/>
    <w:rsid w:val="00A45FE2"/>
    <w:rsid w:val="00A4649E"/>
    <w:rsid w:val="00A464D7"/>
    <w:rsid w:val="00A46D84"/>
    <w:rsid w:val="00A47B20"/>
    <w:rsid w:val="00A5014A"/>
    <w:rsid w:val="00A508FE"/>
    <w:rsid w:val="00A514E0"/>
    <w:rsid w:val="00A51803"/>
    <w:rsid w:val="00A52408"/>
    <w:rsid w:val="00A529A0"/>
    <w:rsid w:val="00A5359B"/>
    <w:rsid w:val="00A53B05"/>
    <w:rsid w:val="00A53F93"/>
    <w:rsid w:val="00A54541"/>
    <w:rsid w:val="00A54E39"/>
    <w:rsid w:val="00A55183"/>
    <w:rsid w:val="00A551FF"/>
    <w:rsid w:val="00A5527C"/>
    <w:rsid w:val="00A55574"/>
    <w:rsid w:val="00A56364"/>
    <w:rsid w:val="00A5677B"/>
    <w:rsid w:val="00A5707A"/>
    <w:rsid w:val="00A570D5"/>
    <w:rsid w:val="00A57849"/>
    <w:rsid w:val="00A57A5D"/>
    <w:rsid w:val="00A57D64"/>
    <w:rsid w:val="00A60488"/>
    <w:rsid w:val="00A60641"/>
    <w:rsid w:val="00A60900"/>
    <w:rsid w:val="00A60DAB"/>
    <w:rsid w:val="00A60F1C"/>
    <w:rsid w:val="00A6140A"/>
    <w:rsid w:val="00A615C0"/>
    <w:rsid w:val="00A621C8"/>
    <w:rsid w:val="00A624A0"/>
    <w:rsid w:val="00A62A89"/>
    <w:rsid w:val="00A62EB0"/>
    <w:rsid w:val="00A6361E"/>
    <w:rsid w:val="00A6371B"/>
    <w:rsid w:val="00A63A09"/>
    <w:rsid w:val="00A63E28"/>
    <w:rsid w:val="00A64478"/>
    <w:rsid w:val="00A6478D"/>
    <w:rsid w:val="00A64798"/>
    <w:rsid w:val="00A64AEF"/>
    <w:rsid w:val="00A64F7A"/>
    <w:rsid w:val="00A65902"/>
    <w:rsid w:val="00A65D03"/>
    <w:rsid w:val="00A66593"/>
    <w:rsid w:val="00A6702D"/>
    <w:rsid w:val="00A70107"/>
    <w:rsid w:val="00A702E8"/>
    <w:rsid w:val="00A70456"/>
    <w:rsid w:val="00A70ED1"/>
    <w:rsid w:val="00A7117A"/>
    <w:rsid w:val="00A71289"/>
    <w:rsid w:val="00A71F5D"/>
    <w:rsid w:val="00A72445"/>
    <w:rsid w:val="00A72871"/>
    <w:rsid w:val="00A72AB5"/>
    <w:rsid w:val="00A7347F"/>
    <w:rsid w:val="00A747F7"/>
    <w:rsid w:val="00A74C5F"/>
    <w:rsid w:val="00A75327"/>
    <w:rsid w:val="00A7554A"/>
    <w:rsid w:val="00A75C84"/>
    <w:rsid w:val="00A76452"/>
    <w:rsid w:val="00A7660B"/>
    <w:rsid w:val="00A767BF"/>
    <w:rsid w:val="00A77126"/>
    <w:rsid w:val="00A7732F"/>
    <w:rsid w:val="00A773E0"/>
    <w:rsid w:val="00A7763C"/>
    <w:rsid w:val="00A77C79"/>
    <w:rsid w:val="00A77EC0"/>
    <w:rsid w:val="00A801E5"/>
    <w:rsid w:val="00A806FA"/>
    <w:rsid w:val="00A80B36"/>
    <w:rsid w:val="00A813EA"/>
    <w:rsid w:val="00A81511"/>
    <w:rsid w:val="00A81757"/>
    <w:rsid w:val="00A82976"/>
    <w:rsid w:val="00A82B6F"/>
    <w:rsid w:val="00A82F0C"/>
    <w:rsid w:val="00A831F1"/>
    <w:rsid w:val="00A84DAD"/>
    <w:rsid w:val="00A84FB6"/>
    <w:rsid w:val="00A851C0"/>
    <w:rsid w:val="00A854D1"/>
    <w:rsid w:val="00A85D91"/>
    <w:rsid w:val="00A8617B"/>
    <w:rsid w:val="00A8630E"/>
    <w:rsid w:val="00A8649F"/>
    <w:rsid w:val="00A8728E"/>
    <w:rsid w:val="00A91E33"/>
    <w:rsid w:val="00A92E17"/>
    <w:rsid w:val="00A92E58"/>
    <w:rsid w:val="00A9409C"/>
    <w:rsid w:val="00A9426A"/>
    <w:rsid w:val="00A95630"/>
    <w:rsid w:val="00A95F34"/>
    <w:rsid w:val="00A96ECA"/>
    <w:rsid w:val="00A971E4"/>
    <w:rsid w:val="00A97278"/>
    <w:rsid w:val="00A9752E"/>
    <w:rsid w:val="00A97EBA"/>
    <w:rsid w:val="00A97EC8"/>
    <w:rsid w:val="00AA0074"/>
    <w:rsid w:val="00AA04B3"/>
    <w:rsid w:val="00AA09C9"/>
    <w:rsid w:val="00AA0A7B"/>
    <w:rsid w:val="00AA137A"/>
    <w:rsid w:val="00AA1480"/>
    <w:rsid w:val="00AA1A19"/>
    <w:rsid w:val="00AA1D14"/>
    <w:rsid w:val="00AA1DB6"/>
    <w:rsid w:val="00AA1EAD"/>
    <w:rsid w:val="00AA2354"/>
    <w:rsid w:val="00AA2569"/>
    <w:rsid w:val="00AA27D9"/>
    <w:rsid w:val="00AA2914"/>
    <w:rsid w:val="00AA2BF0"/>
    <w:rsid w:val="00AA2FE1"/>
    <w:rsid w:val="00AA361B"/>
    <w:rsid w:val="00AA41E6"/>
    <w:rsid w:val="00AA4EE6"/>
    <w:rsid w:val="00AA52A7"/>
    <w:rsid w:val="00AA53BC"/>
    <w:rsid w:val="00AA696D"/>
    <w:rsid w:val="00AA6A03"/>
    <w:rsid w:val="00AA6A20"/>
    <w:rsid w:val="00AA72D4"/>
    <w:rsid w:val="00AB0051"/>
    <w:rsid w:val="00AB015F"/>
    <w:rsid w:val="00AB069B"/>
    <w:rsid w:val="00AB079B"/>
    <w:rsid w:val="00AB11F8"/>
    <w:rsid w:val="00AB14E1"/>
    <w:rsid w:val="00AB1926"/>
    <w:rsid w:val="00AB21BD"/>
    <w:rsid w:val="00AB261E"/>
    <w:rsid w:val="00AB395C"/>
    <w:rsid w:val="00AB3B37"/>
    <w:rsid w:val="00AB4E51"/>
    <w:rsid w:val="00AB4E67"/>
    <w:rsid w:val="00AB5881"/>
    <w:rsid w:val="00AB589A"/>
    <w:rsid w:val="00AB5B5F"/>
    <w:rsid w:val="00AB612D"/>
    <w:rsid w:val="00AB68E2"/>
    <w:rsid w:val="00AB68F8"/>
    <w:rsid w:val="00AB6A75"/>
    <w:rsid w:val="00AB6B5E"/>
    <w:rsid w:val="00AC01CC"/>
    <w:rsid w:val="00AC06A6"/>
    <w:rsid w:val="00AC09DB"/>
    <w:rsid w:val="00AC0AFC"/>
    <w:rsid w:val="00AC0EA3"/>
    <w:rsid w:val="00AC2137"/>
    <w:rsid w:val="00AC2273"/>
    <w:rsid w:val="00AC22D6"/>
    <w:rsid w:val="00AC233B"/>
    <w:rsid w:val="00AC2359"/>
    <w:rsid w:val="00AC235E"/>
    <w:rsid w:val="00AC2B6E"/>
    <w:rsid w:val="00AC2E60"/>
    <w:rsid w:val="00AC3B3D"/>
    <w:rsid w:val="00AC3BB4"/>
    <w:rsid w:val="00AC3E88"/>
    <w:rsid w:val="00AC4DB4"/>
    <w:rsid w:val="00AC5153"/>
    <w:rsid w:val="00AC5230"/>
    <w:rsid w:val="00AC6395"/>
    <w:rsid w:val="00AC6485"/>
    <w:rsid w:val="00AC677B"/>
    <w:rsid w:val="00AC689F"/>
    <w:rsid w:val="00AC6C2D"/>
    <w:rsid w:val="00AC6F67"/>
    <w:rsid w:val="00AC75DE"/>
    <w:rsid w:val="00AC7B1B"/>
    <w:rsid w:val="00AC7D89"/>
    <w:rsid w:val="00AD0630"/>
    <w:rsid w:val="00AD06DE"/>
    <w:rsid w:val="00AD0B60"/>
    <w:rsid w:val="00AD0B83"/>
    <w:rsid w:val="00AD1AC3"/>
    <w:rsid w:val="00AD26AC"/>
    <w:rsid w:val="00AD29C8"/>
    <w:rsid w:val="00AD2C53"/>
    <w:rsid w:val="00AD34AC"/>
    <w:rsid w:val="00AD390D"/>
    <w:rsid w:val="00AD3F2B"/>
    <w:rsid w:val="00AD4391"/>
    <w:rsid w:val="00AD444F"/>
    <w:rsid w:val="00AD6358"/>
    <w:rsid w:val="00AD6C2A"/>
    <w:rsid w:val="00AD76D7"/>
    <w:rsid w:val="00AD7D6A"/>
    <w:rsid w:val="00AE0069"/>
    <w:rsid w:val="00AE0071"/>
    <w:rsid w:val="00AE09EA"/>
    <w:rsid w:val="00AE0EB2"/>
    <w:rsid w:val="00AE1A2C"/>
    <w:rsid w:val="00AE1C5F"/>
    <w:rsid w:val="00AE361C"/>
    <w:rsid w:val="00AE3DA2"/>
    <w:rsid w:val="00AE483B"/>
    <w:rsid w:val="00AE6020"/>
    <w:rsid w:val="00AE6205"/>
    <w:rsid w:val="00AE6A0B"/>
    <w:rsid w:val="00AE6CD8"/>
    <w:rsid w:val="00AE6D36"/>
    <w:rsid w:val="00AE6EAA"/>
    <w:rsid w:val="00AE70EC"/>
    <w:rsid w:val="00AE7300"/>
    <w:rsid w:val="00AE7397"/>
    <w:rsid w:val="00AE75AC"/>
    <w:rsid w:val="00AE7C59"/>
    <w:rsid w:val="00AF08F5"/>
    <w:rsid w:val="00AF09B1"/>
    <w:rsid w:val="00AF14D0"/>
    <w:rsid w:val="00AF1B26"/>
    <w:rsid w:val="00AF20EA"/>
    <w:rsid w:val="00AF3058"/>
    <w:rsid w:val="00AF3308"/>
    <w:rsid w:val="00AF36A1"/>
    <w:rsid w:val="00AF3AA2"/>
    <w:rsid w:val="00AF3E4B"/>
    <w:rsid w:val="00AF4E9C"/>
    <w:rsid w:val="00AF50A4"/>
    <w:rsid w:val="00AF50A8"/>
    <w:rsid w:val="00AF61DE"/>
    <w:rsid w:val="00AF71A8"/>
    <w:rsid w:val="00AF7BA4"/>
    <w:rsid w:val="00AF7ED4"/>
    <w:rsid w:val="00AF7F89"/>
    <w:rsid w:val="00B008E6"/>
    <w:rsid w:val="00B00C46"/>
    <w:rsid w:val="00B012F2"/>
    <w:rsid w:val="00B01620"/>
    <w:rsid w:val="00B0192A"/>
    <w:rsid w:val="00B019C9"/>
    <w:rsid w:val="00B019F5"/>
    <w:rsid w:val="00B01FA9"/>
    <w:rsid w:val="00B020C3"/>
    <w:rsid w:val="00B025A7"/>
    <w:rsid w:val="00B02840"/>
    <w:rsid w:val="00B03397"/>
    <w:rsid w:val="00B033BE"/>
    <w:rsid w:val="00B03AF8"/>
    <w:rsid w:val="00B03C0E"/>
    <w:rsid w:val="00B03F77"/>
    <w:rsid w:val="00B042E1"/>
    <w:rsid w:val="00B049BE"/>
    <w:rsid w:val="00B04A5E"/>
    <w:rsid w:val="00B04E3A"/>
    <w:rsid w:val="00B04EB1"/>
    <w:rsid w:val="00B05847"/>
    <w:rsid w:val="00B05985"/>
    <w:rsid w:val="00B05995"/>
    <w:rsid w:val="00B05CEB"/>
    <w:rsid w:val="00B05D51"/>
    <w:rsid w:val="00B062A9"/>
    <w:rsid w:val="00B063D1"/>
    <w:rsid w:val="00B06607"/>
    <w:rsid w:val="00B06752"/>
    <w:rsid w:val="00B06EAA"/>
    <w:rsid w:val="00B0769D"/>
    <w:rsid w:val="00B07D38"/>
    <w:rsid w:val="00B105B1"/>
    <w:rsid w:val="00B10ACE"/>
    <w:rsid w:val="00B10F47"/>
    <w:rsid w:val="00B1102C"/>
    <w:rsid w:val="00B119FF"/>
    <w:rsid w:val="00B11D85"/>
    <w:rsid w:val="00B12306"/>
    <w:rsid w:val="00B12D9D"/>
    <w:rsid w:val="00B132B2"/>
    <w:rsid w:val="00B13361"/>
    <w:rsid w:val="00B135E7"/>
    <w:rsid w:val="00B14C29"/>
    <w:rsid w:val="00B15A42"/>
    <w:rsid w:val="00B15B7F"/>
    <w:rsid w:val="00B15CEE"/>
    <w:rsid w:val="00B16170"/>
    <w:rsid w:val="00B16933"/>
    <w:rsid w:val="00B16EED"/>
    <w:rsid w:val="00B1745F"/>
    <w:rsid w:val="00B17602"/>
    <w:rsid w:val="00B17711"/>
    <w:rsid w:val="00B17854"/>
    <w:rsid w:val="00B17F14"/>
    <w:rsid w:val="00B201D9"/>
    <w:rsid w:val="00B20269"/>
    <w:rsid w:val="00B20F2C"/>
    <w:rsid w:val="00B2109F"/>
    <w:rsid w:val="00B210F7"/>
    <w:rsid w:val="00B21937"/>
    <w:rsid w:val="00B21A91"/>
    <w:rsid w:val="00B22427"/>
    <w:rsid w:val="00B22965"/>
    <w:rsid w:val="00B22E32"/>
    <w:rsid w:val="00B23192"/>
    <w:rsid w:val="00B23366"/>
    <w:rsid w:val="00B234E2"/>
    <w:rsid w:val="00B23B4F"/>
    <w:rsid w:val="00B2474F"/>
    <w:rsid w:val="00B25479"/>
    <w:rsid w:val="00B2547E"/>
    <w:rsid w:val="00B25EDA"/>
    <w:rsid w:val="00B264D8"/>
    <w:rsid w:val="00B2661C"/>
    <w:rsid w:val="00B267A4"/>
    <w:rsid w:val="00B267AB"/>
    <w:rsid w:val="00B26872"/>
    <w:rsid w:val="00B26CAF"/>
    <w:rsid w:val="00B2748C"/>
    <w:rsid w:val="00B2765F"/>
    <w:rsid w:val="00B278AE"/>
    <w:rsid w:val="00B27B33"/>
    <w:rsid w:val="00B27C2C"/>
    <w:rsid w:val="00B27DF3"/>
    <w:rsid w:val="00B30060"/>
    <w:rsid w:val="00B3076C"/>
    <w:rsid w:val="00B30C23"/>
    <w:rsid w:val="00B30D1E"/>
    <w:rsid w:val="00B30EC1"/>
    <w:rsid w:val="00B312C2"/>
    <w:rsid w:val="00B3148B"/>
    <w:rsid w:val="00B3172D"/>
    <w:rsid w:val="00B31ABC"/>
    <w:rsid w:val="00B339FB"/>
    <w:rsid w:val="00B33EC6"/>
    <w:rsid w:val="00B347DB"/>
    <w:rsid w:val="00B35433"/>
    <w:rsid w:val="00B35700"/>
    <w:rsid w:val="00B357DD"/>
    <w:rsid w:val="00B35E1F"/>
    <w:rsid w:val="00B36133"/>
    <w:rsid w:val="00B363D7"/>
    <w:rsid w:val="00B3765C"/>
    <w:rsid w:val="00B37B32"/>
    <w:rsid w:val="00B37E97"/>
    <w:rsid w:val="00B37EA0"/>
    <w:rsid w:val="00B406DB"/>
    <w:rsid w:val="00B408EB"/>
    <w:rsid w:val="00B41678"/>
    <w:rsid w:val="00B41857"/>
    <w:rsid w:val="00B4285E"/>
    <w:rsid w:val="00B42F08"/>
    <w:rsid w:val="00B43434"/>
    <w:rsid w:val="00B4489D"/>
    <w:rsid w:val="00B450DD"/>
    <w:rsid w:val="00B4512D"/>
    <w:rsid w:val="00B45517"/>
    <w:rsid w:val="00B45DAF"/>
    <w:rsid w:val="00B45DCA"/>
    <w:rsid w:val="00B46792"/>
    <w:rsid w:val="00B467D3"/>
    <w:rsid w:val="00B4700C"/>
    <w:rsid w:val="00B47185"/>
    <w:rsid w:val="00B47A31"/>
    <w:rsid w:val="00B50389"/>
    <w:rsid w:val="00B503D1"/>
    <w:rsid w:val="00B506F2"/>
    <w:rsid w:val="00B5077C"/>
    <w:rsid w:val="00B507BC"/>
    <w:rsid w:val="00B507FA"/>
    <w:rsid w:val="00B50E6A"/>
    <w:rsid w:val="00B51427"/>
    <w:rsid w:val="00B5163C"/>
    <w:rsid w:val="00B517DE"/>
    <w:rsid w:val="00B5185A"/>
    <w:rsid w:val="00B51F48"/>
    <w:rsid w:val="00B52877"/>
    <w:rsid w:val="00B52D9C"/>
    <w:rsid w:val="00B52DF2"/>
    <w:rsid w:val="00B52FAB"/>
    <w:rsid w:val="00B531E3"/>
    <w:rsid w:val="00B536C8"/>
    <w:rsid w:val="00B53BFD"/>
    <w:rsid w:val="00B53E93"/>
    <w:rsid w:val="00B54077"/>
    <w:rsid w:val="00B5469E"/>
    <w:rsid w:val="00B54AF9"/>
    <w:rsid w:val="00B54BB8"/>
    <w:rsid w:val="00B54E30"/>
    <w:rsid w:val="00B5506C"/>
    <w:rsid w:val="00B5507A"/>
    <w:rsid w:val="00B55127"/>
    <w:rsid w:val="00B55C87"/>
    <w:rsid w:val="00B55DD7"/>
    <w:rsid w:val="00B55FF6"/>
    <w:rsid w:val="00B568C0"/>
    <w:rsid w:val="00B570CF"/>
    <w:rsid w:val="00B573B1"/>
    <w:rsid w:val="00B5758C"/>
    <w:rsid w:val="00B60008"/>
    <w:rsid w:val="00B6028C"/>
    <w:rsid w:val="00B603B7"/>
    <w:rsid w:val="00B6050D"/>
    <w:rsid w:val="00B60FA1"/>
    <w:rsid w:val="00B6198C"/>
    <w:rsid w:val="00B62018"/>
    <w:rsid w:val="00B6238B"/>
    <w:rsid w:val="00B626DC"/>
    <w:rsid w:val="00B62769"/>
    <w:rsid w:val="00B62BC6"/>
    <w:rsid w:val="00B62FE3"/>
    <w:rsid w:val="00B63AA4"/>
    <w:rsid w:val="00B6427D"/>
    <w:rsid w:val="00B6454C"/>
    <w:rsid w:val="00B64903"/>
    <w:rsid w:val="00B6534F"/>
    <w:rsid w:val="00B657A4"/>
    <w:rsid w:val="00B65877"/>
    <w:rsid w:val="00B65D8E"/>
    <w:rsid w:val="00B66682"/>
    <w:rsid w:val="00B70543"/>
    <w:rsid w:val="00B70D9B"/>
    <w:rsid w:val="00B70E73"/>
    <w:rsid w:val="00B71264"/>
    <w:rsid w:val="00B7155D"/>
    <w:rsid w:val="00B71C76"/>
    <w:rsid w:val="00B7208E"/>
    <w:rsid w:val="00B72609"/>
    <w:rsid w:val="00B72628"/>
    <w:rsid w:val="00B72F71"/>
    <w:rsid w:val="00B7375F"/>
    <w:rsid w:val="00B741D5"/>
    <w:rsid w:val="00B74E9D"/>
    <w:rsid w:val="00B74EEE"/>
    <w:rsid w:val="00B750AB"/>
    <w:rsid w:val="00B75453"/>
    <w:rsid w:val="00B755CB"/>
    <w:rsid w:val="00B75AA1"/>
    <w:rsid w:val="00B76590"/>
    <w:rsid w:val="00B774FD"/>
    <w:rsid w:val="00B77B4B"/>
    <w:rsid w:val="00B801D5"/>
    <w:rsid w:val="00B80316"/>
    <w:rsid w:val="00B81399"/>
    <w:rsid w:val="00B817A9"/>
    <w:rsid w:val="00B81A62"/>
    <w:rsid w:val="00B81FC0"/>
    <w:rsid w:val="00B82235"/>
    <w:rsid w:val="00B8274B"/>
    <w:rsid w:val="00B82AD1"/>
    <w:rsid w:val="00B82B8B"/>
    <w:rsid w:val="00B831A2"/>
    <w:rsid w:val="00B83792"/>
    <w:rsid w:val="00B83B64"/>
    <w:rsid w:val="00B84340"/>
    <w:rsid w:val="00B855BC"/>
    <w:rsid w:val="00B86795"/>
    <w:rsid w:val="00B86CC8"/>
    <w:rsid w:val="00B8718B"/>
    <w:rsid w:val="00B871D0"/>
    <w:rsid w:val="00B871D1"/>
    <w:rsid w:val="00B87D75"/>
    <w:rsid w:val="00B90AA3"/>
    <w:rsid w:val="00B90AC1"/>
    <w:rsid w:val="00B90BD7"/>
    <w:rsid w:val="00B90FAD"/>
    <w:rsid w:val="00B921DF"/>
    <w:rsid w:val="00B9244C"/>
    <w:rsid w:val="00B92471"/>
    <w:rsid w:val="00B9336B"/>
    <w:rsid w:val="00B946A3"/>
    <w:rsid w:val="00B9506E"/>
    <w:rsid w:val="00B9519B"/>
    <w:rsid w:val="00B9571E"/>
    <w:rsid w:val="00B958BC"/>
    <w:rsid w:val="00B9659B"/>
    <w:rsid w:val="00B96E47"/>
    <w:rsid w:val="00B96F90"/>
    <w:rsid w:val="00B974CD"/>
    <w:rsid w:val="00B97D8F"/>
    <w:rsid w:val="00BA0060"/>
    <w:rsid w:val="00BA0537"/>
    <w:rsid w:val="00BA0DE3"/>
    <w:rsid w:val="00BA0F95"/>
    <w:rsid w:val="00BA1D6D"/>
    <w:rsid w:val="00BA21DA"/>
    <w:rsid w:val="00BA2203"/>
    <w:rsid w:val="00BA4957"/>
    <w:rsid w:val="00BA4E03"/>
    <w:rsid w:val="00BA4E45"/>
    <w:rsid w:val="00BA58A3"/>
    <w:rsid w:val="00BA5A84"/>
    <w:rsid w:val="00BA5D0D"/>
    <w:rsid w:val="00BA6751"/>
    <w:rsid w:val="00BA708A"/>
    <w:rsid w:val="00BA72F3"/>
    <w:rsid w:val="00BA7EB0"/>
    <w:rsid w:val="00BB0721"/>
    <w:rsid w:val="00BB0B30"/>
    <w:rsid w:val="00BB1594"/>
    <w:rsid w:val="00BB1C43"/>
    <w:rsid w:val="00BB1CF6"/>
    <w:rsid w:val="00BB2EB8"/>
    <w:rsid w:val="00BB312E"/>
    <w:rsid w:val="00BB3987"/>
    <w:rsid w:val="00BB3A67"/>
    <w:rsid w:val="00BB4471"/>
    <w:rsid w:val="00BB4950"/>
    <w:rsid w:val="00BB4AA5"/>
    <w:rsid w:val="00BB5DE5"/>
    <w:rsid w:val="00BB62A3"/>
    <w:rsid w:val="00BB641E"/>
    <w:rsid w:val="00BB663E"/>
    <w:rsid w:val="00BB76F9"/>
    <w:rsid w:val="00BB770E"/>
    <w:rsid w:val="00BB7AC9"/>
    <w:rsid w:val="00BB7ED5"/>
    <w:rsid w:val="00BC026E"/>
    <w:rsid w:val="00BC063E"/>
    <w:rsid w:val="00BC0BB4"/>
    <w:rsid w:val="00BC0BDF"/>
    <w:rsid w:val="00BC0C8E"/>
    <w:rsid w:val="00BC0DF6"/>
    <w:rsid w:val="00BC103B"/>
    <w:rsid w:val="00BC117A"/>
    <w:rsid w:val="00BC1381"/>
    <w:rsid w:val="00BC1503"/>
    <w:rsid w:val="00BC1701"/>
    <w:rsid w:val="00BC1926"/>
    <w:rsid w:val="00BC2D09"/>
    <w:rsid w:val="00BC31AA"/>
    <w:rsid w:val="00BC36F7"/>
    <w:rsid w:val="00BC4052"/>
    <w:rsid w:val="00BC4508"/>
    <w:rsid w:val="00BC4E65"/>
    <w:rsid w:val="00BC50FF"/>
    <w:rsid w:val="00BC5722"/>
    <w:rsid w:val="00BC720B"/>
    <w:rsid w:val="00BC76D5"/>
    <w:rsid w:val="00BD18EB"/>
    <w:rsid w:val="00BD1E65"/>
    <w:rsid w:val="00BD2019"/>
    <w:rsid w:val="00BD21D3"/>
    <w:rsid w:val="00BD2382"/>
    <w:rsid w:val="00BD2B22"/>
    <w:rsid w:val="00BD308C"/>
    <w:rsid w:val="00BD3311"/>
    <w:rsid w:val="00BD3877"/>
    <w:rsid w:val="00BD3C46"/>
    <w:rsid w:val="00BD4835"/>
    <w:rsid w:val="00BD4D17"/>
    <w:rsid w:val="00BD4F90"/>
    <w:rsid w:val="00BD5961"/>
    <w:rsid w:val="00BD64B9"/>
    <w:rsid w:val="00BD6D61"/>
    <w:rsid w:val="00BD7197"/>
    <w:rsid w:val="00BE0D04"/>
    <w:rsid w:val="00BE0ECC"/>
    <w:rsid w:val="00BE10B8"/>
    <w:rsid w:val="00BE1B5F"/>
    <w:rsid w:val="00BE1BFB"/>
    <w:rsid w:val="00BE225C"/>
    <w:rsid w:val="00BE2344"/>
    <w:rsid w:val="00BE2721"/>
    <w:rsid w:val="00BE36B3"/>
    <w:rsid w:val="00BE3999"/>
    <w:rsid w:val="00BE3BE5"/>
    <w:rsid w:val="00BE443F"/>
    <w:rsid w:val="00BE44F7"/>
    <w:rsid w:val="00BE49D8"/>
    <w:rsid w:val="00BE5259"/>
    <w:rsid w:val="00BE5765"/>
    <w:rsid w:val="00BE5DBB"/>
    <w:rsid w:val="00BE5EF5"/>
    <w:rsid w:val="00BE6210"/>
    <w:rsid w:val="00BE72EE"/>
    <w:rsid w:val="00BE7C7E"/>
    <w:rsid w:val="00BF000B"/>
    <w:rsid w:val="00BF088E"/>
    <w:rsid w:val="00BF10C6"/>
    <w:rsid w:val="00BF10FC"/>
    <w:rsid w:val="00BF1416"/>
    <w:rsid w:val="00BF1558"/>
    <w:rsid w:val="00BF2675"/>
    <w:rsid w:val="00BF2B69"/>
    <w:rsid w:val="00BF31D0"/>
    <w:rsid w:val="00BF34F8"/>
    <w:rsid w:val="00BF3DB2"/>
    <w:rsid w:val="00BF4FB8"/>
    <w:rsid w:val="00BF5162"/>
    <w:rsid w:val="00BF617A"/>
    <w:rsid w:val="00BF6675"/>
    <w:rsid w:val="00BF6702"/>
    <w:rsid w:val="00BF6974"/>
    <w:rsid w:val="00BF6A70"/>
    <w:rsid w:val="00BF6C4D"/>
    <w:rsid w:val="00BF7F92"/>
    <w:rsid w:val="00C00074"/>
    <w:rsid w:val="00C00347"/>
    <w:rsid w:val="00C003BC"/>
    <w:rsid w:val="00C0190B"/>
    <w:rsid w:val="00C02615"/>
    <w:rsid w:val="00C0301E"/>
    <w:rsid w:val="00C0310A"/>
    <w:rsid w:val="00C03322"/>
    <w:rsid w:val="00C03648"/>
    <w:rsid w:val="00C04091"/>
    <w:rsid w:val="00C0409F"/>
    <w:rsid w:val="00C04404"/>
    <w:rsid w:val="00C047BD"/>
    <w:rsid w:val="00C0492A"/>
    <w:rsid w:val="00C04B13"/>
    <w:rsid w:val="00C05014"/>
    <w:rsid w:val="00C0575D"/>
    <w:rsid w:val="00C05A66"/>
    <w:rsid w:val="00C05C4B"/>
    <w:rsid w:val="00C05D42"/>
    <w:rsid w:val="00C06608"/>
    <w:rsid w:val="00C06F89"/>
    <w:rsid w:val="00C0769D"/>
    <w:rsid w:val="00C10D02"/>
    <w:rsid w:val="00C11199"/>
    <w:rsid w:val="00C11493"/>
    <w:rsid w:val="00C120A5"/>
    <w:rsid w:val="00C120DD"/>
    <w:rsid w:val="00C125D4"/>
    <w:rsid w:val="00C1287B"/>
    <w:rsid w:val="00C12953"/>
    <w:rsid w:val="00C12E55"/>
    <w:rsid w:val="00C14693"/>
    <w:rsid w:val="00C14E85"/>
    <w:rsid w:val="00C15036"/>
    <w:rsid w:val="00C150B7"/>
    <w:rsid w:val="00C15478"/>
    <w:rsid w:val="00C1610E"/>
    <w:rsid w:val="00C16557"/>
    <w:rsid w:val="00C16867"/>
    <w:rsid w:val="00C16922"/>
    <w:rsid w:val="00C16D42"/>
    <w:rsid w:val="00C16DE9"/>
    <w:rsid w:val="00C16FF2"/>
    <w:rsid w:val="00C1722A"/>
    <w:rsid w:val="00C17FD0"/>
    <w:rsid w:val="00C201D7"/>
    <w:rsid w:val="00C20270"/>
    <w:rsid w:val="00C2037D"/>
    <w:rsid w:val="00C20AB0"/>
    <w:rsid w:val="00C20B90"/>
    <w:rsid w:val="00C20F43"/>
    <w:rsid w:val="00C21BDB"/>
    <w:rsid w:val="00C21D44"/>
    <w:rsid w:val="00C21DE9"/>
    <w:rsid w:val="00C2209E"/>
    <w:rsid w:val="00C22CAD"/>
    <w:rsid w:val="00C22E4B"/>
    <w:rsid w:val="00C23133"/>
    <w:rsid w:val="00C23651"/>
    <w:rsid w:val="00C2427B"/>
    <w:rsid w:val="00C252CB"/>
    <w:rsid w:val="00C2603A"/>
    <w:rsid w:val="00C26D3C"/>
    <w:rsid w:val="00C26EE4"/>
    <w:rsid w:val="00C270FD"/>
    <w:rsid w:val="00C27207"/>
    <w:rsid w:val="00C27436"/>
    <w:rsid w:val="00C274D4"/>
    <w:rsid w:val="00C3025F"/>
    <w:rsid w:val="00C30388"/>
    <w:rsid w:val="00C306F3"/>
    <w:rsid w:val="00C31DAC"/>
    <w:rsid w:val="00C31F22"/>
    <w:rsid w:val="00C31F70"/>
    <w:rsid w:val="00C31F92"/>
    <w:rsid w:val="00C32280"/>
    <w:rsid w:val="00C323C4"/>
    <w:rsid w:val="00C32ABA"/>
    <w:rsid w:val="00C32E0B"/>
    <w:rsid w:val="00C3314C"/>
    <w:rsid w:val="00C3320A"/>
    <w:rsid w:val="00C33ADF"/>
    <w:rsid w:val="00C33B59"/>
    <w:rsid w:val="00C33DA7"/>
    <w:rsid w:val="00C344E1"/>
    <w:rsid w:val="00C347C9"/>
    <w:rsid w:val="00C34A57"/>
    <w:rsid w:val="00C3520C"/>
    <w:rsid w:val="00C36C9C"/>
    <w:rsid w:val="00C36E0F"/>
    <w:rsid w:val="00C36E84"/>
    <w:rsid w:val="00C371EF"/>
    <w:rsid w:val="00C374A7"/>
    <w:rsid w:val="00C403C1"/>
    <w:rsid w:val="00C4177C"/>
    <w:rsid w:val="00C41F1D"/>
    <w:rsid w:val="00C432C7"/>
    <w:rsid w:val="00C43464"/>
    <w:rsid w:val="00C43486"/>
    <w:rsid w:val="00C43DB7"/>
    <w:rsid w:val="00C44371"/>
    <w:rsid w:val="00C45417"/>
    <w:rsid w:val="00C454C6"/>
    <w:rsid w:val="00C457ED"/>
    <w:rsid w:val="00C45873"/>
    <w:rsid w:val="00C45939"/>
    <w:rsid w:val="00C45C18"/>
    <w:rsid w:val="00C463B8"/>
    <w:rsid w:val="00C46D95"/>
    <w:rsid w:val="00C47049"/>
    <w:rsid w:val="00C471F0"/>
    <w:rsid w:val="00C47820"/>
    <w:rsid w:val="00C47C3F"/>
    <w:rsid w:val="00C50EE9"/>
    <w:rsid w:val="00C510E9"/>
    <w:rsid w:val="00C510FD"/>
    <w:rsid w:val="00C51187"/>
    <w:rsid w:val="00C5153C"/>
    <w:rsid w:val="00C525CD"/>
    <w:rsid w:val="00C52AC1"/>
    <w:rsid w:val="00C52C4D"/>
    <w:rsid w:val="00C53A41"/>
    <w:rsid w:val="00C53FA9"/>
    <w:rsid w:val="00C54FB2"/>
    <w:rsid w:val="00C551AC"/>
    <w:rsid w:val="00C5535C"/>
    <w:rsid w:val="00C55597"/>
    <w:rsid w:val="00C558C9"/>
    <w:rsid w:val="00C55AD3"/>
    <w:rsid w:val="00C563C9"/>
    <w:rsid w:val="00C5695E"/>
    <w:rsid w:val="00C56B60"/>
    <w:rsid w:val="00C56E01"/>
    <w:rsid w:val="00C56F86"/>
    <w:rsid w:val="00C57461"/>
    <w:rsid w:val="00C57CBD"/>
    <w:rsid w:val="00C60FD6"/>
    <w:rsid w:val="00C61522"/>
    <w:rsid w:val="00C615B7"/>
    <w:rsid w:val="00C61E85"/>
    <w:rsid w:val="00C6200F"/>
    <w:rsid w:val="00C62618"/>
    <w:rsid w:val="00C628F1"/>
    <w:rsid w:val="00C634F4"/>
    <w:rsid w:val="00C63A9B"/>
    <w:rsid w:val="00C64AD0"/>
    <w:rsid w:val="00C64D20"/>
    <w:rsid w:val="00C64E9A"/>
    <w:rsid w:val="00C65011"/>
    <w:rsid w:val="00C65ECC"/>
    <w:rsid w:val="00C662A8"/>
    <w:rsid w:val="00C663E6"/>
    <w:rsid w:val="00C66571"/>
    <w:rsid w:val="00C66A35"/>
    <w:rsid w:val="00C66F10"/>
    <w:rsid w:val="00C6742C"/>
    <w:rsid w:val="00C7078D"/>
    <w:rsid w:val="00C71111"/>
    <w:rsid w:val="00C71A5A"/>
    <w:rsid w:val="00C71B86"/>
    <w:rsid w:val="00C71B90"/>
    <w:rsid w:val="00C71BE5"/>
    <w:rsid w:val="00C71E3F"/>
    <w:rsid w:val="00C71E48"/>
    <w:rsid w:val="00C71F38"/>
    <w:rsid w:val="00C71FDF"/>
    <w:rsid w:val="00C72D69"/>
    <w:rsid w:val="00C734A4"/>
    <w:rsid w:val="00C73788"/>
    <w:rsid w:val="00C73910"/>
    <w:rsid w:val="00C73965"/>
    <w:rsid w:val="00C74A1C"/>
    <w:rsid w:val="00C74EF1"/>
    <w:rsid w:val="00C75483"/>
    <w:rsid w:val="00C75A34"/>
    <w:rsid w:val="00C75AEE"/>
    <w:rsid w:val="00C75B7E"/>
    <w:rsid w:val="00C75DE3"/>
    <w:rsid w:val="00C76C7F"/>
    <w:rsid w:val="00C76DAA"/>
    <w:rsid w:val="00C77005"/>
    <w:rsid w:val="00C8073F"/>
    <w:rsid w:val="00C80746"/>
    <w:rsid w:val="00C8142F"/>
    <w:rsid w:val="00C81DCE"/>
    <w:rsid w:val="00C8286E"/>
    <w:rsid w:val="00C82F2A"/>
    <w:rsid w:val="00C83B24"/>
    <w:rsid w:val="00C8449F"/>
    <w:rsid w:val="00C849F2"/>
    <w:rsid w:val="00C85299"/>
    <w:rsid w:val="00C857DE"/>
    <w:rsid w:val="00C85A70"/>
    <w:rsid w:val="00C8627E"/>
    <w:rsid w:val="00C86FEC"/>
    <w:rsid w:val="00C87143"/>
    <w:rsid w:val="00C87959"/>
    <w:rsid w:val="00C90596"/>
    <w:rsid w:val="00C905CF"/>
    <w:rsid w:val="00C90D65"/>
    <w:rsid w:val="00C9103F"/>
    <w:rsid w:val="00C91BCC"/>
    <w:rsid w:val="00C91D16"/>
    <w:rsid w:val="00C9201C"/>
    <w:rsid w:val="00C92272"/>
    <w:rsid w:val="00C929A4"/>
    <w:rsid w:val="00C92D8A"/>
    <w:rsid w:val="00C9335F"/>
    <w:rsid w:val="00C93676"/>
    <w:rsid w:val="00C93D78"/>
    <w:rsid w:val="00C93EF6"/>
    <w:rsid w:val="00C93F01"/>
    <w:rsid w:val="00C940CC"/>
    <w:rsid w:val="00C94195"/>
    <w:rsid w:val="00C9457B"/>
    <w:rsid w:val="00C94708"/>
    <w:rsid w:val="00C94D52"/>
    <w:rsid w:val="00C9611F"/>
    <w:rsid w:val="00C96720"/>
    <w:rsid w:val="00C96ADE"/>
    <w:rsid w:val="00C96BB1"/>
    <w:rsid w:val="00C96CFD"/>
    <w:rsid w:val="00C96FCA"/>
    <w:rsid w:val="00C971FD"/>
    <w:rsid w:val="00C97F14"/>
    <w:rsid w:val="00CA0411"/>
    <w:rsid w:val="00CA0A95"/>
    <w:rsid w:val="00CA113F"/>
    <w:rsid w:val="00CA1529"/>
    <w:rsid w:val="00CA1C8A"/>
    <w:rsid w:val="00CA23A4"/>
    <w:rsid w:val="00CA2643"/>
    <w:rsid w:val="00CA3034"/>
    <w:rsid w:val="00CA412C"/>
    <w:rsid w:val="00CA568B"/>
    <w:rsid w:val="00CA56C1"/>
    <w:rsid w:val="00CA6A0E"/>
    <w:rsid w:val="00CA71A5"/>
    <w:rsid w:val="00CA7244"/>
    <w:rsid w:val="00CA79A6"/>
    <w:rsid w:val="00CA7C7D"/>
    <w:rsid w:val="00CB05DD"/>
    <w:rsid w:val="00CB0B47"/>
    <w:rsid w:val="00CB1400"/>
    <w:rsid w:val="00CB14C8"/>
    <w:rsid w:val="00CB2454"/>
    <w:rsid w:val="00CB27B9"/>
    <w:rsid w:val="00CB295B"/>
    <w:rsid w:val="00CB296E"/>
    <w:rsid w:val="00CB2BC7"/>
    <w:rsid w:val="00CB2BF4"/>
    <w:rsid w:val="00CB2EB5"/>
    <w:rsid w:val="00CB2EF0"/>
    <w:rsid w:val="00CB385B"/>
    <w:rsid w:val="00CB39DC"/>
    <w:rsid w:val="00CB4D85"/>
    <w:rsid w:val="00CB54FC"/>
    <w:rsid w:val="00CB5676"/>
    <w:rsid w:val="00CB57DE"/>
    <w:rsid w:val="00CB5918"/>
    <w:rsid w:val="00CB5A31"/>
    <w:rsid w:val="00CB64BB"/>
    <w:rsid w:val="00CB6939"/>
    <w:rsid w:val="00CB7C62"/>
    <w:rsid w:val="00CC0583"/>
    <w:rsid w:val="00CC0CD1"/>
    <w:rsid w:val="00CC0D24"/>
    <w:rsid w:val="00CC1339"/>
    <w:rsid w:val="00CC165E"/>
    <w:rsid w:val="00CC1975"/>
    <w:rsid w:val="00CC1D3E"/>
    <w:rsid w:val="00CC26BE"/>
    <w:rsid w:val="00CC2AA8"/>
    <w:rsid w:val="00CC378F"/>
    <w:rsid w:val="00CC3A99"/>
    <w:rsid w:val="00CC3C85"/>
    <w:rsid w:val="00CC4695"/>
    <w:rsid w:val="00CC59C8"/>
    <w:rsid w:val="00CC6822"/>
    <w:rsid w:val="00CC78AA"/>
    <w:rsid w:val="00CC7CC4"/>
    <w:rsid w:val="00CD02A7"/>
    <w:rsid w:val="00CD0649"/>
    <w:rsid w:val="00CD0B40"/>
    <w:rsid w:val="00CD114A"/>
    <w:rsid w:val="00CD13EE"/>
    <w:rsid w:val="00CD1520"/>
    <w:rsid w:val="00CD1D8E"/>
    <w:rsid w:val="00CD2B05"/>
    <w:rsid w:val="00CD2C01"/>
    <w:rsid w:val="00CD3E37"/>
    <w:rsid w:val="00CD4790"/>
    <w:rsid w:val="00CD4D98"/>
    <w:rsid w:val="00CD4FA0"/>
    <w:rsid w:val="00CD510F"/>
    <w:rsid w:val="00CD56B1"/>
    <w:rsid w:val="00CD6056"/>
    <w:rsid w:val="00CD6121"/>
    <w:rsid w:val="00CD679F"/>
    <w:rsid w:val="00CD72CB"/>
    <w:rsid w:val="00CD7E7A"/>
    <w:rsid w:val="00CD7EB8"/>
    <w:rsid w:val="00CD7FEE"/>
    <w:rsid w:val="00CE011E"/>
    <w:rsid w:val="00CE03DB"/>
    <w:rsid w:val="00CE0AD2"/>
    <w:rsid w:val="00CE0AE4"/>
    <w:rsid w:val="00CE0AE8"/>
    <w:rsid w:val="00CE16B1"/>
    <w:rsid w:val="00CE17BE"/>
    <w:rsid w:val="00CE19C8"/>
    <w:rsid w:val="00CE1A6B"/>
    <w:rsid w:val="00CE2124"/>
    <w:rsid w:val="00CE3100"/>
    <w:rsid w:val="00CE3161"/>
    <w:rsid w:val="00CE3F29"/>
    <w:rsid w:val="00CE40AF"/>
    <w:rsid w:val="00CE46B5"/>
    <w:rsid w:val="00CE4935"/>
    <w:rsid w:val="00CE4A50"/>
    <w:rsid w:val="00CE4F9A"/>
    <w:rsid w:val="00CE58B3"/>
    <w:rsid w:val="00CE5AC2"/>
    <w:rsid w:val="00CE5C42"/>
    <w:rsid w:val="00CE5CBB"/>
    <w:rsid w:val="00CE5EB0"/>
    <w:rsid w:val="00CE633B"/>
    <w:rsid w:val="00CE679A"/>
    <w:rsid w:val="00CE6AD7"/>
    <w:rsid w:val="00CE6BD9"/>
    <w:rsid w:val="00CE6C21"/>
    <w:rsid w:val="00CE720E"/>
    <w:rsid w:val="00CE75C4"/>
    <w:rsid w:val="00CF0A00"/>
    <w:rsid w:val="00CF0CA6"/>
    <w:rsid w:val="00CF0D13"/>
    <w:rsid w:val="00CF1C0F"/>
    <w:rsid w:val="00CF1C57"/>
    <w:rsid w:val="00CF247F"/>
    <w:rsid w:val="00CF3302"/>
    <w:rsid w:val="00CF382A"/>
    <w:rsid w:val="00CF3833"/>
    <w:rsid w:val="00CF3EBD"/>
    <w:rsid w:val="00CF433F"/>
    <w:rsid w:val="00CF4B2B"/>
    <w:rsid w:val="00CF53C5"/>
    <w:rsid w:val="00CF5D83"/>
    <w:rsid w:val="00CF630F"/>
    <w:rsid w:val="00CF63F6"/>
    <w:rsid w:val="00CF6DA3"/>
    <w:rsid w:val="00CF7BCD"/>
    <w:rsid w:val="00CF7C90"/>
    <w:rsid w:val="00CF7E16"/>
    <w:rsid w:val="00D00337"/>
    <w:rsid w:val="00D009D5"/>
    <w:rsid w:val="00D00C9C"/>
    <w:rsid w:val="00D01692"/>
    <w:rsid w:val="00D02E7E"/>
    <w:rsid w:val="00D02FCB"/>
    <w:rsid w:val="00D03294"/>
    <w:rsid w:val="00D0389D"/>
    <w:rsid w:val="00D039CF"/>
    <w:rsid w:val="00D03F73"/>
    <w:rsid w:val="00D04134"/>
    <w:rsid w:val="00D04BB4"/>
    <w:rsid w:val="00D04C03"/>
    <w:rsid w:val="00D0548C"/>
    <w:rsid w:val="00D060BB"/>
    <w:rsid w:val="00D06853"/>
    <w:rsid w:val="00D06E45"/>
    <w:rsid w:val="00D075F1"/>
    <w:rsid w:val="00D07C6F"/>
    <w:rsid w:val="00D10163"/>
    <w:rsid w:val="00D10694"/>
    <w:rsid w:val="00D1078E"/>
    <w:rsid w:val="00D10872"/>
    <w:rsid w:val="00D11071"/>
    <w:rsid w:val="00D11C01"/>
    <w:rsid w:val="00D11FE3"/>
    <w:rsid w:val="00D13575"/>
    <w:rsid w:val="00D13D47"/>
    <w:rsid w:val="00D1401B"/>
    <w:rsid w:val="00D14049"/>
    <w:rsid w:val="00D143F4"/>
    <w:rsid w:val="00D1458D"/>
    <w:rsid w:val="00D147BD"/>
    <w:rsid w:val="00D14CD7"/>
    <w:rsid w:val="00D15594"/>
    <w:rsid w:val="00D15970"/>
    <w:rsid w:val="00D16516"/>
    <w:rsid w:val="00D1703C"/>
    <w:rsid w:val="00D2021D"/>
    <w:rsid w:val="00D21E00"/>
    <w:rsid w:val="00D22515"/>
    <w:rsid w:val="00D22BA5"/>
    <w:rsid w:val="00D22F92"/>
    <w:rsid w:val="00D232F5"/>
    <w:rsid w:val="00D23871"/>
    <w:rsid w:val="00D2394E"/>
    <w:rsid w:val="00D24037"/>
    <w:rsid w:val="00D246D8"/>
    <w:rsid w:val="00D26C02"/>
    <w:rsid w:val="00D26C73"/>
    <w:rsid w:val="00D26FBA"/>
    <w:rsid w:val="00D276B0"/>
    <w:rsid w:val="00D2792A"/>
    <w:rsid w:val="00D27EDF"/>
    <w:rsid w:val="00D27FAB"/>
    <w:rsid w:val="00D303EC"/>
    <w:rsid w:val="00D30561"/>
    <w:rsid w:val="00D30D5A"/>
    <w:rsid w:val="00D30E29"/>
    <w:rsid w:val="00D3118B"/>
    <w:rsid w:val="00D311B6"/>
    <w:rsid w:val="00D3179A"/>
    <w:rsid w:val="00D31B26"/>
    <w:rsid w:val="00D32497"/>
    <w:rsid w:val="00D3292B"/>
    <w:rsid w:val="00D33792"/>
    <w:rsid w:val="00D33BA9"/>
    <w:rsid w:val="00D33C87"/>
    <w:rsid w:val="00D343A4"/>
    <w:rsid w:val="00D34EB1"/>
    <w:rsid w:val="00D34F43"/>
    <w:rsid w:val="00D35203"/>
    <w:rsid w:val="00D3587B"/>
    <w:rsid w:val="00D35A7F"/>
    <w:rsid w:val="00D36C8E"/>
    <w:rsid w:val="00D373E6"/>
    <w:rsid w:val="00D37E2D"/>
    <w:rsid w:val="00D37E55"/>
    <w:rsid w:val="00D40198"/>
    <w:rsid w:val="00D40ADE"/>
    <w:rsid w:val="00D413CE"/>
    <w:rsid w:val="00D4154A"/>
    <w:rsid w:val="00D41FC9"/>
    <w:rsid w:val="00D4222D"/>
    <w:rsid w:val="00D42830"/>
    <w:rsid w:val="00D429CD"/>
    <w:rsid w:val="00D42BA4"/>
    <w:rsid w:val="00D43B3B"/>
    <w:rsid w:val="00D43F11"/>
    <w:rsid w:val="00D441DB"/>
    <w:rsid w:val="00D44AD3"/>
    <w:rsid w:val="00D44E9C"/>
    <w:rsid w:val="00D4507D"/>
    <w:rsid w:val="00D450CB"/>
    <w:rsid w:val="00D4587B"/>
    <w:rsid w:val="00D45881"/>
    <w:rsid w:val="00D45B0A"/>
    <w:rsid w:val="00D45BB1"/>
    <w:rsid w:val="00D467FB"/>
    <w:rsid w:val="00D46E85"/>
    <w:rsid w:val="00D47299"/>
    <w:rsid w:val="00D504E5"/>
    <w:rsid w:val="00D50B19"/>
    <w:rsid w:val="00D5126B"/>
    <w:rsid w:val="00D51306"/>
    <w:rsid w:val="00D522CB"/>
    <w:rsid w:val="00D526FC"/>
    <w:rsid w:val="00D52C04"/>
    <w:rsid w:val="00D52DCA"/>
    <w:rsid w:val="00D5382B"/>
    <w:rsid w:val="00D5463B"/>
    <w:rsid w:val="00D54845"/>
    <w:rsid w:val="00D55762"/>
    <w:rsid w:val="00D55A0F"/>
    <w:rsid w:val="00D56135"/>
    <w:rsid w:val="00D563DE"/>
    <w:rsid w:val="00D56D48"/>
    <w:rsid w:val="00D57301"/>
    <w:rsid w:val="00D576D1"/>
    <w:rsid w:val="00D57ECA"/>
    <w:rsid w:val="00D600C9"/>
    <w:rsid w:val="00D60394"/>
    <w:rsid w:val="00D606F9"/>
    <w:rsid w:val="00D607E4"/>
    <w:rsid w:val="00D6080E"/>
    <w:rsid w:val="00D6123C"/>
    <w:rsid w:val="00D61345"/>
    <w:rsid w:val="00D62213"/>
    <w:rsid w:val="00D629E9"/>
    <w:rsid w:val="00D62C9A"/>
    <w:rsid w:val="00D62DD2"/>
    <w:rsid w:val="00D63721"/>
    <w:rsid w:val="00D644A8"/>
    <w:rsid w:val="00D64DCC"/>
    <w:rsid w:val="00D64EEE"/>
    <w:rsid w:val="00D65A54"/>
    <w:rsid w:val="00D65FE3"/>
    <w:rsid w:val="00D65FE4"/>
    <w:rsid w:val="00D66273"/>
    <w:rsid w:val="00D66406"/>
    <w:rsid w:val="00D666AB"/>
    <w:rsid w:val="00D668D7"/>
    <w:rsid w:val="00D70964"/>
    <w:rsid w:val="00D7106E"/>
    <w:rsid w:val="00D71404"/>
    <w:rsid w:val="00D71468"/>
    <w:rsid w:val="00D71A67"/>
    <w:rsid w:val="00D71D72"/>
    <w:rsid w:val="00D720E8"/>
    <w:rsid w:val="00D72314"/>
    <w:rsid w:val="00D72FEC"/>
    <w:rsid w:val="00D734CE"/>
    <w:rsid w:val="00D73823"/>
    <w:rsid w:val="00D73AEE"/>
    <w:rsid w:val="00D73DDE"/>
    <w:rsid w:val="00D74671"/>
    <w:rsid w:val="00D74DA1"/>
    <w:rsid w:val="00D74E45"/>
    <w:rsid w:val="00D74FD6"/>
    <w:rsid w:val="00D75961"/>
    <w:rsid w:val="00D75D41"/>
    <w:rsid w:val="00D763C7"/>
    <w:rsid w:val="00D7653F"/>
    <w:rsid w:val="00D77077"/>
    <w:rsid w:val="00D7714E"/>
    <w:rsid w:val="00D7718D"/>
    <w:rsid w:val="00D776C0"/>
    <w:rsid w:val="00D77B37"/>
    <w:rsid w:val="00D77ED0"/>
    <w:rsid w:val="00D802A5"/>
    <w:rsid w:val="00D808A4"/>
    <w:rsid w:val="00D80900"/>
    <w:rsid w:val="00D80A8D"/>
    <w:rsid w:val="00D80DDF"/>
    <w:rsid w:val="00D80E0E"/>
    <w:rsid w:val="00D81437"/>
    <w:rsid w:val="00D8163F"/>
    <w:rsid w:val="00D81B62"/>
    <w:rsid w:val="00D81D14"/>
    <w:rsid w:val="00D81DD8"/>
    <w:rsid w:val="00D81E02"/>
    <w:rsid w:val="00D826D0"/>
    <w:rsid w:val="00D82E1A"/>
    <w:rsid w:val="00D83D05"/>
    <w:rsid w:val="00D843E2"/>
    <w:rsid w:val="00D84484"/>
    <w:rsid w:val="00D84A6C"/>
    <w:rsid w:val="00D84C10"/>
    <w:rsid w:val="00D859BF"/>
    <w:rsid w:val="00D85E99"/>
    <w:rsid w:val="00D86074"/>
    <w:rsid w:val="00D864DA"/>
    <w:rsid w:val="00D8673F"/>
    <w:rsid w:val="00D867C0"/>
    <w:rsid w:val="00D86821"/>
    <w:rsid w:val="00D86E3A"/>
    <w:rsid w:val="00D90039"/>
    <w:rsid w:val="00D902A6"/>
    <w:rsid w:val="00D90605"/>
    <w:rsid w:val="00D90DA7"/>
    <w:rsid w:val="00D90F0A"/>
    <w:rsid w:val="00D9179E"/>
    <w:rsid w:val="00D91F08"/>
    <w:rsid w:val="00D922CF"/>
    <w:rsid w:val="00D92DFA"/>
    <w:rsid w:val="00D932B3"/>
    <w:rsid w:val="00D937BB"/>
    <w:rsid w:val="00D95017"/>
    <w:rsid w:val="00D952B5"/>
    <w:rsid w:val="00D952C3"/>
    <w:rsid w:val="00D956D3"/>
    <w:rsid w:val="00D959DA"/>
    <w:rsid w:val="00D9646C"/>
    <w:rsid w:val="00D96E81"/>
    <w:rsid w:val="00D97794"/>
    <w:rsid w:val="00D9794F"/>
    <w:rsid w:val="00DA0ADD"/>
    <w:rsid w:val="00DA0D35"/>
    <w:rsid w:val="00DA0E19"/>
    <w:rsid w:val="00DA23AE"/>
    <w:rsid w:val="00DA2D32"/>
    <w:rsid w:val="00DA2F40"/>
    <w:rsid w:val="00DA35A5"/>
    <w:rsid w:val="00DA378B"/>
    <w:rsid w:val="00DA3A75"/>
    <w:rsid w:val="00DA3EF8"/>
    <w:rsid w:val="00DA4345"/>
    <w:rsid w:val="00DA44A2"/>
    <w:rsid w:val="00DA45AD"/>
    <w:rsid w:val="00DA4861"/>
    <w:rsid w:val="00DA4940"/>
    <w:rsid w:val="00DA4DF1"/>
    <w:rsid w:val="00DA5054"/>
    <w:rsid w:val="00DA50A9"/>
    <w:rsid w:val="00DA5E85"/>
    <w:rsid w:val="00DA60DF"/>
    <w:rsid w:val="00DA686B"/>
    <w:rsid w:val="00DA696E"/>
    <w:rsid w:val="00DA6BCF"/>
    <w:rsid w:val="00DA6C23"/>
    <w:rsid w:val="00DA6D0A"/>
    <w:rsid w:val="00DB04FF"/>
    <w:rsid w:val="00DB11E6"/>
    <w:rsid w:val="00DB12F1"/>
    <w:rsid w:val="00DB142D"/>
    <w:rsid w:val="00DB1A93"/>
    <w:rsid w:val="00DB1B0D"/>
    <w:rsid w:val="00DB231A"/>
    <w:rsid w:val="00DB242E"/>
    <w:rsid w:val="00DB2597"/>
    <w:rsid w:val="00DB351F"/>
    <w:rsid w:val="00DB3B80"/>
    <w:rsid w:val="00DB4048"/>
    <w:rsid w:val="00DB4FB7"/>
    <w:rsid w:val="00DB5B17"/>
    <w:rsid w:val="00DB5D2B"/>
    <w:rsid w:val="00DB7063"/>
    <w:rsid w:val="00DB73F3"/>
    <w:rsid w:val="00DB74B2"/>
    <w:rsid w:val="00DB7B04"/>
    <w:rsid w:val="00DB7F00"/>
    <w:rsid w:val="00DC0B65"/>
    <w:rsid w:val="00DC0D2E"/>
    <w:rsid w:val="00DC1367"/>
    <w:rsid w:val="00DC13CA"/>
    <w:rsid w:val="00DC1491"/>
    <w:rsid w:val="00DC15D4"/>
    <w:rsid w:val="00DC198E"/>
    <w:rsid w:val="00DC1B15"/>
    <w:rsid w:val="00DC1D14"/>
    <w:rsid w:val="00DC211F"/>
    <w:rsid w:val="00DC2568"/>
    <w:rsid w:val="00DC2BBF"/>
    <w:rsid w:val="00DC2D1C"/>
    <w:rsid w:val="00DC3B41"/>
    <w:rsid w:val="00DC3EBC"/>
    <w:rsid w:val="00DC42A6"/>
    <w:rsid w:val="00DC4370"/>
    <w:rsid w:val="00DC4723"/>
    <w:rsid w:val="00DC4D69"/>
    <w:rsid w:val="00DC6083"/>
    <w:rsid w:val="00DC6B3B"/>
    <w:rsid w:val="00DC6C7A"/>
    <w:rsid w:val="00DC6FED"/>
    <w:rsid w:val="00DC704E"/>
    <w:rsid w:val="00DC730F"/>
    <w:rsid w:val="00DC7ACF"/>
    <w:rsid w:val="00DC7DC3"/>
    <w:rsid w:val="00DD0145"/>
    <w:rsid w:val="00DD07CD"/>
    <w:rsid w:val="00DD0CB6"/>
    <w:rsid w:val="00DD1C2F"/>
    <w:rsid w:val="00DD1C31"/>
    <w:rsid w:val="00DD2D1F"/>
    <w:rsid w:val="00DD2E3B"/>
    <w:rsid w:val="00DD2F21"/>
    <w:rsid w:val="00DD3043"/>
    <w:rsid w:val="00DD3647"/>
    <w:rsid w:val="00DD4120"/>
    <w:rsid w:val="00DD4186"/>
    <w:rsid w:val="00DD4740"/>
    <w:rsid w:val="00DD4A51"/>
    <w:rsid w:val="00DD4C6B"/>
    <w:rsid w:val="00DD50EF"/>
    <w:rsid w:val="00DD5ACD"/>
    <w:rsid w:val="00DD5EEE"/>
    <w:rsid w:val="00DD65AE"/>
    <w:rsid w:val="00DD6B68"/>
    <w:rsid w:val="00DD6F4E"/>
    <w:rsid w:val="00DD722E"/>
    <w:rsid w:val="00DD798B"/>
    <w:rsid w:val="00DD7CBE"/>
    <w:rsid w:val="00DE0148"/>
    <w:rsid w:val="00DE09B3"/>
    <w:rsid w:val="00DE0B28"/>
    <w:rsid w:val="00DE0C41"/>
    <w:rsid w:val="00DE0CB9"/>
    <w:rsid w:val="00DE148D"/>
    <w:rsid w:val="00DE1A93"/>
    <w:rsid w:val="00DE2C7C"/>
    <w:rsid w:val="00DE2DDA"/>
    <w:rsid w:val="00DE38CA"/>
    <w:rsid w:val="00DE4644"/>
    <w:rsid w:val="00DE4801"/>
    <w:rsid w:val="00DE50EE"/>
    <w:rsid w:val="00DE5223"/>
    <w:rsid w:val="00DE5C6C"/>
    <w:rsid w:val="00DE5D32"/>
    <w:rsid w:val="00DE619F"/>
    <w:rsid w:val="00DE63E2"/>
    <w:rsid w:val="00DE6FF3"/>
    <w:rsid w:val="00DE779B"/>
    <w:rsid w:val="00DE7C7F"/>
    <w:rsid w:val="00DF0CA3"/>
    <w:rsid w:val="00DF0F72"/>
    <w:rsid w:val="00DF10E3"/>
    <w:rsid w:val="00DF1955"/>
    <w:rsid w:val="00DF2525"/>
    <w:rsid w:val="00DF295D"/>
    <w:rsid w:val="00DF34FC"/>
    <w:rsid w:val="00DF3535"/>
    <w:rsid w:val="00DF406E"/>
    <w:rsid w:val="00DF419E"/>
    <w:rsid w:val="00DF5705"/>
    <w:rsid w:val="00DF723E"/>
    <w:rsid w:val="00DF73AD"/>
    <w:rsid w:val="00DF7523"/>
    <w:rsid w:val="00DF7E8E"/>
    <w:rsid w:val="00E007B8"/>
    <w:rsid w:val="00E014C5"/>
    <w:rsid w:val="00E015D2"/>
    <w:rsid w:val="00E016DA"/>
    <w:rsid w:val="00E01AC9"/>
    <w:rsid w:val="00E01B81"/>
    <w:rsid w:val="00E01BCF"/>
    <w:rsid w:val="00E01C78"/>
    <w:rsid w:val="00E02654"/>
    <w:rsid w:val="00E03982"/>
    <w:rsid w:val="00E0399A"/>
    <w:rsid w:val="00E03A84"/>
    <w:rsid w:val="00E041F0"/>
    <w:rsid w:val="00E04427"/>
    <w:rsid w:val="00E047AB"/>
    <w:rsid w:val="00E054B6"/>
    <w:rsid w:val="00E05714"/>
    <w:rsid w:val="00E10D28"/>
    <w:rsid w:val="00E10E55"/>
    <w:rsid w:val="00E10F53"/>
    <w:rsid w:val="00E1109C"/>
    <w:rsid w:val="00E11D31"/>
    <w:rsid w:val="00E1256E"/>
    <w:rsid w:val="00E12A3D"/>
    <w:rsid w:val="00E12B23"/>
    <w:rsid w:val="00E1310D"/>
    <w:rsid w:val="00E13BF0"/>
    <w:rsid w:val="00E140C9"/>
    <w:rsid w:val="00E14B2C"/>
    <w:rsid w:val="00E1573F"/>
    <w:rsid w:val="00E15829"/>
    <w:rsid w:val="00E15A29"/>
    <w:rsid w:val="00E16120"/>
    <w:rsid w:val="00E16168"/>
    <w:rsid w:val="00E16222"/>
    <w:rsid w:val="00E167E9"/>
    <w:rsid w:val="00E16BCD"/>
    <w:rsid w:val="00E17134"/>
    <w:rsid w:val="00E17841"/>
    <w:rsid w:val="00E17F83"/>
    <w:rsid w:val="00E20293"/>
    <w:rsid w:val="00E20C61"/>
    <w:rsid w:val="00E20E0F"/>
    <w:rsid w:val="00E20FE0"/>
    <w:rsid w:val="00E21912"/>
    <w:rsid w:val="00E21B0F"/>
    <w:rsid w:val="00E222B1"/>
    <w:rsid w:val="00E22FC0"/>
    <w:rsid w:val="00E230F5"/>
    <w:rsid w:val="00E23A01"/>
    <w:rsid w:val="00E23C77"/>
    <w:rsid w:val="00E247F5"/>
    <w:rsid w:val="00E2513F"/>
    <w:rsid w:val="00E25390"/>
    <w:rsid w:val="00E258E1"/>
    <w:rsid w:val="00E25AFB"/>
    <w:rsid w:val="00E25B91"/>
    <w:rsid w:val="00E25C3F"/>
    <w:rsid w:val="00E26A7C"/>
    <w:rsid w:val="00E26A97"/>
    <w:rsid w:val="00E26C07"/>
    <w:rsid w:val="00E3000C"/>
    <w:rsid w:val="00E308B5"/>
    <w:rsid w:val="00E30FA8"/>
    <w:rsid w:val="00E315D7"/>
    <w:rsid w:val="00E32E12"/>
    <w:rsid w:val="00E332BA"/>
    <w:rsid w:val="00E33C6F"/>
    <w:rsid w:val="00E33F02"/>
    <w:rsid w:val="00E34AB7"/>
    <w:rsid w:val="00E353CB"/>
    <w:rsid w:val="00E36714"/>
    <w:rsid w:val="00E3684B"/>
    <w:rsid w:val="00E36BF9"/>
    <w:rsid w:val="00E36C02"/>
    <w:rsid w:val="00E36CA1"/>
    <w:rsid w:val="00E370A3"/>
    <w:rsid w:val="00E3710F"/>
    <w:rsid w:val="00E378C1"/>
    <w:rsid w:val="00E40A96"/>
    <w:rsid w:val="00E40CD1"/>
    <w:rsid w:val="00E411E6"/>
    <w:rsid w:val="00E41423"/>
    <w:rsid w:val="00E4154D"/>
    <w:rsid w:val="00E418F8"/>
    <w:rsid w:val="00E42349"/>
    <w:rsid w:val="00E42409"/>
    <w:rsid w:val="00E42A0E"/>
    <w:rsid w:val="00E434A8"/>
    <w:rsid w:val="00E436D9"/>
    <w:rsid w:val="00E43EB1"/>
    <w:rsid w:val="00E44DB7"/>
    <w:rsid w:val="00E44EC3"/>
    <w:rsid w:val="00E45474"/>
    <w:rsid w:val="00E46137"/>
    <w:rsid w:val="00E46150"/>
    <w:rsid w:val="00E46712"/>
    <w:rsid w:val="00E477CF"/>
    <w:rsid w:val="00E50BB2"/>
    <w:rsid w:val="00E512EE"/>
    <w:rsid w:val="00E516A8"/>
    <w:rsid w:val="00E5191A"/>
    <w:rsid w:val="00E51A00"/>
    <w:rsid w:val="00E51AAB"/>
    <w:rsid w:val="00E51F15"/>
    <w:rsid w:val="00E52667"/>
    <w:rsid w:val="00E52725"/>
    <w:rsid w:val="00E52C65"/>
    <w:rsid w:val="00E531B4"/>
    <w:rsid w:val="00E53D56"/>
    <w:rsid w:val="00E53E2F"/>
    <w:rsid w:val="00E544A5"/>
    <w:rsid w:val="00E54785"/>
    <w:rsid w:val="00E54A3A"/>
    <w:rsid w:val="00E55074"/>
    <w:rsid w:val="00E55225"/>
    <w:rsid w:val="00E5530C"/>
    <w:rsid w:val="00E55356"/>
    <w:rsid w:val="00E55FAD"/>
    <w:rsid w:val="00E571AE"/>
    <w:rsid w:val="00E57E57"/>
    <w:rsid w:val="00E57F4B"/>
    <w:rsid w:val="00E60B86"/>
    <w:rsid w:val="00E6150D"/>
    <w:rsid w:val="00E61D35"/>
    <w:rsid w:val="00E61D64"/>
    <w:rsid w:val="00E623D6"/>
    <w:rsid w:val="00E62682"/>
    <w:rsid w:val="00E62BAF"/>
    <w:rsid w:val="00E62C25"/>
    <w:rsid w:val="00E62E8D"/>
    <w:rsid w:val="00E6309A"/>
    <w:rsid w:val="00E6347A"/>
    <w:rsid w:val="00E63542"/>
    <w:rsid w:val="00E637F2"/>
    <w:rsid w:val="00E63927"/>
    <w:rsid w:val="00E63C4D"/>
    <w:rsid w:val="00E63E59"/>
    <w:rsid w:val="00E64980"/>
    <w:rsid w:val="00E64D45"/>
    <w:rsid w:val="00E65043"/>
    <w:rsid w:val="00E65A96"/>
    <w:rsid w:val="00E66CB2"/>
    <w:rsid w:val="00E66EE2"/>
    <w:rsid w:val="00E71263"/>
    <w:rsid w:val="00E712FE"/>
    <w:rsid w:val="00E71512"/>
    <w:rsid w:val="00E71775"/>
    <w:rsid w:val="00E71E97"/>
    <w:rsid w:val="00E72232"/>
    <w:rsid w:val="00E7244A"/>
    <w:rsid w:val="00E724D2"/>
    <w:rsid w:val="00E72C5F"/>
    <w:rsid w:val="00E72F70"/>
    <w:rsid w:val="00E734E5"/>
    <w:rsid w:val="00E735D4"/>
    <w:rsid w:val="00E7361B"/>
    <w:rsid w:val="00E73B21"/>
    <w:rsid w:val="00E74542"/>
    <w:rsid w:val="00E746CF"/>
    <w:rsid w:val="00E749AA"/>
    <w:rsid w:val="00E75139"/>
    <w:rsid w:val="00E75292"/>
    <w:rsid w:val="00E76993"/>
    <w:rsid w:val="00E76AFF"/>
    <w:rsid w:val="00E778A7"/>
    <w:rsid w:val="00E779C6"/>
    <w:rsid w:val="00E77B3B"/>
    <w:rsid w:val="00E801F3"/>
    <w:rsid w:val="00E8023A"/>
    <w:rsid w:val="00E80372"/>
    <w:rsid w:val="00E8053F"/>
    <w:rsid w:val="00E81373"/>
    <w:rsid w:val="00E81982"/>
    <w:rsid w:val="00E82352"/>
    <w:rsid w:val="00E82E06"/>
    <w:rsid w:val="00E833E3"/>
    <w:rsid w:val="00E83A30"/>
    <w:rsid w:val="00E83A45"/>
    <w:rsid w:val="00E84310"/>
    <w:rsid w:val="00E84994"/>
    <w:rsid w:val="00E84E48"/>
    <w:rsid w:val="00E84E94"/>
    <w:rsid w:val="00E8561C"/>
    <w:rsid w:val="00E85ACB"/>
    <w:rsid w:val="00E86118"/>
    <w:rsid w:val="00E8635B"/>
    <w:rsid w:val="00E8678D"/>
    <w:rsid w:val="00E86C82"/>
    <w:rsid w:val="00E87370"/>
    <w:rsid w:val="00E87708"/>
    <w:rsid w:val="00E909A5"/>
    <w:rsid w:val="00E91842"/>
    <w:rsid w:val="00E92262"/>
    <w:rsid w:val="00E9267B"/>
    <w:rsid w:val="00E928EA"/>
    <w:rsid w:val="00E92CAE"/>
    <w:rsid w:val="00E933D6"/>
    <w:rsid w:val="00E9397E"/>
    <w:rsid w:val="00E9424A"/>
    <w:rsid w:val="00E95A32"/>
    <w:rsid w:val="00E95AD9"/>
    <w:rsid w:val="00E960BA"/>
    <w:rsid w:val="00E9632E"/>
    <w:rsid w:val="00E968B5"/>
    <w:rsid w:val="00E96B6D"/>
    <w:rsid w:val="00E975CB"/>
    <w:rsid w:val="00E97771"/>
    <w:rsid w:val="00E97973"/>
    <w:rsid w:val="00E97EF2"/>
    <w:rsid w:val="00EA1306"/>
    <w:rsid w:val="00EA1851"/>
    <w:rsid w:val="00EA18E5"/>
    <w:rsid w:val="00EA1AAC"/>
    <w:rsid w:val="00EA2270"/>
    <w:rsid w:val="00EA24BA"/>
    <w:rsid w:val="00EA2B2A"/>
    <w:rsid w:val="00EA2D8F"/>
    <w:rsid w:val="00EA3574"/>
    <w:rsid w:val="00EA3951"/>
    <w:rsid w:val="00EA3BB2"/>
    <w:rsid w:val="00EA4313"/>
    <w:rsid w:val="00EA436A"/>
    <w:rsid w:val="00EA53E3"/>
    <w:rsid w:val="00EA57AE"/>
    <w:rsid w:val="00EA5920"/>
    <w:rsid w:val="00EA5ED6"/>
    <w:rsid w:val="00EA60E5"/>
    <w:rsid w:val="00EA6A81"/>
    <w:rsid w:val="00EA6ACA"/>
    <w:rsid w:val="00EA6E6D"/>
    <w:rsid w:val="00EA70D1"/>
    <w:rsid w:val="00EA7CD5"/>
    <w:rsid w:val="00EB0478"/>
    <w:rsid w:val="00EB0EED"/>
    <w:rsid w:val="00EB0EF7"/>
    <w:rsid w:val="00EB1A3F"/>
    <w:rsid w:val="00EB1F5E"/>
    <w:rsid w:val="00EB25A3"/>
    <w:rsid w:val="00EB2A2A"/>
    <w:rsid w:val="00EB2B94"/>
    <w:rsid w:val="00EB2BF2"/>
    <w:rsid w:val="00EB3098"/>
    <w:rsid w:val="00EB36DC"/>
    <w:rsid w:val="00EB3700"/>
    <w:rsid w:val="00EB371D"/>
    <w:rsid w:val="00EB3A40"/>
    <w:rsid w:val="00EB4D2F"/>
    <w:rsid w:val="00EB5582"/>
    <w:rsid w:val="00EB5CBC"/>
    <w:rsid w:val="00EB636C"/>
    <w:rsid w:val="00EB641C"/>
    <w:rsid w:val="00EB6723"/>
    <w:rsid w:val="00EB6A2C"/>
    <w:rsid w:val="00EB6D15"/>
    <w:rsid w:val="00EB70AA"/>
    <w:rsid w:val="00EB788F"/>
    <w:rsid w:val="00EB7BCE"/>
    <w:rsid w:val="00EB7F51"/>
    <w:rsid w:val="00EC0004"/>
    <w:rsid w:val="00EC044F"/>
    <w:rsid w:val="00EC09E8"/>
    <w:rsid w:val="00EC1126"/>
    <w:rsid w:val="00EC1916"/>
    <w:rsid w:val="00EC1C34"/>
    <w:rsid w:val="00EC1DC1"/>
    <w:rsid w:val="00EC2002"/>
    <w:rsid w:val="00EC2332"/>
    <w:rsid w:val="00EC2399"/>
    <w:rsid w:val="00EC2B5D"/>
    <w:rsid w:val="00EC42A2"/>
    <w:rsid w:val="00EC4533"/>
    <w:rsid w:val="00EC4E90"/>
    <w:rsid w:val="00EC58F4"/>
    <w:rsid w:val="00EC5EE8"/>
    <w:rsid w:val="00EC6098"/>
    <w:rsid w:val="00EC613C"/>
    <w:rsid w:val="00EC6346"/>
    <w:rsid w:val="00EC744B"/>
    <w:rsid w:val="00EC7518"/>
    <w:rsid w:val="00EC7557"/>
    <w:rsid w:val="00EC77E2"/>
    <w:rsid w:val="00ED0B73"/>
    <w:rsid w:val="00ED0E6A"/>
    <w:rsid w:val="00ED0EEA"/>
    <w:rsid w:val="00ED2348"/>
    <w:rsid w:val="00ED258B"/>
    <w:rsid w:val="00ED287C"/>
    <w:rsid w:val="00ED376A"/>
    <w:rsid w:val="00ED3A80"/>
    <w:rsid w:val="00ED41AD"/>
    <w:rsid w:val="00ED49BE"/>
    <w:rsid w:val="00ED4DD9"/>
    <w:rsid w:val="00ED520B"/>
    <w:rsid w:val="00ED562C"/>
    <w:rsid w:val="00ED5A65"/>
    <w:rsid w:val="00ED70EA"/>
    <w:rsid w:val="00ED7D8A"/>
    <w:rsid w:val="00EE1382"/>
    <w:rsid w:val="00EE2605"/>
    <w:rsid w:val="00EE317F"/>
    <w:rsid w:val="00EE32CB"/>
    <w:rsid w:val="00EE3B5E"/>
    <w:rsid w:val="00EE3BCE"/>
    <w:rsid w:val="00EE4341"/>
    <w:rsid w:val="00EE43F4"/>
    <w:rsid w:val="00EE5266"/>
    <w:rsid w:val="00EE5545"/>
    <w:rsid w:val="00EE561E"/>
    <w:rsid w:val="00EE5E38"/>
    <w:rsid w:val="00EE67C1"/>
    <w:rsid w:val="00EE6EC4"/>
    <w:rsid w:val="00EE72D4"/>
    <w:rsid w:val="00EE7F09"/>
    <w:rsid w:val="00EF073F"/>
    <w:rsid w:val="00EF0DB5"/>
    <w:rsid w:val="00EF126C"/>
    <w:rsid w:val="00EF315F"/>
    <w:rsid w:val="00EF361E"/>
    <w:rsid w:val="00EF3DE8"/>
    <w:rsid w:val="00EF3EF5"/>
    <w:rsid w:val="00EF40F9"/>
    <w:rsid w:val="00EF4809"/>
    <w:rsid w:val="00EF4960"/>
    <w:rsid w:val="00EF53D4"/>
    <w:rsid w:val="00EF56E7"/>
    <w:rsid w:val="00EF5ABD"/>
    <w:rsid w:val="00EF5C25"/>
    <w:rsid w:val="00EF62F4"/>
    <w:rsid w:val="00EF6C16"/>
    <w:rsid w:val="00EF70A8"/>
    <w:rsid w:val="00EF7DF9"/>
    <w:rsid w:val="00F00219"/>
    <w:rsid w:val="00F0071E"/>
    <w:rsid w:val="00F00ABD"/>
    <w:rsid w:val="00F01279"/>
    <w:rsid w:val="00F01B53"/>
    <w:rsid w:val="00F02312"/>
    <w:rsid w:val="00F029F5"/>
    <w:rsid w:val="00F02D69"/>
    <w:rsid w:val="00F03870"/>
    <w:rsid w:val="00F03F75"/>
    <w:rsid w:val="00F0484C"/>
    <w:rsid w:val="00F04C3B"/>
    <w:rsid w:val="00F05668"/>
    <w:rsid w:val="00F05DB1"/>
    <w:rsid w:val="00F061B2"/>
    <w:rsid w:val="00F06404"/>
    <w:rsid w:val="00F06741"/>
    <w:rsid w:val="00F06A42"/>
    <w:rsid w:val="00F06A9C"/>
    <w:rsid w:val="00F07E9E"/>
    <w:rsid w:val="00F10897"/>
    <w:rsid w:val="00F10A45"/>
    <w:rsid w:val="00F10BC3"/>
    <w:rsid w:val="00F110DC"/>
    <w:rsid w:val="00F11355"/>
    <w:rsid w:val="00F1195A"/>
    <w:rsid w:val="00F119E1"/>
    <w:rsid w:val="00F119FF"/>
    <w:rsid w:val="00F11E59"/>
    <w:rsid w:val="00F1287C"/>
    <w:rsid w:val="00F12E44"/>
    <w:rsid w:val="00F136A4"/>
    <w:rsid w:val="00F13F6C"/>
    <w:rsid w:val="00F14039"/>
    <w:rsid w:val="00F146C0"/>
    <w:rsid w:val="00F14803"/>
    <w:rsid w:val="00F14B0A"/>
    <w:rsid w:val="00F14C9F"/>
    <w:rsid w:val="00F14D0E"/>
    <w:rsid w:val="00F15D7C"/>
    <w:rsid w:val="00F16407"/>
    <w:rsid w:val="00F167F1"/>
    <w:rsid w:val="00F16902"/>
    <w:rsid w:val="00F16AA8"/>
    <w:rsid w:val="00F171C9"/>
    <w:rsid w:val="00F20185"/>
    <w:rsid w:val="00F2080F"/>
    <w:rsid w:val="00F20EA3"/>
    <w:rsid w:val="00F20F29"/>
    <w:rsid w:val="00F2221A"/>
    <w:rsid w:val="00F22FA2"/>
    <w:rsid w:val="00F23042"/>
    <w:rsid w:val="00F2405D"/>
    <w:rsid w:val="00F2464A"/>
    <w:rsid w:val="00F24B48"/>
    <w:rsid w:val="00F24C97"/>
    <w:rsid w:val="00F24CD9"/>
    <w:rsid w:val="00F25641"/>
    <w:rsid w:val="00F26E8B"/>
    <w:rsid w:val="00F3000C"/>
    <w:rsid w:val="00F302C8"/>
    <w:rsid w:val="00F30C98"/>
    <w:rsid w:val="00F31015"/>
    <w:rsid w:val="00F313F5"/>
    <w:rsid w:val="00F31755"/>
    <w:rsid w:val="00F3186D"/>
    <w:rsid w:val="00F321A4"/>
    <w:rsid w:val="00F32516"/>
    <w:rsid w:val="00F32D74"/>
    <w:rsid w:val="00F3365D"/>
    <w:rsid w:val="00F33862"/>
    <w:rsid w:val="00F33D14"/>
    <w:rsid w:val="00F348D6"/>
    <w:rsid w:val="00F35016"/>
    <w:rsid w:val="00F35381"/>
    <w:rsid w:val="00F35705"/>
    <w:rsid w:val="00F35762"/>
    <w:rsid w:val="00F35771"/>
    <w:rsid w:val="00F35EAD"/>
    <w:rsid w:val="00F36F69"/>
    <w:rsid w:val="00F37172"/>
    <w:rsid w:val="00F371A4"/>
    <w:rsid w:val="00F3720F"/>
    <w:rsid w:val="00F374C3"/>
    <w:rsid w:val="00F4001A"/>
    <w:rsid w:val="00F4026C"/>
    <w:rsid w:val="00F410B3"/>
    <w:rsid w:val="00F41390"/>
    <w:rsid w:val="00F41785"/>
    <w:rsid w:val="00F41BEB"/>
    <w:rsid w:val="00F41C33"/>
    <w:rsid w:val="00F41D6F"/>
    <w:rsid w:val="00F422AA"/>
    <w:rsid w:val="00F428C5"/>
    <w:rsid w:val="00F42A7A"/>
    <w:rsid w:val="00F434CA"/>
    <w:rsid w:val="00F436A6"/>
    <w:rsid w:val="00F441E8"/>
    <w:rsid w:val="00F4472C"/>
    <w:rsid w:val="00F44809"/>
    <w:rsid w:val="00F44E16"/>
    <w:rsid w:val="00F454BA"/>
    <w:rsid w:val="00F457F2"/>
    <w:rsid w:val="00F45A99"/>
    <w:rsid w:val="00F45EA9"/>
    <w:rsid w:val="00F469AF"/>
    <w:rsid w:val="00F47617"/>
    <w:rsid w:val="00F47744"/>
    <w:rsid w:val="00F478AD"/>
    <w:rsid w:val="00F47C50"/>
    <w:rsid w:val="00F50F9F"/>
    <w:rsid w:val="00F5105E"/>
    <w:rsid w:val="00F5135A"/>
    <w:rsid w:val="00F51E7B"/>
    <w:rsid w:val="00F52543"/>
    <w:rsid w:val="00F5292F"/>
    <w:rsid w:val="00F5339C"/>
    <w:rsid w:val="00F533B9"/>
    <w:rsid w:val="00F53A08"/>
    <w:rsid w:val="00F53DD7"/>
    <w:rsid w:val="00F54436"/>
    <w:rsid w:val="00F556A7"/>
    <w:rsid w:val="00F56093"/>
    <w:rsid w:val="00F560AD"/>
    <w:rsid w:val="00F56149"/>
    <w:rsid w:val="00F56850"/>
    <w:rsid w:val="00F56898"/>
    <w:rsid w:val="00F56BA4"/>
    <w:rsid w:val="00F56C69"/>
    <w:rsid w:val="00F56F72"/>
    <w:rsid w:val="00F57F6F"/>
    <w:rsid w:val="00F57FEE"/>
    <w:rsid w:val="00F6014A"/>
    <w:rsid w:val="00F624D4"/>
    <w:rsid w:val="00F62A8B"/>
    <w:rsid w:val="00F637E4"/>
    <w:rsid w:val="00F63B3E"/>
    <w:rsid w:val="00F641F9"/>
    <w:rsid w:val="00F6439E"/>
    <w:rsid w:val="00F656C9"/>
    <w:rsid w:val="00F66094"/>
    <w:rsid w:val="00F67A5E"/>
    <w:rsid w:val="00F67E69"/>
    <w:rsid w:val="00F67F1B"/>
    <w:rsid w:val="00F70428"/>
    <w:rsid w:val="00F70C0E"/>
    <w:rsid w:val="00F70C21"/>
    <w:rsid w:val="00F71C17"/>
    <w:rsid w:val="00F71CC8"/>
    <w:rsid w:val="00F720DB"/>
    <w:rsid w:val="00F72277"/>
    <w:rsid w:val="00F726E2"/>
    <w:rsid w:val="00F7352B"/>
    <w:rsid w:val="00F7381C"/>
    <w:rsid w:val="00F73D68"/>
    <w:rsid w:val="00F7428A"/>
    <w:rsid w:val="00F749BD"/>
    <w:rsid w:val="00F75038"/>
    <w:rsid w:val="00F754E8"/>
    <w:rsid w:val="00F7559D"/>
    <w:rsid w:val="00F75DB9"/>
    <w:rsid w:val="00F76148"/>
    <w:rsid w:val="00F76250"/>
    <w:rsid w:val="00F7641D"/>
    <w:rsid w:val="00F76481"/>
    <w:rsid w:val="00F774EF"/>
    <w:rsid w:val="00F77DC0"/>
    <w:rsid w:val="00F804E0"/>
    <w:rsid w:val="00F80761"/>
    <w:rsid w:val="00F80BE5"/>
    <w:rsid w:val="00F8129E"/>
    <w:rsid w:val="00F81903"/>
    <w:rsid w:val="00F820F3"/>
    <w:rsid w:val="00F82347"/>
    <w:rsid w:val="00F825DF"/>
    <w:rsid w:val="00F8273F"/>
    <w:rsid w:val="00F82991"/>
    <w:rsid w:val="00F82AD6"/>
    <w:rsid w:val="00F838A7"/>
    <w:rsid w:val="00F83F2C"/>
    <w:rsid w:val="00F84195"/>
    <w:rsid w:val="00F84987"/>
    <w:rsid w:val="00F8535E"/>
    <w:rsid w:val="00F85361"/>
    <w:rsid w:val="00F855ED"/>
    <w:rsid w:val="00F856E1"/>
    <w:rsid w:val="00F85913"/>
    <w:rsid w:val="00F85D7E"/>
    <w:rsid w:val="00F8611F"/>
    <w:rsid w:val="00F8624A"/>
    <w:rsid w:val="00F8629E"/>
    <w:rsid w:val="00F86304"/>
    <w:rsid w:val="00F86583"/>
    <w:rsid w:val="00F8719A"/>
    <w:rsid w:val="00F87C34"/>
    <w:rsid w:val="00F87CBE"/>
    <w:rsid w:val="00F87D2F"/>
    <w:rsid w:val="00F87DA1"/>
    <w:rsid w:val="00F90267"/>
    <w:rsid w:val="00F90DF7"/>
    <w:rsid w:val="00F91021"/>
    <w:rsid w:val="00F91404"/>
    <w:rsid w:val="00F91571"/>
    <w:rsid w:val="00F91C4B"/>
    <w:rsid w:val="00F92944"/>
    <w:rsid w:val="00F9317A"/>
    <w:rsid w:val="00F932F6"/>
    <w:rsid w:val="00F932FE"/>
    <w:rsid w:val="00F935F7"/>
    <w:rsid w:val="00F94662"/>
    <w:rsid w:val="00F95145"/>
    <w:rsid w:val="00F95AEE"/>
    <w:rsid w:val="00F95E2E"/>
    <w:rsid w:val="00F96398"/>
    <w:rsid w:val="00F9673B"/>
    <w:rsid w:val="00F96CA2"/>
    <w:rsid w:val="00F96EE2"/>
    <w:rsid w:val="00F9709F"/>
    <w:rsid w:val="00FA0632"/>
    <w:rsid w:val="00FA1714"/>
    <w:rsid w:val="00FA178D"/>
    <w:rsid w:val="00FA18FF"/>
    <w:rsid w:val="00FA196C"/>
    <w:rsid w:val="00FA2217"/>
    <w:rsid w:val="00FA222F"/>
    <w:rsid w:val="00FA25C9"/>
    <w:rsid w:val="00FA36B3"/>
    <w:rsid w:val="00FA36D3"/>
    <w:rsid w:val="00FA40F0"/>
    <w:rsid w:val="00FA4D6E"/>
    <w:rsid w:val="00FA5298"/>
    <w:rsid w:val="00FA55BA"/>
    <w:rsid w:val="00FA5CA2"/>
    <w:rsid w:val="00FA608E"/>
    <w:rsid w:val="00FA6CDB"/>
    <w:rsid w:val="00FA6DE4"/>
    <w:rsid w:val="00FA6E90"/>
    <w:rsid w:val="00FA7F07"/>
    <w:rsid w:val="00FB024E"/>
    <w:rsid w:val="00FB0CE9"/>
    <w:rsid w:val="00FB0D59"/>
    <w:rsid w:val="00FB167A"/>
    <w:rsid w:val="00FB167E"/>
    <w:rsid w:val="00FB1CFB"/>
    <w:rsid w:val="00FB1F21"/>
    <w:rsid w:val="00FB2F86"/>
    <w:rsid w:val="00FB34C2"/>
    <w:rsid w:val="00FB361A"/>
    <w:rsid w:val="00FB48E1"/>
    <w:rsid w:val="00FB51D2"/>
    <w:rsid w:val="00FB5AFB"/>
    <w:rsid w:val="00FB6969"/>
    <w:rsid w:val="00FB7704"/>
    <w:rsid w:val="00FB7975"/>
    <w:rsid w:val="00FB7DDF"/>
    <w:rsid w:val="00FB7F46"/>
    <w:rsid w:val="00FC013E"/>
    <w:rsid w:val="00FC0307"/>
    <w:rsid w:val="00FC053B"/>
    <w:rsid w:val="00FC0EB8"/>
    <w:rsid w:val="00FC1219"/>
    <w:rsid w:val="00FC1C01"/>
    <w:rsid w:val="00FC28C2"/>
    <w:rsid w:val="00FC3606"/>
    <w:rsid w:val="00FC3A73"/>
    <w:rsid w:val="00FC3B76"/>
    <w:rsid w:val="00FC41F0"/>
    <w:rsid w:val="00FC4A71"/>
    <w:rsid w:val="00FC5071"/>
    <w:rsid w:val="00FC57CB"/>
    <w:rsid w:val="00FC59DF"/>
    <w:rsid w:val="00FC6133"/>
    <w:rsid w:val="00FC66E8"/>
    <w:rsid w:val="00FC6752"/>
    <w:rsid w:val="00FC6CCB"/>
    <w:rsid w:val="00FC6FD6"/>
    <w:rsid w:val="00FC709D"/>
    <w:rsid w:val="00FC78DD"/>
    <w:rsid w:val="00FD02EB"/>
    <w:rsid w:val="00FD089C"/>
    <w:rsid w:val="00FD08C1"/>
    <w:rsid w:val="00FD0AC9"/>
    <w:rsid w:val="00FD0B95"/>
    <w:rsid w:val="00FD0E8E"/>
    <w:rsid w:val="00FD11BE"/>
    <w:rsid w:val="00FD1B07"/>
    <w:rsid w:val="00FD1CE9"/>
    <w:rsid w:val="00FD1EDB"/>
    <w:rsid w:val="00FD242B"/>
    <w:rsid w:val="00FD292F"/>
    <w:rsid w:val="00FD2E80"/>
    <w:rsid w:val="00FD311D"/>
    <w:rsid w:val="00FD3364"/>
    <w:rsid w:val="00FD3968"/>
    <w:rsid w:val="00FD3AD3"/>
    <w:rsid w:val="00FD3BC3"/>
    <w:rsid w:val="00FD4733"/>
    <w:rsid w:val="00FD5540"/>
    <w:rsid w:val="00FD5709"/>
    <w:rsid w:val="00FD6098"/>
    <w:rsid w:val="00FD6D0F"/>
    <w:rsid w:val="00FD71C0"/>
    <w:rsid w:val="00FD7A6D"/>
    <w:rsid w:val="00FD7C64"/>
    <w:rsid w:val="00FE04CE"/>
    <w:rsid w:val="00FE0FBA"/>
    <w:rsid w:val="00FE1AE0"/>
    <w:rsid w:val="00FE1C38"/>
    <w:rsid w:val="00FE1F28"/>
    <w:rsid w:val="00FE218C"/>
    <w:rsid w:val="00FE37ED"/>
    <w:rsid w:val="00FE4E4D"/>
    <w:rsid w:val="00FE52E9"/>
    <w:rsid w:val="00FE5746"/>
    <w:rsid w:val="00FE5A4D"/>
    <w:rsid w:val="00FE5B6A"/>
    <w:rsid w:val="00FE77D2"/>
    <w:rsid w:val="00FE7D66"/>
    <w:rsid w:val="00FE7EEA"/>
    <w:rsid w:val="00FE7F0B"/>
    <w:rsid w:val="00FF0C86"/>
    <w:rsid w:val="00FF13AC"/>
    <w:rsid w:val="00FF184B"/>
    <w:rsid w:val="00FF1CB2"/>
    <w:rsid w:val="00FF1DFB"/>
    <w:rsid w:val="00FF30D0"/>
    <w:rsid w:val="00FF3620"/>
    <w:rsid w:val="00FF3949"/>
    <w:rsid w:val="00FF3D5A"/>
    <w:rsid w:val="00FF3D84"/>
    <w:rsid w:val="00FF402E"/>
    <w:rsid w:val="00FF4A19"/>
    <w:rsid w:val="00FF4D3A"/>
    <w:rsid w:val="00FF4F05"/>
    <w:rsid w:val="00FF53DB"/>
    <w:rsid w:val="00FF568F"/>
    <w:rsid w:val="00FF56E9"/>
    <w:rsid w:val="00FF58CA"/>
    <w:rsid w:val="00FF6559"/>
    <w:rsid w:val="00FF6D5B"/>
    <w:rsid w:val="00FF7315"/>
    <w:rsid w:val="00FF7874"/>
    <w:rsid w:val="01B24556"/>
    <w:rsid w:val="0AA7366F"/>
    <w:rsid w:val="0B1B1BEC"/>
    <w:rsid w:val="0D440E20"/>
    <w:rsid w:val="0D4E1D83"/>
    <w:rsid w:val="117229AE"/>
    <w:rsid w:val="17E92BAE"/>
    <w:rsid w:val="19031A95"/>
    <w:rsid w:val="1906049B"/>
    <w:rsid w:val="1E95493A"/>
    <w:rsid w:val="1FA86D80"/>
    <w:rsid w:val="22F47525"/>
    <w:rsid w:val="239B2179"/>
    <w:rsid w:val="23DD5238"/>
    <w:rsid w:val="24437DEB"/>
    <w:rsid w:val="2D941213"/>
    <w:rsid w:val="308A4F2F"/>
    <w:rsid w:val="30FD526E"/>
    <w:rsid w:val="331B3DE6"/>
    <w:rsid w:val="372D24E2"/>
    <w:rsid w:val="38D37CC6"/>
    <w:rsid w:val="39BD3FC1"/>
    <w:rsid w:val="3B9130A2"/>
    <w:rsid w:val="413B3F95"/>
    <w:rsid w:val="43284021"/>
    <w:rsid w:val="43360E9D"/>
    <w:rsid w:val="462E3E7B"/>
    <w:rsid w:val="46BE7222"/>
    <w:rsid w:val="48942946"/>
    <w:rsid w:val="49CC1B5B"/>
    <w:rsid w:val="4D634C59"/>
    <w:rsid w:val="50E30230"/>
    <w:rsid w:val="559823FB"/>
    <w:rsid w:val="599A67BE"/>
    <w:rsid w:val="5B355BAF"/>
    <w:rsid w:val="5F91425A"/>
    <w:rsid w:val="6EAB0D1F"/>
    <w:rsid w:val="714550BD"/>
    <w:rsid w:val="7362505B"/>
    <w:rsid w:val="749758D1"/>
    <w:rsid w:val="7A08438C"/>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4960F65A"/>
  <w15:docId w15:val="{2096D192-1C09-4BAE-AE26-43CE1C859E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qFormat="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34" w:qFormat="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715D6"/>
    <w:pPr>
      <w:spacing w:after="160" w:line="259" w:lineRule="auto"/>
    </w:pPr>
    <w:rPr>
      <w:sz w:val="22"/>
      <w:szCs w:val="22"/>
      <w:lang w:val="en-GB" w:eastAsia="en-US"/>
    </w:rPr>
  </w:style>
  <w:style w:type="paragraph" w:styleId="10">
    <w:name w:val="heading 1"/>
    <w:basedOn w:val="a"/>
    <w:next w:val="a"/>
    <w:link w:val="11"/>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8F4DA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pPr>
      <w:keepNext/>
      <w:keepLines/>
      <w:spacing w:before="40" w:after="0"/>
      <w:outlineLvl w:val="2"/>
    </w:pPr>
    <w:rPr>
      <w:rFonts w:asciiTheme="majorHAnsi" w:eastAsiaTheme="majorEastAsia" w:hAnsiTheme="majorHAnsi" w:cstheme="majorBidi"/>
      <w:color w:val="1F3864" w:themeColor="accent1" w:themeShade="80"/>
      <w:sz w:val="24"/>
      <w:szCs w:val="24"/>
    </w:rPr>
  </w:style>
  <w:style w:type="paragraph" w:styleId="4">
    <w:name w:val="heading 4"/>
    <w:basedOn w:val="a"/>
    <w:next w:val="a"/>
    <w:link w:val="40"/>
    <w:uiPriority w:val="9"/>
    <w:semiHidden/>
    <w:unhideWhenUsed/>
    <w:qFormat/>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957A56"/>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basedOn w:val="a0"/>
    <w:uiPriority w:val="99"/>
    <w:semiHidden/>
    <w:unhideWhenUsed/>
    <w:qFormat/>
    <w:rPr>
      <w:color w:val="954F72" w:themeColor="followedHyperlink"/>
      <w:u w:val="single"/>
    </w:rPr>
  </w:style>
  <w:style w:type="character" w:styleId="a4">
    <w:name w:val="annotation reference"/>
    <w:basedOn w:val="a0"/>
    <w:uiPriority w:val="99"/>
    <w:semiHidden/>
    <w:unhideWhenUsed/>
    <w:qFormat/>
    <w:rPr>
      <w:sz w:val="16"/>
      <w:szCs w:val="16"/>
    </w:rPr>
  </w:style>
  <w:style w:type="character" w:styleId="a5">
    <w:name w:val="Hyperlink"/>
    <w:basedOn w:val="a0"/>
    <w:uiPriority w:val="99"/>
    <w:unhideWhenUsed/>
    <w:qFormat/>
    <w:rPr>
      <w:color w:val="0563C1" w:themeColor="hyperlink"/>
      <w:u w:val="single"/>
    </w:rPr>
  </w:style>
  <w:style w:type="paragraph" w:styleId="a6">
    <w:name w:val="annotation text"/>
    <w:basedOn w:val="a"/>
    <w:link w:val="a7"/>
    <w:uiPriority w:val="99"/>
    <w:semiHidden/>
    <w:unhideWhenUsed/>
    <w:qFormat/>
    <w:pPr>
      <w:spacing w:line="240" w:lineRule="auto"/>
    </w:pPr>
    <w:rPr>
      <w:sz w:val="20"/>
      <w:szCs w:val="20"/>
    </w:rPr>
  </w:style>
  <w:style w:type="paragraph" w:styleId="a8">
    <w:name w:val="annotation subject"/>
    <w:basedOn w:val="a6"/>
    <w:next w:val="a6"/>
    <w:link w:val="a9"/>
    <w:uiPriority w:val="99"/>
    <w:semiHidden/>
    <w:unhideWhenUsed/>
    <w:qFormat/>
    <w:rPr>
      <w:b/>
      <w:bCs/>
    </w:rPr>
  </w:style>
  <w:style w:type="paragraph" w:styleId="aa">
    <w:name w:val="header"/>
    <w:basedOn w:val="a"/>
    <w:link w:val="ab"/>
    <w:uiPriority w:val="99"/>
    <w:unhideWhenUsed/>
    <w:qFormat/>
    <w:pPr>
      <w:tabs>
        <w:tab w:val="center" w:pos="4677"/>
        <w:tab w:val="right" w:pos="9355"/>
      </w:tabs>
      <w:spacing w:after="0" w:line="240" w:lineRule="auto"/>
    </w:pPr>
  </w:style>
  <w:style w:type="paragraph" w:styleId="ac">
    <w:name w:val="footer"/>
    <w:basedOn w:val="a"/>
    <w:link w:val="ad"/>
    <w:uiPriority w:val="99"/>
    <w:unhideWhenUsed/>
    <w:qFormat/>
    <w:pPr>
      <w:tabs>
        <w:tab w:val="center" w:pos="4677"/>
        <w:tab w:val="right" w:pos="9355"/>
      </w:tabs>
      <w:spacing w:after="0" w:line="240" w:lineRule="auto"/>
    </w:pPr>
  </w:style>
  <w:style w:type="paragraph" w:styleId="ae">
    <w:name w:val="Normal (Web)"/>
    <w:aliases w:val="Обычный (Web)1,Знак Знак3,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
    <w:basedOn w:val="a"/>
    <w:link w:val="af"/>
    <w:uiPriority w:val="99"/>
    <w:unhideWhenUsed/>
    <w:qFormat/>
    <w:rPr>
      <w:rFonts w:ascii="Times New Roman" w:hAnsi="Times New Roman" w:cs="Times New Roman"/>
      <w:sz w:val="24"/>
      <w:szCs w:val="24"/>
    </w:rPr>
  </w:style>
  <w:style w:type="table" w:styleId="af0">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List Paragraph"/>
    <w:basedOn w:val="a"/>
    <w:link w:val="af2"/>
    <w:uiPriority w:val="34"/>
    <w:qFormat/>
    <w:pPr>
      <w:ind w:left="720"/>
      <w:contextualSpacing/>
    </w:pPr>
  </w:style>
  <w:style w:type="character" w:customStyle="1" w:styleId="11">
    <w:name w:val="Заголовок 1 Знак"/>
    <w:basedOn w:val="a0"/>
    <w:link w:val="10"/>
    <w:uiPriority w:val="9"/>
    <w:qFormat/>
    <w:rPr>
      <w:rFonts w:asciiTheme="majorHAnsi" w:eastAsiaTheme="majorEastAsia" w:hAnsiTheme="majorHAnsi" w:cstheme="majorBidi"/>
      <w:color w:val="2F5496" w:themeColor="accent1" w:themeShade="BF"/>
      <w:sz w:val="32"/>
      <w:szCs w:val="32"/>
    </w:rPr>
  </w:style>
  <w:style w:type="character" w:customStyle="1" w:styleId="12">
    <w:name w:val="Неразрешенное упоминание1"/>
    <w:basedOn w:val="a0"/>
    <w:uiPriority w:val="99"/>
    <w:semiHidden/>
    <w:unhideWhenUsed/>
    <w:qFormat/>
    <w:rPr>
      <w:color w:val="605E5C"/>
      <w:shd w:val="clear" w:color="auto" w:fill="E1DFDD"/>
    </w:rPr>
  </w:style>
  <w:style w:type="character" w:customStyle="1" w:styleId="ab">
    <w:name w:val="Верхний колонтитул Знак"/>
    <w:basedOn w:val="a0"/>
    <w:link w:val="aa"/>
    <w:uiPriority w:val="99"/>
    <w:qFormat/>
  </w:style>
  <w:style w:type="character" w:customStyle="1" w:styleId="ad">
    <w:name w:val="Нижний колонтитул Знак"/>
    <w:basedOn w:val="a0"/>
    <w:link w:val="ac"/>
    <w:uiPriority w:val="99"/>
    <w:qFormat/>
  </w:style>
  <w:style w:type="table" w:customStyle="1" w:styleId="-341">
    <w:name w:val="Список-таблица 3 — акцент 41"/>
    <w:basedOn w:val="a1"/>
    <w:uiPriority w:val="48"/>
    <w:qFormat/>
    <w:tblPr>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customStyle="1" w:styleId="-761">
    <w:name w:val="Таблица-сетка 7 цветная — акцент 61"/>
    <w:basedOn w:val="a1"/>
    <w:uiPriority w:val="52"/>
    <w:qFormat/>
    <w:rPr>
      <w:color w:val="538135" w:themeColor="accent6" w:themeShade="BF"/>
    </w:rPr>
    <w:tblPr>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411">
    <w:name w:val="Таблица-сетка 4 — акцент 11"/>
    <w:basedOn w:val="a1"/>
    <w:uiPriority w:val="49"/>
    <w:qFormat/>
    <w:tblPr>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40">
    <w:name w:val="Заголовок 4 Знак"/>
    <w:basedOn w:val="a0"/>
    <w:link w:val="4"/>
    <w:uiPriority w:val="9"/>
    <w:semiHidden/>
    <w:qFormat/>
    <w:rPr>
      <w:rFonts w:asciiTheme="majorHAnsi" w:eastAsiaTheme="majorEastAsia" w:hAnsiTheme="majorHAnsi" w:cstheme="majorBidi"/>
      <w:i/>
      <w:iCs/>
      <w:color w:val="2F5496" w:themeColor="accent1" w:themeShade="BF"/>
    </w:rPr>
  </w:style>
  <w:style w:type="table" w:customStyle="1" w:styleId="13">
    <w:name w:val="Сетка таблицы светлая1"/>
    <w:basedOn w:val="a1"/>
    <w:uiPriority w:val="40"/>
    <w:qFormat/>
    <w:rPr>
      <w:kern w:val="2"/>
      <w14:ligatures w14:val="standardContextua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30">
    <w:name w:val="Заголовок 3 Знак"/>
    <w:basedOn w:val="a0"/>
    <w:link w:val="3"/>
    <w:uiPriority w:val="9"/>
    <w:semiHidden/>
    <w:qFormat/>
    <w:rPr>
      <w:rFonts w:asciiTheme="majorHAnsi" w:eastAsiaTheme="majorEastAsia" w:hAnsiTheme="majorHAnsi" w:cstheme="majorBidi"/>
      <w:color w:val="1F3864" w:themeColor="accent1" w:themeShade="80"/>
      <w:sz w:val="24"/>
      <w:szCs w:val="24"/>
    </w:rPr>
  </w:style>
  <w:style w:type="character" w:customStyle="1" w:styleId="a7">
    <w:name w:val="Текст примечания Знак"/>
    <w:basedOn w:val="a0"/>
    <w:link w:val="a6"/>
    <w:uiPriority w:val="99"/>
    <w:semiHidden/>
    <w:qFormat/>
    <w:rPr>
      <w:sz w:val="20"/>
      <w:szCs w:val="20"/>
    </w:rPr>
  </w:style>
  <w:style w:type="character" w:customStyle="1" w:styleId="a9">
    <w:name w:val="Тема примечания Знак"/>
    <w:basedOn w:val="a7"/>
    <w:link w:val="a8"/>
    <w:uiPriority w:val="99"/>
    <w:semiHidden/>
    <w:qFormat/>
    <w:rPr>
      <w:b/>
      <w:bCs/>
      <w:sz w:val="20"/>
      <w:szCs w:val="20"/>
    </w:rPr>
  </w:style>
  <w:style w:type="table" w:customStyle="1" w:styleId="-121">
    <w:name w:val="Таблица-сетка 1 светлая — акцент 21"/>
    <w:basedOn w:val="a1"/>
    <w:uiPriority w:val="46"/>
    <w:qFormat/>
    <w:tblPr>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styleId="af3">
    <w:name w:val="Placeholder Text"/>
    <w:basedOn w:val="a0"/>
    <w:uiPriority w:val="99"/>
    <w:semiHidden/>
    <w:qFormat/>
    <w:rPr>
      <w:color w:val="666666"/>
    </w:rPr>
  </w:style>
  <w:style w:type="character" w:styleId="af4">
    <w:name w:val="Unresolved Mention"/>
    <w:basedOn w:val="a0"/>
    <w:uiPriority w:val="99"/>
    <w:semiHidden/>
    <w:unhideWhenUsed/>
    <w:rsid w:val="005C58FA"/>
    <w:rPr>
      <w:color w:val="605E5C"/>
      <w:shd w:val="clear" w:color="auto" w:fill="E1DFDD"/>
    </w:rPr>
  </w:style>
  <w:style w:type="character" w:styleId="af5">
    <w:name w:val="Strong"/>
    <w:basedOn w:val="a0"/>
    <w:uiPriority w:val="22"/>
    <w:qFormat/>
    <w:rsid w:val="00115A74"/>
    <w:rPr>
      <w:b/>
      <w:bCs/>
    </w:rPr>
  </w:style>
  <w:style w:type="character" w:customStyle="1" w:styleId="katex-mathml">
    <w:name w:val="katex-mathml"/>
    <w:basedOn w:val="a0"/>
    <w:rsid w:val="00110379"/>
  </w:style>
  <w:style w:type="character" w:customStyle="1" w:styleId="mord">
    <w:name w:val="mord"/>
    <w:basedOn w:val="a0"/>
    <w:rsid w:val="00110379"/>
  </w:style>
  <w:style w:type="character" w:customStyle="1" w:styleId="mbin">
    <w:name w:val="mbin"/>
    <w:basedOn w:val="a0"/>
    <w:rsid w:val="00110379"/>
  </w:style>
  <w:style w:type="character" w:customStyle="1" w:styleId="mrel">
    <w:name w:val="mrel"/>
    <w:basedOn w:val="a0"/>
    <w:rsid w:val="00110379"/>
  </w:style>
  <w:style w:type="numbering" w:customStyle="1" w:styleId="1">
    <w:name w:val="Текущий список1"/>
    <w:uiPriority w:val="99"/>
    <w:rsid w:val="00CE4A50"/>
    <w:pPr>
      <w:numPr>
        <w:numId w:val="14"/>
      </w:numPr>
    </w:pPr>
  </w:style>
  <w:style w:type="character" w:customStyle="1" w:styleId="20">
    <w:name w:val="Заголовок 2 Знак"/>
    <w:basedOn w:val="a0"/>
    <w:link w:val="2"/>
    <w:uiPriority w:val="9"/>
    <w:semiHidden/>
    <w:rsid w:val="008F4DA5"/>
    <w:rPr>
      <w:rFonts w:asciiTheme="majorHAnsi" w:eastAsiaTheme="majorEastAsia" w:hAnsiTheme="majorHAnsi" w:cstheme="majorBidi"/>
      <w:color w:val="2F5496" w:themeColor="accent1" w:themeShade="BF"/>
      <w:sz w:val="26"/>
      <w:szCs w:val="26"/>
      <w:lang w:val="en-GB" w:eastAsia="en-US"/>
    </w:rPr>
  </w:style>
  <w:style w:type="character" w:customStyle="1" w:styleId="50">
    <w:name w:val="Заголовок 5 Знак"/>
    <w:basedOn w:val="a0"/>
    <w:link w:val="5"/>
    <w:uiPriority w:val="9"/>
    <w:semiHidden/>
    <w:rsid w:val="00957A56"/>
    <w:rPr>
      <w:rFonts w:asciiTheme="majorHAnsi" w:eastAsiaTheme="majorEastAsia" w:hAnsiTheme="majorHAnsi" w:cstheme="majorBidi"/>
      <w:color w:val="2F5496" w:themeColor="accent1" w:themeShade="BF"/>
      <w:sz w:val="22"/>
      <w:szCs w:val="22"/>
      <w:lang w:val="en-GB" w:eastAsia="en-US"/>
    </w:rPr>
  </w:style>
  <w:style w:type="paragraph" w:customStyle="1" w:styleId="ds-markdown-paragraph">
    <w:name w:val="ds-markdown-paragraph"/>
    <w:basedOn w:val="a"/>
    <w:rsid w:val="0043744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mopen">
    <w:name w:val="mopen"/>
    <w:basedOn w:val="a0"/>
    <w:rsid w:val="006D63D0"/>
  </w:style>
  <w:style w:type="character" w:customStyle="1" w:styleId="mtight">
    <w:name w:val="mtight"/>
    <w:basedOn w:val="a0"/>
    <w:rsid w:val="006D63D0"/>
  </w:style>
  <w:style w:type="character" w:customStyle="1" w:styleId="vlist-s">
    <w:name w:val="vlist-s"/>
    <w:basedOn w:val="a0"/>
    <w:rsid w:val="006D63D0"/>
  </w:style>
  <w:style w:type="character" w:customStyle="1" w:styleId="mclose">
    <w:name w:val="mclose"/>
    <w:basedOn w:val="a0"/>
    <w:rsid w:val="006D63D0"/>
  </w:style>
  <w:style w:type="character" w:customStyle="1" w:styleId="af2">
    <w:name w:val="Абзац списка Знак"/>
    <w:link w:val="af1"/>
    <w:uiPriority w:val="34"/>
    <w:locked/>
    <w:rsid w:val="00C43486"/>
    <w:rPr>
      <w:sz w:val="22"/>
      <w:szCs w:val="22"/>
      <w:lang w:val="en-GB" w:eastAsia="en-US"/>
    </w:rPr>
  </w:style>
  <w:style w:type="paragraph" w:customStyle="1" w:styleId="Default">
    <w:name w:val="Default"/>
    <w:rsid w:val="00C43486"/>
    <w:pPr>
      <w:autoSpaceDE w:val="0"/>
      <w:autoSpaceDN w:val="0"/>
      <w:adjustRightInd w:val="0"/>
    </w:pPr>
    <w:rPr>
      <w:rFonts w:ascii="Times New Roman" w:eastAsia="Times New Roman" w:hAnsi="Times New Roman" w:cs="Times New Roman"/>
      <w:color w:val="000000"/>
      <w:sz w:val="24"/>
      <w:szCs w:val="24"/>
    </w:rPr>
  </w:style>
  <w:style w:type="character" w:customStyle="1" w:styleId="af">
    <w:name w:val="Обычный (Интернет) Знак"/>
    <w:aliases w:val="Обычный (Web)1 Знак,Знак Знак3 Знак,Обычный (Web) Знак,Обычный (веб) Знак1 Знак,Обычный (веб) Знак Знак1 Знак,Знак Знак1 Знак Знак1,Обычный (веб) Знак Знак Знак Знак1,Знак Знак1 Знак Знак Знак,Знак Знак Знак Знак Знак Знак"/>
    <w:link w:val="ae"/>
    <w:uiPriority w:val="99"/>
    <w:locked/>
    <w:rsid w:val="00C43486"/>
    <w:rPr>
      <w:rFonts w:ascii="Times New Roman" w:hAnsi="Times New Roman" w:cs="Times New Roman"/>
      <w:sz w:val="24"/>
      <w:szCs w:val="24"/>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49786">
      <w:bodyDiv w:val="1"/>
      <w:marLeft w:val="0"/>
      <w:marRight w:val="0"/>
      <w:marTop w:val="0"/>
      <w:marBottom w:val="0"/>
      <w:divBdr>
        <w:top w:val="none" w:sz="0" w:space="0" w:color="auto"/>
        <w:left w:val="none" w:sz="0" w:space="0" w:color="auto"/>
        <w:bottom w:val="none" w:sz="0" w:space="0" w:color="auto"/>
        <w:right w:val="none" w:sz="0" w:space="0" w:color="auto"/>
      </w:divBdr>
    </w:div>
    <w:div w:id="10378042">
      <w:bodyDiv w:val="1"/>
      <w:marLeft w:val="0"/>
      <w:marRight w:val="0"/>
      <w:marTop w:val="0"/>
      <w:marBottom w:val="0"/>
      <w:divBdr>
        <w:top w:val="none" w:sz="0" w:space="0" w:color="auto"/>
        <w:left w:val="none" w:sz="0" w:space="0" w:color="auto"/>
        <w:bottom w:val="none" w:sz="0" w:space="0" w:color="auto"/>
        <w:right w:val="none" w:sz="0" w:space="0" w:color="auto"/>
      </w:divBdr>
    </w:div>
    <w:div w:id="19862323">
      <w:bodyDiv w:val="1"/>
      <w:marLeft w:val="0"/>
      <w:marRight w:val="0"/>
      <w:marTop w:val="0"/>
      <w:marBottom w:val="0"/>
      <w:divBdr>
        <w:top w:val="none" w:sz="0" w:space="0" w:color="auto"/>
        <w:left w:val="none" w:sz="0" w:space="0" w:color="auto"/>
        <w:bottom w:val="none" w:sz="0" w:space="0" w:color="auto"/>
        <w:right w:val="none" w:sz="0" w:space="0" w:color="auto"/>
      </w:divBdr>
    </w:div>
    <w:div w:id="33776040">
      <w:bodyDiv w:val="1"/>
      <w:marLeft w:val="0"/>
      <w:marRight w:val="0"/>
      <w:marTop w:val="0"/>
      <w:marBottom w:val="0"/>
      <w:divBdr>
        <w:top w:val="none" w:sz="0" w:space="0" w:color="auto"/>
        <w:left w:val="none" w:sz="0" w:space="0" w:color="auto"/>
        <w:bottom w:val="none" w:sz="0" w:space="0" w:color="auto"/>
        <w:right w:val="none" w:sz="0" w:space="0" w:color="auto"/>
      </w:divBdr>
    </w:div>
    <w:div w:id="35546789">
      <w:bodyDiv w:val="1"/>
      <w:marLeft w:val="0"/>
      <w:marRight w:val="0"/>
      <w:marTop w:val="0"/>
      <w:marBottom w:val="0"/>
      <w:divBdr>
        <w:top w:val="none" w:sz="0" w:space="0" w:color="auto"/>
        <w:left w:val="none" w:sz="0" w:space="0" w:color="auto"/>
        <w:bottom w:val="none" w:sz="0" w:space="0" w:color="auto"/>
        <w:right w:val="none" w:sz="0" w:space="0" w:color="auto"/>
      </w:divBdr>
    </w:div>
    <w:div w:id="36052535">
      <w:bodyDiv w:val="1"/>
      <w:marLeft w:val="0"/>
      <w:marRight w:val="0"/>
      <w:marTop w:val="0"/>
      <w:marBottom w:val="0"/>
      <w:divBdr>
        <w:top w:val="none" w:sz="0" w:space="0" w:color="auto"/>
        <w:left w:val="none" w:sz="0" w:space="0" w:color="auto"/>
        <w:bottom w:val="none" w:sz="0" w:space="0" w:color="auto"/>
        <w:right w:val="none" w:sz="0" w:space="0" w:color="auto"/>
      </w:divBdr>
    </w:div>
    <w:div w:id="41639315">
      <w:bodyDiv w:val="1"/>
      <w:marLeft w:val="0"/>
      <w:marRight w:val="0"/>
      <w:marTop w:val="0"/>
      <w:marBottom w:val="0"/>
      <w:divBdr>
        <w:top w:val="none" w:sz="0" w:space="0" w:color="auto"/>
        <w:left w:val="none" w:sz="0" w:space="0" w:color="auto"/>
        <w:bottom w:val="none" w:sz="0" w:space="0" w:color="auto"/>
        <w:right w:val="none" w:sz="0" w:space="0" w:color="auto"/>
      </w:divBdr>
    </w:div>
    <w:div w:id="97719196">
      <w:bodyDiv w:val="1"/>
      <w:marLeft w:val="0"/>
      <w:marRight w:val="0"/>
      <w:marTop w:val="0"/>
      <w:marBottom w:val="0"/>
      <w:divBdr>
        <w:top w:val="none" w:sz="0" w:space="0" w:color="auto"/>
        <w:left w:val="none" w:sz="0" w:space="0" w:color="auto"/>
        <w:bottom w:val="none" w:sz="0" w:space="0" w:color="auto"/>
        <w:right w:val="none" w:sz="0" w:space="0" w:color="auto"/>
      </w:divBdr>
    </w:div>
    <w:div w:id="98381009">
      <w:bodyDiv w:val="1"/>
      <w:marLeft w:val="0"/>
      <w:marRight w:val="0"/>
      <w:marTop w:val="0"/>
      <w:marBottom w:val="0"/>
      <w:divBdr>
        <w:top w:val="none" w:sz="0" w:space="0" w:color="auto"/>
        <w:left w:val="none" w:sz="0" w:space="0" w:color="auto"/>
        <w:bottom w:val="none" w:sz="0" w:space="0" w:color="auto"/>
        <w:right w:val="none" w:sz="0" w:space="0" w:color="auto"/>
      </w:divBdr>
    </w:div>
    <w:div w:id="117073670">
      <w:bodyDiv w:val="1"/>
      <w:marLeft w:val="0"/>
      <w:marRight w:val="0"/>
      <w:marTop w:val="0"/>
      <w:marBottom w:val="0"/>
      <w:divBdr>
        <w:top w:val="none" w:sz="0" w:space="0" w:color="auto"/>
        <w:left w:val="none" w:sz="0" w:space="0" w:color="auto"/>
        <w:bottom w:val="none" w:sz="0" w:space="0" w:color="auto"/>
        <w:right w:val="none" w:sz="0" w:space="0" w:color="auto"/>
      </w:divBdr>
    </w:div>
    <w:div w:id="119110626">
      <w:bodyDiv w:val="1"/>
      <w:marLeft w:val="0"/>
      <w:marRight w:val="0"/>
      <w:marTop w:val="0"/>
      <w:marBottom w:val="0"/>
      <w:divBdr>
        <w:top w:val="none" w:sz="0" w:space="0" w:color="auto"/>
        <w:left w:val="none" w:sz="0" w:space="0" w:color="auto"/>
        <w:bottom w:val="none" w:sz="0" w:space="0" w:color="auto"/>
        <w:right w:val="none" w:sz="0" w:space="0" w:color="auto"/>
      </w:divBdr>
    </w:div>
    <w:div w:id="132449385">
      <w:bodyDiv w:val="1"/>
      <w:marLeft w:val="0"/>
      <w:marRight w:val="0"/>
      <w:marTop w:val="0"/>
      <w:marBottom w:val="0"/>
      <w:divBdr>
        <w:top w:val="none" w:sz="0" w:space="0" w:color="auto"/>
        <w:left w:val="none" w:sz="0" w:space="0" w:color="auto"/>
        <w:bottom w:val="none" w:sz="0" w:space="0" w:color="auto"/>
        <w:right w:val="none" w:sz="0" w:space="0" w:color="auto"/>
      </w:divBdr>
    </w:div>
    <w:div w:id="137766713">
      <w:bodyDiv w:val="1"/>
      <w:marLeft w:val="0"/>
      <w:marRight w:val="0"/>
      <w:marTop w:val="0"/>
      <w:marBottom w:val="0"/>
      <w:divBdr>
        <w:top w:val="none" w:sz="0" w:space="0" w:color="auto"/>
        <w:left w:val="none" w:sz="0" w:space="0" w:color="auto"/>
        <w:bottom w:val="none" w:sz="0" w:space="0" w:color="auto"/>
        <w:right w:val="none" w:sz="0" w:space="0" w:color="auto"/>
      </w:divBdr>
    </w:div>
    <w:div w:id="141696970">
      <w:bodyDiv w:val="1"/>
      <w:marLeft w:val="0"/>
      <w:marRight w:val="0"/>
      <w:marTop w:val="0"/>
      <w:marBottom w:val="0"/>
      <w:divBdr>
        <w:top w:val="none" w:sz="0" w:space="0" w:color="auto"/>
        <w:left w:val="none" w:sz="0" w:space="0" w:color="auto"/>
        <w:bottom w:val="none" w:sz="0" w:space="0" w:color="auto"/>
        <w:right w:val="none" w:sz="0" w:space="0" w:color="auto"/>
      </w:divBdr>
    </w:div>
    <w:div w:id="165025878">
      <w:bodyDiv w:val="1"/>
      <w:marLeft w:val="0"/>
      <w:marRight w:val="0"/>
      <w:marTop w:val="0"/>
      <w:marBottom w:val="0"/>
      <w:divBdr>
        <w:top w:val="none" w:sz="0" w:space="0" w:color="auto"/>
        <w:left w:val="none" w:sz="0" w:space="0" w:color="auto"/>
        <w:bottom w:val="none" w:sz="0" w:space="0" w:color="auto"/>
        <w:right w:val="none" w:sz="0" w:space="0" w:color="auto"/>
      </w:divBdr>
    </w:div>
    <w:div w:id="170418431">
      <w:bodyDiv w:val="1"/>
      <w:marLeft w:val="0"/>
      <w:marRight w:val="0"/>
      <w:marTop w:val="0"/>
      <w:marBottom w:val="0"/>
      <w:divBdr>
        <w:top w:val="none" w:sz="0" w:space="0" w:color="auto"/>
        <w:left w:val="none" w:sz="0" w:space="0" w:color="auto"/>
        <w:bottom w:val="none" w:sz="0" w:space="0" w:color="auto"/>
        <w:right w:val="none" w:sz="0" w:space="0" w:color="auto"/>
      </w:divBdr>
      <w:divsChild>
        <w:div w:id="1264339313">
          <w:marLeft w:val="0"/>
          <w:marRight w:val="0"/>
          <w:marTop w:val="100"/>
          <w:marBottom w:val="100"/>
          <w:divBdr>
            <w:top w:val="none" w:sz="0" w:space="0" w:color="auto"/>
            <w:left w:val="none" w:sz="0" w:space="0" w:color="auto"/>
            <w:bottom w:val="none" w:sz="0" w:space="0" w:color="auto"/>
            <w:right w:val="none" w:sz="0" w:space="0" w:color="auto"/>
          </w:divBdr>
          <w:divsChild>
            <w:div w:id="733237312">
              <w:marLeft w:val="0"/>
              <w:marRight w:val="0"/>
              <w:marTop w:val="0"/>
              <w:marBottom w:val="0"/>
              <w:divBdr>
                <w:top w:val="none" w:sz="0" w:space="0" w:color="auto"/>
                <w:left w:val="none" w:sz="0" w:space="0" w:color="auto"/>
                <w:bottom w:val="none" w:sz="0" w:space="0" w:color="auto"/>
                <w:right w:val="none" w:sz="0" w:space="0" w:color="auto"/>
              </w:divBdr>
              <w:divsChild>
                <w:div w:id="156803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92125">
      <w:bodyDiv w:val="1"/>
      <w:marLeft w:val="0"/>
      <w:marRight w:val="0"/>
      <w:marTop w:val="0"/>
      <w:marBottom w:val="0"/>
      <w:divBdr>
        <w:top w:val="none" w:sz="0" w:space="0" w:color="auto"/>
        <w:left w:val="none" w:sz="0" w:space="0" w:color="auto"/>
        <w:bottom w:val="none" w:sz="0" w:space="0" w:color="auto"/>
        <w:right w:val="none" w:sz="0" w:space="0" w:color="auto"/>
      </w:divBdr>
    </w:div>
    <w:div w:id="190461406">
      <w:bodyDiv w:val="1"/>
      <w:marLeft w:val="0"/>
      <w:marRight w:val="0"/>
      <w:marTop w:val="0"/>
      <w:marBottom w:val="0"/>
      <w:divBdr>
        <w:top w:val="none" w:sz="0" w:space="0" w:color="auto"/>
        <w:left w:val="none" w:sz="0" w:space="0" w:color="auto"/>
        <w:bottom w:val="none" w:sz="0" w:space="0" w:color="auto"/>
        <w:right w:val="none" w:sz="0" w:space="0" w:color="auto"/>
      </w:divBdr>
    </w:div>
    <w:div w:id="218323413">
      <w:bodyDiv w:val="1"/>
      <w:marLeft w:val="0"/>
      <w:marRight w:val="0"/>
      <w:marTop w:val="0"/>
      <w:marBottom w:val="0"/>
      <w:divBdr>
        <w:top w:val="none" w:sz="0" w:space="0" w:color="auto"/>
        <w:left w:val="none" w:sz="0" w:space="0" w:color="auto"/>
        <w:bottom w:val="none" w:sz="0" w:space="0" w:color="auto"/>
        <w:right w:val="none" w:sz="0" w:space="0" w:color="auto"/>
      </w:divBdr>
    </w:div>
    <w:div w:id="235210290">
      <w:bodyDiv w:val="1"/>
      <w:marLeft w:val="0"/>
      <w:marRight w:val="0"/>
      <w:marTop w:val="0"/>
      <w:marBottom w:val="0"/>
      <w:divBdr>
        <w:top w:val="none" w:sz="0" w:space="0" w:color="auto"/>
        <w:left w:val="none" w:sz="0" w:space="0" w:color="auto"/>
        <w:bottom w:val="none" w:sz="0" w:space="0" w:color="auto"/>
        <w:right w:val="none" w:sz="0" w:space="0" w:color="auto"/>
      </w:divBdr>
      <w:divsChild>
        <w:div w:id="1130246236">
          <w:marLeft w:val="0"/>
          <w:marRight w:val="0"/>
          <w:marTop w:val="0"/>
          <w:marBottom w:val="0"/>
          <w:divBdr>
            <w:top w:val="none" w:sz="0" w:space="0" w:color="auto"/>
            <w:left w:val="none" w:sz="0" w:space="0" w:color="auto"/>
            <w:bottom w:val="none" w:sz="0" w:space="0" w:color="auto"/>
            <w:right w:val="none" w:sz="0" w:space="0" w:color="auto"/>
          </w:divBdr>
        </w:div>
      </w:divsChild>
    </w:div>
    <w:div w:id="235937813">
      <w:bodyDiv w:val="1"/>
      <w:marLeft w:val="0"/>
      <w:marRight w:val="0"/>
      <w:marTop w:val="0"/>
      <w:marBottom w:val="0"/>
      <w:divBdr>
        <w:top w:val="none" w:sz="0" w:space="0" w:color="auto"/>
        <w:left w:val="none" w:sz="0" w:space="0" w:color="auto"/>
        <w:bottom w:val="none" w:sz="0" w:space="0" w:color="auto"/>
        <w:right w:val="none" w:sz="0" w:space="0" w:color="auto"/>
      </w:divBdr>
    </w:div>
    <w:div w:id="238827059">
      <w:bodyDiv w:val="1"/>
      <w:marLeft w:val="0"/>
      <w:marRight w:val="0"/>
      <w:marTop w:val="0"/>
      <w:marBottom w:val="0"/>
      <w:divBdr>
        <w:top w:val="none" w:sz="0" w:space="0" w:color="auto"/>
        <w:left w:val="none" w:sz="0" w:space="0" w:color="auto"/>
        <w:bottom w:val="none" w:sz="0" w:space="0" w:color="auto"/>
        <w:right w:val="none" w:sz="0" w:space="0" w:color="auto"/>
      </w:divBdr>
    </w:div>
    <w:div w:id="270430911">
      <w:bodyDiv w:val="1"/>
      <w:marLeft w:val="0"/>
      <w:marRight w:val="0"/>
      <w:marTop w:val="0"/>
      <w:marBottom w:val="0"/>
      <w:divBdr>
        <w:top w:val="none" w:sz="0" w:space="0" w:color="auto"/>
        <w:left w:val="none" w:sz="0" w:space="0" w:color="auto"/>
        <w:bottom w:val="none" w:sz="0" w:space="0" w:color="auto"/>
        <w:right w:val="none" w:sz="0" w:space="0" w:color="auto"/>
      </w:divBdr>
    </w:div>
    <w:div w:id="279804791">
      <w:bodyDiv w:val="1"/>
      <w:marLeft w:val="0"/>
      <w:marRight w:val="0"/>
      <w:marTop w:val="0"/>
      <w:marBottom w:val="0"/>
      <w:divBdr>
        <w:top w:val="none" w:sz="0" w:space="0" w:color="auto"/>
        <w:left w:val="none" w:sz="0" w:space="0" w:color="auto"/>
        <w:bottom w:val="none" w:sz="0" w:space="0" w:color="auto"/>
        <w:right w:val="none" w:sz="0" w:space="0" w:color="auto"/>
      </w:divBdr>
    </w:div>
    <w:div w:id="283195743">
      <w:bodyDiv w:val="1"/>
      <w:marLeft w:val="0"/>
      <w:marRight w:val="0"/>
      <w:marTop w:val="0"/>
      <w:marBottom w:val="0"/>
      <w:divBdr>
        <w:top w:val="none" w:sz="0" w:space="0" w:color="auto"/>
        <w:left w:val="none" w:sz="0" w:space="0" w:color="auto"/>
        <w:bottom w:val="none" w:sz="0" w:space="0" w:color="auto"/>
        <w:right w:val="none" w:sz="0" w:space="0" w:color="auto"/>
      </w:divBdr>
    </w:div>
    <w:div w:id="299925459">
      <w:bodyDiv w:val="1"/>
      <w:marLeft w:val="0"/>
      <w:marRight w:val="0"/>
      <w:marTop w:val="0"/>
      <w:marBottom w:val="0"/>
      <w:divBdr>
        <w:top w:val="none" w:sz="0" w:space="0" w:color="auto"/>
        <w:left w:val="none" w:sz="0" w:space="0" w:color="auto"/>
        <w:bottom w:val="none" w:sz="0" w:space="0" w:color="auto"/>
        <w:right w:val="none" w:sz="0" w:space="0" w:color="auto"/>
      </w:divBdr>
      <w:divsChild>
        <w:div w:id="1119490304">
          <w:marLeft w:val="0"/>
          <w:marRight w:val="0"/>
          <w:marTop w:val="0"/>
          <w:marBottom w:val="0"/>
          <w:divBdr>
            <w:top w:val="none" w:sz="0" w:space="0" w:color="auto"/>
            <w:left w:val="none" w:sz="0" w:space="0" w:color="auto"/>
            <w:bottom w:val="none" w:sz="0" w:space="0" w:color="auto"/>
            <w:right w:val="none" w:sz="0" w:space="0" w:color="auto"/>
          </w:divBdr>
          <w:divsChild>
            <w:div w:id="502746412">
              <w:marLeft w:val="0"/>
              <w:marRight w:val="0"/>
              <w:marTop w:val="0"/>
              <w:marBottom w:val="0"/>
              <w:divBdr>
                <w:top w:val="none" w:sz="0" w:space="0" w:color="auto"/>
                <w:left w:val="none" w:sz="0" w:space="0" w:color="auto"/>
                <w:bottom w:val="none" w:sz="0" w:space="0" w:color="auto"/>
                <w:right w:val="none" w:sz="0" w:space="0" w:color="auto"/>
              </w:divBdr>
              <w:divsChild>
                <w:div w:id="2052916372">
                  <w:marLeft w:val="0"/>
                  <w:marRight w:val="0"/>
                  <w:marTop w:val="0"/>
                  <w:marBottom w:val="0"/>
                  <w:divBdr>
                    <w:top w:val="none" w:sz="0" w:space="0" w:color="auto"/>
                    <w:left w:val="none" w:sz="0" w:space="0" w:color="auto"/>
                    <w:bottom w:val="none" w:sz="0" w:space="0" w:color="auto"/>
                    <w:right w:val="none" w:sz="0" w:space="0" w:color="auto"/>
                  </w:divBdr>
                  <w:divsChild>
                    <w:div w:id="1269237707">
                      <w:marLeft w:val="0"/>
                      <w:marRight w:val="0"/>
                      <w:marTop w:val="0"/>
                      <w:marBottom w:val="0"/>
                      <w:divBdr>
                        <w:top w:val="none" w:sz="0" w:space="0" w:color="auto"/>
                        <w:left w:val="none" w:sz="0" w:space="0" w:color="auto"/>
                        <w:bottom w:val="none" w:sz="0" w:space="0" w:color="auto"/>
                        <w:right w:val="none" w:sz="0" w:space="0" w:color="auto"/>
                      </w:divBdr>
                      <w:divsChild>
                        <w:div w:id="1177689762">
                          <w:marLeft w:val="0"/>
                          <w:marRight w:val="0"/>
                          <w:marTop w:val="0"/>
                          <w:marBottom w:val="0"/>
                          <w:divBdr>
                            <w:top w:val="none" w:sz="0" w:space="0" w:color="auto"/>
                            <w:left w:val="none" w:sz="0" w:space="0" w:color="auto"/>
                            <w:bottom w:val="none" w:sz="0" w:space="0" w:color="auto"/>
                            <w:right w:val="none" w:sz="0" w:space="0" w:color="auto"/>
                          </w:divBdr>
                        </w:div>
                        <w:div w:id="57093762">
                          <w:marLeft w:val="0"/>
                          <w:marRight w:val="0"/>
                          <w:marTop w:val="0"/>
                          <w:marBottom w:val="0"/>
                          <w:divBdr>
                            <w:top w:val="none" w:sz="0" w:space="0" w:color="auto"/>
                            <w:left w:val="none" w:sz="0" w:space="0" w:color="auto"/>
                            <w:bottom w:val="none" w:sz="0" w:space="0" w:color="auto"/>
                            <w:right w:val="none" w:sz="0" w:space="0" w:color="auto"/>
                          </w:divBdr>
                          <w:divsChild>
                            <w:div w:id="889145029">
                              <w:marLeft w:val="0"/>
                              <w:marRight w:val="0"/>
                              <w:marTop w:val="0"/>
                              <w:marBottom w:val="0"/>
                              <w:divBdr>
                                <w:top w:val="none" w:sz="0" w:space="0" w:color="auto"/>
                                <w:left w:val="none" w:sz="0" w:space="0" w:color="auto"/>
                                <w:bottom w:val="none" w:sz="0" w:space="0" w:color="auto"/>
                                <w:right w:val="none" w:sz="0" w:space="0" w:color="auto"/>
                              </w:divBdr>
                              <w:divsChild>
                                <w:div w:id="891581821">
                                  <w:marLeft w:val="0"/>
                                  <w:marRight w:val="120"/>
                                  <w:marTop w:val="0"/>
                                  <w:marBottom w:val="0"/>
                                  <w:divBdr>
                                    <w:top w:val="none" w:sz="0" w:space="0" w:color="auto"/>
                                    <w:left w:val="none" w:sz="0" w:space="0" w:color="auto"/>
                                    <w:bottom w:val="none" w:sz="0" w:space="0" w:color="auto"/>
                                    <w:right w:val="none" w:sz="0" w:space="0" w:color="auto"/>
                                  </w:divBdr>
                                </w:div>
                                <w:div w:id="152374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9529507">
      <w:bodyDiv w:val="1"/>
      <w:marLeft w:val="0"/>
      <w:marRight w:val="0"/>
      <w:marTop w:val="0"/>
      <w:marBottom w:val="0"/>
      <w:divBdr>
        <w:top w:val="none" w:sz="0" w:space="0" w:color="auto"/>
        <w:left w:val="none" w:sz="0" w:space="0" w:color="auto"/>
        <w:bottom w:val="none" w:sz="0" w:space="0" w:color="auto"/>
        <w:right w:val="none" w:sz="0" w:space="0" w:color="auto"/>
      </w:divBdr>
    </w:div>
    <w:div w:id="309869359">
      <w:bodyDiv w:val="1"/>
      <w:marLeft w:val="0"/>
      <w:marRight w:val="0"/>
      <w:marTop w:val="0"/>
      <w:marBottom w:val="0"/>
      <w:divBdr>
        <w:top w:val="none" w:sz="0" w:space="0" w:color="auto"/>
        <w:left w:val="none" w:sz="0" w:space="0" w:color="auto"/>
        <w:bottom w:val="none" w:sz="0" w:space="0" w:color="auto"/>
        <w:right w:val="none" w:sz="0" w:space="0" w:color="auto"/>
      </w:divBdr>
    </w:div>
    <w:div w:id="316232113">
      <w:bodyDiv w:val="1"/>
      <w:marLeft w:val="0"/>
      <w:marRight w:val="0"/>
      <w:marTop w:val="0"/>
      <w:marBottom w:val="0"/>
      <w:divBdr>
        <w:top w:val="none" w:sz="0" w:space="0" w:color="auto"/>
        <w:left w:val="none" w:sz="0" w:space="0" w:color="auto"/>
        <w:bottom w:val="none" w:sz="0" w:space="0" w:color="auto"/>
        <w:right w:val="none" w:sz="0" w:space="0" w:color="auto"/>
      </w:divBdr>
    </w:div>
    <w:div w:id="318660478">
      <w:bodyDiv w:val="1"/>
      <w:marLeft w:val="0"/>
      <w:marRight w:val="0"/>
      <w:marTop w:val="0"/>
      <w:marBottom w:val="0"/>
      <w:divBdr>
        <w:top w:val="none" w:sz="0" w:space="0" w:color="auto"/>
        <w:left w:val="none" w:sz="0" w:space="0" w:color="auto"/>
        <w:bottom w:val="none" w:sz="0" w:space="0" w:color="auto"/>
        <w:right w:val="none" w:sz="0" w:space="0" w:color="auto"/>
      </w:divBdr>
    </w:div>
    <w:div w:id="327948128">
      <w:bodyDiv w:val="1"/>
      <w:marLeft w:val="0"/>
      <w:marRight w:val="0"/>
      <w:marTop w:val="0"/>
      <w:marBottom w:val="0"/>
      <w:divBdr>
        <w:top w:val="none" w:sz="0" w:space="0" w:color="auto"/>
        <w:left w:val="none" w:sz="0" w:space="0" w:color="auto"/>
        <w:bottom w:val="none" w:sz="0" w:space="0" w:color="auto"/>
        <w:right w:val="none" w:sz="0" w:space="0" w:color="auto"/>
      </w:divBdr>
    </w:div>
    <w:div w:id="330452418">
      <w:bodyDiv w:val="1"/>
      <w:marLeft w:val="0"/>
      <w:marRight w:val="0"/>
      <w:marTop w:val="0"/>
      <w:marBottom w:val="0"/>
      <w:divBdr>
        <w:top w:val="none" w:sz="0" w:space="0" w:color="auto"/>
        <w:left w:val="none" w:sz="0" w:space="0" w:color="auto"/>
        <w:bottom w:val="none" w:sz="0" w:space="0" w:color="auto"/>
        <w:right w:val="none" w:sz="0" w:space="0" w:color="auto"/>
      </w:divBdr>
    </w:div>
    <w:div w:id="337582148">
      <w:bodyDiv w:val="1"/>
      <w:marLeft w:val="0"/>
      <w:marRight w:val="0"/>
      <w:marTop w:val="0"/>
      <w:marBottom w:val="0"/>
      <w:divBdr>
        <w:top w:val="none" w:sz="0" w:space="0" w:color="auto"/>
        <w:left w:val="none" w:sz="0" w:space="0" w:color="auto"/>
        <w:bottom w:val="none" w:sz="0" w:space="0" w:color="auto"/>
        <w:right w:val="none" w:sz="0" w:space="0" w:color="auto"/>
      </w:divBdr>
      <w:divsChild>
        <w:div w:id="1573733066">
          <w:marLeft w:val="0"/>
          <w:marRight w:val="0"/>
          <w:marTop w:val="0"/>
          <w:marBottom w:val="0"/>
          <w:divBdr>
            <w:top w:val="none" w:sz="0" w:space="0" w:color="auto"/>
            <w:left w:val="none" w:sz="0" w:space="0" w:color="auto"/>
            <w:bottom w:val="none" w:sz="0" w:space="0" w:color="auto"/>
            <w:right w:val="none" w:sz="0" w:space="0" w:color="auto"/>
          </w:divBdr>
        </w:div>
      </w:divsChild>
    </w:div>
    <w:div w:id="354035966">
      <w:bodyDiv w:val="1"/>
      <w:marLeft w:val="0"/>
      <w:marRight w:val="0"/>
      <w:marTop w:val="0"/>
      <w:marBottom w:val="0"/>
      <w:divBdr>
        <w:top w:val="none" w:sz="0" w:space="0" w:color="auto"/>
        <w:left w:val="none" w:sz="0" w:space="0" w:color="auto"/>
        <w:bottom w:val="none" w:sz="0" w:space="0" w:color="auto"/>
        <w:right w:val="none" w:sz="0" w:space="0" w:color="auto"/>
      </w:divBdr>
    </w:div>
    <w:div w:id="374038094">
      <w:bodyDiv w:val="1"/>
      <w:marLeft w:val="0"/>
      <w:marRight w:val="0"/>
      <w:marTop w:val="0"/>
      <w:marBottom w:val="0"/>
      <w:divBdr>
        <w:top w:val="none" w:sz="0" w:space="0" w:color="auto"/>
        <w:left w:val="none" w:sz="0" w:space="0" w:color="auto"/>
        <w:bottom w:val="none" w:sz="0" w:space="0" w:color="auto"/>
        <w:right w:val="none" w:sz="0" w:space="0" w:color="auto"/>
      </w:divBdr>
    </w:div>
    <w:div w:id="378478926">
      <w:bodyDiv w:val="1"/>
      <w:marLeft w:val="0"/>
      <w:marRight w:val="0"/>
      <w:marTop w:val="0"/>
      <w:marBottom w:val="0"/>
      <w:divBdr>
        <w:top w:val="none" w:sz="0" w:space="0" w:color="auto"/>
        <w:left w:val="none" w:sz="0" w:space="0" w:color="auto"/>
        <w:bottom w:val="none" w:sz="0" w:space="0" w:color="auto"/>
        <w:right w:val="none" w:sz="0" w:space="0" w:color="auto"/>
      </w:divBdr>
    </w:div>
    <w:div w:id="388068455">
      <w:bodyDiv w:val="1"/>
      <w:marLeft w:val="0"/>
      <w:marRight w:val="0"/>
      <w:marTop w:val="0"/>
      <w:marBottom w:val="0"/>
      <w:divBdr>
        <w:top w:val="none" w:sz="0" w:space="0" w:color="auto"/>
        <w:left w:val="none" w:sz="0" w:space="0" w:color="auto"/>
        <w:bottom w:val="none" w:sz="0" w:space="0" w:color="auto"/>
        <w:right w:val="none" w:sz="0" w:space="0" w:color="auto"/>
      </w:divBdr>
    </w:div>
    <w:div w:id="393356294">
      <w:bodyDiv w:val="1"/>
      <w:marLeft w:val="0"/>
      <w:marRight w:val="0"/>
      <w:marTop w:val="0"/>
      <w:marBottom w:val="0"/>
      <w:divBdr>
        <w:top w:val="none" w:sz="0" w:space="0" w:color="auto"/>
        <w:left w:val="none" w:sz="0" w:space="0" w:color="auto"/>
        <w:bottom w:val="none" w:sz="0" w:space="0" w:color="auto"/>
        <w:right w:val="none" w:sz="0" w:space="0" w:color="auto"/>
      </w:divBdr>
    </w:div>
    <w:div w:id="404842305">
      <w:bodyDiv w:val="1"/>
      <w:marLeft w:val="0"/>
      <w:marRight w:val="0"/>
      <w:marTop w:val="0"/>
      <w:marBottom w:val="0"/>
      <w:divBdr>
        <w:top w:val="none" w:sz="0" w:space="0" w:color="auto"/>
        <w:left w:val="none" w:sz="0" w:space="0" w:color="auto"/>
        <w:bottom w:val="none" w:sz="0" w:space="0" w:color="auto"/>
        <w:right w:val="none" w:sz="0" w:space="0" w:color="auto"/>
      </w:divBdr>
    </w:div>
    <w:div w:id="406803620">
      <w:bodyDiv w:val="1"/>
      <w:marLeft w:val="0"/>
      <w:marRight w:val="0"/>
      <w:marTop w:val="0"/>
      <w:marBottom w:val="0"/>
      <w:divBdr>
        <w:top w:val="none" w:sz="0" w:space="0" w:color="auto"/>
        <w:left w:val="none" w:sz="0" w:space="0" w:color="auto"/>
        <w:bottom w:val="none" w:sz="0" w:space="0" w:color="auto"/>
        <w:right w:val="none" w:sz="0" w:space="0" w:color="auto"/>
      </w:divBdr>
    </w:div>
    <w:div w:id="411395946">
      <w:bodyDiv w:val="1"/>
      <w:marLeft w:val="0"/>
      <w:marRight w:val="0"/>
      <w:marTop w:val="0"/>
      <w:marBottom w:val="0"/>
      <w:divBdr>
        <w:top w:val="none" w:sz="0" w:space="0" w:color="auto"/>
        <w:left w:val="none" w:sz="0" w:space="0" w:color="auto"/>
        <w:bottom w:val="none" w:sz="0" w:space="0" w:color="auto"/>
        <w:right w:val="none" w:sz="0" w:space="0" w:color="auto"/>
      </w:divBdr>
      <w:divsChild>
        <w:div w:id="191722353">
          <w:marLeft w:val="0"/>
          <w:marRight w:val="0"/>
          <w:marTop w:val="0"/>
          <w:marBottom w:val="0"/>
          <w:divBdr>
            <w:top w:val="none" w:sz="0" w:space="0" w:color="auto"/>
            <w:left w:val="none" w:sz="0" w:space="0" w:color="auto"/>
            <w:bottom w:val="none" w:sz="0" w:space="0" w:color="auto"/>
            <w:right w:val="none" w:sz="0" w:space="0" w:color="auto"/>
          </w:divBdr>
        </w:div>
      </w:divsChild>
    </w:div>
    <w:div w:id="433551845">
      <w:bodyDiv w:val="1"/>
      <w:marLeft w:val="0"/>
      <w:marRight w:val="0"/>
      <w:marTop w:val="0"/>
      <w:marBottom w:val="0"/>
      <w:divBdr>
        <w:top w:val="none" w:sz="0" w:space="0" w:color="auto"/>
        <w:left w:val="none" w:sz="0" w:space="0" w:color="auto"/>
        <w:bottom w:val="none" w:sz="0" w:space="0" w:color="auto"/>
        <w:right w:val="none" w:sz="0" w:space="0" w:color="auto"/>
      </w:divBdr>
    </w:div>
    <w:div w:id="468131087">
      <w:bodyDiv w:val="1"/>
      <w:marLeft w:val="0"/>
      <w:marRight w:val="0"/>
      <w:marTop w:val="0"/>
      <w:marBottom w:val="0"/>
      <w:divBdr>
        <w:top w:val="none" w:sz="0" w:space="0" w:color="auto"/>
        <w:left w:val="none" w:sz="0" w:space="0" w:color="auto"/>
        <w:bottom w:val="none" w:sz="0" w:space="0" w:color="auto"/>
        <w:right w:val="none" w:sz="0" w:space="0" w:color="auto"/>
      </w:divBdr>
      <w:divsChild>
        <w:div w:id="393744576">
          <w:marLeft w:val="0"/>
          <w:marRight w:val="0"/>
          <w:marTop w:val="0"/>
          <w:marBottom w:val="0"/>
          <w:divBdr>
            <w:top w:val="none" w:sz="0" w:space="0" w:color="auto"/>
            <w:left w:val="none" w:sz="0" w:space="0" w:color="auto"/>
            <w:bottom w:val="none" w:sz="0" w:space="0" w:color="auto"/>
            <w:right w:val="none" w:sz="0" w:space="0" w:color="auto"/>
          </w:divBdr>
        </w:div>
        <w:div w:id="1265963343">
          <w:marLeft w:val="0"/>
          <w:marRight w:val="0"/>
          <w:marTop w:val="0"/>
          <w:marBottom w:val="0"/>
          <w:divBdr>
            <w:top w:val="none" w:sz="0" w:space="0" w:color="auto"/>
            <w:left w:val="none" w:sz="0" w:space="0" w:color="auto"/>
            <w:bottom w:val="none" w:sz="0" w:space="0" w:color="auto"/>
            <w:right w:val="none" w:sz="0" w:space="0" w:color="auto"/>
          </w:divBdr>
        </w:div>
      </w:divsChild>
    </w:div>
    <w:div w:id="520700280">
      <w:bodyDiv w:val="1"/>
      <w:marLeft w:val="0"/>
      <w:marRight w:val="0"/>
      <w:marTop w:val="0"/>
      <w:marBottom w:val="0"/>
      <w:divBdr>
        <w:top w:val="none" w:sz="0" w:space="0" w:color="auto"/>
        <w:left w:val="none" w:sz="0" w:space="0" w:color="auto"/>
        <w:bottom w:val="none" w:sz="0" w:space="0" w:color="auto"/>
        <w:right w:val="none" w:sz="0" w:space="0" w:color="auto"/>
      </w:divBdr>
    </w:div>
    <w:div w:id="540823795">
      <w:bodyDiv w:val="1"/>
      <w:marLeft w:val="0"/>
      <w:marRight w:val="0"/>
      <w:marTop w:val="0"/>
      <w:marBottom w:val="0"/>
      <w:divBdr>
        <w:top w:val="none" w:sz="0" w:space="0" w:color="auto"/>
        <w:left w:val="none" w:sz="0" w:space="0" w:color="auto"/>
        <w:bottom w:val="none" w:sz="0" w:space="0" w:color="auto"/>
        <w:right w:val="none" w:sz="0" w:space="0" w:color="auto"/>
      </w:divBdr>
    </w:div>
    <w:div w:id="552934030">
      <w:bodyDiv w:val="1"/>
      <w:marLeft w:val="0"/>
      <w:marRight w:val="0"/>
      <w:marTop w:val="0"/>
      <w:marBottom w:val="0"/>
      <w:divBdr>
        <w:top w:val="none" w:sz="0" w:space="0" w:color="auto"/>
        <w:left w:val="none" w:sz="0" w:space="0" w:color="auto"/>
        <w:bottom w:val="none" w:sz="0" w:space="0" w:color="auto"/>
        <w:right w:val="none" w:sz="0" w:space="0" w:color="auto"/>
      </w:divBdr>
    </w:div>
    <w:div w:id="553391880">
      <w:bodyDiv w:val="1"/>
      <w:marLeft w:val="0"/>
      <w:marRight w:val="0"/>
      <w:marTop w:val="0"/>
      <w:marBottom w:val="0"/>
      <w:divBdr>
        <w:top w:val="none" w:sz="0" w:space="0" w:color="auto"/>
        <w:left w:val="none" w:sz="0" w:space="0" w:color="auto"/>
        <w:bottom w:val="none" w:sz="0" w:space="0" w:color="auto"/>
        <w:right w:val="none" w:sz="0" w:space="0" w:color="auto"/>
      </w:divBdr>
      <w:divsChild>
        <w:div w:id="1132671245">
          <w:marLeft w:val="0"/>
          <w:marRight w:val="0"/>
          <w:marTop w:val="0"/>
          <w:marBottom w:val="0"/>
          <w:divBdr>
            <w:top w:val="none" w:sz="0" w:space="0" w:color="auto"/>
            <w:left w:val="none" w:sz="0" w:space="0" w:color="auto"/>
            <w:bottom w:val="none" w:sz="0" w:space="0" w:color="auto"/>
            <w:right w:val="none" w:sz="0" w:space="0" w:color="auto"/>
          </w:divBdr>
          <w:divsChild>
            <w:div w:id="1189102912">
              <w:marLeft w:val="0"/>
              <w:marRight w:val="0"/>
              <w:marTop w:val="0"/>
              <w:marBottom w:val="0"/>
              <w:divBdr>
                <w:top w:val="none" w:sz="0" w:space="0" w:color="auto"/>
                <w:left w:val="none" w:sz="0" w:space="0" w:color="auto"/>
                <w:bottom w:val="none" w:sz="0" w:space="0" w:color="auto"/>
                <w:right w:val="none" w:sz="0" w:space="0" w:color="auto"/>
              </w:divBdr>
              <w:divsChild>
                <w:div w:id="1424910475">
                  <w:marLeft w:val="0"/>
                  <w:marRight w:val="0"/>
                  <w:marTop w:val="0"/>
                  <w:marBottom w:val="0"/>
                  <w:divBdr>
                    <w:top w:val="none" w:sz="0" w:space="0" w:color="auto"/>
                    <w:left w:val="none" w:sz="0" w:space="0" w:color="auto"/>
                    <w:bottom w:val="none" w:sz="0" w:space="0" w:color="auto"/>
                    <w:right w:val="none" w:sz="0" w:space="0" w:color="auto"/>
                  </w:divBdr>
                  <w:divsChild>
                    <w:div w:id="1305575045">
                      <w:marLeft w:val="0"/>
                      <w:marRight w:val="0"/>
                      <w:marTop w:val="0"/>
                      <w:marBottom w:val="0"/>
                      <w:divBdr>
                        <w:top w:val="none" w:sz="0" w:space="0" w:color="auto"/>
                        <w:left w:val="none" w:sz="0" w:space="0" w:color="auto"/>
                        <w:bottom w:val="none" w:sz="0" w:space="0" w:color="auto"/>
                        <w:right w:val="none" w:sz="0" w:space="0" w:color="auto"/>
                      </w:divBdr>
                      <w:divsChild>
                        <w:div w:id="610551621">
                          <w:marLeft w:val="0"/>
                          <w:marRight w:val="0"/>
                          <w:marTop w:val="0"/>
                          <w:marBottom w:val="0"/>
                          <w:divBdr>
                            <w:top w:val="none" w:sz="0" w:space="0" w:color="auto"/>
                            <w:left w:val="none" w:sz="0" w:space="0" w:color="auto"/>
                            <w:bottom w:val="none" w:sz="0" w:space="0" w:color="auto"/>
                            <w:right w:val="none" w:sz="0" w:space="0" w:color="auto"/>
                          </w:divBdr>
                        </w:div>
                        <w:div w:id="2078818507">
                          <w:marLeft w:val="0"/>
                          <w:marRight w:val="0"/>
                          <w:marTop w:val="0"/>
                          <w:marBottom w:val="0"/>
                          <w:divBdr>
                            <w:top w:val="none" w:sz="0" w:space="0" w:color="auto"/>
                            <w:left w:val="none" w:sz="0" w:space="0" w:color="auto"/>
                            <w:bottom w:val="none" w:sz="0" w:space="0" w:color="auto"/>
                            <w:right w:val="none" w:sz="0" w:space="0" w:color="auto"/>
                          </w:divBdr>
                          <w:divsChild>
                            <w:div w:id="686714280">
                              <w:marLeft w:val="0"/>
                              <w:marRight w:val="0"/>
                              <w:marTop w:val="0"/>
                              <w:marBottom w:val="0"/>
                              <w:divBdr>
                                <w:top w:val="none" w:sz="0" w:space="0" w:color="auto"/>
                                <w:left w:val="none" w:sz="0" w:space="0" w:color="auto"/>
                                <w:bottom w:val="none" w:sz="0" w:space="0" w:color="auto"/>
                                <w:right w:val="none" w:sz="0" w:space="0" w:color="auto"/>
                              </w:divBdr>
                              <w:divsChild>
                                <w:div w:id="1067537403">
                                  <w:marLeft w:val="0"/>
                                  <w:marRight w:val="120"/>
                                  <w:marTop w:val="0"/>
                                  <w:marBottom w:val="0"/>
                                  <w:divBdr>
                                    <w:top w:val="none" w:sz="0" w:space="0" w:color="auto"/>
                                    <w:left w:val="none" w:sz="0" w:space="0" w:color="auto"/>
                                    <w:bottom w:val="none" w:sz="0" w:space="0" w:color="auto"/>
                                    <w:right w:val="none" w:sz="0" w:space="0" w:color="auto"/>
                                  </w:divBdr>
                                </w:div>
                                <w:div w:id="193135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3642301">
      <w:bodyDiv w:val="1"/>
      <w:marLeft w:val="0"/>
      <w:marRight w:val="0"/>
      <w:marTop w:val="0"/>
      <w:marBottom w:val="0"/>
      <w:divBdr>
        <w:top w:val="none" w:sz="0" w:space="0" w:color="auto"/>
        <w:left w:val="none" w:sz="0" w:space="0" w:color="auto"/>
        <w:bottom w:val="none" w:sz="0" w:space="0" w:color="auto"/>
        <w:right w:val="none" w:sz="0" w:space="0" w:color="auto"/>
      </w:divBdr>
      <w:divsChild>
        <w:div w:id="399256247">
          <w:marLeft w:val="0"/>
          <w:marRight w:val="0"/>
          <w:marTop w:val="0"/>
          <w:marBottom w:val="0"/>
          <w:divBdr>
            <w:top w:val="none" w:sz="0" w:space="0" w:color="auto"/>
            <w:left w:val="none" w:sz="0" w:space="0" w:color="auto"/>
            <w:bottom w:val="none" w:sz="0" w:space="0" w:color="auto"/>
            <w:right w:val="none" w:sz="0" w:space="0" w:color="auto"/>
          </w:divBdr>
        </w:div>
        <w:div w:id="1530491817">
          <w:marLeft w:val="0"/>
          <w:marRight w:val="0"/>
          <w:marTop w:val="0"/>
          <w:marBottom w:val="0"/>
          <w:divBdr>
            <w:top w:val="none" w:sz="0" w:space="0" w:color="auto"/>
            <w:left w:val="none" w:sz="0" w:space="0" w:color="auto"/>
            <w:bottom w:val="none" w:sz="0" w:space="0" w:color="auto"/>
            <w:right w:val="none" w:sz="0" w:space="0" w:color="auto"/>
          </w:divBdr>
        </w:div>
      </w:divsChild>
    </w:div>
    <w:div w:id="568660384">
      <w:bodyDiv w:val="1"/>
      <w:marLeft w:val="0"/>
      <w:marRight w:val="0"/>
      <w:marTop w:val="0"/>
      <w:marBottom w:val="0"/>
      <w:divBdr>
        <w:top w:val="none" w:sz="0" w:space="0" w:color="auto"/>
        <w:left w:val="none" w:sz="0" w:space="0" w:color="auto"/>
        <w:bottom w:val="none" w:sz="0" w:space="0" w:color="auto"/>
        <w:right w:val="none" w:sz="0" w:space="0" w:color="auto"/>
      </w:divBdr>
    </w:div>
    <w:div w:id="582760520">
      <w:bodyDiv w:val="1"/>
      <w:marLeft w:val="0"/>
      <w:marRight w:val="0"/>
      <w:marTop w:val="0"/>
      <w:marBottom w:val="0"/>
      <w:divBdr>
        <w:top w:val="none" w:sz="0" w:space="0" w:color="auto"/>
        <w:left w:val="none" w:sz="0" w:space="0" w:color="auto"/>
        <w:bottom w:val="none" w:sz="0" w:space="0" w:color="auto"/>
        <w:right w:val="none" w:sz="0" w:space="0" w:color="auto"/>
      </w:divBdr>
    </w:div>
    <w:div w:id="613489104">
      <w:bodyDiv w:val="1"/>
      <w:marLeft w:val="0"/>
      <w:marRight w:val="0"/>
      <w:marTop w:val="0"/>
      <w:marBottom w:val="0"/>
      <w:divBdr>
        <w:top w:val="none" w:sz="0" w:space="0" w:color="auto"/>
        <w:left w:val="none" w:sz="0" w:space="0" w:color="auto"/>
        <w:bottom w:val="none" w:sz="0" w:space="0" w:color="auto"/>
        <w:right w:val="none" w:sz="0" w:space="0" w:color="auto"/>
      </w:divBdr>
    </w:div>
    <w:div w:id="621034136">
      <w:bodyDiv w:val="1"/>
      <w:marLeft w:val="0"/>
      <w:marRight w:val="0"/>
      <w:marTop w:val="0"/>
      <w:marBottom w:val="0"/>
      <w:divBdr>
        <w:top w:val="none" w:sz="0" w:space="0" w:color="auto"/>
        <w:left w:val="none" w:sz="0" w:space="0" w:color="auto"/>
        <w:bottom w:val="none" w:sz="0" w:space="0" w:color="auto"/>
        <w:right w:val="none" w:sz="0" w:space="0" w:color="auto"/>
      </w:divBdr>
      <w:divsChild>
        <w:div w:id="255673178">
          <w:marLeft w:val="0"/>
          <w:marRight w:val="0"/>
          <w:marTop w:val="0"/>
          <w:marBottom w:val="0"/>
          <w:divBdr>
            <w:top w:val="none" w:sz="0" w:space="0" w:color="auto"/>
            <w:left w:val="none" w:sz="0" w:space="0" w:color="auto"/>
            <w:bottom w:val="none" w:sz="0" w:space="0" w:color="auto"/>
            <w:right w:val="none" w:sz="0" w:space="0" w:color="auto"/>
          </w:divBdr>
        </w:div>
      </w:divsChild>
    </w:div>
    <w:div w:id="641538385">
      <w:bodyDiv w:val="1"/>
      <w:marLeft w:val="0"/>
      <w:marRight w:val="0"/>
      <w:marTop w:val="0"/>
      <w:marBottom w:val="0"/>
      <w:divBdr>
        <w:top w:val="none" w:sz="0" w:space="0" w:color="auto"/>
        <w:left w:val="none" w:sz="0" w:space="0" w:color="auto"/>
        <w:bottom w:val="none" w:sz="0" w:space="0" w:color="auto"/>
        <w:right w:val="none" w:sz="0" w:space="0" w:color="auto"/>
      </w:divBdr>
    </w:div>
    <w:div w:id="671835862">
      <w:bodyDiv w:val="1"/>
      <w:marLeft w:val="0"/>
      <w:marRight w:val="0"/>
      <w:marTop w:val="0"/>
      <w:marBottom w:val="0"/>
      <w:divBdr>
        <w:top w:val="none" w:sz="0" w:space="0" w:color="auto"/>
        <w:left w:val="none" w:sz="0" w:space="0" w:color="auto"/>
        <w:bottom w:val="none" w:sz="0" w:space="0" w:color="auto"/>
        <w:right w:val="none" w:sz="0" w:space="0" w:color="auto"/>
      </w:divBdr>
    </w:div>
    <w:div w:id="679744422">
      <w:bodyDiv w:val="1"/>
      <w:marLeft w:val="0"/>
      <w:marRight w:val="0"/>
      <w:marTop w:val="0"/>
      <w:marBottom w:val="0"/>
      <w:divBdr>
        <w:top w:val="none" w:sz="0" w:space="0" w:color="auto"/>
        <w:left w:val="none" w:sz="0" w:space="0" w:color="auto"/>
        <w:bottom w:val="none" w:sz="0" w:space="0" w:color="auto"/>
        <w:right w:val="none" w:sz="0" w:space="0" w:color="auto"/>
      </w:divBdr>
    </w:div>
    <w:div w:id="686753265">
      <w:bodyDiv w:val="1"/>
      <w:marLeft w:val="0"/>
      <w:marRight w:val="0"/>
      <w:marTop w:val="0"/>
      <w:marBottom w:val="0"/>
      <w:divBdr>
        <w:top w:val="none" w:sz="0" w:space="0" w:color="auto"/>
        <w:left w:val="none" w:sz="0" w:space="0" w:color="auto"/>
        <w:bottom w:val="none" w:sz="0" w:space="0" w:color="auto"/>
        <w:right w:val="none" w:sz="0" w:space="0" w:color="auto"/>
      </w:divBdr>
    </w:div>
    <w:div w:id="705330053">
      <w:bodyDiv w:val="1"/>
      <w:marLeft w:val="0"/>
      <w:marRight w:val="0"/>
      <w:marTop w:val="0"/>
      <w:marBottom w:val="0"/>
      <w:divBdr>
        <w:top w:val="none" w:sz="0" w:space="0" w:color="auto"/>
        <w:left w:val="none" w:sz="0" w:space="0" w:color="auto"/>
        <w:bottom w:val="none" w:sz="0" w:space="0" w:color="auto"/>
        <w:right w:val="none" w:sz="0" w:space="0" w:color="auto"/>
      </w:divBdr>
    </w:div>
    <w:div w:id="739406340">
      <w:bodyDiv w:val="1"/>
      <w:marLeft w:val="0"/>
      <w:marRight w:val="0"/>
      <w:marTop w:val="0"/>
      <w:marBottom w:val="0"/>
      <w:divBdr>
        <w:top w:val="none" w:sz="0" w:space="0" w:color="auto"/>
        <w:left w:val="none" w:sz="0" w:space="0" w:color="auto"/>
        <w:bottom w:val="none" w:sz="0" w:space="0" w:color="auto"/>
        <w:right w:val="none" w:sz="0" w:space="0" w:color="auto"/>
      </w:divBdr>
      <w:divsChild>
        <w:div w:id="1612469255">
          <w:marLeft w:val="0"/>
          <w:marRight w:val="0"/>
          <w:marTop w:val="0"/>
          <w:marBottom w:val="0"/>
          <w:divBdr>
            <w:top w:val="single" w:sz="2" w:space="0" w:color="E5E7EB"/>
            <w:left w:val="single" w:sz="2" w:space="0" w:color="E5E7EB"/>
            <w:bottom w:val="single" w:sz="2" w:space="0" w:color="E5E7EB"/>
            <w:right w:val="single" w:sz="2" w:space="0" w:color="E5E7EB"/>
          </w:divBdr>
          <w:divsChild>
            <w:div w:id="30798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063250">
      <w:bodyDiv w:val="1"/>
      <w:marLeft w:val="0"/>
      <w:marRight w:val="0"/>
      <w:marTop w:val="0"/>
      <w:marBottom w:val="0"/>
      <w:divBdr>
        <w:top w:val="none" w:sz="0" w:space="0" w:color="auto"/>
        <w:left w:val="none" w:sz="0" w:space="0" w:color="auto"/>
        <w:bottom w:val="none" w:sz="0" w:space="0" w:color="auto"/>
        <w:right w:val="none" w:sz="0" w:space="0" w:color="auto"/>
      </w:divBdr>
    </w:div>
    <w:div w:id="747725859">
      <w:bodyDiv w:val="1"/>
      <w:marLeft w:val="0"/>
      <w:marRight w:val="0"/>
      <w:marTop w:val="0"/>
      <w:marBottom w:val="0"/>
      <w:divBdr>
        <w:top w:val="none" w:sz="0" w:space="0" w:color="auto"/>
        <w:left w:val="none" w:sz="0" w:space="0" w:color="auto"/>
        <w:bottom w:val="none" w:sz="0" w:space="0" w:color="auto"/>
        <w:right w:val="none" w:sz="0" w:space="0" w:color="auto"/>
      </w:divBdr>
    </w:div>
    <w:div w:id="755440097">
      <w:bodyDiv w:val="1"/>
      <w:marLeft w:val="0"/>
      <w:marRight w:val="0"/>
      <w:marTop w:val="0"/>
      <w:marBottom w:val="0"/>
      <w:divBdr>
        <w:top w:val="none" w:sz="0" w:space="0" w:color="auto"/>
        <w:left w:val="none" w:sz="0" w:space="0" w:color="auto"/>
        <w:bottom w:val="none" w:sz="0" w:space="0" w:color="auto"/>
        <w:right w:val="none" w:sz="0" w:space="0" w:color="auto"/>
      </w:divBdr>
    </w:div>
    <w:div w:id="767192532">
      <w:bodyDiv w:val="1"/>
      <w:marLeft w:val="0"/>
      <w:marRight w:val="0"/>
      <w:marTop w:val="0"/>
      <w:marBottom w:val="0"/>
      <w:divBdr>
        <w:top w:val="none" w:sz="0" w:space="0" w:color="auto"/>
        <w:left w:val="none" w:sz="0" w:space="0" w:color="auto"/>
        <w:bottom w:val="none" w:sz="0" w:space="0" w:color="auto"/>
        <w:right w:val="none" w:sz="0" w:space="0" w:color="auto"/>
      </w:divBdr>
    </w:div>
    <w:div w:id="784663835">
      <w:bodyDiv w:val="1"/>
      <w:marLeft w:val="0"/>
      <w:marRight w:val="0"/>
      <w:marTop w:val="0"/>
      <w:marBottom w:val="0"/>
      <w:divBdr>
        <w:top w:val="none" w:sz="0" w:space="0" w:color="auto"/>
        <w:left w:val="none" w:sz="0" w:space="0" w:color="auto"/>
        <w:bottom w:val="none" w:sz="0" w:space="0" w:color="auto"/>
        <w:right w:val="none" w:sz="0" w:space="0" w:color="auto"/>
      </w:divBdr>
    </w:div>
    <w:div w:id="786235916">
      <w:bodyDiv w:val="1"/>
      <w:marLeft w:val="0"/>
      <w:marRight w:val="0"/>
      <w:marTop w:val="0"/>
      <w:marBottom w:val="0"/>
      <w:divBdr>
        <w:top w:val="none" w:sz="0" w:space="0" w:color="auto"/>
        <w:left w:val="none" w:sz="0" w:space="0" w:color="auto"/>
        <w:bottom w:val="none" w:sz="0" w:space="0" w:color="auto"/>
        <w:right w:val="none" w:sz="0" w:space="0" w:color="auto"/>
      </w:divBdr>
    </w:div>
    <w:div w:id="803277185">
      <w:bodyDiv w:val="1"/>
      <w:marLeft w:val="0"/>
      <w:marRight w:val="0"/>
      <w:marTop w:val="0"/>
      <w:marBottom w:val="0"/>
      <w:divBdr>
        <w:top w:val="none" w:sz="0" w:space="0" w:color="auto"/>
        <w:left w:val="none" w:sz="0" w:space="0" w:color="auto"/>
        <w:bottom w:val="none" w:sz="0" w:space="0" w:color="auto"/>
        <w:right w:val="none" w:sz="0" w:space="0" w:color="auto"/>
      </w:divBdr>
    </w:div>
    <w:div w:id="824709875">
      <w:bodyDiv w:val="1"/>
      <w:marLeft w:val="0"/>
      <w:marRight w:val="0"/>
      <w:marTop w:val="0"/>
      <w:marBottom w:val="0"/>
      <w:divBdr>
        <w:top w:val="none" w:sz="0" w:space="0" w:color="auto"/>
        <w:left w:val="none" w:sz="0" w:space="0" w:color="auto"/>
        <w:bottom w:val="none" w:sz="0" w:space="0" w:color="auto"/>
        <w:right w:val="none" w:sz="0" w:space="0" w:color="auto"/>
      </w:divBdr>
    </w:div>
    <w:div w:id="827787554">
      <w:bodyDiv w:val="1"/>
      <w:marLeft w:val="0"/>
      <w:marRight w:val="0"/>
      <w:marTop w:val="0"/>
      <w:marBottom w:val="0"/>
      <w:divBdr>
        <w:top w:val="none" w:sz="0" w:space="0" w:color="auto"/>
        <w:left w:val="none" w:sz="0" w:space="0" w:color="auto"/>
        <w:bottom w:val="none" w:sz="0" w:space="0" w:color="auto"/>
        <w:right w:val="none" w:sz="0" w:space="0" w:color="auto"/>
      </w:divBdr>
    </w:div>
    <w:div w:id="830484982">
      <w:bodyDiv w:val="1"/>
      <w:marLeft w:val="0"/>
      <w:marRight w:val="0"/>
      <w:marTop w:val="0"/>
      <w:marBottom w:val="0"/>
      <w:divBdr>
        <w:top w:val="none" w:sz="0" w:space="0" w:color="auto"/>
        <w:left w:val="none" w:sz="0" w:space="0" w:color="auto"/>
        <w:bottom w:val="none" w:sz="0" w:space="0" w:color="auto"/>
        <w:right w:val="none" w:sz="0" w:space="0" w:color="auto"/>
      </w:divBdr>
    </w:div>
    <w:div w:id="831027181">
      <w:bodyDiv w:val="1"/>
      <w:marLeft w:val="0"/>
      <w:marRight w:val="0"/>
      <w:marTop w:val="0"/>
      <w:marBottom w:val="0"/>
      <w:divBdr>
        <w:top w:val="none" w:sz="0" w:space="0" w:color="auto"/>
        <w:left w:val="none" w:sz="0" w:space="0" w:color="auto"/>
        <w:bottom w:val="none" w:sz="0" w:space="0" w:color="auto"/>
        <w:right w:val="none" w:sz="0" w:space="0" w:color="auto"/>
      </w:divBdr>
    </w:div>
    <w:div w:id="835650284">
      <w:bodyDiv w:val="1"/>
      <w:marLeft w:val="0"/>
      <w:marRight w:val="0"/>
      <w:marTop w:val="0"/>
      <w:marBottom w:val="0"/>
      <w:divBdr>
        <w:top w:val="none" w:sz="0" w:space="0" w:color="auto"/>
        <w:left w:val="none" w:sz="0" w:space="0" w:color="auto"/>
        <w:bottom w:val="none" w:sz="0" w:space="0" w:color="auto"/>
        <w:right w:val="none" w:sz="0" w:space="0" w:color="auto"/>
      </w:divBdr>
      <w:divsChild>
        <w:div w:id="2042128025">
          <w:marLeft w:val="0"/>
          <w:marRight w:val="0"/>
          <w:marTop w:val="0"/>
          <w:marBottom w:val="0"/>
          <w:divBdr>
            <w:top w:val="none" w:sz="0" w:space="0" w:color="auto"/>
            <w:left w:val="none" w:sz="0" w:space="0" w:color="auto"/>
            <w:bottom w:val="none" w:sz="0" w:space="0" w:color="auto"/>
            <w:right w:val="none" w:sz="0" w:space="0" w:color="auto"/>
          </w:divBdr>
          <w:divsChild>
            <w:div w:id="201795793">
              <w:marLeft w:val="0"/>
              <w:marRight w:val="0"/>
              <w:marTop w:val="0"/>
              <w:marBottom w:val="0"/>
              <w:divBdr>
                <w:top w:val="none" w:sz="0" w:space="0" w:color="auto"/>
                <w:left w:val="none" w:sz="0" w:space="0" w:color="auto"/>
                <w:bottom w:val="none" w:sz="0" w:space="0" w:color="auto"/>
                <w:right w:val="none" w:sz="0" w:space="0" w:color="auto"/>
              </w:divBdr>
              <w:divsChild>
                <w:div w:id="1243954888">
                  <w:marLeft w:val="0"/>
                  <w:marRight w:val="0"/>
                  <w:marTop w:val="0"/>
                  <w:marBottom w:val="0"/>
                  <w:divBdr>
                    <w:top w:val="none" w:sz="0" w:space="0" w:color="auto"/>
                    <w:left w:val="none" w:sz="0" w:space="0" w:color="auto"/>
                    <w:bottom w:val="none" w:sz="0" w:space="0" w:color="auto"/>
                    <w:right w:val="none" w:sz="0" w:space="0" w:color="auto"/>
                  </w:divBdr>
                  <w:divsChild>
                    <w:div w:id="1853833913">
                      <w:marLeft w:val="0"/>
                      <w:marRight w:val="0"/>
                      <w:marTop w:val="0"/>
                      <w:marBottom w:val="0"/>
                      <w:divBdr>
                        <w:top w:val="none" w:sz="0" w:space="0" w:color="auto"/>
                        <w:left w:val="none" w:sz="0" w:space="0" w:color="auto"/>
                        <w:bottom w:val="none" w:sz="0" w:space="0" w:color="auto"/>
                        <w:right w:val="none" w:sz="0" w:space="0" w:color="auto"/>
                      </w:divBdr>
                      <w:divsChild>
                        <w:div w:id="1819493627">
                          <w:marLeft w:val="0"/>
                          <w:marRight w:val="0"/>
                          <w:marTop w:val="0"/>
                          <w:marBottom w:val="0"/>
                          <w:divBdr>
                            <w:top w:val="none" w:sz="0" w:space="0" w:color="auto"/>
                            <w:left w:val="none" w:sz="0" w:space="0" w:color="auto"/>
                            <w:bottom w:val="none" w:sz="0" w:space="0" w:color="auto"/>
                            <w:right w:val="none" w:sz="0" w:space="0" w:color="auto"/>
                          </w:divBdr>
                          <w:divsChild>
                            <w:div w:id="132212265">
                              <w:marLeft w:val="0"/>
                              <w:marRight w:val="0"/>
                              <w:marTop w:val="0"/>
                              <w:marBottom w:val="0"/>
                              <w:divBdr>
                                <w:top w:val="none" w:sz="0" w:space="0" w:color="auto"/>
                                <w:left w:val="none" w:sz="0" w:space="0" w:color="auto"/>
                                <w:bottom w:val="none" w:sz="0" w:space="0" w:color="auto"/>
                                <w:right w:val="none" w:sz="0" w:space="0" w:color="auto"/>
                              </w:divBdr>
                              <w:divsChild>
                                <w:div w:id="1577934554">
                                  <w:marLeft w:val="0"/>
                                  <w:marRight w:val="0"/>
                                  <w:marTop w:val="0"/>
                                  <w:marBottom w:val="0"/>
                                  <w:divBdr>
                                    <w:top w:val="none" w:sz="0" w:space="0" w:color="auto"/>
                                    <w:left w:val="none" w:sz="0" w:space="0" w:color="auto"/>
                                    <w:bottom w:val="none" w:sz="0" w:space="0" w:color="auto"/>
                                    <w:right w:val="none" w:sz="0" w:space="0" w:color="auto"/>
                                  </w:divBdr>
                                  <w:divsChild>
                                    <w:div w:id="743529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2591673">
      <w:bodyDiv w:val="1"/>
      <w:marLeft w:val="0"/>
      <w:marRight w:val="0"/>
      <w:marTop w:val="0"/>
      <w:marBottom w:val="0"/>
      <w:divBdr>
        <w:top w:val="none" w:sz="0" w:space="0" w:color="auto"/>
        <w:left w:val="none" w:sz="0" w:space="0" w:color="auto"/>
        <w:bottom w:val="none" w:sz="0" w:space="0" w:color="auto"/>
        <w:right w:val="none" w:sz="0" w:space="0" w:color="auto"/>
      </w:divBdr>
    </w:div>
    <w:div w:id="877737047">
      <w:bodyDiv w:val="1"/>
      <w:marLeft w:val="0"/>
      <w:marRight w:val="0"/>
      <w:marTop w:val="0"/>
      <w:marBottom w:val="0"/>
      <w:divBdr>
        <w:top w:val="none" w:sz="0" w:space="0" w:color="auto"/>
        <w:left w:val="none" w:sz="0" w:space="0" w:color="auto"/>
        <w:bottom w:val="none" w:sz="0" w:space="0" w:color="auto"/>
        <w:right w:val="none" w:sz="0" w:space="0" w:color="auto"/>
      </w:divBdr>
    </w:div>
    <w:div w:id="895825050">
      <w:bodyDiv w:val="1"/>
      <w:marLeft w:val="0"/>
      <w:marRight w:val="0"/>
      <w:marTop w:val="0"/>
      <w:marBottom w:val="0"/>
      <w:divBdr>
        <w:top w:val="none" w:sz="0" w:space="0" w:color="auto"/>
        <w:left w:val="none" w:sz="0" w:space="0" w:color="auto"/>
        <w:bottom w:val="none" w:sz="0" w:space="0" w:color="auto"/>
        <w:right w:val="none" w:sz="0" w:space="0" w:color="auto"/>
      </w:divBdr>
    </w:div>
    <w:div w:id="896623929">
      <w:bodyDiv w:val="1"/>
      <w:marLeft w:val="0"/>
      <w:marRight w:val="0"/>
      <w:marTop w:val="0"/>
      <w:marBottom w:val="0"/>
      <w:divBdr>
        <w:top w:val="none" w:sz="0" w:space="0" w:color="auto"/>
        <w:left w:val="none" w:sz="0" w:space="0" w:color="auto"/>
        <w:bottom w:val="none" w:sz="0" w:space="0" w:color="auto"/>
        <w:right w:val="none" w:sz="0" w:space="0" w:color="auto"/>
      </w:divBdr>
    </w:div>
    <w:div w:id="903444010">
      <w:bodyDiv w:val="1"/>
      <w:marLeft w:val="0"/>
      <w:marRight w:val="0"/>
      <w:marTop w:val="0"/>
      <w:marBottom w:val="0"/>
      <w:divBdr>
        <w:top w:val="none" w:sz="0" w:space="0" w:color="auto"/>
        <w:left w:val="none" w:sz="0" w:space="0" w:color="auto"/>
        <w:bottom w:val="none" w:sz="0" w:space="0" w:color="auto"/>
        <w:right w:val="none" w:sz="0" w:space="0" w:color="auto"/>
      </w:divBdr>
    </w:div>
    <w:div w:id="904487745">
      <w:bodyDiv w:val="1"/>
      <w:marLeft w:val="0"/>
      <w:marRight w:val="0"/>
      <w:marTop w:val="0"/>
      <w:marBottom w:val="0"/>
      <w:divBdr>
        <w:top w:val="none" w:sz="0" w:space="0" w:color="auto"/>
        <w:left w:val="none" w:sz="0" w:space="0" w:color="auto"/>
        <w:bottom w:val="none" w:sz="0" w:space="0" w:color="auto"/>
        <w:right w:val="none" w:sz="0" w:space="0" w:color="auto"/>
      </w:divBdr>
      <w:divsChild>
        <w:div w:id="1910070774">
          <w:marLeft w:val="0"/>
          <w:marRight w:val="0"/>
          <w:marTop w:val="0"/>
          <w:marBottom w:val="0"/>
          <w:divBdr>
            <w:top w:val="none" w:sz="0" w:space="0" w:color="auto"/>
            <w:left w:val="none" w:sz="0" w:space="0" w:color="auto"/>
            <w:bottom w:val="none" w:sz="0" w:space="0" w:color="auto"/>
            <w:right w:val="none" w:sz="0" w:space="0" w:color="auto"/>
          </w:divBdr>
        </w:div>
      </w:divsChild>
    </w:div>
    <w:div w:id="909727632">
      <w:bodyDiv w:val="1"/>
      <w:marLeft w:val="0"/>
      <w:marRight w:val="0"/>
      <w:marTop w:val="0"/>
      <w:marBottom w:val="0"/>
      <w:divBdr>
        <w:top w:val="none" w:sz="0" w:space="0" w:color="auto"/>
        <w:left w:val="none" w:sz="0" w:space="0" w:color="auto"/>
        <w:bottom w:val="none" w:sz="0" w:space="0" w:color="auto"/>
        <w:right w:val="none" w:sz="0" w:space="0" w:color="auto"/>
      </w:divBdr>
    </w:div>
    <w:div w:id="911280846">
      <w:bodyDiv w:val="1"/>
      <w:marLeft w:val="0"/>
      <w:marRight w:val="0"/>
      <w:marTop w:val="0"/>
      <w:marBottom w:val="0"/>
      <w:divBdr>
        <w:top w:val="none" w:sz="0" w:space="0" w:color="auto"/>
        <w:left w:val="none" w:sz="0" w:space="0" w:color="auto"/>
        <w:bottom w:val="none" w:sz="0" w:space="0" w:color="auto"/>
        <w:right w:val="none" w:sz="0" w:space="0" w:color="auto"/>
      </w:divBdr>
    </w:div>
    <w:div w:id="941184059">
      <w:bodyDiv w:val="1"/>
      <w:marLeft w:val="0"/>
      <w:marRight w:val="0"/>
      <w:marTop w:val="0"/>
      <w:marBottom w:val="0"/>
      <w:divBdr>
        <w:top w:val="none" w:sz="0" w:space="0" w:color="auto"/>
        <w:left w:val="none" w:sz="0" w:space="0" w:color="auto"/>
        <w:bottom w:val="none" w:sz="0" w:space="0" w:color="auto"/>
        <w:right w:val="none" w:sz="0" w:space="0" w:color="auto"/>
      </w:divBdr>
    </w:div>
    <w:div w:id="954288732">
      <w:bodyDiv w:val="1"/>
      <w:marLeft w:val="0"/>
      <w:marRight w:val="0"/>
      <w:marTop w:val="0"/>
      <w:marBottom w:val="0"/>
      <w:divBdr>
        <w:top w:val="none" w:sz="0" w:space="0" w:color="auto"/>
        <w:left w:val="none" w:sz="0" w:space="0" w:color="auto"/>
        <w:bottom w:val="none" w:sz="0" w:space="0" w:color="auto"/>
        <w:right w:val="none" w:sz="0" w:space="0" w:color="auto"/>
      </w:divBdr>
    </w:div>
    <w:div w:id="981614891">
      <w:bodyDiv w:val="1"/>
      <w:marLeft w:val="0"/>
      <w:marRight w:val="0"/>
      <w:marTop w:val="0"/>
      <w:marBottom w:val="0"/>
      <w:divBdr>
        <w:top w:val="none" w:sz="0" w:space="0" w:color="auto"/>
        <w:left w:val="none" w:sz="0" w:space="0" w:color="auto"/>
        <w:bottom w:val="none" w:sz="0" w:space="0" w:color="auto"/>
        <w:right w:val="none" w:sz="0" w:space="0" w:color="auto"/>
      </w:divBdr>
    </w:div>
    <w:div w:id="986275513">
      <w:bodyDiv w:val="1"/>
      <w:marLeft w:val="0"/>
      <w:marRight w:val="0"/>
      <w:marTop w:val="0"/>
      <w:marBottom w:val="0"/>
      <w:divBdr>
        <w:top w:val="none" w:sz="0" w:space="0" w:color="auto"/>
        <w:left w:val="none" w:sz="0" w:space="0" w:color="auto"/>
        <w:bottom w:val="none" w:sz="0" w:space="0" w:color="auto"/>
        <w:right w:val="none" w:sz="0" w:space="0" w:color="auto"/>
      </w:divBdr>
    </w:div>
    <w:div w:id="987053133">
      <w:bodyDiv w:val="1"/>
      <w:marLeft w:val="0"/>
      <w:marRight w:val="0"/>
      <w:marTop w:val="0"/>
      <w:marBottom w:val="0"/>
      <w:divBdr>
        <w:top w:val="none" w:sz="0" w:space="0" w:color="auto"/>
        <w:left w:val="none" w:sz="0" w:space="0" w:color="auto"/>
        <w:bottom w:val="none" w:sz="0" w:space="0" w:color="auto"/>
        <w:right w:val="none" w:sz="0" w:space="0" w:color="auto"/>
      </w:divBdr>
    </w:div>
    <w:div w:id="1024211506">
      <w:bodyDiv w:val="1"/>
      <w:marLeft w:val="0"/>
      <w:marRight w:val="0"/>
      <w:marTop w:val="0"/>
      <w:marBottom w:val="0"/>
      <w:divBdr>
        <w:top w:val="none" w:sz="0" w:space="0" w:color="auto"/>
        <w:left w:val="none" w:sz="0" w:space="0" w:color="auto"/>
        <w:bottom w:val="none" w:sz="0" w:space="0" w:color="auto"/>
        <w:right w:val="none" w:sz="0" w:space="0" w:color="auto"/>
      </w:divBdr>
    </w:div>
    <w:div w:id="1027020679">
      <w:bodyDiv w:val="1"/>
      <w:marLeft w:val="0"/>
      <w:marRight w:val="0"/>
      <w:marTop w:val="0"/>
      <w:marBottom w:val="0"/>
      <w:divBdr>
        <w:top w:val="none" w:sz="0" w:space="0" w:color="auto"/>
        <w:left w:val="none" w:sz="0" w:space="0" w:color="auto"/>
        <w:bottom w:val="none" w:sz="0" w:space="0" w:color="auto"/>
        <w:right w:val="none" w:sz="0" w:space="0" w:color="auto"/>
      </w:divBdr>
    </w:div>
    <w:div w:id="1031807708">
      <w:bodyDiv w:val="1"/>
      <w:marLeft w:val="0"/>
      <w:marRight w:val="0"/>
      <w:marTop w:val="0"/>
      <w:marBottom w:val="0"/>
      <w:divBdr>
        <w:top w:val="none" w:sz="0" w:space="0" w:color="auto"/>
        <w:left w:val="none" w:sz="0" w:space="0" w:color="auto"/>
        <w:bottom w:val="none" w:sz="0" w:space="0" w:color="auto"/>
        <w:right w:val="none" w:sz="0" w:space="0" w:color="auto"/>
      </w:divBdr>
    </w:div>
    <w:div w:id="1051460697">
      <w:bodyDiv w:val="1"/>
      <w:marLeft w:val="0"/>
      <w:marRight w:val="0"/>
      <w:marTop w:val="0"/>
      <w:marBottom w:val="0"/>
      <w:divBdr>
        <w:top w:val="none" w:sz="0" w:space="0" w:color="auto"/>
        <w:left w:val="none" w:sz="0" w:space="0" w:color="auto"/>
        <w:bottom w:val="none" w:sz="0" w:space="0" w:color="auto"/>
        <w:right w:val="none" w:sz="0" w:space="0" w:color="auto"/>
      </w:divBdr>
    </w:div>
    <w:div w:id="1053429932">
      <w:bodyDiv w:val="1"/>
      <w:marLeft w:val="0"/>
      <w:marRight w:val="0"/>
      <w:marTop w:val="0"/>
      <w:marBottom w:val="0"/>
      <w:divBdr>
        <w:top w:val="none" w:sz="0" w:space="0" w:color="auto"/>
        <w:left w:val="none" w:sz="0" w:space="0" w:color="auto"/>
        <w:bottom w:val="none" w:sz="0" w:space="0" w:color="auto"/>
        <w:right w:val="none" w:sz="0" w:space="0" w:color="auto"/>
      </w:divBdr>
    </w:div>
    <w:div w:id="1061100768">
      <w:bodyDiv w:val="1"/>
      <w:marLeft w:val="0"/>
      <w:marRight w:val="0"/>
      <w:marTop w:val="0"/>
      <w:marBottom w:val="0"/>
      <w:divBdr>
        <w:top w:val="none" w:sz="0" w:space="0" w:color="auto"/>
        <w:left w:val="none" w:sz="0" w:space="0" w:color="auto"/>
        <w:bottom w:val="none" w:sz="0" w:space="0" w:color="auto"/>
        <w:right w:val="none" w:sz="0" w:space="0" w:color="auto"/>
      </w:divBdr>
    </w:div>
    <w:div w:id="1071659104">
      <w:bodyDiv w:val="1"/>
      <w:marLeft w:val="0"/>
      <w:marRight w:val="0"/>
      <w:marTop w:val="0"/>
      <w:marBottom w:val="0"/>
      <w:divBdr>
        <w:top w:val="none" w:sz="0" w:space="0" w:color="auto"/>
        <w:left w:val="none" w:sz="0" w:space="0" w:color="auto"/>
        <w:bottom w:val="none" w:sz="0" w:space="0" w:color="auto"/>
        <w:right w:val="none" w:sz="0" w:space="0" w:color="auto"/>
      </w:divBdr>
    </w:div>
    <w:div w:id="1072266952">
      <w:bodyDiv w:val="1"/>
      <w:marLeft w:val="0"/>
      <w:marRight w:val="0"/>
      <w:marTop w:val="0"/>
      <w:marBottom w:val="0"/>
      <w:divBdr>
        <w:top w:val="none" w:sz="0" w:space="0" w:color="auto"/>
        <w:left w:val="none" w:sz="0" w:space="0" w:color="auto"/>
        <w:bottom w:val="none" w:sz="0" w:space="0" w:color="auto"/>
        <w:right w:val="none" w:sz="0" w:space="0" w:color="auto"/>
      </w:divBdr>
    </w:div>
    <w:div w:id="1086000877">
      <w:bodyDiv w:val="1"/>
      <w:marLeft w:val="0"/>
      <w:marRight w:val="0"/>
      <w:marTop w:val="0"/>
      <w:marBottom w:val="0"/>
      <w:divBdr>
        <w:top w:val="none" w:sz="0" w:space="0" w:color="auto"/>
        <w:left w:val="none" w:sz="0" w:space="0" w:color="auto"/>
        <w:bottom w:val="none" w:sz="0" w:space="0" w:color="auto"/>
        <w:right w:val="none" w:sz="0" w:space="0" w:color="auto"/>
      </w:divBdr>
    </w:div>
    <w:div w:id="1091660044">
      <w:bodyDiv w:val="1"/>
      <w:marLeft w:val="0"/>
      <w:marRight w:val="0"/>
      <w:marTop w:val="0"/>
      <w:marBottom w:val="0"/>
      <w:divBdr>
        <w:top w:val="none" w:sz="0" w:space="0" w:color="auto"/>
        <w:left w:val="none" w:sz="0" w:space="0" w:color="auto"/>
        <w:bottom w:val="none" w:sz="0" w:space="0" w:color="auto"/>
        <w:right w:val="none" w:sz="0" w:space="0" w:color="auto"/>
      </w:divBdr>
    </w:div>
    <w:div w:id="1096170781">
      <w:bodyDiv w:val="1"/>
      <w:marLeft w:val="0"/>
      <w:marRight w:val="0"/>
      <w:marTop w:val="0"/>
      <w:marBottom w:val="0"/>
      <w:divBdr>
        <w:top w:val="none" w:sz="0" w:space="0" w:color="auto"/>
        <w:left w:val="none" w:sz="0" w:space="0" w:color="auto"/>
        <w:bottom w:val="none" w:sz="0" w:space="0" w:color="auto"/>
        <w:right w:val="none" w:sz="0" w:space="0" w:color="auto"/>
      </w:divBdr>
    </w:div>
    <w:div w:id="1116679008">
      <w:bodyDiv w:val="1"/>
      <w:marLeft w:val="0"/>
      <w:marRight w:val="0"/>
      <w:marTop w:val="0"/>
      <w:marBottom w:val="0"/>
      <w:divBdr>
        <w:top w:val="none" w:sz="0" w:space="0" w:color="auto"/>
        <w:left w:val="none" w:sz="0" w:space="0" w:color="auto"/>
        <w:bottom w:val="none" w:sz="0" w:space="0" w:color="auto"/>
        <w:right w:val="none" w:sz="0" w:space="0" w:color="auto"/>
      </w:divBdr>
    </w:div>
    <w:div w:id="1130242630">
      <w:bodyDiv w:val="1"/>
      <w:marLeft w:val="0"/>
      <w:marRight w:val="0"/>
      <w:marTop w:val="0"/>
      <w:marBottom w:val="0"/>
      <w:divBdr>
        <w:top w:val="none" w:sz="0" w:space="0" w:color="auto"/>
        <w:left w:val="none" w:sz="0" w:space="0" w:color="auto"/>
        <w:bottom w:val="none" w:sz="0" w:space="0" w:color="auto"/>
        <w:right w:val="none" w:sz="0" w:space="0" w:color="auto"/>
      </w:divBdr>
    </w:div>
    <w:div w:id="1133984992">
      <w:bodyDiv w:val="1"/>
      <w:marLeft w:val="0"/>
      <w:marRight w:val="0"/>
      <w:marTop w:val="0"/>
      <w:marBottom w:val="0"/>
      <w:divBdr>
        <w:top w:val="none" w:sz="0" w:space="0" w:color="auto"/>
        <w:left w:val="none" w:sz="0" w:space="0" w:color="auto"/>
        <w:bottom w:val="none" w:sz="0" w:space="0" w:color="auto"/>
        <w:right w:val="none" w:sz="0" w:space="0" w:color="auto"/>
      </w:divBdr>
    </w:div>
    <w:div w:id="1145463514">
      <w:bodyDiv w:val="1"/>
      <w:marLeft w:val="0"/>
      <w:marRight w:val="0"/>
      <w:marTop w:val="0"/>
      <w:marBottom w:val="0"/>
      <w:divBdr>
        <w:top w:val="none" w:sz="0" w:space="0" w:color="auto"/>
        <w:left w:val="none" w:sz="0" w:space="0" w:color="auto"/>
        <w:bottom w:val="none" w:sz="0" w:space="0" w:color="auto"/>
        <w:right w:val="none" w:sz="0" w:space="0" w:color="auto"/>
      </w:divBdr>
    </w:div>
    <w:div w:id="1148746779">
      <w:bodyDiv w:val="1"/>
      <w:marLeft w:val="0"/>
      <w:marRight w:val="0"/>
      <w:marTop w:val="0"/>
      <w:marBottom w:val="0"/>
      <w:divBdr>
        <w:top w:val="none" w:sz="0" w:space="0" w:color="auto"/>
        <w:left w:val="none" w:sz="0" w:space="0" w:color="auto"/>
        <w:bottom w:val="none" w:sz="0" w:space="0" w:color="auto"/>
        <w:right w:val="none" w:sz="0" w:space="0" w:color="auto"/>
      </w:divBdr>
    </w:div>
    <w:div w:id="1154561821">
      <w:bodyDiv w:val="1"/>
      <w:marLeft w:val="0"/>
      <w:marRight w:val="0"/>
      <w:marTop w:val="0"/>
      <w:marBottom w:val="0"/>
      <w:divBdr>
        <w:top w:val="none" w:sz="0" w:space="0" w:color="auto"/>
        <w:left w:val="none" w:sz="0" w:space="0" w:color="auto"/>
        <w:bottom w:val="none" w:sz="0" w:space="0" w:color="auto"/>
        <w:right w:val="none" w:sz="0" w:space="0" w:color="auto"/>
      </w:divBdr>
    </w:div>
    <w:div w:id="1162820959">
      <w:bodyDiv w:val="1"/>
      <w:marLeft w:val="0"/>
      <w:marRight w:val="0"/>
      <w:marTop w:val="0"/>
      <w:marBottom w:val="0"/>
      <w:divBdr>
        <w:top w:val="none" w:sz="0" w:space="0" w:color="auto"/>
        <w:left w:val="none" w:sz="0" w:space="0" w:color="auto"/>
        <w:bottom w:val="none" w:sz="0" w:space="0" w:color="auto"/>
        <w:right w:val="none" w:sz="0" w:space="0" w:color="auto"/>
      </w:divBdr>
    </w:div>
    <w:div w:id="1175531808">
      <w:bodyDiv w:val="1"/>
      <w:marLeft w:val="0"/>
      <w:marRight w:val="0"/>
      <w:marTop w:val="0"/>
      <w:marBottom w:val="0"/>
      <w:divBdr>
        <w:top w:val="none" w:sz="0" w:space="0" w:color="auto"/>
        <w:left w:val="none" w:sz="0" w:space="0" w:color="auto"/>
        <w:bottom w:val="none" w:sz="0" w:space="0" w:color="auto"/>
        <w:right w:val="none" w:sz="0" w:space="0" w:color="auto"/>
      </w:divBdr>
    </w:div>
    <w:div w:id="1193109704">
      <w:bodyDiv w:val="1"/>
      <w:marLeft w:val="0"/>
      <w:marRight w:val="0"/>
      <w:marTop w:val="0"/>
      <w:marBottom w:val="0"/>
      <w:divBdr>
        <w:top w:val="none" w:sz="0" w:space="0" w:color="auto"/>
        <w:left w:val="none" w:sz="0" w:space="0" w:color="auto"/>
        <w:bottom w:val="none" w:sz="0" w:space="0" w:color="auto"/>
        <w:right w:val="none" w:sz="0" w:space="0" w:color="auto"/>
      </w:divBdr>
    </w:div>
    <w:div w:id="1200823942">
      <w:bodyDiv w:val="1"/>
      <w:marLeft w:val="0"/>
      <w:marRight w:val="0"/>
      <w:marTop w:val="0"/>
      <w:marBottom w:val="0"/>
      <w:divBdr>
        <w:top w:val="none" w:sz="0" w:space="0" w:color="auto"/>
        <w:left w:val="none" w:sz="0" w:space="0" w:color="auto"/>
        <w:bottom w:val="none" w:sz="0" w:space="0" w:color="auto"/>
        <w:right w:val="none" w:sz="0" w:space="0" w:color="auto"/>
      </w:divBdr>
      <w:divsChild>
        <w:div w:id="2082167843">
          <w:marLeft w:val="0"/>
          <w:marRight w:val="0"/>
          <w:marTop w:val="100"/>
          <w:marBottom w:val="100"/>
          <w:divBdr>
            <w:top w:val="none" w:sz="0" w:space="0" w:color="auto"/>
            <w:left w:val="none" w:sz="0" w:space="0" w:color="auto"/>
            <w:bottom w:val="none" w:sz="0" w:space="0" w:color="auto"/>
            <w:right w:val="none" w:sz="0" w:space="0" w:color="auto"/>
          </w:divBdr>
          <w:divsChild>
            <w:div w:id="1438283170">
              <w:marLeft w:val="0"/>
              <w:marRight w:val="0"/>
              <w:marTop w:val="0"/>
              <w:marBottom w:val="0"/>
              <w:divBdr>
                <w:top w:val="none" w:sz="0" w:space="0" w:color="auto"/>
                <w:left w:val="none" w:sz="0" w:space="0" w:color="auto"/>
                <w:bottom w:val="none" w:sz="0" w:space="0" w:color="auto"/>
                <w:right w:val="none" w:sz="0" w:space="0" w:color="auto"/>
              </w:divBdr>
              <w:divsChild>
                <w:div w:id="1752268177">
                  <w:marLeft w:val="0"/>
                  <w:marRight w:val="0"/>
                  <w:marTop w:val="0"/>
                  <w:marBottom w:val="0"/>
                  <w:divBdr>
                    <w:top w:val="none" w:sz="0" w:space="0" w:color="auto"/>
                    <w:left w:val="none" w:sz="0" w:space="0" w:color="auto"/>
                    <w:bottom w:val="none" w:sz="0" w:space="0" w:color="auto"/>
                    <w:right w:val="none" w:sz="0" w:space="0" w:color="auto"/>
                  </w:divBdr>
                  <w:divsChild>
                    <w:div w:id="1627420465">
                      <w:marLeft w:val="0"/>
                      <w:marRight w:val="0"/>
                      <w:marTop w:val="0"/>
                      <w:marBottom w:val="0"/>
                      <w:divBdr>
                        <w:top w:val="none" w:sz="0" w:space="0" w:color="auto"/>
                        <w:left w:val="none" w:sz="0" w:space="0" w:color="auto"/>
                        <w:bottom w:val="none" w:sz="0" w:space="0" w:color="auto"/>
                        <w:right w:val="none" w:sz="0" w:space="0" w:color="auto"/>
                      </w:divBdr>
                    </w:div>
                    <w:div w:id="749931119">
                      <w:marLeft w:val="0"/>
                      <w:marRight w:val="0"/>
                      <w:marTop w:val="0"/>
                      <w:marBottom w:val="0"/>
                      <w:divBdr>
                        <w:top w:val="none" w:sz="0" w:space="0" w:color="auto"/>
                        <w:left w:val="none" w:sz="0" w:space="0" w:color="auto"/>
                        <w:bottom w:val="none" w:sz="0" w:space="0" w:color="auto"/>
                        <w:right w:val="none" w:sz="0" w:space="0" w:color="auto"/>
                      </w:divBdr>
                    </w:div>
                    <w:div w:id="893081402">
                      <w:marLeft w:val="0"/>
                      <w:marRight w:val="0"/>
                      <w:marTop w:val="0"/>
                      <w:marBottom w:val="171"/>
                      <w:divBdr>
                        <w:top w:val="none" w:sz="0" w:space="0" w:color="auto"/>
                        <w:left w:val="none" w:sz="0" w:space="0" w:color="auto"/>
                        <w:bottom w:val="none" w:sz="0" w:space="0" w:color="auto"/>
                        <w:right w:val="none" w:sz="0" w:space="0" w:color="auto"/>
                      </w:divBdr>
                      <w:divsChild>
                        <w:div w:id="1941061631">
                          <w:marLeft w:val="0"/>
                          <w:marRight w:val="0"/>
                          <w:marTop w:val="0"/>
                          <w:marBottom w:val="0"/>
                          <w:divBdr>
                            <w:top w:val="none" w:sz="0" w:space="0" w:color="auto"/>
                            <w:left w:val="none" w:sz="0" w:space="0" w:color="auto"/>
                            <w:bottom w:val="none" w:sz="0" w:space="0" w:color="auto"/>
                            <w:right w:val="none" w:sz="0" w:space="0" w:color="auto"/>
                          </w:divBdr>
                          <w:divsChild>
                            <w:div w:id="1187402240">
                              <w:marLeft w:val="0"/>
                              <w:marRight w:val="0"/>
                              <w:marTop w:val="0"/>
                              <w:marBottom w:val="0"/>
                              <w:divBdr>
                                <w:top w:val="none" w:sz="0" w:space="0" w:color="auto"/>
                                <w:left w:val="none" w:sz="0" w:space="0" w:color="auto"/>
                                <w:bottom w:val="none" w:sz="0" w:space="0" w:color="auto"/>
                                <w:right w:val="none" w:sz="0" w:space="0" w:color="auto"/>
                              </w:divBdr>
                              <w:divsChild>
                                <w:div w:id="1666860522">
                                  <w:marLeft w:val="0"/>
                                  <w:marRight w:val="0"/>
                                  <w:marTop w:val="0"/>
                                  <w:marBottom w:val="0"/>
                                  <w:divBdr>
                                    <w:top w:val="none" w:sz="0" w:space="0" w:color="auto"/>
                                    <w:left w:val="none" w:sz="0" w:space="0" w:color="auto"/>
                                    <w:bottom w:val="none" w:sz="0" w:space="0" w:color="auto"/>
                                    <w:right w:val="none" w:sz="0" w:space="0" w:color="auto"/>
                                  </w:divBdr>
                                  <w:divsChild>
                                    <w:div w:id="1223754713">
                                      <w:marLeft w:val="0"/>
                                      <w:marRight w:val="0"/>
                                      <w:marTop w:val="0"/>
                                      <w:marBottom w:val="0"/>
                                      <w:divBdr>
                                        <w:top w:val="none" w:sz="0" w:space="0" w:color="auto"/>
                                        <w:left w:val="none" w:sz="0" w:space="0" w:color="auto"/>
                                        <w:bottom w:val="none" w:sz="0" w:space="0" w:color="auto"/>
                                        <w:right w:val="none" w:sz="0" w:space="0" w:color="auto"/>
                                      </w:divBdr>
                                    </w:div>
                                    <w:div w:id="16659072">
                                      <w:marLeft w:val="0"/>
                                      <w:marRight w:val="0"/>
                                      <w:marTop w:val="0"/>
                                      <w:marBottom w:val="0"/>
                                      <w:divBdr>
                                        <w:top w:val="none" w:sz="0" w:space="0" w:color="auto"/>
                                        <w:left w:val="none" w:sz="0" w:space="0" w:color="auto"/>
                                        <w:bottom w:val="none" w:sz="0" w:space="0" w:color="auto"/>
                                        <w:right w:val="none" w:sz="0" w:space="0" w:color="auto"/>
                                      </w:divBdr>
                                      <w:divsChild>
                                        <w:div w:id="938294917">
                                          <w:marLeft w:val="0"/>
                                          <w:marRight w:val="0"/>
                                          <w:marTop w:val="0"/>
                                          <w:marBottom w:val="0"/>
                                          <w:divBdr>
                                            <w:top w:val="none" w:sz="0" w:space="0" w:color="auto"/>
                                            <w:left w:val="none" w:sz="0" w:space="0" w:color="auto"/>
                                            <w:bottom w:val="none" w:sz="0" w:space="0" w:color="auto"/>
                                            <w:right w:val="none" w:sz="0" w:space="0" w:color="auto"/>
                                          </w:divBdr>
                                          <w:divsChild>
                                            <w:div w:id="435826881">
                                              <w:marLeft w:val="0"/>
                                              <w:marRight w:val="120"/>
                                              <w:marTop w:val="0"/>
                                              <w:marBottom w:val="0"/>
                                              <w:divBdr>
                                                <w:top w:val="none" w:sz="0" w:space="0" w:color="auto"/>
                                                <w:left w:val="none" w:sz="0" w:space="0" w:color="auto"/>
                                                <w:bottom w:val="none" w:sz="0" w:space="0" w:color="auto"/>
                                                <w:right w:val="none" w:sz="0" w:space="0" w:color="auto"/>
                                              </w:divBdr>
                                            </w:div>
                                            <w:div w:id="2101215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0011337">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1223370818">
      <w:bodyDiv w:val="1"/>
      <w:marLeft w:val="0"/>
      <w:marRight w:val="0"/>
      <w:marTop w:val="0"/>
      <w:marBottom w:val="0"/>
      <w:divBdr>
        <w:top w:val="none" w:sz="0" w:space="0" w:color="auto"/>
        <w:left w:val="none" w:sz="0" w:space="0" w:color="auto"/>
        <w:bottom w:val="none" w:sz="0" w:space="0" w:color="auto"/>
        <w:right w:val="none" w:sz="0" w:space="0" w:color="auto"/>
      </w:divBdr>
      <w:divsChild>
        <w:div w:id="398358253">
          <w:marLeft w:val="0"/>
          <w:marRight w:val="0"/>
          <w:marTop w:val="0"/>
          <w:marBottom w:val="0"/>
          <w:divBdr>
            <w:top w:val="none" w:sz="0" w:space="0" w:color="auto"/>
            <w:left w:val="none" w:sz="0" w:space="0" w:color="auto"/>
            <w:bottom w:val="none" w:sz="0" w:space="0" w:color="auto"/>
            <w:right w:val="none" w:sz="0" w:space="0" w:color="auto"/>
          </w:divBdr>
        </w:div>
      </w:divsChild>
    </w:div>
    <w:div w:id="1223521435">
      <w:bodyDiv w:val="1"/>
      <w:marLeft w:val="0"/>
      <w:marRight w:val="0"/>
      <w:marTop w:val="0"/>
      <w:marBottom w:val="0"/>
      <w:divBdr>
        <w:top w:val="none" w:sz="0" w:space="0" w:color="auto"/>
        <w:left w:val="none" w:sz="0" w:space="0" w:color="auto"/>
        <w:bottom w:val="none" w:sz="0" w:space="0" w:color="auto"/>
        <w:right w:val="none" w:sz="0" w:space="0" w:color="auto"/>
      </w:divBdr>
    </w:div>
    <w:div w:id="1243493877">
      <w:bodyDiv w:val="1"/>
      <w:marLeft w:val="0"/>
      <w:marRight w:val="0"/>
      <w:marTop w:val="0"/>
      <w:marBottom w:val="0"/>
      <w:divBdr>
        <w:top w:val="none" w:sz="0" w:space="0" w:color="auto"/>
        <w:left w:val="none" w:sz="0" w:space="0" w:color="auto"/>
        <w:bottom w:val="none" w:sz="0" w:space="0" w:color="auto"/>
        <w:right w:val="none" w:sz="0" w:space="0" w:color="auto"/>
      </w:divBdr>
    </w:div>
    <w:div w:id="1273396180">
      <w:bodyDiv w:val="1"/>
      <w:marLeft w:val="0"/>
      <w:marRight w:val="0"/>
      <w:marTop w:val="0"/>
      <w:marBottom w:val="0"/>
      <w:divBdr>
        <w:top w:val="none" w:sz="0" w:space="0" w:color="auto"/>
        <w:left w:val="none" w:sz="0" w:space="0" w:color="auto"/>
        <w:bottom w:val="none" w:sz="0" w:space="0" w:color="auto"/>
        <w:right w:val="none" w:sz="0" w:space="0" w:color="auto"/>
      </w:divBdr>
    </w:div>
    <w:div w:id="1281842999">
      <w:bodyDiv w:val="1"/>
      <w:marLeft w:val="0"/>
      <w:marRight w:val="0"/>
      <w:marTop w:val="0"/>
      <w:marBottom w:val="0"/>
      <w:divBdr>
        <w:top w:val="none" w:sz="0" w:space="0" w:color="auto"/>
        <w:left w:val="none" w:sz="0" w:space="0" w:color="auto"/>
        <w:bottom w:val="none" w:sz="0" w:space="0" w:color="auto"/>
        <w:right w:val="none" w:sz="0" w:space="0" w:color="auto"/>
      </w:divBdr>
    </w:div>
    <w:div w:id="1308709288">
      <w:bodyDiv w:val="1"/>
      <w:marLeft w:val="0"/>
      <w:marRight w:val="0"/>
      <w:marTop w:val="0"/>
      <w:marBottom w:val="0"/>
      <w:divBdr>
        <w:top w:val="none" w:sz="0" w:space="0" w:color="auto"/>
        <w:left w:val="none" w:sz="0" w:space="0" w:color="auto"/>
        <w:bottom w:val="none" w:sz="0" w:space="0" w:color="auto"/>
        <w:right w:val="none" w:sz="0" w:space="0" w:color="auto"/>
      </w:divBdr>
    </w:div>
    <w:div w:id="1316689112">
      <w:bodyDiv w:val="1"/>
      <w:marLeft w:val="0"/>
      <w:marRight w:val="0"/>
      <w:marTop w:val="0"/>
      <w:marBottom w:val="0"/>
      <w:divBdr>
        <w:top w:val="none" w:sz="0" w:space="0" w:color="auto"/>
        <w:left w:val="none" w:sz="0" w:space="0" w:color="auto"/>
        <w:bottom w:val="none" w:sz="0" w:space="0" w:color="auto"/>
        <w:right w:val="none" w:sz="0" w:space="0" w:color="auto"/>
      </w:divBdr>
    </w:div>
    <w:div w:id="1318878641">
      <w:bodyDiv w:val="1"/>
      <w:marLeft w:val="0"/>
      <w:marRight w:val="0"/>
      <w:marTop w:val="0"/>
      <w:marBottom w:val="0"/>
      <w:divBdr>
        <w:top w:val="none" w:sz="0" w:space="0" w:color="auto"/>
        <w:left w:val="none" w:sz="0" w:space="0" w:color="auto"/>
        <w:bottom w:val="none" w:sz="0" w:space="0" w:color="auto"/>
        <w:right w:val="none" w:sz="0" w:space="0" w:color="auto"/>
      </w:divBdr>
    </w:div>
    <w:div w:id="1336612666">
      <w:bodyDiv w:val="1"/>
      <w:marLeft w:val="0"/>
      <w:marRight w:val="0"/>
      <w:marTop w:val="0"/>
      <w:marBottom w:val="0"/>
      <w:divBdr>
        <w:top w:val="none" w:sz="0" w:space="0" w:color="auto"/>
        <w:left w:val="none" w:sz="0" w:space="0" w:color="auto"/>
        <w:bottom w:val="none" w:sz="0" w:space="0" w:color="auto"/>
        <w:right w:val="none" w:sz="0" w:space="0" w:color="auto"/>
      </w:divBdr>
      <w:divsChild>
        <w:div w:id="994064214">
          <w:marLeft w:val="0"/>
          <w:marRight w:val="0"/>
          <w:marTop w:val="100"/>
          <w:marBottom w:val="100"/>
          <w:divBdr>
            <w:top w:val="none" w:sz="0" w:space="0" w:color="auto"/>
            <w:left w:val="none" w:sz="0" w:space="0" w:color="auto"/>
            <w:bottom w:val="none" w:sz="0" w:space="0" w:color="auto"/>
            <w:right w:val="none" w:sz="0" w:space="0" w:color="auto"/>
          </w:divBdr>
          <w:divsChild>
            <w:div w:id="1314867617">
              <w:marLeft w:val="0"/>
              <w:marRight w:val="0"/>
              <w:marTop w:val="0"/>
              <w:marBottom w:val="0"/>
              <w:divBdr>
                <w:top w:val="none" w:sz="0" w:space="0" w:color="auto"/>
                <w:left w:val="none" w:sz="0" w:space="0" w:color="auto"/>
                <w:bottom w:val="none" w:sz="0" w:space="0" w:color="auto"/>
                <w:right w:val="none" w:sz="0" w:space="0" w:color="auto"/>
              </w:divBdr>
              <w:divsChild>
                <w:div w:id="1510872147">
                  <w:marLeft w:val="0"/>
                  <w:marRight w:val="0"/>
                  <w:marTop w:val="0"/>
                  <w:marBottom w:val="0"/>
                  <w:divBdr>
                    <w:top w:val="none" w:sz="0" w:space="0" w:color="auto"/>
                    <w:left w:val="none" w:sz="0" w:space="0" w:color="auto"/>
                    <w:bottom w:val="none" w:sz="0" w:space="0" w:color="auto"/>
                    <w:right w:val="none" w:sz="0" w:space="0" w:color="auto"/>
                  </w:divBdr>
                  <w:divsChild>
                    <w:div w:id="318851730">
                      <w:marLeft w:val="0"/>
                      <w:marRight w:val="0"/>
                      <w:marTop w:val="0"/>
                      <w:marBottom w:val="0"/>
                      <w:divBdr>
                        <w:top w:val="none" w:sz="0" w:space="0" w:color="auto"/>
                        <w:left w:val="none" w:sz="0" w:space="0" w:color="auto"/>
                        <w:bottom w:val="none" w:sz="0" w:space="0" w:color="auto"/>
                        <w:right w:val="none" w:sz="0" w:space="0" w:color="auto"/>
                      </w:divBdr>
                    </w:div>
                    <w:div w:id="1145775264">
                      <w:marLeft w:val="0"/>
                      <w:marRight w:val="0"/>
                      <w:marTop w:val="0"/>
                      <w:marBottom w:val="0"/>
                      <w:divBdr>
                        <w:top w:val="none" w:sz="0" w:space="0" w:color="auto"/>
                        <w:left w:val="none" w:sz="0" w:space="0" w:color="auto"/>
                        <w:bottom w:val="none" w:sz="0" w:space="0" w:color="auto"/>
                        <w:right w:val="none" w:sz="0" w:space="0" w:color="auto"/>
                      </w:divBdr>
                    </w:div>
                    <w:div w:id="1841849216">
                      <w:marLeft w:val="0"/>
                      <w:marRight w:val="0"/>
                      <w:marTop w:val="0"/>
                      <w:marBottom w:val="171"/>
                      <w:divBdr>
                        <w:top w:val="none" w:sz="0" w:space="0" w:color="auto"/>
                        <w:left w:val="none" w:sz="0" w:space="0" w:color="auto"/>
                        <w:bottom w:val="none" w:sz="0" w:space="0" w:color="auto"/>
                        <w:right w:val="none" w:sz="0" w:space="0" w:color="auto"/>
                      </w:divBdr>
                      <w:divsChild>
                        <w:div w:id="301080161">
                          <w:marLeft w:val="0"/>
                          <w:marRight w:val="0"/>
                          <w:marTop w:val="0"/>
                          <w:marBottom w:val="0"/>
                          <w:divBdr>
                            <w:top w:val="none" w:sz="0" w:space="0" w:color="auto"/>
                            <w:left w:val="none" w:sz="0" w:space="0" w:color="auto"/>
                            <w:bottom w:val="none" w:sz="0" w:space="0" w:color="auto"/>
                            <w:right w:val="none" w:sz="0" w:space="0" w:color="auto"/>
                          </w:divBdr>
                          <w:divsChild>
                            <w:div w:id="156776375">
                              <w:marLeft w:val="0"/>
                              <w:marRight w:val="0"/>
                              <w:marTop w:val="0"/>
                              <w:marBottom w:val="0"/>
                              <w:divBdr>
                                <w:top w:val="none" w:sz="0" w:space="0" w:color="auto"/>
                                <w:left w:val="none" w:sz="0" w:space="0" w:color="auto"/>
                                <w:bottom w:val="none" w:sz="0" w:space="0" w:color="auto"/>
                                <w:right w:val="none" w:sz="0" w:space="0" w:color="auto"/>
                              </w:divBdr>
                              <w:divsChild>
                                <w:div w:id="1457677830">
                                  <w:marLeft w:val="0"/>
                                  <w:marRight w:val="0"/>
                                  <w:marTop w:val="0"/>
                                  <w:marBottom w:val="0"/>
                                  <w:divBdr>
                                    <w:top w:val="none" w:sz="0" w:space="0" w:color="auto"/>
                                    <w:left w:val="none" w:sz="0" w:space="0" w:color="auto"/>
                                    <w:bottom w:val="none" w:sz="0" w:space="0" w:color="auto"/>
                                    <w:right w:val="none" w:sz="0" w:space="0" w:color="auto"/>
                                  </w:divBdr>
                                  <w:divsChild>
                                    <w:div w:id="1036589204">
                                      <w:marLeft w:val="0"/>
                                      <w:marRight w:val="0"/>
                                      <w:marTop w:val="0"/>
                                      <w:marBottom w:val="0"/>
                                      <w:divBdr>
                                        <w:top w:val="none" w:sz="0" w:space="0" w:color="auto"/>
                                        <w:left w:val="none" w:sz="0" w:space="0" w:color="auto"/>
                                        <w:bottom w:val="none" w:sz="0" w:space="0" w:color="auto"/>
                                        <w:right w:val="none" w:sz="0" w:space="0" w:color="auto"/>
                                      </w:divBdr>
                                    </w:div>
                                    <w:div w:id="670762510">
                                      <w:marLeft w:val="0"/>
                                      <w:marRight w:val="0"/>
                                      <w:marTop w:val="0"/>
                                      <w:marBottom w:val="0"/>
                                      <w:divBdr>
                                        <w:top w:val="none" w:sz="0" w:space="0" w:color="auto"/>
                                        <w:left w:val="none" w:sz="0" w:space="0" w:color="auto"/>
                                        <w:bottom w:val="none" w:sz="0" w:space="0" w:color="auto"/>
                                        <w:right w:val="none" w:sz="0" w:space="0" w:color="auto"/>
                                      </w:divBdr>
                                      <w:divsChild>
                                        <w:div w:id="2111702347">
                                          <w:marLeft w:val="0"/>
                                          <w:marRight w:val="0"/>
                                          <w:marTop w:val="0"/>
                                          <w:marBottom w:val="0"/>
                                          <w:divBdr>
                                            <w:top w:val="none" w:sz="0" w:space="0" w:color="auto"/>
                                            <w:left w:val="none" w:sz="0" w:space="0" w:color="auto"/>
                                            <w:bottom w:val="none" w:sz="0" w:space="0" w:color="auto"/>
                                            <w:right w:val="none" w:sz="0" w:space="0" w:color="auto"/>
                                          </w:divBdr>
                                          <w:divsChild>
                                            <w:div w:id="1925261382">
                                              <w:marLeft w:val="0"/>
                                              <w:marRight w:val="120"/>
                                              <w:marTop w:val="0"/>
                                              <w:marBottom w:val="0"/>
                                              <w:divBdr>
                                                <w:top w:val="none" w:sz="0" w:space="0" w:color="auto"/>
                                                <w:left w:val="none" w:sz="0" w:space="0" w:color="auto"/>
                                                <w:bottom w:val="none" w:sz="0" w:space="0" w:color="auto"/>
                                                <w:right w:val="none" w:sz="0" w:space="0" w:color="auto"/>
                                              </w:divBdr>
                                            </w:div>
                                            <w:div w:id="362556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69882">
                      <w:blockQuote w:val="1"/>
                      <w:marLeft w:val="0"/>
                      <w:marRight w:val="0"/>
                      <w:marTop w:val="0"/>
                      <w:marBottom w:val="0"/>
                      <w:divBdr>
                        <w:top w:val="none" w:sz="0" w:space="0" w:color="auto"/>
                        <w:left w:val="single" w:sz="12" w:space="14" w:color="A3A3A3"/>
                        <w:bottom w:val="none" w:sz="0" w:space="0" w:color="auto"/>
                        <w:right w:val="none" w:sz="0" w:space="0" w:color="auto"/>
                      </w:divBdr>
                    </w:div>
                  </w:divsChild>
                </w:div>
              </w:divsChild>
            </w:div>
          </w:divsChild>
        </w:div>
      </w:divsChild>
    </w:div>
    <w:div w:id="1351755991">
      <w:bodyDiv w:val="1"/>
      <w:marLeft w:val="0"/>
      <w:marRight w:val="0"/>
      <w:marTop w:val="0"/>
      <w:marBottom w:val="0"/>
      <w:divBdr>
        <w:top w:val="none" w:sz="0" w:space="0" w:color="auto"/>
        <w:left w:val="none" w:sz="0" w:space="0" w:color="auto"/>
        <w:bottom w:val="none" w:sz="0" w:space="0" w:color="auto"/>
        <w:right w:val="none" w:sz="0" w:space="0" w:color="auto"/>
      </w:divBdr>
    </w:div>
    <w:div w:id="1363705176">
      <w:bodyDiv w:val="1"/>
      <w:marLeft w:val="0"/>
      <w:marRight w:val="0"/>
      <w:marTop w:val="0"/>
      <w:marBottom w:val="0"/>
      <w:divBdr>
        <w:top w:val="none" w:sz="0" w:space="0" w:color="auto"/>
        <w:left w:val="none" w:sz="0" w:space="0" w:color="auto"/>
        <w:bottom w:val="none" w:sz="0" w:space="0" w:color="auto"/>
        <w:right w:val="none" w:sz="0" w:space="0" w:color="auto"/>
      </w:divBdr>
    </w:div>
    <w:div w:id="1402827252">
      <w:bodyDiv w:val="1"/>
      <w:marLeft w:val="0"/>
      <w:marRight w:val="0"/>
      <w:marTop w:val="0"/>
      <w:marBottom w:val="0"/>
      <w:divBdr>
        <w:top w:val="none" w:sz="0" w:space="0" w:color="auto"/>
        <w:left w:val="none" w:sz="0" w:space="0" w:color="auto"/>
        <w:bottom w:val="none" w:sz="0" w:space="0" w:color="auto"/>
        <w:right w:val="none" w:sz="0" w:space="0" w:color="auto"/>
      </w:divBdr>
    </w:div>
    <w:div w:id="1431467344">
      <w:bodyDiv w:val="1"/>
      <w:marLeft w:val="0"/>
      <w:marRight w:val="0"/>
      <w:marTop w:val="0"/>
      <w:marBottom w:val="0"/>
      <w:divBdr>
        <w:top w:val="none" w:sz="0" w:space="0" w:color="auto"/>
        <w:left w:val="none" w:sz="0" w:space="0" w:color="auto"/>
        <w:bottom w:val="none" w:sz="0" w:space="0" w:color="auto"/>
        <w:right w:val="none" w:sz="0" w:space="0" w:color="auto"/>
      </w:divBdr>
    </w:div>
    <w:div w:id="1443723369">
      <w:bodyDiv w:val="1"/>
      <w:marLeft w:val="0"/>
      <w:marRight w:val="0"/>
      <w:marTop w:val="0"/>
      <w:marBottom w:val="0"/>
      <w:divBdr>
        <w:top w:val="none" w:sz="0" w:space="0" w:color="auto"/>
        <w:left w:val="none" w:sz="0" w:space="0" w:color="auto"/>
        <w:bottom w:val="none" w:sz="0" w:space="0" w:color="auto"/>
        <w:right w:val="none" w:sz="0" w:space="0" w:color="auto"/>
      </w:divBdr>
    </w:div>
    <w:div w:id="1474715380">
      <w:bodyDiv w:val="1"/>
      <w:marLeft w:val="0"/>
      <w:marRight w:val="0"/>
      <w:marTop w:val="0"/>
      <w:marBottom w:val="0"/>
      <w:divBdr>
        <w:top w:val="none" w:sz="0" w:space="0" w:color="auto"/>
        <w:left w:val="none" w:sz="0" w:space="0" w:color="auto"/>
        <w:bottom w:val="none" w:sz="0" w:space="0" w:color="auto"/>
        <w:right w:val="none" w:sz="0" w:space="0" w:color="auto"/>
      </w:divBdr>
    </w:div>
    <w:div w:id="1543319951">
      <w:bodyDiv w:val="1"/>
      <w:marLeft w:val="0"/>
      <w:marRight w:val="0"/>
      <w:marTop w:val="0"/>
      <w:marBottom w:val="0"/>
      <w:divBdr>
        <w:top w:val="none" w:sz="0" w:space="0" w:color="auto"/>
        <w:left w:val="none" w:sz="0" w:space="0" w:color="auto"/>
        <w:bottom w:val="none" w:sz="0" w:space="0" w:color="auto"/>
        <w:right w:val="none" w:sz="0" w:space="0" w:color="auto"/>
      </w:divBdr>
    </w:div>
    <w:div w:id="1559240079">
      <w:bodyDiv w:val="1"/>
      <w:marLeft w:val="0"/>
      <w:marRight w:val="0"/>
      <w:marTop w:val="0"/>
      <w:marBottom w:val="0"/>
      <w:divBdr>
        <w:top w:val="none" w:sz="0" w:space="0" w:color="auto"/>
        <w:left w:val="none" w:sz="0" w:space="0" w:color="auto"/>
        <w:bottom w:val="none" w:sz="0" w:space="0" w:color="auto"/>
        <w:right w:val="none" w:sz="0" w:space="0" w:color="auto"/>
      </w:divBdr>
    </w:div>
    <w:div w:id="1567839292">
      <w:bodyDiv w:val="1"/>
      <w:marLeft w:val="0"/>
      <w:marRight w:val="0"/>
      <w:marTop w:val="0"/>
      <w:marBottom w:val="0"/>
      <w:divBdr>
        <w:top w:val="none" w:sz="0" w:space="0" w:color="auto"/>
        <w:left w:val="none" w:sz="0" w:space="0" w:color="auto"/>
        <w:bottom w:val="none" w:sz="0" w:space="0" w:color="auto"/>
        <w:right w:val="none" w:sz="0" w:space="0" w:color="auto"/>
      </w:divBdr>
    </w:div>
    <w:div w:id="1578052595">
      <w:bodyDiv w:val="1"/>
      <w:marLeft w:val="0"/>
      <w:marRight w:val="0"/>
      <w:marTop w:val="0"/>
      <w:marBottom w:val="0"/>
      <w:divBdr>
        <w:top w:val="none" w:sz="0" w:space="0" w:color="auto"/>
        <w:left w:val="none" w:sz="0" w:space="0" w:color="auto"/>
        <w:bottom w:val="none" w:sz="0" w:space="0" w:color="auto"/>
        <w:right w:val="none" w:sz="0" w:space="0" w:color="auto"/>
      </w:divBdr>
    </w:div>
    <w:div w:id="1596401249">
      <w:bodyDiv w:val="1"/>
      <w:marLeft w:val="0"/>
      <w:marRight w:val="0"/>
      <w:marTop w:val="0"/>
      <w:marBottom w:val="0"/>
      <w:divBdr>
        <w:top w:val="none" w:sz="0" w:space="0" w:color="auto"/>
        <w:left w:val="none" w:sz="0" w:space="0" w:color="auto"/>
        <w:bottom w:val="none" w:sz="0" w:space="0" w:color="auto"/>
        <w:right w:val="none" w:sz="0" w:space="0" w:color="auto"/>
      </w:divBdr>
    </w:div>
    <w:div w:id="1598565095">
      <w:bodyDiv w:val="1"/>
      <w:marLeft w:val="0"/>
      <w:marRight w:val="0"/>
      <w:marTop w:val="0"/>
      <w:marBottom w:val="0"/>
      <w:divBdr>
        <w:top w:val="none" w:sz="0" w:space="0" w:color="auto"/>
        <w:left w:val="none" w:sz="0" w:space="0" w:color="auto"/>
        <w:bottom w:val="none" w:sz="0" w:space="0" w:color="auto"/>
        <w:right w:val="none" w:sz="0" w:space="0" w:color="auto"/>
      </w:divBdr>
    </w:div>
    <w:div w:id="1599023079">
      <w:bodyDiv w:val="1"/>
      <w:marLeft w:val="0"/>
      <w:marRight w:val="0"/>
      <w:marTop w:val="0"/>
      <w:marBottom w:val="0"/>
      <w:divBdr>
        <w:top w:val="none" w:sz="0" w:space="0" w:color="auto"/>
        <w:left w:val="none" w:sz="0" w:space="0" w:color="auto"/>
        <w:bottom w:val="none" w:sz="0" w:space="0" w:color="auto"/>
        <w:right w:val="none" w:sz="0" w:space="0" w:color="auto"/>
      </w:divBdr>
    </w:div>
    <w:div w:id="1600258612">
      <w:bodyDiv w:val="1"/>
      <w:marLeft w:val="0"/>
      <w:marRight w:val="0"/>
      <w:marTop w:val="0"/>
      <w:marBottom w:val="0"/>
      <w:divBdr>
        <w:top w:val="none" w:sz="0" w:space="0" w:color="auto"/>
        <w:left w:val="none" w:sz="0" w:space="0" w:color="auto"/>
        <w:bottom w:val="none" w:sz="0" w:space="0" w:color="auto"/>
        <w:right w:val="none" w:sz="0" w:space="0" w:color="auto"/>
      </w:divBdr>
    </w:div>
    <w:div w:id="1632397945">
      <w:bodyDiv w:val="1"/>
      <w:marLeft w:val="0"/>
      <w:marRight w:val="0"/>
      <w:marTop w:val="0"/>
      <w:marBottom w:val="0"/>
      <w:divBdr>
        <w:top w:val="none" w:sz="0" w:space="0" w:color="auto"/>
        <w:left w:val="none" w:sz="0" w:space="0" w:color="auto"/>
        <w:bottom w:val="none" w:sz="0" w:space="0" w:color="auto"/>
        <w:right w:val="none" w:sz="0" w:space="0" w:color="auto"/>
      </w:divBdr>
    </w:div>
    <w:div w:id="1634870679">
      <w:bodyDiv w:val="1"/>
      <w:marLeft w:val="0"/>
      <w:marRight w:val="0"/>
      <w:marTop w:val="0"/>
      <w:marBottom w:val="0"/>
      <w:divBdr>
        <w:top w:val="none" w:sz="0" w:space="0" w:color="auto"/>
        <w:left w:val="none" w:sz="0" w:space="0" w:color="auto"/>
        <w:bottom w:val="none" w:sz="0" w:space="0" w:color="auto"/>
        <w:right w:val="none" w:sz="0" w:space="0" w:color="auto"/>
      </w:divBdr>
    </w:div>
    <w:div w:id="1635914616">
      <w:bodyDiv w:val="1"/>
      <w:marLeft w:val="0"/>
      <w:marRight w:val="0"/>
      <w:marTop w:val="0"/>
      <w:marBottom w:val="0"/>
      <w:divBdr>
        <w:top w:val="none" w:sz="0" w:space="0" w:color="auto"/>
        <w:left w:val="none" w:sz="0" w:space="0" w:color="auto"/>
        <w:bottom w:val="none" w:sz="0" w:space="0" w:color="auto"/>
        <w:right w:val="none" w:sz="0" w:space="0" w:color="auto"/>
      </w:divBdr>
      <w:divsChild>
        <w:div w:id="1199468176">
          <w:marLeft w:val="0"/>
          <w:marRight w:val="0"/>
          <w:marTop w:val="0"/>
          <w:marBottom w:val="0"/>
          <w:divBdr>
            <w:top w:val="none" w:sz="0" w:space="0" w:color="auto"/>
            <w:left w:val="none" w:sz="0" w:space="0" w:color="auto"/>
            <w:bottom w:val="none" w:sz="0" w:space="0" w:color="auto"/>
            <w:right w:val="none" w:sz="0" w:space="0" w:color="auto"/>
          </w:divBdr>
        </w:div>
      </w:divsChild>
    </w:div>
    <w:div w:id="1640258890">
      <w:bodyDiv w:val="1"/>
      <w:marLeft w:val="0"/>
      <w:marRight w:val="0"/>
      <w:marTop w:val="0"/>
      <w:marBottom w:val="0"/>
      <w:divBdr>
        <w:top w:val="none" w:sz="0" w:space="0" w:color="auto"/>
        <w:left w:val="none" w:sz="0" w:space="0" w:color="auto"/>
        <w:bottom w:val="none" w:sz="0" w:space="0" w:color="auto"/>
        <w:right w:val="none" w:sz="0" w:space="0" w:color="auto"/>
      </w:divBdr>
      <w:divsChild>
        <w:div w:id="2090341301">
          <w:marLeft w:val="0"/>
          <w:marRight w:val="0"/>
          <w:marTop w:val="100"/>
          <w:marBottom w:val="100"/>
          <w:divBdr>
            <w:top w:val="none" w:sz="0" w:space="0" w:color="auto"/>
            <w:left w:val="none" w:sz="0" w:space="0" w:color="auto"/>
            <w:bottom w:val="none" w:sz="0" w:space="0" w:color="auto"/>
            <w:right w:val="none" w:sz="0" w:space="0" w:color="auto"/>
          </w:divBdr>
          <w:divsChild>
            <w:div w:id="549221564">
              <w:marLeft w:val="0"/>
              <w:marRight w:val="0"/>
              <w:marTop w:val="0"/>
              <w:marBottom w:val="0"/>
              <w:divBdr>
                <w:top w:val="none" w:sz="0" w:space="0" w:color="auto"/>
                <w:left w:val="none" w:sz="0" w:space="0" w:color="auto"/>
                <w:bottom w:val="none" w:sz="0" w:space="0" w:color="auto"/>
                <w:right w:val="none" w:sz="0" w:space="0" w:color="auto"/>
              </w:divBdr>
              <w:divsChild>
                <w:div w:id="971442090">
                  <w:marLeft w:val="0"/>
                  <w:marRight w:val="0"/>
                  <w:marTop w:val="0"/>
                  <w:marBottom w:val="0"/>
                  <w:divBdr>
                    <w:top w:val="none" w:sz="0" w:space="0" w:color="auto"/>
                    <w:left w:val="none" w:sz="0" w:space="0" w:color="auto"/>
                    <w:bottom w:val="none" w:sz="0" w:space="0" w:color="auto"/>
                    <w:right w:val="none" w:sz="0" w:space="0" w:color="auto"/>
                  </w:divBdr>
                  <w:divsChild>
                    <w:div w:id="782655783">
                      <w:marLeft w:val="0"/>
                      <w:marRight w:val="0"/>
                      <w:marTop w:val="0"/>
                      <w:marBottom w:val="0"/>
                      <w:divBdr>
                        <w:top w:val="none" w:sz="0" w:space="0" w:color="auto"/>
                        <w:left w:val="none" w:sz="0" w:space="0" w:color="auto"/>
                        <w:bottom w:val="none" w:sz="0" w:space="0" w:color="auto"/>
                        <w:right w:val="none" w:sz="0" w:space="0" w:color="auto"/>
                      </w:divBdr>
                    </w:div>
                    <w:div w:id="1631857437">
                      <w:marLeft w:val="0"/>
                      <w:marRight w:val="0"/>
                      <w:marTop w:val="0"/>
                      <w:marBottom w:val="0"/>
                      <w:divBdr>
                        <w:top w:val="none" w:sz="0" w:space="0" w:color="auto"/>
                        <w:left w:val="none" w:sz="0" w:space="0" w:color="auto"/>
                        <w:bottom w:val="none" w:sz="0" w:space="0" w:color="auto"/>
                        <w:right w:val="none" w:sz="0" w:space="0" w:color="auto"/>
                      </w:divBdr>
                    </w:div>
                    <w:div w:id="376513791">
                      <w:marLeft w:val="0"/>
                      <w:marRight w:val="0"/>
                      <w:marTop w:val="0"/>
                      <w:marBottom w:val="0"/>
                      <w:divBdr>
                        <w:top w:val="none" w:sz="0" w:space="0" w:color="auto"/>
                        <w:left w:val="none" w:sz="0" w:space="0" w:color="auto"/>
                        <w:bottom w:val="none" w:sz="0" w:space="0" w:color="auto"/>
                        <w:right w:val="none" w:sz="0" w:space="0" w:color="auto"/>
                      </w:divBdr>
                    </w:div>
                    <w:div w:id="1911503094">
                      <w:marLeft w:val="0"/>
                      <w:marRight w:val="0"/>
                      <w:marTop w:val="0"/>
                      <w:marBottom w:val="0"/>
                      <w:divBdr>
                        <w:top w:val="none" w:sz="0" w:space="0" w:color="auto"/>
                        <w:left w:val="none" w:sz="0" w:space="0" w:color="auto"/>
                        <w:bottom w:val="none" w:sz="0" w:space="0" w:color="auto"/>
                        <w:right w:val="none" w:sz="0" w:space="0" w:color="auto"/>
                      </w:divBdr>
                    </w:div>
                    <w:div w:id="1430660302">
                      <w:marLeft w:val="0"/>
                      <w:marRight w:val="0"/>
                      <w:marTop w:val="0"/>
                      <w:marBottom w:val="0"/>
                      <w:divBdr>
                        <w:top w:val="none" w:sz="0" w:space="0" w:color="auto"/>
                        <w:left w:val="none" w:sz="0" w:space="0" w:color="auto"/>
                        <w:bottom w:val="none" w:sz="0" w:space="0" w:color="auto"/>
                        <w:right w:val="none" w:sz="0" w:space="0" w:color="auto"/>
                      </w:divBdr>
                    </w:div>
                    <w:div w:id="202326706">
                      <w:marLeft w:val="0"/>
                      <w:marRight w:val="0"/>
                      <w:marTop w:val="0"/>
                      <w:marBottom w:val="0"/>
                      <w:divBdr>
                        <w:top w:val="none" w:sz="0" w:space="0" w:color="auto"/>
                        <w:left w:val="none" w:sz="0" w:space="0" w:color="auto"/>
                        <w:bottom w:val="none" w:sz="0" w:space="0" w:color="auto"/>
                        <w:right w:val="none" w:sz="0" w:space="0" w:color="auto"/>
                      </w:divBdr>
                    </w:div>
                    <w:div w:id="1304778568">
                      <w:marLeft w:val="0"/>
                      <w:marRight w:val="0"/>
                      <w:marTop w:val="0"/>
                      <w:marBottom w:val="0"/>
                      <w:divBdr>
                        <w:top w:val="none" w:sz="0" w:space="0" w:color="auto"/>
                        <w:left w:val="none" w:sz="0" w:space="0" w:color="auto"/>
                        <w:bottom w:val="none" w:sz="0" w:space="0" w:color="auto"/>
                        <w:right w:val="none" w:sz="0" w:space="0" w:color="auto"/>
                      </w:divBdr>
                    </w:div>
                    <w:div w:id="1580478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5550903">
      <w:bodyDiv w:val="1"/>
      <w:marLeft w:val="0"/>
      <w:marRight w:val="0"/>
      <w:marTop w:val="0"/>
      <w:marBottom w:val="0"/>
      <w:divBdr>
        <w:top w:val="none" w:sz="0" w:space="0" w:color="auto"/>
        <w:left w:val="none" w:sz="0" w:space="0" w:color="auto"/>
        <w:bottom w:val="none" w:sz="0" w:space="0" w:color="auto"/>
        <w:right w:val="none" w:sz="0" w:space="0" w:color="auto"/>
      </w:divBdr>
    </w:div>
    <w:div w:id="1670408072">
      <w:bodyDiv w:val="1"/>
      <w:marLeft w:val="0"/>
      <w:marRight w:val="0"/>
      <w:marTop w:val="0"/>
      <w:marBottom w:val="0"/>
      <w:divBdr>
        <w:top w:val="none" w:sz="0" w:space="0" w:color="auto"/>
        <w:left w:val="none" w:sz="0" w:space="0" w:color="auto"/>
        <w:bottom w:val="none" w:sz="0" w:space="0" w:color="auto"/>
        <w:right w:val="none" w:sz="0" w:space="0" w:color="auto"/>
      </w:divBdr>
    </w:div>
    <w:div w:id="1673751604">
      <w:bodyDiv w:val="1"/>
      <w:marLeft w:val="0"/>
      <w:marRight w:val="0"/>
      <w:marTop w:val="0"/>
      <w:marBottom w:val="0"/>
      <w:divBdr>
        <w:top w:val="none" w:sz="0" w:space="0" w:color="auto"/>
        <w:left w:val="none" w:sz="0" w:space="0" w:color="auto"/>
        <w:bottom w:val="none" w:sz="0" w:space="0" w:color="auto"/>
        <w:right w:val="none" w:sz="0" w:space="0" w:color="auto"/>
      </w:divBdr>
    </w:div>
    <w:div w:id="1674608552">
      <w:bodyDiv w:val="1"/>
      <w:marLeft w:val="0"/>
      <w:marRight w:val="0"/>
      <w:marTop w:val="0"/>
      <w:marBottom w:val="0"/>
      <w:divBdr>
        <w:top w:val="none" w:sz="0" w:space="0" w:color="auto"/>
        <w:left w:val="none" w:sz="0" w:space="0" w:color="auto"/>
        <w:bottom w:val="none" w:sz="0" w:space="0" w:color="auto"/>
        <w:right w:val="none" w:sz="0" w:space="0" w:color="auto"/>
      </w:divBdr>
    </w:div>
    <w:div w:id="1679312964">
      <w:bodyDiv w:val="1"/>
      <w:marLeft w:val="0"/>
      <w:marRight w:val="0"/>
      <w:marTop w:val="0"/>
      <w:marBottom w:val="0"/>
      <w:divBdr>
        <w:top w:val="none" w:sz="0" w:space="0" w:color="auto"/>
        <w:left w:val="none" w:sz="0" w:space="0" w:color="auto"/>
        <w:bottom w:val="none" w:sz="0" w:space="0" w:color="auto"/>
        <w:right w:val="none" w:sz="0" w:space="0" w:color="auto"/>
      </w:divBdr>
    </w:div>
    <w:div w:id="1692368293">
      <w:bodyDiv w:val="1"/>
      <w:marLeft w:val="0"/>
      <w:marRight w:val="0"/>
      <w:marTop w:val="0"/>
      <w:marBottom w:val="0"/>
      <w:divBdr>
        <w:top w:val="none" w:sz="0" w:space="0" w:color="auto"/>
        <w:left w:val="none" w:sz="0" w:space="0" w:color="auto"/>
        <w:bottom w:val="none" w:sz="0" w:space="0" w:color="auto"/>
        <w:right w:val="none" w:sz="0" w:space="0" w:color="auto"/>
      </w:divBdr>
    </w:div>
    <w:div w:id="1695962304">
      <w:bodyDiv w:val="1"/>
      <w:marLeft w:val="0"/>
      <w:marRight w:val="0"/>
      <w:marTop w:val="0"/>
      <w:marBottom w:val="0"/>
      <w:divBdr>
        <w:top w:val="none" w:sz="0" w:space="0" w:color="auto"/>
        <w:left w:val="none" w:sz="0" w:space="0" w:color="auto"/>
        <w:bottom w:val="none" w:sz="0" w:space="0" w:color="auto"/>
        <w:right w:val="none" w:sz="0" w:space="0" w:color="auto"/>
      </w:divBdr>
    </w:div>
    <w:div w:id="1709910910">
      <w:bodyDiv w:val="1"/>
      <w:marLeft w:val="0"/>
      <w:marRight w:val="0"/>
      <w:marTop w:val="0"/>
      <w:marBottom w:val="0"/>
      <w:divBdr>
        <w:top w:val="none" w:sz="0" w:space="0" w:color="auto"/>
        <w:left w:val="none" w:sz="0" w:space="0" w:color="auto"/>
        <w:bottom w:val="none" w:sz="0" w:space="0" w:color="auto"/>
        <w:right w:val="none" w:sz="0" w:space="0" w:color="auto"/>
      </w:divBdr>
    </w:div>
    <w:div w:id="1715734589">
      <w:bodyDiv w:val="1"/>
      <w:marLeft w:val="0"/>
      <w:marRight w:val="0"/>
      <w:marTop w:val="0"/>
      <w:marBottom w:val="0"/>
      <w:divBdr>
        <w:top w:val="none" w:sz="0" w:space="0" w:color="auto"/>
        <w:left w:val="none" w:sz="0" w:space="0" w:color="auto"/>
        <w:bottom w:val="none" w:sz="0" w:space="0" w:color="auto"/>
        <w:right w:val="none" w:sz="0" w:space="0" w:color="auto"/>
      </w:divBdr>
      <w:divsChild>
        <w:div w:id="1766682597">
          <w:marLeft w:val="0"/>
          <w:marRight w:val="0"/>
          <w:marTop w:val="100"/>
          <w:marBottom w:val="100"/>
          <w:divBdr>
            <w:top w:val="none" w:sz="0" w:space="0" w:color="auto"/>
            <w:left w:val="none" w:sz="0" w:space="0" w:color="auto"/>
            <w:bottom w:val="none" w:sz="0" w:space="0" w:color="auto"/>
            <w:right w:val="none" w:sz="0" w:space="0" w:color="auto"/>
          </w:divBdr>
          <w:divsChild>
            <w:div w:id="990863513">
              <w:marLeft w:val="0"/>
              <w:marRight w:val="0"/>
              <w:marTop w:val="0"/>
              <w:marBottom w:val="0"/>
              <w:divBdr>
                <w:top w:val="none" w:sz="0" w:space="0" w:color="auto"/>
                <w:left w:val="none" w:sz="0" w:space="0" w:color="auto"/>
                <w:bottom w:val="none" w:sz="0" w:space="0" w:color="auto"/>
                <w:right w:val="none" w:sz="0" w:space="0" w:color="auto"/>
              </w:divBdr>
              <w:divsChild>
                <w:div w:id="210364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586090">
      <w:bodyDiv w:val="1"/>
      <w:marLeft w:val="0"/>
      <w:marRight w:val="0"/>
      <w:marTop w:val="0"/>
      <w:marBottom w:val="0"/>
      <w:divBdr>
        <w:top w:val="none" w:sz="0" w:space="0" w:color="auto"/>
        <w:left w:val="none" w:sz="0" w:space="0" w:color="auto"/>
        <w:bottom w:val="none" w:sz="0" w:space="0" w:color="auto"/>
        <w:right w:val="none" w:sz="0" w:space="0" w:color="auto"/>
      </w:divBdr>
    </w:div>
    <w:div w:id="1722315998">
      <w:bodyDiv w:val="1"/>
      <w:marLeft w:val="0"/>
      <w:marRight w:val="0"/>
      <w:marTop w:val="0"/>
      <w:marBottom w:val="0"/>
      <w:divBdr>
        <w:top w:val="none" w:sz="0" w:space="0" w:color="auto"/>
        <w:left w:val="none" w:sz="0" w:space="0" w:color="auto"/>
        <w:bottom w:val="none" w:sz="0" w:space="0" w:color="auto"/>
        <w:right w:val="none" w:sz="0" w:space="0" w:color="auto"/>
      </w:divBdr>
    </w:div>
    <w:div w:id="1752506156">
      <w:bodyDiv w:val="1"/>
      <w:marLeft w:val="0"/>
      <w:marRight w:val="0"/>
      <w:marTop w:val="0"/>
      <w:marBottom w:val="0"/>
      <w:divBdr>
        <w:top w:val="none" w:sz="0" w:space="0" w:color="auto"/>
        <w:left w:val="none" w:sz="0" w:space="0" w:color="auto"/>
        <w:bottom w:val="none" w:sz="0" w:space="0" w:color="auto"/>
        <w:right w:val="none" w:sz="0" w:space="0" w:color="auto"/>
      </w:divBdr>
    </w:div>
    <w:div w:id="1780291586">
      <w:bodyDiv w:val="1"/>
      <w:marLeft w:val="0"/>
      <w:marRight w:val="0"/>
      <w:marTop w:val="0"/>
      <w:marBottom w:val="0"/>
      <w:divBdr>
        <w:top w:val="none" w:sz="0" w:space="0" w:color="auto"/>
        <w:left w:val="none" w:sz="0" w:space="0" w:color="auto"/>
        <w:bottom w:val="none" w:sz="0" w:space="0" w:color="auto"/>
        <w:right w:val="none" w:sz="0" w:space="0" w:color="auto"/>
      </w:divBdr>
    </w:div>
    <w:div w:id="1791707635">
      <w:bodyDiv w:val="1"/>
      <w:marLeft w:val="0"/>
      <w:marRight w:val="0"/>
      <w:marTop w:val="0"/>
      <w:marBottom w:val="0"/>
      <w:divBdr>
        <w:top w:val="none" w:sz="0" w:space="0" w:color="auto"/>
        <w:left w:val="none" w:sz="0" w:space="0" w:color="auto"/>
        <w:bottom w:val="none" w:sz="0" w:space="0" w:color="auto"/>
        <w:right w:val="none" w:sz="0" w:space="0" w:color="auto"/>
      </w:divBdr>
    </w:div>
    <w:div w:id="1812209195">
      <w:bodyDiv w:val="1"/>
      <w:marLeft w:val="0"/>
      <w:marRight w:val="0"/>
      <w:marTop w:val="0"/>
      <w:marBottom w:val="0"/>
      <w:divBdr>
        <w:top w:val="none" w:sz="0" w:space="0" w:color="auto"/>
        <w:left w:val="none" w:sz="0" w:space="0" w:color="auto"/>
        <w:bottom w:val="none" w:sz="0" w:space="0" w:color="auto"/>
        <w:right w:val="none" w:sz="0" w:space="0" w:color="auto"/>
      </w:divBdr>
      <w:divsChild>
        <w:div w:id="1896038180">
          <w:marLeft w:val="0"/>
          <w:marRight w:val="0"/>
          <w:marTop w:val="0"/>
          <w:marBottom w:val="0"/>
          <w:divBdr>
            <w:top w:val="none" w:sz="0" w:space="0" w:color="auto"/>
            <w:left w:val="none" w:sz="0" w:space="0" w:color="auto"/>
            <w:bottom w:val="none" w:sz="0" w:space="0" w:color="auto"/>
            <w:right w:val="none" w:sz="0" w:space="0" w:color="auto"/>
          </w:divBdr>
          <w:divsChild>
            <w:div w:id="619725178">
              <w:marLeft w:val="0"/>
              <w:marRight w:val="0"/>
              <w:marTop w:val="0"/>
              <w:marBottom w:val="0"/>
              <w:divBdr>
                <w:top w:val="none" w:sz="0" w:space="0" w:color="auto"/>
                <w:left w:val="none" w:sz="0" w:space="0" w:color="auto"/>
                <w:bottom w:val="none" w:sz="0" w:space="0" w:color="auto"/>
                <w:right w:val="none" w:sz="0" w:space="0" w:color="auto"/>
              </w:divBdr>
              <w:divsChild>
                <w:div w:id="1284463633">
                  <w:marLeft w:val="0"/>
                  <w:marRight w:val="0"/>
                  <w:marTop w:val="0"/>
                  <w:marBottom w:val="0"/>
                  <w:divBdr>
                    <w:top w:val="none" w:sz="0" w:space="0" w:color="auto"/>
                    <w:left w:val="none" w:sz="0" w:space="0" w:color="auto"/>
                    <w:bottom w:val="none" w:sz="0" w:space="0" w:color="auto"/>
                    <w:right w:val="none" w:sz="0" w:space="0" w:color="auto"/>
                  </w:divBdr>
                  <w:divsChild>
                    <w:div w:id="1201356166">
                      <w:marLeft w:val="0"/>
                      <w:marRight w:val="0"/>
                      <w:marTop w:val="0"/>
                      <w:marBottom w:val="0"/>
                      <w:divBdr>
                        <w:top w:val="none" w:sz="0" w:space="0" w:color="auto"/>
                        <w:left w:val="none" w:sz="0" w:space="0" w:color="auto"/>
                        <w:bottom w:val="none" w:sz="0" w:space="0" w:color="auto"/>
                        <w:right w:val="none" w:sz="0" w:space="0" w:color="auto"/>
                      </w:divBdr>
                      <w:divsChild>
                        <w:div w:id="209846340">
                          <w:marLeft w:val="0"/>
                          <w:marRight w:val="0"/>
                          <w:marTop w:val="0"/>
                          <w:marBottom w:val="0"/>
                          <w:divBdr>
                            <w:top w:val="none" w:sz="0" w:space="0" w:color="auto"/>
                            <w:left w:val="none" w:sz="0" w:space="0" w:color="auto"/>
                            <w:bottom w:val="none" w:sz="0" w:space="0" w:color="auto"/>
                            <w:right w:val="none" w:sz="0" w:space="0" w:color="auto"/>
                          </w:divBdr>
                          <w:divsChild>
                            <w:div w:id="399182992">
                              <w:marLeft w:val="0"/>
                              <w:marRight w:val="0"/>
                              <w:marTop w:val="0"/>
                              <w:marBottom w:val="0"/>
                              <w:divBdr>
                                <w:top w:val="none" w:sz="0" w:space="0" w:color="auto"/>
                                <w:left w:val="none" w:sz="0" w:space="0" w:color="auto"/>
                                <w:bottom w:val="none" w:sz="0" w:space="0" w:color="auto"/>
                                <w:right w:val="none" w:sz="0" w:space="0" w:color="auto"/>
                              </w:divBdr>
                              <w:divsChild>
                                <w:div w:id="783622090">
                                  <w:marLeft w:val="0"/>
                                  <w:marRight w:val="0"/>
                                  <w:marTop w:val="0"/>
                                  <w:marBottom w:val="0"/>
                                  <w:divBdr>
                                    <w:top w:val="none" w:sz="0" w:space="0" w:color="auto"/>
                                    <w:left w:val="none" w:sz="0" w:space="0" w:color="auto"/>
                                    <w:bottom w:val="none" w:sz="0" w:space="0" w:color="auto"/>
                                    <w:right w:val="none" w:sz="0" w:space="0" w:color="auto"/>
                                  </w:divBdr>
                                  <w:divsChild>
                                    <w:div w:id="110657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4785399">
      <w:bodyDiv w:val="1"/>
      <w:marLeft w:val="0"/>
      <w:marRight w:val="0"/>
      <w:marTop w:val="0"/>
      <w:marBottom w:val="0"/>
      <w:divBdr>
        <w:top w:val="none" w:sz="0" w:space="0" w:color="auto"/>
        <w:left w:val="none" w:sz="0" w:space="0" w:color="auto"/>
        <w:bottom w:val="none" w:sz="0" w:space="0" w:color="auto"/>
        <w:right w:val="none" w:sz="0" w:space="0" w:color="auto"/>
      </w:divBdr>
    </w:div>
    <w:div w:id="1824808647">
      <w:bodyDiv w:val="1"/>
      <w:marLeft w:val="0"/>
      <w:marRight w:val="0"/>
      <w:marTop w:val="0"/>
      <w:marBottom w:val="0"/>
      <w:divBdr>
        <w:top w:val="none" w:sz="0" w:space="0" w:color="auto"/>
        <w:left w:val="none" w:sz="0" w:space="0" w:color="auto"/>
        <w:bottom w:val="none" w:sz="0" w:space="0" w:color="auto"/>
        <w:right w:val="none" w:sz="0" w:space="0" w:color="auto"/>
      </w:divBdr>
    </w:div>
    <w:div w:id="1837914344">
      <w:bodyDiv w:val="1"/>
      <w:marLeft w:val="0"/>
      <w:marRight w:val="0"/>
      <w:marTop w:val="0"/>
      <w:marBottom w:val="0"/>
      <w:divBdr>
        <w:top w:val="none" w:sz="0" w:space="0" w:color="auto"/>
        <w:left w:val="none" w:sz="0" w:space="0" w:color="auto"/>
        <w:bottom w:val="none" w:sz="0" w:space="0" w:color="auto"/>
        <w:right w:val="none" w:sz="0" w:space="0" w:color="auto"/>
      </w:divBdr>
      <w:divsChild>
        <w:div w:id="238250439">
          <w:marLeft w:val="0"/>
          <w:marRight w:val="0"/>
          <w:marTop w:val="0"/>
          <w:marBottom w:val="0"/>
          <w:divBdr>
            <w:top w:val="none" w:sz="0" w:space="0" w:color="auto"/>
            <w:left w:val="none" w:sz="0" w:space="0" w:color="auto"/>
            <w:bottom w:val="none" w:sz="0" w:space="0" w:color="auto"/>
            <w:right w:val="none" w:sz="0" w:space="0" w:color="auto"/>
          </w:divBdr>
        </w:div>
      </w:divsChild>
    </w:div>
    <w:div w:id="1850174570">
      <w:bodyDiv w:val="1"/>
      <w:marLeft w:val="0"/>
      <w:marRight w:val="0"/>
      <w:marTop w:val="0"/>
      <w:marBottom w:val="0"/>
      <w:divBdr>
        <w:top w:val="none" w:sz="0" w:space="0" w:color="auto"/>
        <w:left w:val="none" w:sz="0" w:space="0" w:color="auto"/>
        <w:bottom w:val="none" w:sz="0" w:space="0" w:color="auto"/>
        <w:right w:val="none" w:sz="0" w:space="0" w:color="auto"/>
      </w:divBdr>
    </w:div>
    <w:div w:id="1868370455">
      <w:bodyDiv w:val="1"/>
      <w:marLeft w:val="0"/>
      <w:marRight w:val="0"/>
      <w:marTop w:val="0"/>
      <w:marBottom w:val="0"/>
      <w:divBdr>
        <w:top w:val="none" w:sz="0" w:space="0" w:color="auto"/>
        <w:left w:val="none" w:sz="0" w:space="0" w:color="auto"/>
        <w:bottom w:val="none" w:sz="0" w:space="0" w:color="auto"/>
        <w:right w:val="none" w:sz="0" w:space="0" w:color="auto"/>
      </w:divBdr>
    </w:div>
    <w:div w:id="1874880283">
      <w:bodyDiv w:val="1"/>
      <w:marLeft w:val="0"/>
      <w:marRight w:val="0"/>
      <w:marTop w:val="0"/>
      <w:marBottom w:val="0"/>
      <w:divBdr>
        <w:top w:val="none" w:sz="0" w:space="0" w:color="auto"/>
        <w:left w:val="none" w:sz="0" w:space="0" w:color="auto"/>
        <w:bottom w:val="none" w:sz="0" w:space="0" w:color="auto"/>
        <w:right w:val="none" w:sz="0" w:space="0" w:color="auto"/>
      </w:divBdr>
    </w:div>
    <w:div w:id="1876850720">
      <w:bodyDiv w:val="1"/>
      <w:marLeft w:val="0"/>
      <w:marRight w:val="0"/>
      <w:marTop w:val="0"/>
      <w:marBottom w:val="0"/>
      <w:divBdr>
        <w:top w:val="none" w:sz="0" w:space="0" w:color="auto"/>
        <w:left w:val="none" w:sz="0" w:space="0" w:color="auto"/>
        <w:bottom w:val="none" w:sz="0" w:space="0" w:color="auto"/>
        <w:right w:val="none" w:sz="0" w:space="0" w:color="auto"/>
      </w:divBdr>
    </w:div>
    <w:div w:id="1893346400">
      <w:bodyDiv w:val="1"/>
      <w:marLeft w:val="0"/>
      <w:marRight w:val="0"/>
      <w:marTop w:val="0"/>
      <w:marBottom w:val="0"/>
      <w:divBdr>
        <w:top w:val="none" w:sz="0" w:space="0" w:color="auto"/>
        <w:left w:val="none" w:sz="0" w:space="0" w:color="auto"/>
        <w:bottom w:val="none" w:sz="0" w:space="0" w:color="auto"/>
        <w:right w:val="none" w:sz="0" w:space="0" w:color="auto"/>
      </w:divBdr>
    </w:div>
    <w:div w:id="1897349590">
      <w:bodyDiv w:val="1"/>
      <w:marLeft w:val="0"/>
      <w:marRight w:val="0"/>
      <w:marTop w:val="0"/>
      <w:marBottom w:val="0"/>
      <w:divBdr>
        <w:top w:val="none" w:sz="0" w:space="0" w:color="auto"/>
        <w:left w:val="none" w:sz="0" w:space="0" w:color="auto"/>
        <w:bottom w:val="none" w:sz="0" w:space="0" w:color="auto"/>
        <w:right w:val="none" w:sz="0" w:space="0" w:color="auto"/>
      </w:divBdr>
    </w:div>
    <w:div w:id="1907565758">
      <w:bodyDiv w:val="1"/>
      <w:marLeft w:val="0"/>
      <w:marRight w:val="0"/>
      <w:marTop w:val="0"/>
      <w:marBottom w:val="0"/>
      <w:divBdr>
        <w:top w:val="none" w:sz="0" w:space="0" w:color="auto"/>
        <w:left w:val="none" w:sz="0" w:space="0" w:color="auto"/>
        <w:bottom w:val="none" w:sz="0" w:space="0" w:color="auto"/>
        <w:right w:val="none" w:sz="0" w:space="0" w:color="auto"/>
      </w:divBdr>
    </w:div>
    <w:div w:id="1908758234">
      <w:bodyDiv w:val="1"/>
      <w:marLeft w:val="0"/>
      <w:marRight w:val="0"/>
      <w:marTop w:val="0"/>
      <w:marBottom w:val="0"/>
      <w:divBdr>
        <w:top w:val="none" w:sz="0" w:space="0" w:color="auto"/>
        <w:left w:val="none" w:sz="0" w:space="0" w:color="auto"/>
        <w:bottom w:val="none" w:sz="0" w:space="0" w:color="auto"/>
        <w:right w:val="none" w:sz="0" w:space="0" w:color="auto"/>
      </w:divBdr>
    </w:div>
    <w:div w:id="1949700137">
      <w:bodyDiv w:val="1"/>
      <w:marLeft w:val="0"/>
      <w:marRight w:val="0"/>
      <w:marTop w:val="0"/>
      <w:marBottom w:val="0"/>
      <w:divBdr>
        <w:top w:val="none" w:sz="0" w:space="0" w:color="auto"/>
        <w:left w:val="none" w:sz="0" w:space="0" w:color="auto"/>
        <w:bottom w:val="none" w:sz="0" w:space="0" w:color="auto"/>
        <w:right w:val="none" w:sz="0" w:space="0" w:color="auto"/>
      </w:divBdr>
      <w:divsChild>
        <w:div w:id="1404140914">
          <w:marLeft w:val="0"/>
          <w:marRight w:val="0"/>
          <w:marTop w:val="0"/>
          <w:marBottom w:val="0"/>
          <w:divBdr>
            <w:top w:val="none" w:sz="0" w:space="0" w:color="auto"/>
            <w:left w:val="none" w:sz="0" w:space="0" w:color="auto"/>
            <w:bottom w:val="none" w:sz="0" w:space="0" w:color="auto"/>
            <w:right w:val="none" w:sz="0" w:space="0" w:color="auto"/>
          </w:divBdr>
        </w:div>
      </w:divsChild>
    </w:div>
    <w:div w:id="1959095644">
      <w:bodyDiv w:val="1"/>
      <w:marLeft w:val="0"/>
      <w:marRight w:val="0"/>
      <w:marTop w:val="0"/>
      <w:marBottom w:val="0"/>
      <w:divBdr>
        <w:top w:val="none" w:sz="0" w:space="0" w:color="auto"/>
        <w:left w:val="none" w:sz="0" w:space="0" w:color="auto"/>
        <w:bottom w:val="none" w:sz="0" w:space="0" w:color="auto"/>
        <w:right w:val="none" w:sz="0" w:space="0" w:color="auto"/>
      </w:divBdr>
    </w:div>
    <w:div w:id="1961254863">
      <w:bodyDiv w:val="1"/>
      <w:marLeft w:val="0"/>
      <w:marRight w:val="0"/>
      <w:marTop w:val="0"/>
      <w:marBottom w:val="0"/>
      <w:divBdr>
        <w:top w:val="none" w:sz="0" w:space="0" w:color="auto"/>
        <w:left w:val="none" w:sz="0" w:space="0" w:color="auto"/>
        <w:bottom w:val="none" w:sz="0" w:space="0" w:color="auto"/>
        <w:right w:val="none" w:sz="0" w:space="0" w:color="auto"/>
      </w:divBdr>
    </w:div>
    <w:div w:id="1974285860">
      <w:bodyDiv w:val="1"/>
      <w:marLeft w:val="0"/>
      <w:marRight w:val="0"/>
      <w:marTop w:val="0"/>
      <w:marBottom w:val="0"/>
      <w:divBdr>
        <w:top w:val="none" w:sz="0" w:space="0" w:color="auto"/>
        <w:left w:val="none" w:sz="0" w:space="0" w:color="auto"/>
        <w:bottom w:val="none" w:sz="0" w:space="0" w:color="auto"/>
        <w:right w:val="none" w:sz="0" w:space="0" w:color="auto"/>
      </w:divBdr>
    </w:div>
    <w:div w:id="1983802180">
      <w:bodyDiv w:val="1"/>
      <w:marLeft w:val="0"/>
      <w:marRight w:val="0"/>
      <w:marTop w:val="0"/>
      <w:marBottom w:val="0"/>
      <w:divBdr>
        <w:top w:val="none" w:sz="0" w:space="0" w:color="auto"/>
        <w:left w:val="none" w:sz="0" w:space="0" w:color="auto"/>
        <w:bottom w:val="none" w:sz="0" w:space="0" w:color="auto"/>
        <w:right w:val="none" w:sz="0" w:space="0" w:color="auto"/>
      </w:divBdr>
    </w:div>
    <w:div w:id="1985156482">
      <w:bodyDiv w:val="1"/>
      <w:marLeft w:val="0"/>
      <w:marRight w:val="0"/>
      <w:marTop w:val="0"/>
      <w:marBottom w:val="0"/>
      <w:divBdr>
        <w:top w:val="none" w:sz="0" w:space="0" w:color="auto"/>
        <w:left w:val="none" w:sz="0" w:space="0" w:color="auto"/>
        <w:bottom w:val="none" w:sz="0" w:space="0" w:color="auto"/>
        <w:right w:val="none" w:sz="0" w:space="0" w:color="auto"/>
      </w:divBdr>
    </w:div>
    <w:div w:id="1987275106">
      <w:bodyDiv w:val="1"/>
      <w:marLeft w:val="0"/>
      <w:marRight w:val="0"/>
      <w:marTop w:val="0"/>
      <w:marBottom w:val="0"/>
      <w:divBdr>
        <w:top w:val="none" w:sz="0" w:space="0" w:color="auto"/>
        <w:left w:val="none" w:sz="0" w:space="0" w:color="auto"/>
        <w:bottom w:val="none" w:sz="0" w:space="0" w:color="auto"/>
        <w:right w:val="none" w:sz="0" w:space="0" w:color="auto"/>
      </w:divBdr>
    </w:div>
    <w:div w:id="1994292035">
      <w:bodyDiv w:val="1"/>
      <w:marLeft w:val="0"/>
      <w:marRight w:val="0"/>
      <w:marTop w:val="0"/>
      <w:marBottom w:val="0"/>
      <w:divBdr>
        <w:top w:val="none" w:sz="0" w:space="0" w:color="auto"/>
        <w:left w:val="none" w:sz="0" w:space="0" w:color="auto"/>
        <w:bottom w:val="none" w:sz="0" w:space="0" w:color="auto"/>
        <w:right w:val="none" w:sz="0" w:space="0" w:color="auto"/>
      </w:divBdr>
    </w:div>
    <w:div w:id="1997298899">
      <w:bodyDiv w:val="1"/>
      <w:marLeft w:val="0"/>
      <w:marRight w:val="0"/>
      <w:marTop w:val="0"/>
      <w:marBottom w:val="0"/>
      <w:divBdr>
        <w:top w:val="none" w:sz="0" w:space="0" w:color="auto"/>
        <w:left w:val="none" w:sz="0" w:space="0" w:color="auto"/>
        <w:bottom w:val="none" w:sz="0" w:space="0" w:color="auto"/>
        <w:right w:val="none" w:sz="0" w:space="0" w:color="auto"/>
      </w:divBdr>
    </w:div>
    <w:div w:id="2004501209">
      <w:bodyDiv w:val="1"/>
      <w:marLeft w:val="0"/>
      <w:marRight w:val="0"/>
      <w:marTop w:val="0"/>
      <w:marBottom w:val="0"/>
      <w:divBdr>
        <w:top w:val="none" w:sz="0" w:space="0" w:color="auto"/>
        <w:left w:val="none" w:sz="0" w:space="0" w:color="auto"/>
        <w:bottom w:val="none" w:sz="0" w:space="0" w:color="auto"/>
        <w:right w:val="none" w:sz="0" w:space="0" w:color="auto"/>
      </w:divBdr>
    </w:div>
    <w:div w:id="2019386882">
      <w:bodyDiv w:val="1"/>
      <w:marLeft w:val="0"/>
      <w:marRight w:val="0"/>
      <w:marTop w:val="0"/>
      <w:marBottom w:val="0"/>
      <w:divBdr>
        <w:top w:val="none" w:sz="0" w:space="0" w:color="auto"/>
        <w:left w:val="none" w:sz="0" w:space="0" w:color="auto"/>
        <w:bottom w:val="none" w:sz="0" w:space="0" w:color="auto"/>
        <w:right w:val="none" w:sz="0" w:space="0" w:color="auto"/>
      </w:divBdr>
    </w:div>
    <w:div w:id="2019624027">
      <w:bodyDiv w:val="1"/>
      <w:marLeft w:val="0"/>
      <w:marRight w:val="0"/>
      <w:marTop w:val="0"/>
      <w:marBottom w:val="0"/>
      <w:divBdr>
        <w:top w:val="none" w:sz="0" w:space="0" w:color="auto"/>
        <w:left w:val="none" w:sz="0" w:space="0" w:color="auto"/>
        <w:bottom w:val="none" w:sz="0" w:space="0" w:color="auto"/>
        <w:right w:val="none" w:sz="0" w:space="0" w:color="auto"/>
      </w:divBdr>
    </w:div>
    <w:div w:id="2027903898">
      <w:bodyDiv w:val="1"/>
      <w:marLeft w:val="0"/>
      <w:marRight w:val="0"/>
      <w:marTop w:val="0"/>
      <w:marBottom w:val="0"/>
      <w:divBdr>
        <w:top w:val="none" w:sz="0" w:space="0" w:color="auto"/>
        <w:left w:val="none" w:sz="0" w:space="0" w:color="auto"/>
        <w:bottom w:val="none" w:sz="0" w:space="0" w:color="auto"/>
        <w:right w:val="none" w:sz="0" w:space="0" w:color="auto"/>
      </w:divBdr>
    </w:div>
    <w:div w:id="2028019304">
      <w:bodyDiv w:val="1"/>
      <w:marLeft w:val="0"/>
      <w:marRight w:val="0"/>
      <w:marTop w:val="0"/>
      <w:marBottom w:val="0"/>
      <w:divBdr>
        <w:top w:val="none" w:sz="0" w:space="0" w:color="auto"/>
        <w:left w:val="none" w:sz="0" w:space="0" w:color="auto"/>
        <w:bottom w:val="none" w:sz="0" w:space="0" w:color="auto"/>
        <w:right w:val="none" w:sz="0" w:space="0" w:color="auto"/>
      </w:divBdr>
      <w:divsChild>
        <w:div w:id="171726640">
          <w:marLeft w:val="0"/>
          <w:marRight w:val="0"/>
          <w:marTop w:val="100"/>
          <w:marBottom w:val="100"/>
          <w:divBdr>
            <w:top w:val="none" w:sz="0" w:space="0" w:color="auto"/>
            <w:left w:val="none" w:sz="0" w:space="0" w:color="auto"/>
            <w:bottom w:val="none" w:sz="0" w:space="0" w:color="auto"/>
            <w:right w:val="none" w:sz="0" w:space="0" w:color="auto"/>
          </w:divBdr>
          <w:divsChild>
            <w:div w:id="156501566">
              <w:marLeft w:val="0"/>
              <w:marRight w:val="0"/>
              <w:marTop w:val="0"/>
              <w:marBottom w:val="0"/>
              <w:divBdr>
                <w:top w:val="none" w:sz="0" w:space="0" w:color="auto"/>
                <w:left w:val="none" w:sz="0" w:space="0" w:color="auto"/>
                <w:bottom w:val="none" w:sz="0" w:space="0" w:color="auto"/>
                <w:right w:val="none" w:sz="0" w:space="0" w:color="auto"/>
              </w:divBdr>
              <w:divsChild>
                <w:div w:id="117265157">
                  <w:marLeft w:val="0"/>
                  <w:marRight w:val="0"/>
                  <w:marTop w:val="0"/>
                  <w:marBottom w:val="0"/>
                  <w:divBdr>
                    <w:top w:val="none" w:sz="0" w:space="0" w:color="auto"/>
                    <w:left w:val="none" w:sz="0" w:space="0" w:color="auto"/>
                    <w:bottom w:val="none" w:sz="0" w:space="0" w:color="auto"/>
                    <w:right w:val="none" w:sz="0" w:space="0" w:color="auto"/>
                  </w:divBdr>
                  <w:divsChild>
                    <w:div w:id="1712338030">
                      <w:marLeft w:val="0"/>
                      <w:marRight w:val="0"/>
                      <w:marTop w:val="0"/>
                      <w:marBottom w:val="0"/>
                      <w:divBdr>
                        <w:top w:val="none" w:sz="0" w:space="0" w:color="auto"/>
                        <w:left w:val="none" w:sz="0" w:space="0" w:color="auto"/>
                        <w:bottom w:val="none" w:sz="0" w:space="0" w:color="auto"/>
                        <w:right w:val="none" w:sz="0" w:space="0" w:color="auto"/>
                      </w:divBdr>
                    </w:div>
                    <w:div w:id="730926610">
                      <w:marLeft w:val="0"/>
                      <w:marRight w:val="0"/>
                      <w:marTop w:val="0"/>
                      <w:marBottom w:val="0"/>
                      <w:divBdr>
                        <w:top w:val="none" w:sz="0" w:space="0" w:color="auto"/>
                        <w:left w:val="none" w:sz="0" w:space="0" w:color="auto"/>
                        <w:bottom w:val="none" w:sz="0" w:space="0" w:color="auto"/>
                        <w:right w:val="none" w:sz="0" w:space="0" w:color="auto"/>
                      </w:divBdr>
                    </w:div>
                    <w:div w:id="798105351">
                      <w:marLeft w:val="0"/>
                      <w:marRight w:val="0"/>
                      <w:marTop w:val="0"/>
                      <w:marBottom w:val="0"/>
                      <w:divBdr>
                        <w:top w:val="none" w:sz="0" w:space="0" w:color="auto"/>
                        <w:left w:val="none" w:sz="0" w:space="0" w:color="auto"/>
                        <w:bottom w:val="none" w:sz="0" w:space="0" w:color="auto"/>
                        <w:right w:val="none" w:sz="0" w:space="0" w:color="auto"/>
                      </w:divBdr>
                    </w:div>
                    <w:div w:id="1338851709">
                      <w:marLeft w:val="0"/>
                      <w:marRight w:val="0"/>
                      <w:marTop w:val="0"/>
                      <w:marBottom w:val="0"/>
                      <w:divBdr>
                        <w:top w:val="none" w:sz="0" w:space="0" w:color="auto"/>
                        <w:left w:val="none" w:sz="0" w:space="0" w:color="auto"/>
                        <w:bottom w:val="none" w:sz="0" w:space="0" w:color="auto"/>
                        <w:right w:val="none" w:sz="0" w:space="0" w:color="auto"/>
                      </w:divBdr>
                    </w:div>
                    <w:div w:id="720599057">
                      <w:marLeft w:val="0"/>
                      <w:marRight w:val="0"/>
                      <w:marTop w:val="0"/>
                      <w:marBottom w:val="0"/>
                      <w:divBdr>
                        <w:top w:val="none" w:sz="0" w:space="0" w:color="auto"/>
                        <w:left w:val="none" w:sz="0" w:space="0" w:color="auto"/>
                        <w:bottom w:val="none" w:sz="0" w:space="0" w:color="auto"/>
                        <w:right w:val="none" w:sz="0" w:space="0" w:color="auto"/>
                      </w:divBdr>
                    </w:div>
                    <w:div w:id="2012758936">
                      <w:marLeft w:val="0"/>
                      <w:marRight w:val="0"/>
                      <w:marTop w:val="0"/>
                      <w:marBottom w:val="0"/>
                      <w:divBdr>
                        <w:top w:val="none" w:sz="0" w:space="0" w:color="auto"/>
                        <w:left w:val="none" w:sz="0" w:space="0" w:color="auto"/>
                        <w:bottom w:val="none" w:sz="0" w:space="0" w:color="auto"/>
                        <w:right w:val="none" w:sz="0" w:space="0" w:color="auto"/>
                      </w:divBdr>
                    </w:div>
                    <w:div w:id="1141579184">
                      <w:marLeft w:val="0"/>
                      <w:marRight w:val="0"/>
                      <w:marTop w:val="0"/>
                      <w:marBottom w:val="0"/>
                      <w:divBdr>
                        <w:top w:val="none" w:sz="0" w:space="0" w:color="auto"/>
                        <w:left w:val="none" w:sz="0" w:space="0" w:color="auto"/>
                        <w:bottom w:val="none" w:sz="0" w:space="0" w:color="auto"/>
                        <w:right w:val="none" w:sz="0" w:space="0" w:color="auto"/>
                      </w:divBdr>
                    </w:div>
                    <w:div w:id="177274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9431453">
      <w:bodyDiv w:val="1"/>
      <w:marLeft w:val="0"/>
      <w:marRight w:val="0"/>
      <w:marTop w:val="0"/>
      <w:marBottom w:val="0"/>
      <w:divBdr>
        <w:top w:val="none" w:sz="0" w:space="0" w:color="auto"/>
        <w:left w:val="none" w:sz="0" w:space="0" w:color="auto"/>
        <w:bottom w:val="none" w:sz="0" w:space="0" w:color="auto"/>
        <w:right w:val="none" w:sz="0" w:space="0" w:color="auto"/>
      </w:divBdr>
    </w:div>
    <w:div w:id="2040474079">
      <w:bodyDiv w:val="1"/>
      <w:marLeft w:val="0"/>
      <w:marRight w:val="0"/>
      <w:marTop w:val="0"/>
      <w:marBottom w:val="0"/>
      <w:divBdr>
        <w:top w:val="none" w:sz="0" w:space="0" w:color="auto"/>
        <w:left w:val="none" w:sz="0" w:space="0" w:color="auto"/>
        <w:bottom w:val="none" w:sz="0" w:space="0" w:color="auto"/>
        <w:right w:val="none" w:sz="0" w:space="0" w:color="auto"/>
      </w:divBdr>
    </w:div>
    <w:div w:id="2044474891">
      <w:bodyDiv w:val="1"/>
      <w:marLeft w:val="0"/>
      <w:marRight w:val="0"/>
      <w:marTop w:val="0"/>
      <w:marBottom w:val="0"/>
      <w:divBdr>
        <w:top w:val="none" w:sz="0" w:space="0" w:color="auto"/>
        <w:left w:val="none" w:sz="0" w:space="0" w:color="auto"/>
        <w:bottom w:val="none" w:sz="0" w:space="0" w:color="auto"/>
        <w:right w:val="none" w:sz="0" w:space="0" w:color="auto"/>
      </w:divBdr>
    </w:div>
    <w:div w:id="2061897239">
      <w:bodyDiv w:val="1"/>
      <w:marLeft w:val="0"/>
      <w:marRight w:val="0"/>
      <w:marTop w:val="0"/>
      <w:marBottom w:val="0"/>
      <w:divBdr>
        <w:top w:val="none" w:sz="0" w:space="0" w:color="auto"/>
        <w:left w:val="none" w:sz="0" w:space="0" w:color="auto"/>
        <w:bottom w:val="none" w:sz="0" w:space="0" w:color="auto"/>
        <w:right w:val="none" w:sz="0" w:space="0" w:color="auto"/>
      </w:divBdr>
    </w:div>
    <w:div w:id="2070641495">
      <w:bodyDiv w:val="1"/>
      <w:marLeft w:val="0"/>
      <w:marRight w:val="0"/>
      <w:marTop w:val="0"/>
      <w:marBottom w:val="0"/>
      <w:divBdr>
        <w:top w:val="none" w:sz="0" w:space="0" w:color="auto"/>
        <w:left w:val="none" w:sz="0" w:space="0" w:color="auto"/>
        <w:bottom w:val="none" w:sz="0" w:space="0" w:color="auto"/>
        <w:right w:val="none" w:sz="0" w:space="0" w:color="auto"/>
      </w:divBdr>
    </w:div>
    <w:div w:id="2075614271">
      <w:bodyDiv w:val="1"/>
      <w:marLeft w:val="0"/>
      <w:marRight w:val="0"/>
      <w:marTop w:val="0"/>
      <w:marBottom w:val="0"/>
      <w:divBdr>
        <w:top w:val="none" w:sz="0" w:space="0" w:color="auto"/>
        <w:left w:val="none" w:sz="0" w:space="0" w:color="auto"/>
        <w:bottom w:val="none" w:sz="0" w:space="0" w:color="auto"/>
        <w:right w:val="none" w:sz="0" w:space="0" w:color="auto"/>
      </w:divBdr>
    </w:div>
    <w:div w:id="2091148137">
      <w:bodyDiv w:val="1"/>
      <w:marLeft w:val="0"/>
      <w:marRight w:val="0"/>
      <w:marTop w:val="0"/>
      <w:marBottom w:val="0"/>
      <w:divBdr>
        <w:top w:val="none" w:sz="0" w:space="0" w:color="auto"/>
        <w:left w:val="none" w:sz="0" w:space="0" w:color="auto"/>
        <w:bottom w:val="none" w:sz="0" w:space="0" w:color="auto"/>
        <w:right w:val="none" w:sz="0" w:space="0" w:color="auto"/>
      </w:divBdr>
    </w:div>
    <w:div w:id="2091343195">
      <w:bodyDiv w:val="1"/>
      <w:marLeft w:val="0"/>
      <w:marRight w:val="0"/>
      <w:marTop w:val="0"/>
      <w:marBottom w:val="0"/>
      <w:divBdr>
        <w:top w:val="none" w:sz="0" w:space="0" w:color="auto"/>
        <w:left w:val="none" w:sz="0" w:space="0" w:color="auto"/>
        <w:bottom w:val="none" w:sz="0" w:space="0" w:color="auto"/>
        <w:right w:val="none" w:sz="0" w:space="0" w:color="auto"/>
      </w:divBdr>
    </w:div>
    <w:div w:id="2122527683">
      <w:bodyDiv w:val="1"/>
      <w:marLeft w:val="0"/>
      <w:marRight w:val="0"/>
      <w:marTop w:val="0"/>
      <w:marBottom w:val="0"/>
      <w:divBdr>
        <w:top w:val="none" w:sz="0" w:space="0" w:color="auto"/>
        <w:left w:val="none" w:sz="0" w:space="0" w:color="auto"/>
        <w:bottom w:val="none" w:sz="0" w:space="0" w:color="auto"/>
        <w:right w:val="none" w:sz="0" w:space="0" w:color="auto"/>
      </w:divBdr>
    </w:div>
    <w:div w:id="21336222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nature.com/articles/s41586-020-2008-3" TargetMode="External"/><Relationship Id="rId21" Type="http://schemas.openxmlformats.org/officeDocument/2006/relationships/image" Target="media/image9.png"/><Relationship Id="rId42" Type="http://schemas.openxmlformats.org/officeDocument/2006/relationships/image" Target="media/image25.jpeg"/><Relationship Id="rId63" Type="http://schemas.openxmlformats.org/officeDocument/2006/relationships/image" Target="media/image41.jpeg"/><Relationship Id="rId84" Type="http://schemas.openxmlformats.org/officeDocument/2006/relationships/image" Target="media/image62.png"/><Relationship Id="rId138" Type="http://schemas.openxmlformats.org/officeDocument/2006/relationships/hyperlink" Target="https://doi.org/10.1021/acs.jmedchem.3c01715" TargetMode="External"/><Relationship Id="rId159" Type="http://schemas.openxmlformats.org/officeDocument/2006/relationships/hyperlink" Target="http://www.atcc.org" TargetMode="External"/><Relationship Id="rId170" Type="http://schemas.openxmlformats.org/officeDocument/2006/relationships/hyperlink" Target="https://doi.org/10.1056/nejmoa2034577" TargetMode="External"/><Relationship Id="rId191" Type="http://schemas.openxmlformats.org/officeDocument/2006/relationships/footer" Target="footer1.xml"/><Relationship Id="rId107" Type="http://schemas.openxmlformats.org/officeDocument/2006/relationships/hyperlink" Target="https://doi.org/10.3389/fmicb.2021.623171" TargetMode="External"/><Relationship Id="rId11" Type="http://schemas.openxmlformats.org/officeDocument/2006/relationships/image" Target="media/image3.png"/><Relationship Id="rId32" Type="http://schemas.openxmlformats.org/officeDocument/2006/relationships/image" Target="media/image15.png"/><Relationship Id="rId53" Type="http://schemas.microsoft.com/office/2007/relationships/hdphoto" Target="media/hdphoto1.wdp"/><Relationship Id="rId74" Type="http://schemas.openxmlformats.org/officeDocument/2006/relationships/image" Target="media/image52.jpeg"/><Relationship Id="rId128" Type="http://schemas.openxmlformats.org/officeDocument/2006/relationships/hyperlink" Target="https://doi.org/10.1002/jmv.27337" TargetMode="External"/><Relationship Id="rId149" Type="http://schemas.openxmlformats.org/officeDocument/2006/relationships/hyperlink" Target="https://doi.org/10.1128/aac.49.3.981-986.2005" TargetMode="External"/><Relationship Id="rId5" Type="http://schemas.openxmlformats.org/officeDocument/2006/relationships/settings" Target="settings.xml"/><Relationship Id="rId95" Type="http://schemas.openxmlformats.org/officeDocument/2006/relationships/image" Target="media/image69.png"/><Relationship Id="rId160" Type="http://schemas.openxmlformats.org/officeDocument/2006/relationships/hyperlink" Target="https://doi.org/10.1038/s41586-020-2708-8" TargetMode="External"/><Relationship Id="rId181" Type="http://schemas.openxmlformats.org/officeDocument/2006/relationships/image" Target="media/image77.png"/><Relationship Id="rId22" Type="http://schemas.openxmlformats.org/officeDocument/2006/relationships/image" Target="media/image10.wmf"/><Relationship Id="rId43" Type="http://schemas.openxmlformats.org/officeDocument/2006/relationships/image" Target="media/image26.jpeg"/><Relationship Id="rId64" Type="http://schemas.openxmlformats.org/officeDocument/2006/relationships/image" Target="media/image42.jpeg"/><Relationship Id="rId118" Type="http://schemas.openxmlformats.org/officeDocument/2006/relationships/hyperlink" Target="https://doi.org/10.1016%2Fj.cell.2020.02.052" TargetMode="External"/><Relationship Id="rId139" Type="http://schemas.openxmlformats.org/officeDocument/2006/relationships/hyperlink" Target="https://doi.org/10.1016/j.ejps.2020.105631" TargetMode="External"/><Relationship Id="rId85" Type="http://schemas.openxmlformats.org/officeDocument/2006/relationships/chart" Target="charts/chart5.xml"/><Relationship Id="rId150" Type="http://schemas.openxmlformats.org/officeDocument/2006/relationships/hyperlink" Target="https://doi.org/10.1016/j.disamonth.2020.101058" TargetMode="External"/><Relationship Id="rId171" Type="http://schemas.openxmlformats.org/officeDocument/2006/relationships/hyperlink" Target="https://doi.org/10.1001/jama.2021.24110" TargetMode="External"/><Relationship Id="rId192" Type="http://schemas.openxmlformats.org/officeDocument/2006/relationships/fontTable" Target="fontTable.xml"/><Relationship Id="rId12" Type="http://schemas.openxmlformats.org/officeDocument/2006/relationships/chart" Target="charts/chart1.xml"/><Relationship Id="rId33" Type="http://schemas.openxmlformats.org/officeDocument/2006/relationships/image" Target="media/image16.png"/><Relationship Id="rId108" Type="http://schemas.openxmlformats.org/officeDocument/2006/relationships/hyperlink" Target="https://github.com/CSSEGISandData/COVID-19.%20Retrieved%2015%20October%202022" TargetMode="External"/><Relationship Id="rId129" Type="http://schemas.openxmlformats.org/officeDocument/2006/relationships/hyperlink" Target="https://doi.org/10.1073/pnas.1216526110" TargetMode="External"/><Relationship Id="rId54" Type="http://schemas.openxmlformats.org/officeDocument/2006/relationships/image" Target="media/image32.png"/><Relationship Id="rId75" Type="http://schemas.openxmlformats.org/officeDocument/2006/relationships/image" Target="media/image53.jpeg"/><Relationship Id="rId96" Type="http://schemas.openxmlformats.org/officeDocument/2006/relationships/image" Target="media/image70.png"/><Relationship Id="rId140" Type="http://schemas.openxmlformats.org/officeDocument/2006/relationships/hyperlink" Target="https://doi.org/10.3390/ph15010028" TargetMode="External"/><Relationship Id="rId161" Type="http://schemas.openxmlformats.org/officeDocument/2006/relationships/hyperlink" Target="https://doi.org/10.1038/s41598-023-42195-x" TargetMode="External"/><Relationship Id="rId182" Type="http://schemas.microsoft.com/office/2007/relationships/hdphoto" Target="media/hdphoto2.wdp"/><Relationship Id="rId6" Type="http://schemas.openxmlformats.org/officeDocument/2006/relationships/webSettings" Target="webSettings.xml"/><Relationship Id="rId23" Type="http://schemas.openxmlformats.org/officeDocument/2006/relationships/oleObject" Target="embeddings/oleObject1.bin"/><Relationship Id="rId119" Type="http://schemas.openxmlformats.org/officeDocument/2006/relationships/hyperlink" Target="https://www.nature.com/articles/nrmicro2147" TargetMode="External"/><Relationship Id="rId44" Type="http://schemas.openxmlformats.org/officeDocument/2006/relationships/image" Target="media/image27.jpeg"/><Relationship Id="rId65" Type="http://schemas.openxmlformats.org/officeDocument/2006/relationships/image" Target="media/image43.jpeg"/><Relationship Id="rId86" Type="http://schemas.openxmlformats.org/officeDocument/2006/relationships/chart" Target="charts/chart6.xml"/><Relationship Id="rId130" Type="http://schemas.openxmlformats.org/officeDocument/2006/relationships/hyperlink" Target="https://doi.org/10.3390/jpm10040217" TargetMode="External"/><Relationship Id="rId151" Type="http://schemas.openxmlformats.org/officeDocument/2006/relationships/hyperlink" Target="https://doi.org/10.1001/jama.2020.6019" TargetMode="External"/><Relationship Id="rId172" Type="http://schemas.openxmlformats.org/officeDocument/2006/relationships/hyperlink" Target="https://doi.org/10.1016/j.mehy.2023.111015" TargetMode="External"/><Relationship Id="rId193" Type="http://schemas.openxmlformats.org/officeDocument/2006/relationships/theme" Target="theme/theme1.xml"/><Relationship Id="rId13" Type="http://schemas.openxmlformats.org/officeDocument/2006/relationships/chart" Target="charts/chart2.xml"/><Relationship Id="rId109" Type="http://schemas.openxmlformats.org/officeDocument/2006/relationships/hyperlink" Target="https://www.nature.com/articles/s41564-020-0695-z" TargetMode="External"/><Relationship Id="rId34" Type="http://schemas.openxmlformats.org/officeDocument/2006/relationships/image" Target="media/image17.jpeg"/><Relationship Id="rId50" Type="http://schemas.openxmlformats.org/officeDocument/2006/relationships/hyperlink" Target="http://giorgilab.unibo.it/coronannotator" TargetMode="External"/><Relationship Id="rId55" Type="http://schemas.openxmlformats.org/officeDocument/2006/relationships/image" Target="media/image33.png"/><Relationship Id="rId76" Type="http://schemas.openxmlformats.org/officeDocument/2006/relationships/image" Target="media/image54.jpeg"/><Relationship Id="rId97" Type="http://schemas.openxmlformats.org/officeDocument/2006/relationships/image" Target="media/image71.png"/><Relationship Id="rId104" Type="http://schemas.openxmlformats.org/officeDocument/2006/relationships/hyperlink" Target="https://doi.org/10.1101/2020.03.30.016790" TargetMode="External"/><Relationship Id="rId120" Type="http://schemas.openxmlformats.org/officeDocument/2006/relationships/hyperlink" Target="https://doi.org/10.1128%2FJVI.02501-05" TargetMode="External"/><Relationship Id="rId125" Type="http://schemas.openxmlformats.org/officeDocument/2006/relationships/hyperlink" Target="https://doi.org/10.1146/annurev-virology-092917-043339" TargetMode="External"/><Relationship Id="rId141" Type="http://schemas.openxmlformats.org/officeDocument/2006/relationships/hyperlink" Target="https://doi.org/10.1021/acsinfecdis.7b00265" TargetMode="External"/><Relationship Id="rId146" Type="http://schemas.openxmlformats.org/officeDocument/2006/relationships/hyperlink" Target="https://doi.org/10.1016/j.amsu.2022.103679" TargetMode="External"/><Relationship Id="rId167" Type="http://schemas.openxmlformats.org/officeDocument/2006/relationships/hyperlink" Target="https://doi.org/10.26577/eb.2023.v96.i3.01" TargetMode="External"/><Relationship Id="rId188" Type="http://schemas.openxmlformats.org/officeDocument/2006/relationships/hyperlink" Target="https://www.medicines.org.uk/emc/files/pil.7108.pdf" TargetMode="External"/><Relationship Id="rId7" Type="http://schemas.openxmlformats.org/officeDocument/2006/relationships/footnotes" Target="footnotes.xml"/><Relationship Id="rId71" Type="http://schemas.openxmlformats.org/officeDocument/2006/relationships/image" Target="media/image49.jpeg"/><Relationship Id="rId92" Type="http://schemas.openxmlformats.org/officeDocument/2006/relationships/image" Target="media/image66.png"/><Relationship Id="rId162" Type="http://schemas.openxmlformats.org/officeDocument/2006/relationships/hyperlink" Target="https://doi.org/10.11134/btp.2.2024.6" TargetMode="External"/><Relationship Id="rId183"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oleObject" Target="embeddings/oleObject4.bin"/><Relationship Id="rId24" Type="http://schemas.openxmlformats.org/officeDocument/2006/relationships/image" Target="media/image11.wmf"/><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4.jpeg"/><Relationship Id="rId87" Type="http://schemas.openxmlformats.org/officeDocument/2006/relationships/chart" Target="charts/chart7.xml"/><Relationship Id="rId110" Type="http://schemas.openxmlformats.org/officeDocument/2006/relationships/hyperlink" Target="https://doi.org/10.1016/S0140-6736(20)30251-8" TargetMode="External"/><Relationship Id="rId115" Type="http://schemas.openxmlformats.org/officeDocument/2006/relationships/hyperlink" Target="https://doi.org/10.1016/S0140-6736(20)30154-9" TargetMode="External"/><Relationship Id="rId131" Type="http://schemas.openxmlformats.org/officeDocument/2006/relationships/hyperlink" Target="https://www.authorea.com/doi/full/10.22541/au.158506001.13968819" TargetMode="External"/><Relationship Id="rId136" Type="http://schemas.openxmlformats.org/officeDocument/2006/relationships/hyperlink" Target="https://doi.org/10.1128/aac.00888-16" TargetMode="External"/><Relationship Id="rId157" Type="http://schemas.openxmlformats.org/officeDocument/2006/relationships/hyperlink" Target="https://www.beckman.com/reagents/genomic/cleanup-and-size-selection/pcr/ampure-xp-protocol" TargetMode="External"/><Relationship Id="rId178" Type="http://schemas.openxmlformats.org/officeDocument/2006/relationships/image" Target="media/image74.png"/><Relationship Id="rId61" Type="http://schemas.openxmlformats.org/officeDocument/2006/relationships/image" Target="media/image39.jpeg"/><Relationship Id="rId82" Type="http://schemas.openxmlformats.org/officeDocument/2006/relationships/image" Target="media/image60.png"/><Relationship Id="rId152" Type="http://schemas.openxmlformats.org/officeDocument/2006/relationships/hyperlink" Target="https://doi.org/10.1016/j.chom.2020.04.023" TargetMode="External"/><Relationship Id="rId173" Type="http://schemas.openxmlformats.org/officeDocument/2006/relationships/hyperlink" Target="https://doi.org/10.3390/ijms24032700" TargetMode="External"/><Relationship Id="rId19" Type="http://schemas.openxmlformats.org/officeDocument/2006/relationships/image" Target="media/image7.png"/><Relationship Id="rId14" Type="http://schemas.openxmlformats.org/officeDocument/2006/relationships/chart" Target="charts/chart3.xml"/><Relationship Id="rId30" Type="http://schemas.openxmlformats.org/officeDocument/2006/relationships/image" Target="media/image14.wmf"/><Relationship Id="rId35" Type="http://schemas.openxmlformats.org/officeDocument/2006/relationships/image" Target="media/image18.jpeg"/><Relationship Id="rId56" Type="http://schemas.openxmlformats.org/officeDocument/2006/relationships/image" Target="media/image34.png"/><Relationship Id="rId77" Type="http://schemas.openxmlformats.org/officeDocument/2006/relationships/image" Target="media/image55.jpeg"/><Relationship Id="rId100" Type="http://schemas.openxmlformats.org/officeDocument/2006/relationships/chart" Target="charts/chart10.xml"/><Relationship Id="rId105" Type="http://schemas.openxmlformats.org/officeDocument/2006/relationships/hyperlink" Target="https://doi.org/10.1016/j.meegid.2020.104351" TargetMode="External"/><Relationship Id="rId126" Type="http://schemas.openxmlformats.org/officeDocument/2006/relationships/hyperlink" Target="http://www.frontiersin.org/journals/microbiology/articles/10.3389/fmicb.2018.02596" TargetMode="External"/><Relationship Id="rId147" Type="http://schemas.openxmlformats.org/officeDocument/2006/relationships/hyperlink" Target="https://doi.org/10.1111/bph.16013" TargetMode="External"/><Relationship Id="rId168" Type="http://schemas.openxmlformats.org/officeDocument/2006/relationships/hyperlink" Target="https://bb.kaznu.kz/index.php/biology/article/view/2389/168" TargetMode="External"/><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50.jpeg"/><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hyperlink" Target="https://doi.org/10.1073/pnas.1000378107" TargetMode="External"/><Relationship Id="rId142" Type="http://schemas.openxmlformats.org/officeDocument/2006/relationships/hyperlink" Target="https://doi.org/10.1021/acs.jmedchem.6b01227" TargetMode="External"/><Relationship Id="rId163" Type="http://schemas.openxmlformats.org/officeDocument/2006/relationships/hyperlink" Target="https://doi.org/10.33696/genetics.1.008" TargetMode="External"/><Relationship Id="rId184" Type="http://schemas.openxmlformats.org/officeDocument/2006/relationships/hyperlink" Target="https://glenmark.b-cdn.net/gpl_pdfs/media/Glenmark-introduces-higher-strength-400-mg-of-FabiFlu.pdf" TargetMode="External"/><Relationship Id="rId189" Type="http://schemas.openxmlformats.org/officeDocument/2006/relationships/image" Target="media/image81.png"/><Relationship Id="rId3" Type="http://schemas.openxmlformats.org/officeDocument/2006/relationships/numbering" Target="numbering.xml"/><Relationship Id="rId25" Type="http://schemas.openxmlformats.org/officeDocument/2006/relationships/oleObject" Target="embeddings/oleObject2.bin"/><Relationship Id="rId46" Type="http://schemas.openxmlformats.org/officeDocument/2006/relationships/image" Target="media/image29.jpeg"/><Relationship Id="rId67" Type="http://schemas.openxmlformats.org/officeDocument/2006/relationships/image" Target="media/image45.jpeg"/><Relationship Id="rId116" Type="http://schemas.openxmlformats.org/officeDocument/2006/relationships/hyperlink" Target="https://journals.asm.org/doi/10.1128/mra.01114-22" TargetMode="External"/><Relationship Id="rId137" Type="http://schemas.openxmlformats.org/officeDocument/2006/relationships/hyperlink" Target="https://doi.org/10.1177/1060028019826565" TargetMode="External"/><Relationship Id="rId158" Type="http://schemas.openxmlformats.org/officeDocument/2006/relationships/hyperlink" Target="https://www.dojindo.com/EUROPE/products/CK04" TargetMode="External"/><Relationship Id="rId20" Type="http://schemas.openxmlformats.org/officeDocument/2006/relationships/image" Target="media/image8.png"/><Relationship Id="rId41" Type="http://schemas.openxmlformats.org/officeDocument/2006/relationships/image" Target="media/image24.jpeg"/><Relationship Id="rId62" Type="http://schemas.openxmlformats.org/officeDocument/2006/relationships/image" Target="media/image40.jpeg"/><Relationship Id="rId83" Type="http://schemas.openxmlformats.org/officeDocument/2006/relationships/image" Target="media/image61.png"/><Relationship Id="rId88" Type="http://schemas.openxmlformats.org/officeDocument/2006/relationships/chart" Target="charts/chart8.xml"/><Relationship Id="rId111" Type="http://schemas.openxmlformats.org/officeDocument/2006/relationships/hyperlink" Target="https://doi.org/10.1016/j.cell.2020.03.035" TargetMode="External"/><Relationship Id="rId132" Type="http://schemas.openxmlformats.org/officeDocument/2006/relationships/hyperlink" Target="https://doi.org/10.1016/j.ejmech.2024.116172" TargetMode="External"/><Relationship Id="rId153" Type="http://schemas.openxmlformats.org/officeDocument/2006/relationships/hyperlink" Target="https://doi.org/10.1590/0074-02760200443" TargetMode="External"/><Relationship Id="rId174" Type="http://schemas.openxmlformats.org/officeDocument/2006/relationships/image" Target="media/image73.png"/><Relationship Id="rId179" Type="http://schemas.openxmlformats.org/officeDocument/2006/relationships/image" Target="media/image75.png"/><Relationship Id="rId190" Type="http://schemas.openxmlformats.org/officeDocument/2006/relationships/hyperlink" Target="https://www.medicines.org.uk/emc/files/pil.10720.pdf" TargetMode="External"/><Relationship Id="rId15" Type="http://schemas.openxmlformats.org/officeDocument/2006/relationships/chart" Target="charts/chart4.xml"/><Relationship Id="rId36" Type="http://schemas.openxmlformats.org/officeDocument/2006/relationships/image" Target="media/image19.png"/><Relationship Id="rId57" Type="http://schemas.openxmlformats.org/officeDocument/2006/relationships/image" Target="media/image35.jpeg"/><Relationship Id="rId106" Type="http://schemas.openxmlformats.org/officeDocument/2006/relationships/hyperlink" Target="https://doi.org/10.1016/j.cell.2020.02.058" TargetMode="External"/><Relationship Id="rId127" Type="http://schemas.openxmlformats.org/officeDocument/2006/relationships/hyperlink" Target="https://doi.org/10.1038/nature14460" TargetMode="External"/><Relationship Id="rId10" Type="http://schemas.openxmlformats.org/officeDocument/2006/relationships/image" Target="media/image2.png"/><Relationship Id="rId31" Type="http://schemas.openxmlformats.org/officeDocument/2006/relationships/oleObject" Target="embeddings/oleObject5.bin"/><Relationship Id="rId52" Type="http://schemas.openxmlformats.org/officeDocument/2006/relationships/image" Target="media/image31.png"/><Relationship Id="rId73" Type="http://schemas.openxmlformats.org/officeDocument/2006/relationships/image" Target="media/image51.jpeg"/><Relationship Id="rId78" Type="http://schemas.openxmlformats.org/officeDocument/2006/relationships/image" Target="media/image56.jpeg"/><Relationship Id="rId94" Type="http://schemas.openxmlformats.org/officeDocument/2006/relationships/image" Target="media/image68.png"/><Relationship Id="rId99" Type="http://schemas.openxmlformats.org/officeDocument/2006/relationships/chart" Target="charts/chart9.xml"/><Relationship Id="rId101" Type="http://schemas.openxmlformats.org/officeDocument/2006/relationships/chart" Target="charts/chart11.xml"/><Relationship Id="rId122" Type="http://schemas.openxmlformats.org/officeDocument/2006/relationships/hyperlink" Target="https://link.springer.com/book/10.1007/978-3-662-61684-0" TargetMode="External"/><Relationship Id="rId143" Type="http://schemas.openxmlformats.org/officeDocument/2006/relationships/hyperlink" Target="https://doi.org/10.1097/" TargetMode="External"/><Relationship Id="rId148" Type="http://schemas.openxmlformats.org/officeDocument/2006/relationships/hyperlink" Target="https://doi.org/10.3390/jcm9041131" TargetMode="External"/><Relationship Id="rId164" Type="http://schemas.openxmlformats.org/officeDocument/2006/relationships/hyperlink" Target="https://doi.org/10.11134/btp.4.2024.8" TargetMode="External"/><Relationship Id="rId169" Type="http://schemas.openxmlformats.org/officeDocument/2006/relationships/hyperlink" Target="https://doi.org/10.3390/v17091170" TargetMode="External"/><Relationship Id="rId185" Type="http://schemas.openxmlformats.org/officeDocument/2006/relationships/image" Target="media/image79.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76.png"/><Relationship Id="rId26" Type="http://schemas.openxmlformats.org/officeDocument/2006/relationships/image" Target="media/image12.wmf"/><Relationship Id="rId47" Type="http://schemas.openxmlformats.org/officeDocument/2006/relationships/hyperlink" Target="http://www.ncbi.nlm.nih.gov/tools/primer-blast" TargetMode="External"/><Relationship Id="rId68" Type="http://schemas.openxmlformats.org/officeDocument/2006/relationships/image" Target="media/image46.jpeg"/><Relationship Id="rId89" Type="http://schemas.openxmlformats.org/officeDocument/2006/relationships/image" Target="media/image63.png"/><Relationship Id="rId112" Type="http://schemas.openxmlformats.org/officeDocument/2006/relationships/hyperlink" Target="https://doi.org/10.3934/biophy.2015.3.343" TargetMode="External"/><Relationship Id="rId133" Type="http://schemas.openxmlformats.org/officeDocument/2006/relationships/hyperlink" Target="https://doi.org/10.1016/j.ijantimicag.2020.106004" TargetMode="External"/><Relationship Id="rId154" Type="http://schemas.openxmlformats.org/officeDocument/2006/relationships/hyperlink" Target="https://doi.org/10.1038/s41598-024-75038-4" TargetMode="External"/><Relationship Id="rId175" Type="http://schemas.openxmlformats.org/officeDocument/2006/relationships/hyperlink" Target="http://covariants.org/" TargetMode="External"/><Relationship Id="rId16" Type="http://schemas.openxmlformats.org/officeDocument/2006/relationships/image" Target="media/image4.png"/><Relationship Id="rId37" Type="http://schemas.openxmlformats.org/officeDocument/2006/relationships/image" Target="media/image20.png"/><Relationship Id="rId58" Type="http://schemas.openxmlformats.org/officeDocument/2006/relationships/image" Target="media/image36.jpeg"/><Relationship Id="rId79" Type="http://schemas.openxmlformats.org/officeDocument/2006/relationships/image" Target="media/image57.png"/><Relationship Id="rId102" Type="http://schemas.openxmlformats.org/officeDocument/2006/relationships/chart" Target="charts/chart12.xml"/><Relationship Id="rId123" Type="http://schemas.openxmlformats.org/officeDocument/2006/relationships/hyperlink" Target="https://doi.org/10.1099/jgv.0.001558" TargetMode="External"/><Relationship Id="rId144" Type="http://schemas.openxmlformats.org/officeDocument/2006/relationships/hyperlink" Target="https://doi.org/10.3390/v10090454" TargetMode="External"/><Relationship Id="rId90" Type="http://schemas.openxmlformats.org/officeDocument/2006/relationships/image" Target="media/image64.png"/><Relationship Id="rId165" Type="http://schemas.openxmlformats.org/officeDocument/2006/relationships/hyperlink" Target="http://dx.doi.org/10.13105/wjma.v10.i4.195" TargetMode="External"/><Relationship Id="rId186" Type="http://schemas.openxmlformats.org/officeDocument/2006/relationships/hyperlink" Target="https://pdf.hres.ca/dpd_pm/00059975.PDF" TargetMode="External"/><Relationship Id="rId27" Type="http://schemas.openxmlformats.org/officeDocument/2006/relationships/oleObject" Target="embeddings/oleObject3.bin"/><Relationship Id="rId48" Type="http://schemas.openxmlformats.org/officeDocument/2006/relationships/hyperlink" Target="https://blast.ncbi.nlm.nih.gov" TargetMode="External"/><Relationship Id="rId69" Type="http://schemas.openxmlformats.org/officeDocument/2006/relationships/image" Target="media/image47.jpeg"/><Relationship Id="rId113" Type="http://schemas.openxmlformats.org/officeDocument/2006/relationships/hyperlink" Target="https://doi.org/10.1001/jama.2020.1585" TargetMode="External"/><Relationship Id="rId134" Type="http://schemas.openxmlformats.org/officeDocument/2006/relationships/hyperlink" Target="https://doi.org/10.1016/j.mehy.2020.109755" TargetMode="External"/><Relationship Id="rId80" Type="http://schemas.openxmlformats.org/officeDocument/2006/relationships/image" Target="media/image58.png"/><Relationship Id="rId155" Type="http://schemas.openxmlformats.org/officeDocument/2006/relationships/hyperlink" Target="https://doi.org/10.1093/gbe/evad035" TargetMode="External"/><Relationship Id="rId176" Type="http://schemas.openxmlformats.org/officeDocument/2006/relationships/hyperlink" Target="http://cov-lineages.org/" TargetMode="External"/><Relationship Id="rId17" Type="http://schemas.openxmlformats.org/officeDocument/2006/relationships/image" Target="media/image5.png"/><Relationship Id="rId38" Type="http://schemas.openxmlformats.org/officeDocument/2006/relationships/image" Target="media/image21.jpeg"/><Relationship Id="rId59" Type="http://schemas.openxmlformats.org/officeDocument/2006/relationships/image" Target="media/image37.jpeg"/><Relationship Id="rId103" Type="http://schemas.openxmlformats.org/officeDocument/2006/relationships/hyperlink" Target="https://www.biorxiv.org/content/10.1101/2020.04.09.034942v2" TargetMode="External"/><Relationship Id="rId124" Type="http://schemas.openxmlformats.org/officeDocument/2006/relationships/hyperlink" Target="https://doi.org/10.1002/jmv.26990" TargetMode="External"/><Relationship Id="rId70" Type="http://schemas.openxmlformats.org/officeDocument/2006/relationships/image" Target="media/image48.jpeg"/><Relationship Id="rId91" Type="http://schemas.openxmlformats.org/officeDocument/2006/relationships/image" Target="media/image65.png"/><Relationship Id="rId145" Type="http://schemas.openxmlformats.org/officeDocument/2006/relationships/hyperlink" Target="https://www.frontiersin.org/journals/microbiology/articles/10.3389/fmicb.2022.908525/full" TargetMode="External"/><Relationship Id="rId166" Type="http://schemas.openxmlformats.org/officeDocument/2006/relationships/hyperlink" Target="https://newjournal.ssmu.kz/publication/513/2024-6-230-233/10.34689/SH.2024.26.6.026" TargetMode="External"/><Relationship Id="rId187" Type="http://schemas.openxmlformats.org/officeDocument/2006/relationships/image" Target="media/image80.png"/><Relationship Id="rId1" Type="http://schemas.openxmlformats.org/officeDocument/2006/relationships/customXml" Target="../customXml/item1.xml"/><Relationship Id="rId28" Type="http://schemas.openxmlformats.org/officeDocument/2006/relationships/image" Target="media/image13.wmf"/><Relationship Id="rId49" Type="http://schemas.openxmlformats.org/officeDocument/2006/relationships/hyperlink" Target="https://pangolin.cog-uk.io" TargetMode="External"/><Relationship Id="rId114" Type="http://schemas.openxmlformats.org/officeDocument/2006/relationships/hyperlink" Target="https://www.nejm.org/doi/full/10.1056/nejmoa2001316" TargetMode="External"/><Relationship Id="rId60" Type="http://schemas.openxmlformats.org/officeDocument/2006/relationships/image" Target="media/image38.jpeg"/><Relationship Id="rId81" Type="http://schemas.openxmlformats.org/officeDocument/2006/relationships/image" Target="media/image59.png"/><Relationship Id="rId135" Type="http://schemas.openxmlformats.org/officeDocument/2006/relationships/hyperlink" Target="https://doi.org/10.3390/v13102082" TargetMode="External"/><Relationship Id="rId156" Type="http://schemas.openxmlformats.org/officeDocument/2006/relationships/hyperlink" Target="https://doi.org/10.1186/1742-4690-8-14" TargetMode="External"/><Relationship Id="rId177" Type="http://schemas.openxmlformats.org/officeDocument/2006/relationships/hyperlink" Target="https://doi.org/10.3390/v14092009" TargetMode="External"/><Relationship Id="rId18" Type="http://schemas.openxmlformats.org/officeDocument/2006/relationships/image" Target="media/image6.png"/><Relationship Id="rId39" Type="http://schemas.openxmlformats.org/officeDocument/2006/relationships/image" Target="media/image2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8.xml"/><Relationship Id="rId1" Type="http://schemas.microsoft.com/office/2011/relationships/chartStyle" Target="style8.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9.xml"/><Relationship Id="rId1" Type="http://schemas.microsoft.com/office/2011/relationships/chartStyle" Target="style9.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1084;&#1077;&#1095;&#1090;&#1072;\Desktop\&#1057;&#1072;&#1082;&#1077;&#1085;\&#1047;&#1072;&#1082;&#1083;&#1102;&#1095;&#1080;&#1090;&#1077;&#1083;&#1100;&#1085;&#1099;&#1077;%20&#1076;&#1086;&#1082;&#1091;&#1084;&#1077;&#1085;&#1090;&#1099;%20&#1085;&#1072;%20&#1047;&#1072;&#1097;&#1080;&#1090;&#1072;%20&#1089;&#1090;&#1072;&#1078;&#1080;&#1088;&#1086;&#1074;&#1082;&#1080;%20&#1080;%20&#1086;&#1090;&#1079;&#1099;&#1074;&#1099;\METHA%20OD%20LEVELS\MTT-570nm%20TAF%2050-6.25.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1084;&#1077;&#1095;&#1090;&#1072;\Desktop\&#1057;&#1072;&#1082;&#1077;&#1085;\&#1047;&#1072;&#1082;&#1083;&#1102;&#1095;&#1080;&#1090;&#1077;&#1083;&#1100;&#1085;&#1099;&#1077;%20&#1076;&#1086;&#1082;&#1091;&#1084;&#1077;&#1085;&#1090;&#1099;%20&#1085;&#1072;%20&#1047;&#1072;&#1097;&#1080;&#1090;&#1072;%20&#1089;&#1090;&#1072;&#1078;&#1080;&#1088;&#1086;&#1074;&#1082;&#1080;%20&#1080;%20&#1086;&#1090;&#1079;&#1099;&#1074;&#1099;\METHA%20OD%20LEVELS\MTT-570nm%20TAF%2050-6.25.xlsx" TargetMode="External"/><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1084;&#1077;&#1095;&#1090;&#1072;\Desktop\&#1057;&#1072;&#1082;&#1077;&#1085;\&#1047;&#1072;&#1082;&#1083;&#1102;&#1095;&#1080;&#1090;&#1077;&#1083;&#1100;&#1085;&#1099;&#1077;%20&#1076;&#1086;&#1082;&#1091;&#1084;&#1077;&#1085;&#1090;&#1099;%20&#1085;&#1072;%20&#1047;&#1072;&#1097;&#1080;&#1090;&#1072;%20&#1089;&#1090;&#1072;&#1078;&#1080;&#1088;&#1086;&#1074;&#1082;&#1080;%20&#1080;%20&#1086;&#1090;&#1079;&#1099;&#1074;&#1099;\METHA%20OD%20LEVELS\MTT-570nm%20TAF%2050-6.25.xlsx" TargetMode="External"/><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1084;&#1077;&#1095;&#1090;&#1072;\Desktop\&#1057;&#1072;&#1082;&#1077;&#1085;\&#1047;&#1072;&#1082;&#1083;&#1102;&#1095;&#1080;&#1090;&#1077;&#1083;&#1100;&#1085;&#1099;&#1077;%20&#1076;&#1086;&#1082;&#1091;&#1084;&#1077;&#1085;&#1090;&#1099;%20&#1085;&#1072;%20&#1047;&#1072;&#1097;&#1080;&#1090;&#1072;%20&#1089;&#1090;&#1072;&#1078;&#1080;&#1088;&#1086;&#1074;&#1082;&#1080;%20&#1080;%20&#1086;&#1090;&#1079;&#1099;&#1074;&#1099;\METHA%20OD%20LEVELS\MTT-570nm%20TAF%2050-6.25.xlsx" TargetMode="External"/><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extLst>
              <c:ext xmlns:c16="http://schemas.microsoft.com/office/drawing/2014/chart" uri="{C3380CC4-5D6E-409C-BE32-E72D297353CC}">
                <c16:uniqueId val="{00000000-8C51-4C7C-B831-F8D16D349020}"/>
              </c:ext>
            </c:extLst>
          </c:dPt>
          <c:dPt>
            <c:idx val="1"/>
            <c:bubble3D val="0"/>
            <c:extLst>
              <c:ext xmlns:c16="http://schemas.microsoft.com/office/drawing/2014/chart" uri="{C3380CC4-5D6E-409C-BE32-E72D297353CC}">
                <c16:uniqueId val="{00000001-8C51-4C7C-B831-F8D16D349020}"/>
              </c:ext>
            </c:extLst>
          </c:dPt>
          <c:dPt>
            <c:idx val="2"/>
            <c:bubble3D val="0"/>
            <c:extLst>
              <c:ext xmlns:c16="http://schemas.microsoft.com/office/drawing/2014/chart" uri="{C3380CC4-5D6E-409C-BE32-E72D297353CC}">
                <c16:uniqueId val="{00000002-8C51-4C7C-B831-F8D16D349020}"/>
              </c:ext>
            </c:extLst>
          </c:dPt>
          <c:dPt>
            <c:idx val="3"/>
            <c:bubble3D val="0"/>
            <c:extLst>
              <c:ext xmlns:c16="http://schemas.microsoft.com/office/drawing/2014/chart" uri="{C3380CC4-5D6E-409C-BE32-E72D297353CC}">
                <c16:uniqueId val="{00000003-8C51-4C7C-B831-F8D16D349020}"/>
              </c:ext>
            </c:extLst>
          </c:dPt>
          <c:dPt>
            <c:idx val="4"/>
            <c:bubble3D val="0"/>
            <c:extLst>
              <c:ext xmlns:c16="http://schemas.microsoft.com/office/drawing/2014/chart" uri="{C3380CC4-5D6E-409C-BE32-E72D297353CC}">
                <c16:uniqueId val="{00000004-8C51-4C7C-B831-F8D16D349020}"/>
              </c:ext>
            </c:extLst>
          </c:dPt>
          <c:dLbls>
            <c:dLbl>
              <c:idx val="0"/>
              <c:layout>
                <c:manualLayout>
                  <c:x val="-0.22855763225835543"/>
                  <c:y val="5.599194507741533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8C51-4C7C-B831-F8D16D349020}"/>
                </c:ext>
              </c:extLst>
            </c:dLbl>
            <c:spPr>
              <a:noFill/>
              <a:ln>
                <a:noFill/>
              </a:ln>
              <a:effectLst/>
            </c:spPr>
            <c:txPr>
              <a:bodyPr rot="0" spcFirstLastPara="0" vertOverflow="ellipsis" vert="horz" wrap="square" lIns="38100" tIns="19050" rIns="38100" bIns="19050" anchor="ctr" anchorCtr="1"/>
              <a:lstStyle/>
              <a:p>
                <a:pPr>
                  <a:defRPr lang="ru-RU" sz="1400" b="0" i="0" u="none" strike="noStrike" kern="1200" baseline="0">
                    <a:solidFill>
                      <a:schemeClr val="tx1"/>
                    </a:solidFill>
                    <a:latin typeface="+mn-lt"/>
                    <a:ea typeface="+mn-ea"/>
                    <a:cs typeface="+mn-cs"/>
                  </a:defRPr>
                </a:pPr>
                <a:endParaRPr lang="ru-KZ"/>
              </a:p>
            </c:txPr>
            <c:dLblPos val="bestFit"/>
            <c:showLegendKey val="0"/>
            <c:showVal val="0"/>
            <c:showCatName val="1"/>
            <c:showSerName val="0"/>
            <c:showPercent val="1"/>
            <c:showBubbleSize val="0"/>
            <c:showLeaderLines val="1"/>
            <c:extLst>
              <c:ext xmlns:c15="http://schemas.microsoft.com/office/drawing/2012/chart" uri="{CE6537A1-D6FC-4f65-9D91-7224C49458BB}"/>
            </c:extLst>
          </c:dLbls>
          <c:cat>
            <c:strRef>
              <c:f>Лист1!$A$2:$A$6</c:f>
              <c:strCache>
                <c:ptCount val="5"/>
                <c:pt idx="0">
                  <c:v>HIV-1</c:v>
                </c:pt>
                <c:pt idx="1">
                  <c:v>HCV</c:v>
                </c:pt>
                <c:pt idx="2">
                  <c:v>HBV</c:v>
                </c:pt>
                <c:pt idx="3">
                  <c:v>HSV,HCMV</c:v>
                </c:pt>
                <c:pt idx="4">
                  <c:v>Other</c:v>
                </c:pt>
              </c:strCache>
            </c:strRef>
          </c:cat>
          <c:val>
            <c:numRef>
              <c:f>Лист1!$B$2:$B$6</c:f>
              <c:numCache>
                <c:formatCode>General</c:formatCode>
                <c:ptCount val="5"/>
                <c:pt idx="0">
                  <c:v>43</c:v>
                </c:pt>
                <c:pt idx="1">
                  <c:v>17</c:v>
                </c:pt>
                <c:pt idx="2">
                  <c:v>8</c:v>
                </c:pt>
                <c:pt idx="3">
                  <c:v>11</c:v>
                </c:pt>
                <c:pt idx="4">
                  <c:v>5</c:v>
                </c:pt>
              </c:numCache>
            </c:numRef>
          </c:val>
          <c:extLst>
            <c:ext xmlns:c16="http://schemas.microsoft.com/office/drawing/2014/chart" uri="{C3380CC4-5D6E-409C-BE32-E72D297353CC}">
              <c16:uniqueId val="{00000005-8C51-4C7C-B831-F8D16D349020}"/>
            </c:ext>
          </c:extLst>
        </c:ser>
        <c:dLbls>
          <c:showLegendKey val="0"/>
          <c:showVal val="0"/>
          <c:showCatName val="1"/>
          <c:showSerName val="0"/>
          <c:showPercent val="1"/>
          <c:showBubbleSize val="0"/>
          <c:showLeaderLines val="1"/>
        </c:dLbls>
        <c:firstSliceAng val="0"/>
      </c:pieChart>
    </c:plotArea>
    <c:plotVisOnly val="1"/>
    <c:dispBlanksAs val="gap"/>
    <c:showDLblsOverMax val="0"/>
    <c:extLst>
      <c:ext uri="{0b15fc19-7d7d-44ad-8c2d-2c3a37ce22c3}">
        <chartProps xmlns="https://web.wps.cn/et/2018/main" chartId="{64106fdd-5bea-41f3-936f-289ecef2ab09}"/>
      </c:ext>
    </c:extLst>
  </c:chart>
  <c:txPr>
    <a:bodyPr/>
    <a:lstStyle/>
    <a:p>
      <a:pPr>
        <a:defRPr lang="ru-RU"/>
      </a:pPr>
      <a:endParaRPr lang="ru-KZ"/>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Лист1!$B$1</c:f>
              <c:strCache>
                <c:ptCount val="1"/>
                <c:pt idx="0">
                  <c:v>Mildly</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800" b="1" i="0" u="none" strike="noStrike" kern="1200" baseline="0">
                    <a:solidFill>
                      <a:schemeClr val="lt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Лист1!$A$2:$A$8</c:f>
              <c:strCache>
                <c:ptCount val="6"/>
                <c:pt idx="0">
                  <c:v>Virus accumulation, lg, PFU/ml </c:v>
                </c:pt>
                <c:pt idx="1">
                  <c:v>Suppression of reproduction
virus, lg
</c:v>
                </c:pt>
                <c:pt idx="2">
                  <c:v>RdRP Inhibition, coefficient, Percentage % </c:v>
                </c:pt>
                <c:pt idx="3">
                  <c:v>Daily dosage, mg</c:v>
                </c:pt>
                <c:pt idx="4">
                  <c:v>Cellular toxicity dosage, mg/ml</c:v>
                </c:pt>
                <c:pt idx="5">
                  <c:v>Period of Administration, days</c:v>
                </c:pt>
              </c:strCache>
            </c:strRef>
          </c:cat>
          <c:val>
            <c:numRef>
              <c:f>Лист1!$B$2:$B$8</c:f>
              <c:numCache>
                <c:formatCode>General</c:formatCode>
                <c:ptCount val="7"/>
                <c:pt idx="0">
                  <c:v>5.03</c:v>
                </c:pt>
                <c:pt idx="1">
                  <c:v>2.17</c:v>
                </c:pt>
                <c:pt idx="2">
                  <c:v>99.31</c:v>
                </c:pt>
                <c:pt idx="3">
                  <c:v>300</c:v>
                </c:pt>
                <c:pt idx="4">
                  <c:v>50</c:v>
                </c:pt>
                <c:pt idx="5">
                  <c:v>28</c:v>
                </c:pt>
              </c:numCache>
            </c:numRef>
          </c:val>
          <c:extLst>
            <c:ext xmlns:c16="http://schemas.microsoft.com/office/drawing/2014/chart" uri="{C3380CC4-5D6E-409C-BE32-E72D297353CC}">
              <c16:uniqueId val="{00000000-2C17-4CDD-A203-E026F8016AF1}"/>
            </c:ext>
          </c:extLst>
        </c:ser>
        <c:ser>
          <c:idx val="1"/>
          <c:order val="1"/>
          <c:tx>
            <c:strRef>
              <c:f>Лист1!$C$1</c:f>
              <c:strCache>
                <c:ptCount val="1"/>
                <c:pt idx="0">
                  <c:v>Столбец1</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800" b="1" i="0" u="none" strike="noStrike" kern="1200" baseline="0">
                    <a:solidFill>
                      <a:schemeClr val="lt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Лист1!$A$2:$A$8</c:f>
              <c:strCache>
                <c:ptCount val="6"/>
                <c:pt idx="0">
                  <c:v>Virus accumulation, lg, PFU/ml </c:v>
                </c:pt>
                <c:pt idx="1">
                  <c:v>Suppression of reproduction
virus, lg
</c:v>
                </c:pt>
                <c:pt idx="2">
                  <c:v>RdRP Inhibition, coefficient, Percentage % </c:v>
                </c:pt>
                <c:pt idx="3">
                  <c:v>Daily dosage, mg</c:v>
                </c:pt>
                <c:pt idx="4">
                  <c:v>Cellular toxicity dosage, mg/ml</c:v>
                </c:pt>
                <c:pt idx="5">
                  <c:v>Period of Administration, days</c:v>
                </c:pt>
              </c:strCache>
            </c:strRef>
          </c:cat>
          <c:val>
            <c:numRef>
              <c:f>Лист1!$C$2:$C$8</c:f>
              <c:numCache>
                <c:formatCode>General</c:formatCode>
                <c:ptCount val="7"/>
              </c:numCache>
            </c:numRef>
          </c:val>
          <c:extLst>
            <c:ext xmlns:c16="http://schemas.microsoft.com/office/drawing/2014/chart" uri="{C3380CC4-5D6E-409C-BE32-E72D297353CC}">
              <c16:uniqueId val="{00000001-2C17-4CDD-A203-E026F8016AF1}"/>
            </c:ext>
          </c:extLst>
        </c:ser>
        <c:ser>
          <c:idx val="2"/>
          <c:order val="2"/>
          <c:tx>
            <c:strRef>
              <c:f>Лист1!$D$1</c:f>
              <c:strCache>
                <c:ptCount val="1"/>
                <c:pt idx="0">
                  <c:v>Столбец2</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800" b="1" i="0" u="none" strike="noStrike" kern="1200" baseline="0">
                    <a:solidFill>
                      <a:schemeClr val="lt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Лист1!$A$2:$A$8</c:f>
              <c:strCache>
                <c:ptCount val="6"/>
                <c:pt idx="0">
                  <c:v>Virus accumulation, lg, PFU/ml </c:v>
                </c:pt>
                <c:pt idx="1">
                  <c:v>Suppression of reproduction
virus, lg
</c:v>
                </c:pt>
                <c:pt idx="2">
                  <c:v>RdRP Inhibition, coefficient, Percentage % </c:v>
                </c:pt>
                <c:pt idx="3">
                  <c:v>Daily dosage, mg</c:v>
                </c:pt>
                <c:pt idx="4">
                  <c:v>Cellular toxicity dosage, mg/ml</c:v>
                </c:pt>
                <c:pt idx="5">
                  <c:v>Period of Administration, days</c:v>
                </c:pt>
              </c:strCache>
            </c:strRef>
          </c:cat>
          <c:val>
            <c:numRef>
              <c:f>Лист1!$D$2:$D$8</c:f>
              <c:numCache>
                <c:formatCode>General</c:formatCode>
                <c:ptCount val="7"/>
              </c:numCache>
            </c:numRef>
          </c:val>
          <c:extLst>
            <c:ext xmlns:c16="http://schemas.microsoft.com/office/drawing/2014/chart" uri="{C3380CC4-5D6E-409C-BE32-E72D297353CC}">
              <c16:uniqueId val="{00000002-2C17-4CDD-A203-E026F8016AF1}"/>
            </c:ext>
          </c:extLst>
        </c:ser>
        <c:dLbls>
          <c:showLegendKey val="0"/>
          <c:showVal val="1"/>
          <c:showCatName val="0"/>
          <c:showSerName val="0"/>
          <c:showPercent val="0"/>
          <c:showBubbleSize val="0"/>
        </c:dLbls>
        <c:gapWidth val="79"/>
        <c:overlap val="100"/>
        <c:axId val="1526660864"/>
        <c:axId val="1292245312"/>
      </c:barChart>
      <c:catAx>
        <c:axId val="1526660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8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292245312"/>
        <c:crosses val="autoZero"/>
        <c:auto val="1"/>
        <c:lblAlgn val="ctr"/>
        <c:lblOffset val="100"/>
        <c:noMultiLvlLbl val="0"/>
      </c:catAx>
      <c:valAx>
        <c:axId val="1292245312"/>
        <c:scaling>
          <c:orientation val="minMax"/>
        </c:scaling>
        <c:delete val="1"/>
        <c:axPos val="b"/>
        <c:numFmt formatCode="0%" sourceLinked="1"/>
        <c:majorTickMark val="none"/>
        <c:minorTickMark val="none"/>
        <c:tickLblPos val="nextTo"/>
        <c:crossAx val="1526660864"/>
        <c:crosses val="autoZero"/>
        <c:crossBetween val="between"/>
      </c:valAx>
      <c:spPr>
        <a:noFill/>
        <a:ln>
          <a:noFill/>
        </a:ln>
        <a:effectLst/>
      </c:spPr>
    </c:plotArea>
    <c:plotVisOnly val="1"/>
    <c:dispBlanksAs val="gap"/>
    <c:showDLblsOverMax val="0"/>
    <c:extLst>
      <c:ext uri="{0b15fc19-7d7d-44ad-8c2d-2c3a37ce22c3}">
        <chartProps xmlns="https://web.wps.cn/et/2018/main" chartId="{dfe06332-52d7-41dc-9aaf-874ed105391b}"/>
      </c:ext>
    </c:extLst>
  </c:chart>
  <c:spPr>
    <a:solidFill>
      <a:schemeClr val="lt1"/>
    </a:solidFill>
    <a:ln w="9525" cap="flat" cmpd="sng" algn="ctr">
      <a:solidFill>
        <a:schemeClr val="tx1">
          <a:lumMod val="15000"/>
          <a:lumOff val="85000"/>
        </a:schemeClr>
      </a:solidFill>
      <a:round/>
    </a:ln>
    <a:effectLst/>
  </c:spPr>
  <c:txPr>
    <a:bodyPr/>
    <a:lstStyle/>
    <a:p>
      <a:pPr>
        <a:defRPr lang="ru-RU"/>
      </a:pPr>
      <a:endParaRPr lang="ru-KZ"/>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Лист1!$B$1</c:f>
              <c:strCache>
                <c:ptCount val="1"/>
                <c:pt idx="0">
                  <c:v>Mildly</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800" b="1" i="0" u="none" strike="noStrike" kern="1200" baseline="0">
                    <a:solidFill>
                      <a:schemeClr val="lt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Лист1!$A$2:$A$8</c:f>
              <c:strCache>
                <c:ptCount val="6"/>
                <c:pt idx="0">
                  <c:v>Virus accumulation, lg, PFU/ml </c:v>
                </c:pt>
                <c:pt idx="1">
                  <c:v>Suppression of reproduction
virus, lg
</c:v>
                </c:pt>
                <c:pt idx="2">
                  <c:v>RdRP Inhibition, coefficient, Percentage % </c:v>
                </c:pt>
                <c:pt idx="3">
                  <c:v>Daily dosage, mg</c:v>
                </c:pt>
                <c:pt idx="4">
                  <c:v>Cellular toxicity dosage, mg/ml</c:v>
                </c:pt>
                <c:pt idx="5">
                  <c:v>Period of Administration, every h</c:v>
                </c:pt>
              </c:strCache>
            </c:strRef>
          </c:cat>
          <c:val>
            <c:numRef>
              <c:f>Лист1!$B$2:$B$8</c:f>
              <c:numCache>
                <c:formatCode>General</c:formatCode>
                <c:ptCount val="7"/>
                <c:pt idx="0">
                  <c:v>6.4</c:v>
                </c:pt>
                <c:pt idx="1">
                  <c:v>0.8</c:v>
                </c:pt>
                <c:pt idx="2">
                  <c:v>80</c:v>
                </c:pt>
                <c:pt idx="3">
                  <c:v>600</c:v>
                </c:pt>
                <c:pt idx="4">
                  <c:v>50</c:v>
                </c:pt>
                <c:pt idx="5">
                  <c:v>8</c:v>
                </c:pt>
              </c:numCache>
            </c:numRef>
          </c:val>
          <c:extLst>
            <c:ext xmlns:c16="http://schemas.microsoft.com/office/drawing/2014/chart" uri="{C3380CC4-5D6E-409C-BE32-E72D297353CC}">
              <c16:uniqueId val="{00000000-B194-4DA9-A5FE-70325A454D18}"/>
            </c:ext>
          </c:extLst>
        </c:ser>
        <c:ser>
          <c:idx val="1"/>
          <c:order val="1"/>
          <c:tx>
            <c:strRef>
              <c:f>Лист1!$C$1</c:f>
              <c:strCache>
                <c:ptCount val="1"/>
                <c:pt idx="0">
                  <c:v>Столбец1</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800" b="1" i="0" u="none" strike="noStrike" kern="1200" baseline="0">
                    <a:solidFill>
                      <a:schemeClr val="lt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Лист1!$A$2:$A$8</c:f>
              <c:strCache>
                <c:ptCount val="6"/>
                <c:pt idx="0">
                  <c:v>Virus accumulation, lg, PFU/ml </c:v>
                </c:pt>
                <c:pt idx="1">
                  <c:v>Suppression of reproduction
virus, lg
</c:v>
                </c:pt>
                <c:pt idx="2">
                  <c:v>RdRP Inhibition, coefficient, Percentage % </c:v>
                </c:pt>
                <c:pt idx="3">
                  <c:v>Daily dosage, mg</c:v>
                </c:pt>
                <c:pt idx="4">
                  <c:v>Cellular toxicity dosage, mg/ml</c:v>
                </c:pt>
                <c:pt idx="5">
                  <c:v>Period of Administration, every h</c:v>
                </c:pt>
              </c:strCache>
            </c:strRef>
          </c:cat>
          <c:val>
            <c:numRef>
              <c:f>Лист1!$C$2:$C$8</c:f>
              <c:numCache>
                <c:formatCode>General</c:formatCode>
                <c:ptCount val="7"/>
              </c:numCache>
            </c:numRef>
          </c:val>
          <c:extLst>
            <c:ext xmlns:c16="http://schemas.microsoft.com/office/drawing/2014/chart" uri="{C3380CC4-5D6E-409C-BE32-E72D297353CC}">
              <c16:uniqueId val="{00000001-B194-4DA9-A5FE-70325A454D18}"/>
            </c:ext>
          </c:extLst>
        </c:ser>
        <c:ser>
          <c:idx val="2"/>
          <c:order val="2"/>
          <c:tx>
            <c:strRef>
              <c:f>Лист1!$D$1</c:f>
              <c:strCache>
                <c:ptCount val="1"/>
                <c:pt idx="0">
                  <c:v>Столбец2</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800" b="1" i="0" u="none" strike="noStrike" kern="1200" baseline="0">
                    <a:solidFill>
                      <a:schemeClr val="lt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Лист1!$A$2:$A$8</c:f>
              <c:strCache>
                <c:ptCount val="6"/>
                <c:pt idx="0">
                  <c:v>Virus accumulation, lg, PFU/ml </c:v>
                </c:pt>
                <c:pt idx="1">
                  <c:v>Suppression of reproduction
virus, lg
</c:v>
                </c:pt>
                <c:pt idx="2">
                  <c:v>RdRP Inhibition, coefficient, Percentage % </c:v>
                </c:pt>
                <c:pt idx="3">
                  <c:v>Daily dosage, mg</c:v>
                </c:pt>
                <c:pt idx="4">
                  <c:v>Cellular toxicity dosage, mg/ml</c:v>
                </c:pt>
                <c:pt idx="5">
                  <c:v>Period of Administration, every h</c:v>
                </c:pt>
              </c:strCache>
            </c:strRef>
          </c:cat>
          <c:val>
            <c:numRef>
              <c:f>Лист1!$D$2:$D$8</c:f>
              <c:numCache>
                <c:formatCode>General</c:formatCode>
                <c:ptCount val="7"/>
              </c:numCache>
            </c:numRef>
          </c:val>
          <c:extLst>
            <c:ext xmlns:c16="http://schemas.microsoft.com/office/drawing/2014/chart" uri="{C3380CC4-5D6E-409C-BE32-E72D297353CC}">
              <c16:uniqueId val="{00000002-B194-4DA9-A5FE-70325A454D18}"/>
            </c:ext>
          </c:extLst>
        </c:ser>
        <c:dLbls>
          <c:showLegendKey val="0"/>
          <c:showVal val="1"/>
          <c:showCatName val="0"/>
          <c:showSerName val="0"/>
          <c:showPercent val="0"/>
          <c:showBubbleSize val="0"/>
        </c:dLbls>
        <c:gapWidth val="79"/>
        <c:overlap val="100"/>
        <c:axId val="1526660864"/>
        <c:axId val="1292245312"/>
      </c:barChart>
      <c:catAx>
        <c:axId val="1526660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8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292245312"/>
        <c:crosses val="autoZero"/>
        <c:auto val="1"/>
        <c:lblAlgn val="ctr"/>
        <c:lblOffset val="100"/>
        <c:noMultiLvlLbl val="0"/>
      </c:catAx>
      <c:valAx>
        <c:axId val="1292245312"/>
        <c:scaling>
          <c:orientation val="minMax"/>
        </c:scaling>
        <c:delete val="1"/>
        <c:axPos val="b"/>
        <c:numFmt formatCode="0%" sourceLinked="1"/>
        <c:majorTickMark val="none"/>
        <c:minorTickMark val="none"/>
        <c:tickLblPos val="nextTo"/>
        <c:crossAx val="1526660864"/>
        <c:crosses val="autoZero"/>
        <c:crossBetween val="between"/>
      </c:valAx>
      <c:spPr>
        <a:noFill/>
        <a:ln>
          <a:noFill/>
        </a:ln>
        <a:effectLst/>
      </c:spPr>
    </c:plotArea>
    <c:plotVisOnly val="1"/>
    <c:dispBlanksAs val="gap"/>
    <c:showDLblsOverMax val="0"/>
    <c:extLst>
      <c:ext uri="{0b15fc19-7d7d-44ad-8c2d-2c3a37ce22c3}">
        <chartProps xmlns="https://web.wps.cn/et/2018/main" chartId="{8a4812bc-0ee7-4ad8-af6c-afc81225039e}"/>
      </c:ext>
    </c:extLst>
  </c:chart>
  <c:spPr>
    <a:solidFill>
      <a:schemeClr val="lt1"/>
    </a:solidFill>
    <a:ln w="9525" cap="flat" cmpd="sng" algn="ctr">
      <a:solidFill>
        <a:schemeClr val="tx1">
          <a:lumMod val="15000"/>
          <a:lumOff val="85000"/>
        </a:schemeClr>
      </a:solidFill>
      <a:round/>
    </a:ln>
    <a:effectLst/>
  </c:spPr>
  <c:txPr>
    <a:bodyPr/>
    <a:lstStyle/>
    <a:p>
      <a:pPr>
        <a:defRPr lang="ru-RU"/>
      </a:pPr>
      <a:endParaRPr lang="ru-KZ"/>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481300827008402"/>
          <c:y val="0.263088369341763"/>
          <c:w val="0.47550410490651501"/>
          <c:h val="0.70920227105232503"/>
        </c:manualLayout>
      </c:layout>
      <c:barChart>
        <c:barDir val="bar"/>
        <c:grouping val="percentStacked"/>
        <c:varyColors val="0"/>
        <c:ser>
          <c:idx val="0"/>
          <c:order val="0"/>
          <c:tx>
            <c:strRef>
              <c:f>Лист1!$B$1</c:f>
              <c:strCache>
                <c:ptCount val="1"/>
                <c:pt idx="0">
                  <c:v>Fabiflu</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800" b="1" i="0" u="none" strike="noStrike" kern="1200" baseline="0">
                    <a:solidFill>
                      <a:schemeClr val="lt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Лист1!$A$2:$A$7</c:f>
              <c:strCache>
                <c:ptCount val="6"/>
                <c:pt idx="0">
                  <c:v>Cellular toxicity dosage ,mg/l</c:v>
                </c:pt>
                <c:pt idx="1">
                  <c:v>Daily dosage, mg</c:v>
                </c:pt>
                <c:pt idx="2">
                  <c:v>Period of administration, days</c:v>
                </c:pt>
                <c:pt idx="3">
                  <c:v>RdRP inhibiton, coffecient in %</c:v>
                </c:pt>
                <c:pt idx="4">
                  <c:v>Suppression of reproduction, virus, lg</c:v>
                </c:pt>
                <c:pt idx="5">
                  <c:v>Virus accumulation, lg, PFU/ml</c:v>
                </c:pt>
              </c:strCache>
            </c:strRef>
          </c:cat>
          <c:val>
            <c:numRef>
              <c:f>Лист1!$B$2:$B$7</c:f>
              <c:numCache>
                <c:formatCode>General</c:formatCode>
                <c:ptCount val="6"/>
                <c:pt idx="0">
                  <c:v>50</c:v>
                </c:pt>
                <c:pt idx="1">
                  <c:v>400</c:v>
                </c:pt>
                <c:pt idx="2">
                  <c:v>7</c:v>
                </c:pt>
                <c:pt idx="3">
                  <c:v>37.369999999999997</c:v>
                </c:pt>
                <c:pt idx="4">
                  <c:v>0.21</c:v>
                </c:pt>
                <c:pt idx="5">
                  <c:v>7.1</c:v>
                </c:pt>
              </c:numCache>
            </c:numRef>
          </c:val>
          <c:extLst>
            <c:ext xmlns:c16="http://schemas.microsoft.com/office/drawing/2014/chart" uri="{C3380CC4-5D6E-409C-BE32-E72D297353CC}">
              <c16:uniqueId val="{00000000-C55F-4F88-A1B0-78E9E58CD2DD}"/>
            </c:ext>
          </c:extLst>
        </c:ser>
        <c:ser>
          <c:idx val="1"/>
          <c:order val="1"/>
          <c:tx>
            <c:strRef>
              <c:f>Лист1!$C$1</c:f>
              <c:strCache>
                <c:ptCount val="1"/>
                <c:pt idx="0">
                  <c:v>Tenvir</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800" b="1" i="0" u="none" strike="noStrike" kern="1200" baseline="0">
                    <a:solidFill>
                      <a:schemeClr val="lt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Лист1!$A$2:$A$7</c:f>
              <c:strCache>
                <c:ptCount val="6"/>
                <c:pt idx="0">
                  <c:v>Cellular toxicity dosage ,mg/l</c:v>
                </c:pt>
                <c:pt idx="1">
                  <c:v>Daily dosage, mg</c:v>
                </c:pt>
                <c:pt idx="2">
                  <c:v>Period of administration, days</c:v>
                </c:pt>
                <c:pt idx="3">
                  <c:v>RdRP inhibiton, coffecient in %</c:v>
                </c:pt>
                <c:pt idx="4">
                  <c:v>Suppression of reproduction, virus, lg</c:v>
                </c:pt>
                <c:pt idx="5">
                  <c:v>Virus accumulation, lg, PFU/ml</c:v>
                </c:pt>
              </c:strCache>
            </c:strRef>
          </c:cat>
          <c:val>
            <c:numRef>
              <c:f>Лист1!$C$2:$C$7</c:f>
              <c:numCache>
                <c:formatCode>General</c:formatCode>
                <c:ptCount val="6"/>
                <c:pt idx="0">
                  <c:v>50</c:v>
                </c:pt>
                <c:pt idx="1">
                  <c:v>300</c:v>
                </c:pt>
                <c:pt idx="2">
                  <c:v>7</c:v>
                </c:pt>
                <c:pt idx="3">
                  <c:v>100</c:v>
                </c:pt>
                <c:pt idx="4" formatCode="0.00">
                  <c:v>2.17</c:v>
                </c:pt>
                <c:pt idx="5">
                  <c:v>5.03</c:v>
                </c:pt>
              </c:numCache>
            </c:numRef>
          </c:val>
          <c:extLst>
            <c:ext xmlns:c16="http://schemas.microsoft.com/office/drawing/2014/chart" uri="{C3380CC4-5D6E-409C-BE32-E72D297353CC}">
              <c16:uniqueId val="{00000001-C55F-4F88-A1B0-78E9E58CD2DD}"/>
            </c:ext>
          </c:extLst>
        </c:ser>
        <c:ser>
          <c:idx val="2"/>
          <c:order val="2"/>
          <c:tx>
            <c:strRef>
              <c:f>Лист1!$D$1</c:f>
              <c:strCache>
                <c:ptCount val="1"/>
                <c:pt idx="0">
                  <c:v>Ribavirin</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800" b="1" i="0" u="none" strike="noStrike" kern="1200" baseline="0">
                    <a:solidFill>
                      <a:schemeClr val="lt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Лист1!$A$2:$A$7</c:f>
              <c:strCache>
                <c:ptCount val="6"/>
                <c:pt idx="0">
                  <c:v>Cellular toxicity dosage ,mg/l</c:v>
                </c:pt>
                <c:pt idx="1">
                  <c:v>Daily dosage, mg</c:v>
                </c:pt>
                <c:pt idx="2">
                  <c:v>Period of administration, days</c:v>
                </c:pt>
                <c:pt idx="3">
                  <c:v>RdRP inhibiton, coffecient in %</c:v>
                </c:pt>
                <c:pt idx="4">
                  <c:v>Suppression of reproduction, virus, lg</c:v>
                </c:pt>
                <c:pt idx="5">
                  <c:v>Virus accumulation, lg, PFU/ml</c:v>
                </c:pt>
              </c:strCache>
            </c:strRef>
          </c:cat>
          <c:val>
            <c:numRef>
              <c:f>Лист1!$D$2:$D$7</c:f>
              <c:numCache>
                <c:formatCode>General</c:formatCode>
                <c:ptCount val="6"/>
                <c:pt idx="0">
                  <c:v>50</c:v>
                </c:pt>
                <c:pt idx="1">
                  <c:v>600</c:v>
                </c:pt>
                <c:pt idx="2">
                  <c:v>7</c:v>
                </c:pt>
                <c:pt idx="3">
                  <c:v>80</c:v>
                </c:pt>
                <c:pt idx="4">
                  <c:v>0.8</c:v>
                </c:pt>
                <c:pt idx="5">
                  <c:v>6.4</c:v>
                </c:pt>
              </c:numCache>
            </c:numRef>
          </c:val>
          <c:extLst>
            <c:ext xmlns:c16="http://schemas.microsoft.com/office/drawing/2014/chart" uri="{C3380CC4-5D6E-409C-BE32-E72D297353CC}">
              <c16:uniqueId val="{00000002-C55F-4F88-A1B0-78E9E58CD2DD}"/>
            </c:ext>
          </c:extLst>
        </c:ser>
        <c:dLbls>
          <c:showLegendKey val="0"/>
          <c:showVal val="1"/>
          <c:showCatName val="0"/>
          <c:showSerName val="0"/>
          <c:showPercent val="0"/>
          <c:showBubbleSize val="0"/>
        </c:dLbls>
        <c:gapWidth val="79"/>
        <c:overlap val="100"/>
        <c:axId val="1370108991"/>
        <c:axId val="1378895743"/>
      </c:barChart>
      <c:dateAx>
        <c:axId val="1370108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forceAA="0"/>
          <a:lstStyle/>
          <a:p>
            <a:pPr>
              <a:defRPr lang="ru-RU" sz="8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378895743"/>
        <c:crosses val="autoZero"/>
        <c:auto val="0"/>
        <c:lblOffset val="100"/>
        <c:baseTimeUnit val="days"/>
      </c:dateAx>
      <c:valAx>
        <c:axId val="1378895743"/>
        <c:scaling>
          <c:orientation val="minMax"/>
        </c:scaling>
        <c:delete val="1"/>
        <c:axPos val="b"/>
        <c:numFmt formatCode="0%" sourceLinked="1"/>
        <c:majorTickMark val="none"/>
        <c:minorTickMark val="none"/>
        <c:tickLblPos val="nextTo"/>
        <c:crossAx val="1370108991"/>
        <c:crosses val="autoZero"/>
        <c:crossBetween val="between"/>
      </c:valAx>
      <c:spPr>
        <a:noFill/>
        <a:ln>
          <a:noFill/>
        </a:ln>
        <a:effectLst/>
      </c:spPr>
    </c:plotArea>
    <c:legend>
      <c:legendPos val="t"/>
      <c:layout>
        <c:manualLayout>
          <c:xMode val="edge"/>
          <c:yMode val="edge"/>
          <c:x val="0.24215491120895069"/>
          <c:y val="0.15151919437370032"/>
          <c:w val="0.74483070375854332"/>
          <c:h val="7.3289562840253272E-2"/>
        </c:manualLayout>
      </c:layout>
      <c:overlay val="0"/>
      <c:spPr>
        <a:noFill/>
        <a:ln>
          <a:noFill/>
        </a:ln>
        <a:effectLst/>
      </c:spPr>
      <c:txPr>
        <a:bodyPr rot="0" spcFirstLastPara="1" vertOverflow="ellipsis" vert="horz" wrap="square" anchor="ctr" anchorCtr="1"/>
        <a:lstStyle/>
        <a:p>
          <a:pPr>
            <a:defRPr lang="ru-RU"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extLst>
      <c:ext uri="{0b15fc19-7d7d-44ad-8c2d-2c3a37ce22c3}">
        <chartProps xmlns="https://web.wps.cn/et/2018/main" chartId="{4fa7253a-5a27-4f1a-ba59-3ca8dc33bfb3}"/>
      </c:ext>
    </c:extLst>
  </c:chart>
  <c:spPr>
    <a:solidFill>
      <a:schemeClr val="lt1"/>
    </a:solidFill>
    <a:ln w="9525" cap="flat" cmpd="sng" algn="ctr">
      <a:solidFill>
        <a:schemeClr val="tx1">
          <a:lumMod val="15000"/>
          <a:lumOff val="85000"/>
        </a:schemeClr>
      </a:solidFill>
      <a:round/>
    </a:ln>
    <a:effectLst/>
  </c:spPr>
  <c:txPr>
    <a:bodyPr/>
    <a:lstStyle/>
    <a:p>
      <a:pPr algn="just">
        <a:defRPr lang="ru-RU"/>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extLst>
              <c:ext xmlns:c16="http://schemas.microsoft.com/office/drawing/2014/chart" uri="{C3380CC4-5D6E-409C-BE32-E72D297353CC}">
                <c16:uniqueId val="{00000000-AC0F-4133-B281-CD98BF4CEFF4}"/>
              </c:ext>
            </c:extLst>
          </c:dPt>
          <c:dPt>
            <c:idx val="1"/>
            <c:bubble3D val="0"/>
            <c:extLst>
              <c:ext xmlns:c16="http://schemas.microsoft.com/office/drawing/2014/chart" uri="{C3380CC4-5D6E-409C-BE32-E72D297353CC}">
                <c16:uniqueId val="{00000001-AC0F-4133-B281-CD98BF4CEFF4}"/>
              </c:ext>
            </c:extLst>
          </c:dPt>
          <c:dPt>
            <c:idx val="2"/>
            <c:bubble3D val="0"/>
            <c:extLst>
              <c:ext xmlns:c16="http://schemas.microsoft.com/office/drawing/2014/chart" uri="{C3380CC4-5D6E-409C-BE32-E72D297353CC}">
                <c16:uniqueId val="{00000002-AC0F-4133-B281-CD98BF4CEFF4}"/>
              </c:ext>
            </c:extLst>
          </c:dPt>
          <c:dPt>
            <c:idx val="3"/>
            <c:bubble3D val="0"/>
            <c:extLst>
              <c:ext xmlns:c16="http://schemas.microsoft.com/office/drawing/2014/chart" uri="{C3380CC4-5D6E-409C-BE32-E72D297353CC}">
                <c16:uniqueId val="{00000003-AC0F-4133-B281-CD98BF4CEFF4}"/>
              </c:ext>
            </c:extLst>
          </c:dPt>
          <c:dPt>
            <c:idx val="4"/>
            <c:bubble3D val="0"/>
            <c:extLst>
              <c:ext xmlns:c16="http://schemas.microsoft.com/office/drawing/2014/chart" uri="{C3380CC4-5D6E-409C-BE32-E72D297353CC}">
                <c16:uniqueId val="{00000004-AC0F-4133-B281-CD98BF4CEFF4}"/>
              </c:ext>
            </c:extLst>
          </c:dPt>
          <c:dPt>
            <c:idx val="5"/>
            <c:bubble3D val="0"/>
            <c:extLst>
              <c:ext xmlns:c16="http://schemas.microsoft.com/office/drawing/2014/chart" uri="{C3380CC4-5D6E-409C-BE32-E72D297353CC}">
                <c16:uniqueId val="{00000005-AC0F-4133-B281-CD98BF4CEFF4}"/>
              </c:ext>
            </c:extLst>
          </c:dPt>
          <c:dLbls>
            <c:dLbl>
              <c:idx val="0"/>
              <c:layout>
                <c:manualLayout>
                  <c:x val="-0.21391793089759101"/>
                  <c:y val="8.2473807874048496E-2"/>
                </c:manualLayout>
              </c:layout>
              <c:tx>
                <c:rich>
                  <a:bodyPr/>
                  <a:lstStyle/>
                  <a:p>
                    <a:r>
                      <a:rPr lang="en-US" sz="700"/>
                      <a:t>Polymerase
37%</a:t>
                    </a:r>
                  </a:p>
                </c:rich>
              </c:tx>
              <c:dLblPos val="bestFit"/>
              <c:showLegendKey val="0"/>
              <c:showVal val="0"/>
              <c:showCatName val="1"/>
              <c:showSerName val="0"/>
              <c:showPercent val="1"/>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0-AC0F-4133-B281-CD98BF4CEFF4}"/>
                </c:ext>
              </c:extLst>
            </c:dLbl>
            <c:spPr>
              <a:noFill/>
              <a:ln>
                <a:noFill/>
              </a:ln>
              <a:effectLst/>
            </c:spPr>
            <c:txPr>
              <a:bodyPr rot="0" spcFirstLastPara="0" vertOverflow="ellipsis" vert="horz" wrap="square" lIns="38100" tIns="19050" rIns="38100" bIns="19050" anchor="ctr" anchorCtr="1"/>
              <a:lstStyle/>
              <a:p>
                <a:pPr>
                  <a:defRPr lang="ru-RU" sz="900" b="0" i="0" u="none" strike="noStrike" kern="1200" baseline="0">
                    <a:solidFill>
                      <a:schemeClr val="tx1"/>
                    </a:solidFill>
                    <a:latin typeface="+mn-lt"/>
                    <a:ea typeface="+mn-ea"/>
                    <a:cs typeface="+mn-cs"/>
                  </a:defRPr>
                </a:pPr>
                <a:endParaRPr lang="ru-KZ"/>
              </a:p>
            </c:txPr>
            <c:dLblPos val="bestFit"/>
            <c:showLegendKey val="0"/>
            <c:showVal val="0"/>
            <c:showCatName val="1"/>
            <c:showSerName val="0"/>
            <c:showPercent val="1"/>
            <c:showBubbleSize val="0"/>
            <c:showLeaderLines val="0"/>
            <c:extLst>
              <c:ext xmlns:c15="http://schemas.microsoft.com/office/drawing/2012/chart" uri="{CE6537A1-D6FC-4f65-9D91-7224C49458BB}"/>
            </c:extLst>
          </c:dLbls>
          <c:cat>
            <c:strRef>
              <c:f>Лист1!$A$2:$A$7</c:f>
              <c:strCache>
                <c:ptCount val="6"/>
                <c:pt idx="0">
                  <c:v>Polymerase</c:v>
                </c:pt>
                <c:pt idx="1">
                  <c:v>Protease</c:v>
                </c:pt>
                <c:pt idx="2">
                  <c:v>Integrase </c:v>
                </c:pt>
                <c:pt idx="3">
                  <c:v>NSSA</c:v>
                </c:pt>
                <c:pt idx="4">
                  <c:v>other virus</c:v>
                </c:pt>
                <c:pt idx="5">
                  <c:v>Host</c:v>
                </c:pt>
              </c:strCache>
            </c:strRef>
          </c:cat>
          <c:val>
            <c:numRef>
              <c:f>Лист1!$B$2:$B$7</c:f>
              <c:numCache>
                <c:formatCode>General</c:formatCode>
                <c:ptCount val="6"/>
                <c:pt idx="0">
                  <c:v>27</c:v>
                </c:pt>
                <c:pt idx="1">
                  <c:v>17</c:v>
                </c:pt>
                <c:pt idx="2">
                  <c:v>3</c:v>
                </c:pt>
                <c:pt idx="3">
                  <c:v>6</c:v>
                </c:pt>
                <c:pt idx="4">
                  <c:v>9</c:v>
                </c:pt>
                <c:pt idx="5">
                  <c:v>10</c:v>
                </c:pt>
              </c:numCache>
            </c:numRef>
          </c:val>
          <c:extLst>
            <c:ext xmlns:c16="http://schemas.microsoft.com/office/drawing/2014/chart" uri="{C3380CC4-5D6E-409C-BE32-E72D297353CC}">
              <c16:uniqueId val="{00000006-AC0F-4133-B281-CD98BF4CEFF4}"/>
            </c:ext>
          </c:extLst>
        </c:ser>
        <c:dLbls>
          <c:showLegendKey val="0"/>
          <c:showVal val="0"/>
          <c:showCatName val="1"/>
          <c:showSerName val="0"/>
          <c:showPercent val="1"/>
          <c:showBubbleSize val="0"/>
          <c:showLeaderLines val="0"/>
        </c:dLbls>
        <c:firstSliceAng val="0"/>
      </c:pieChart>
    </c:plotArea>
    <c:plotVisOnly val="1"/>
    <c:dispBlanksAs val="gap"/>
    <c:showDLblsOverMax val="0"/>
    <c:extLst>
      <c:ext uri="{0b15fc19-7d7d-44ad-8c2d-2c3a37ce22c3}">
        <chartProps xmlns="https://web.wps.cn/et/2018/main" chartId="{4ef6aa57-10b8-49a1-8daa-c89eab929311}"/>
      </c:ext>
    </c:extLst>
  </c:chart>
  <c:txPr>
    <a:bodyPr/>
    <a:lstStyle/>
    <a:p>
      <a:pPr>
        <a:defRPr lang="ru-RU"/>
      </a:pPr>
      <a:endParaRPr lang="ru-KZ"/>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40-65kg</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3"/>
                <c:pt idx="0">
                  <c:v>Tenofovir (HIV,HBV) </c:v>
                </c:pt>
                <c:pt idx="1">
                  <c:v>Ribavirin(HCV)</c:v>
                </c:pt>
                <c:pt idx="2">
                  <c:v>Favipiravir (COVID-19)</c:v>
                </c:pt>
              </c:strCache>
            </c:strRef>
          </c:cat>
          <c:val>
            <c:numRef>
              <c:f>Лист1!$B$2:$B$5</c:f>
              <c:numCache>
                <c:formatCode>General</c:formatCode>
                <c:ptCount val="4"/>
                <c:pt idx="0">
                  <c:v>300</c:v>
                </c:pt>
                <c:pt idx="1">
                  <c:v>800</c:v>
                </c:pt>
                <c:pt idx="2">
                  <c:v>1200</c:v>
                </c:pt>
              </c:numCache>
            </c:numRef>
          </c:val>
          <c:extLst>
            <c:ext xmlns:c16="http://schemas.microsoft.com/office/drawing/2014/chart" uri="{C3380CC4-5D6E-409C-BE32-E72D297353CC}">
              <c16:uniqueId val="{00000000-A852-49F4-A9C2-275FA802506A}"/>
            </c:ext>
          </c:extLst>
        </c:ser>
        <c:ser>
          <c:idx val="1"/>
          <c:order val="1"/>
          <c:tx>
            <c:strRef>
              <c:f>Лист1!$C$1</c:f>
              <c:strCache>
                <c:ptCount val="1"/>
                <c:pt idx="0">
                  <c:v>66-80kg</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3"/>
                <c:pt idx="0">
                  <c:v>Tenofovir (HIV,HBV) </c:v>
                </c:pt>
                <c:pt idx="1">
                  <c:v>Ribavirin(HCV)</c:v>
                </c:pt>
                <c:pt idx="2">
                  <c:v>Favipiravir (COVID-19)</c:v>
                </c:pt>
              </c:strCache>
            </c:strRef>
          </c:cat>
          <c:val>
            <c:numRef>
              <c:f>Лист1!$C$2:$C$5</c:f>
              <c:numCache>
                <c:formatCode>General</c:formatCode>
                <c:ptCount val="4"/>
                <c:pt idx="0">
                  <c:v>300</c:v>
                </c:pt>
                <c:pt idx="1">
                  <c:v>1000</c:v>
                </c:pt>
                <c:pt idx="2">
                  <c:v>1200</c:v>
                </c:pt>
              </c:numCache>
            </c:numRef>
          </c:val>
          <c:extLst>
            <c:ext xmlns:c16="http://schemas.microsoft.com/office/drawing/2014/chart" uri="{C3380CC4-5D6E-409C-BE32-E72D297353CC}">
              <c16:uniqueId val="{00000001-A852-49F4-A9C2-275FA802506A}"/>
            </c:ext>
          </c:extLst>
        </c:ser>
        <c:ser>
          <c:idx val="2"/>
          <c:order val="2"/>
          <c:tx>
            <c:strRef>
              <c:f>Лист1!$D$1</c:f>
              <c:strCache>
                <c:ptCount val="1"/>
                <c:pt idx="0">
                  <c:v>81-105kg</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3"/>
                <c:pt idx="0">
                  <c:v>Tenofovir (HIV,HBV) </c:v>
                </c:pt>
                <c:pt idx="1">
                  <c:v>Ribavirin(HCV)</c:v>
                </c:pt>
                <c:pt idx="2">
                  <c:v>Favipiravir (COVID-19)</c:v>
                </c:pt>
              </c:strCache>
            </c:strRef>
          </c:cat>
          <c:val>
            <c:numRef>
              <c:f>Лист1!$D$2:$D$5</c:f>
              <c:numCache>
                <c:formatCode>General</c:formatCode>
                <c:ptCount val="4"/>
                <c:pt idx="0">
                  <c:v>300</c:v>
                </c:pt>
                <c:pt idx="1">
                  <c:v>1200</c:v>
                </c:pt>
                <c:pt idx="2">
                  <c:v>3200</c:v>
                </c:pt>
              </c:numCache>
            </c:numRef>
          </c:val>
          <c:extLst>
            <c:ext xmlns:c16="http://schemas.microsoft.com/office/drawing/2014/chart" uri="{C3380CC4-5D6E-409C-BE32-E72D297353CC}">
              <c16:uniqueId val="{00000002-A852-49F4-A9C2-275FA802506A}"/>
            </c:ext>
          </c:extLst>
        </c:ser>
        <c:ser>
          <c:idx val="3"/>
          <c:order val="3"/>
          <c:tx>
            <c:strRef>
              <c:f>Лист1!$E$1</c:f>
              <c:strCache>
                <c:ptCount val="1"/>
                <c:pt idx="0">
                  <c:v>more than 105kg</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dLbl>
              <c:idx val="0"/>
              <c:tx>
                <c:rich>
                  <a:bodyPr/>
                  <a:lstStyle/>
                  <a:p>
                    <a:r>
                      <a:rPr lang="en-US"/>
                      <a:t>N/A</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A852-49F4-A9C2-275FA802506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3"/>
                <c:pt idx="0">
                  <c:v>Tenofovir (HIV,HBV) </c:v>
                </c:pt>
                <c:pt idx="1">
                  <c:v>Ribavirin(HCV)</c:v>
                </c:pt>
                <c:pt idx="2">
                  <c:v>Favipiravir (COVID-19)</c:v>
                </c:pt>
              </c:strCache>
            </c:strRef>
          </c:cat>
          <c:val>
            <c:numRef>
              <c:f>Лист1!$E$2:$E$5</c:f>
              <c:numCache>
                <c:formatCode>General</c:formatCode>
                <c:ptCount val="4"/>
                <c:pt idx="0">
                  <c:v>0</c:v>
                </c:pt>
                <c:pt idx="1">
                  <c:v>1400</c:v>
                </c:pt>
                <c:pt idx="2">
                  <c:v>3200</c:v>
                </c:pt>
              </c:numCache>
            </c:numRef>
          </c:val>
          <c:extLst>
            <c:ext xmlns:c16="http://schemas.microsoft.com/office/drawing/2014/chart" uri="{C3380CC4-5D6E-409C-BE32-E72D297353CC}">
              <c16:uniqueId val="{00000004-A852-49F4-A9C2-275FA802506A}"/>
            </c:ext>
          </c:extLst>
        </c:ser>
        <c:dLbls>
          <c:showLegendKey val="0"/>
          <c:showVal val="1"/>
          <c:showCatName val="0"/>
          <c:showSerName val="0"/>
          <c:showPercent val="0"/>
          <c:showBubbleSize val="0"/>
        </c:dLbls>
        <c:gapWidth val="100"/>
        <c:axId val="2008831071"/>
        <c:axId val="1719342543"/>
      </c:barChart>
      <c:catAx>
        <c:axId val="2008831071"/>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crossAx val="1719342543"/>
        <c:crosses val="autoZero"/>
        <c:auto val="1"/>
        <c:lblAlgn val="ctr"/>
        <c:lblOffset val="100"/>
        <c:noMultiLvlLbl val="0"/>
      </c:catAx>
      <c:valAx>
        <c:axId val="1719342543"/>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crossAx val="20088310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legend>
    <c:plotVisOnly val="1"/>
    <c:dispBlanksAs val="gap"/>
    <c:showDLblsOverMax val="0"/>
    <c:extLst>
      <c:ext uri="{0b15fc19-7d7d-44ad-8c2d-2c3a37ce22c3}">
        <chartProps xmlns="https://web.wps.cn/et/2018/main" chartId="{c0be55d3-f112-423a-9f3b-3a77782fa60f}"/>
      </c:ext>
    </c:extLst>
  </c:chart>
  <c:spPr>
    <a:solidFill>
      <a:schemeClr val="bg1"/>
    </a:solidFill>
    <a:ln w="9525" cap="flat" cmpd="sng" algn="ctr">
      <a:solidFill>
        <a:schemeClr val="tx2">
          <a:lumMod val="15000"/>
          <a:lumOff val="85000"/>
        </a:schemeClr>
      </a:solidFill>
      <a:round/>
    </a:ln>
    <a:effectLst/>
  </c:spPr>
  <c:txPr>
    <a:bodyPr/>
    <a:lstStyle/>
    <a:p>
      <a:pPr>
        <a:defRPr/>
      </a:pPr>
      <a:endParaRPr lang="ru-K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Max effective cell  dose</c:v>
                </c:pt>
              </c:strCache>
            </c:strRef>
          </c:tx>
          <c:spPr>
            <a:solidFill>
              <a:schemeClr val="accent1"/>
            </a:solidFill>
            <a:ln>
              <a:noFill/>
            </a:ln>
            <a:effectLst/>
          </c:spPr>
          <c:invertIfNegative val="0"/>
          <c:cat>
            <c:strRef>
              <c:f>Лист1!$A$2:$A$5</c:f>
              <c:strCache>
                <c:ptCount val="3"/>
                <c:pt idx="0">
                  <c:v>Favipiravir (COVID-19)</c:v>
                </c:pt>
                <c:pt idx="1">
                  <c:v>Ribaverin (HCV)</c:v>
                </c:pt>
                <c:pt idx="2">
                  <c:v>Tenofovir (HIV, HBV)</c:v>
                </c:pt>
              </c:strCache>
            </c:strRef>
          </c:cat>
          <c:val>
            <c:numRef>
              <c:f>Лист1!$B$2:$B$5</c:f>
              <c:numCache>
                <c:formatCode>General</c:formatCode>
                <c:ptCount val="4"/>
                <c:pt idx="0">
                  <c:v>400</c:v>
                </c:pt>
                <c:pt idx="1">
                  <c:v>100</c:v>
                </c:pt>
                <c:pt idx="2">
                  <c:v>100</c:v>
                </c:pt>
              </c:numCache>
            </c:numRef>
          </c:val>
          <c:extLst>
            <c:ext xmlns:c16="http://schemas.microsoft.com/office/drawing/2014/chart" uri="{C3380CC4-5D6E-409C-BE32-E72D297353CC}">
              <c16:uniqueId val="{00000000-3066-4582-9639-54E4E4FA2D5C}"/>
            </c:ext>
          </c:extLst>
        </c:ser>
        <c:dLbls>
          <c:showLegendKey val="0"/>
          <c:showVal val="0"/>
          <c:showCatName val="0"/>
          <c:showSerName val="0"/>
          <c:showPercent val="0"/>
          <c:showBubbleSize val="0"/>
        </c:dLbls>
        <c:gapWidth val="182"/>
        <c:axId val="495644351"/>
        <c:axId val="1458582879"/>
      </c:barChart>
      <c:catAx>
        <c:axId val="4956443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KZ"/>
          </a:p>
        </c:txPr>
        <c:crossAx val="1458582879"/>
        <c:crosses val="autoZero"/>
        <c:auto val="1"/>
        <c:lblAlgn val="ctr"/>
        <c:lblOffset val="100"/>
        <c:noMultiLvlLbl val="0"/>
      </c:catAx>
      <c:valAx>
        <c:axId val="145858287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KZ"/>
          </a:p>
        </c:txPr>
        <c:crossAx val="495644351"/>
        <c:crosses val="autoZero"/>
        <c:crossBetween val="between"/>
      </c:valAx>
      <c:spPr>
        <a:noFill/>
        <a:ln>
          <a:noFill/>
        </a:ln>
        <a:effectLst/>
      </c:spPr>
    </c:plotArea>
    <c:plotVisOnly val="1"/>
    <c:dispBlanksAs val="gap"/>
    <c:showDLblsOverMax val="0"/>
    <c:extLst>
      <c:ext uri="{0b15fc19-7d7d-44ad-8c2d-2c3a37ce22c3}">
        <chartProps xmlns="https://web.wps.cn/et/2018/main" chartId="{75599394-75fa-4bb8-ba3b-95cc5a483883}"/>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K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baseline="0">
                <a:solidFill>
                  <a:schemeClr val="tx1">
                    <a:lumMod val="65000"/>
                    <a:lumOff val="35000"/>
                  </a:schemeClr>
                </a:solidFill>
                <a:latin typeface="+mn-lt"/>
                <a:ea typeface="+mn-ea"/>
                <a:cs typeface="+mn-cs"/>
              </a:defRPr>
            </a:pPr>
            <a:r>
              <a:rPr lang="en-US" sz="1100" b="1" i="0" u="none" strike="noStrike" kern="1200" baseline="0">
                <a:solidFill>
                  <a:sysClr val="windowText" lastClr="000000">
                    <a:lumMod val="65000"/>
                    <a:lumOff val="35000"/>
                  </a:sysClr>
                </a:solidFill>
              </a:rPr>
              <a:t>MTT - OD 570nm Day 1</a:t>
            </a:r>
          </a:p>
          <a:p>
            <a:pPr>
              <a:defRPr/>
            </a:pPr>
            <a:r>
              <a:rPr lang="en-US" sz="1100" b="1" i="0" u="none" strike="noStrike" kern="1200" baseline="0">
                <a:solidFill>
                  <a:sysClr val="windowText" lastClr="000000">
                    <a:lumMod val="65000"/>
                    <a:lumOff val="35000"/>
                  </a:sysClr>
                </a:solidFill>
              </a:rPr>
              <a:t>A.</a:t>
            </a:r>
          </a:p>
        </c:rich>
      </c:tx>
      <c:overlay val="0"/>
      <c:spPr>
        <a:noFill/>
        <a:ln>
          <a:noFill/>
        </a:ln>
        <a:effectLst/>
      </c:spPr>
      <c:txPr>
        <a:bodyPr rot="0" spcFirstLastPara="1" vertOverflow="ellipsis" vert="horz" wrap="square" anchor="ctr" anchorCtr="1"/>
        <a:lstStyle/>
        <a:p>
          <a:pPr>
            <a:defRPr sz="1600" b="0" i="0" u="none" strike="noStrike" kern="1200" cap="none" spc="50" baseline="0">
              <a:solidFill>
                <a:schemeClr val="tx1">
                  <a:lumMod val="65000"/>
                  <a:lumOff val="35000"/>
                </a:schemeClr>
              </a:solidFill>
              <a:latin typeface="+mn-lt"/>
              <a:ea typeface="+mn-ea"/>
              <a:cs typeface="+mn-cs"/>
            </a:defRPr>
          </a:pPr>
          <a:endParaRPr lang="ru-KZ"/>
        </a:p>
      </c:txPr>
    </c:title>
    <c:autoTitleDeleted val="0"/>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Лист4!$C$1</c:f>
              <c:strCache>
                <c:ptCount val="1"/>
              </c:strCache>
            </c:strRef>
          </c:tx>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Лист4!$A$2:$B$6</c:f>
              <c:multiLvlStrCache>
                <c:ptCount val="5"/>
                <c:lvl>
                  <c:pt idx="0">
                    <c:v>Control</c:v>
                  </c:pt>
                  <c:pt idx="1">
                    <c:v>TAF</c:v>
                  </c:pt>
                  <c:pt idx="2">
                    <c:v>TAF</c:v>
                  </c:pt>
                  <c:pt idx="3">
                    <c:v>TAF</c:v>
                  </c:pt>
                  <c:pt idx="4">
                    <c:v>TAF</c:v>
                  </c:pt>
                </c:lvl>
                <c:lvl>
                  <c:pt idx="0">
                    <c:v>0</c:v>
                  </c:pt>
                  <c:pt idx="1">
                    <c:v>6,25</c:v>
                  </c:pt>
                  <c:pt idx="2">
                    <c:v>12,5</c:v>
                  </c:pt>
                  <c:pt idx="3">
                    <c:v>25</c:v>
                  </c:pt>
                  <c:pt idx="4">
                    <c:v>50</c:v>
                  </c:pt>
                </c:lvl>
              </c:multiLvlStrCache>
            </c:multiLvlStrRef>
          </c:cat>
          <c:val>
            <c:numRef>
              <c:f>Лист4!$C$2:$C$6</c:f>
              <c:numCache>
                <c:formatCode>General</c:formatCode>
                <c:ptCount val="5"/>
              </c:numCache>
            </c:numRef>
          </c:val>
          <c:extLst>
            <c:ext xmlns:c16="http://schemas.microsoft.com/office/drawing/2014/chart" uri="{C3380CC4-5D6E-409C-BE32-E72D297353CC}">
              <c16:uniqueId val="{00000000-6D1A-4B34-A0F4-B59160AA9D13}"/>
            </c:ext>
          </c:extLst>
        </c:ser>
        <c:ser>
          <c:idx val="1"/>
          <c:order val="1"/>
          <c:tx>
            <c:strRef>
              <c:f>Лист4!$D$1</c:f>
              <c:strCache>
                <c:ptCount val="1"/>
                <c:pt idx="0">
                  <c:v>OD570nm</c:v>
                </c:pt>
              </c:strCache>
            </c:strRef>
          </c:tx>
          <c:spPr>
            <a:solidFill>
              <a:schemeClr val="accent2"/>
            </a:solidFill>
            <a:ln>
              <a:solidFill>
                <a:schemeClr val="accent2">
                  <a:lumMod val="75000"/>
                </a:schemeClr>
              </a:solidFill>
            </a:ln>
            <a:effectLst/>
            <a:scene3d>
              <a:camera prst="orthographicFront"/>
              <a:lightRig rig="threePt" dir="t"/>
            </a:scene3d>
            <a:sp3d prstMaterial="translucentPowder">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Лист4!$A$2:$B$6</c:f>
              <c:multiLvlStrCache>
                <c:ptCount val="5"/>
                <c:lvl>
                  <c:pt idx="0">
                    <c:v>Control</c:v>
                  </c:pt>
                  <c:pt idx="1">
                    <c:v>TAF</c:v>
                  </c:pt>
                  <c:pt idx="2">
                    <c:v>TAF</c:v>
                  </c:pt>
                  <c:pt idx="3">
                    <c:v>TAF</c:v>
                  </c:pt>
                  <c:pt idx="4">
                    <c:v>TAF</c:v>
                  </c:pt>
                </c:lvl>
                <c:lvl>
                  <c:pt idx="0">
                    <c:v>0</c:v>
                  </c:pt>
                  <c:pt idx="1">
                    <c:v>6,25</c:v>
                  </c:pt>
                  <c:pt idx="2">
                    <c:v>12,5</c:v>
                  </c:pt>
                  <c:pt idx="3">
                    <c:v>25</c:v>
                  </c:pt>
                  <c:pt idx="4">
                    <c:v>50</c:v>
                  </c:pt>
                </c:lvl>
              </c:multiLvlStrCache>
            </c:multiLvlStrRef>
          </c:cat>
          <c:val>
            <c:numRef>
              <c:f>Лист4!$D$2:$D$6</c:f>
              <c:numCache>
                <c:formatCode>General</c:formatCode>
                <c:ptCount val="5"/>
                <c:pt idx="0">
                  <c:v>1.2</c:v>
                </c:pt>
                <c:pt idx="1">
                  <c:v>1.1000000000000001</c:v>
                </c:pt>
                <c:pt idx="2">
                  <c:v>1.1000000000000001</c:v>
                </c:pt>
                <c:pt idx="3">
                  <c:v>1.1000000000000001</c:v>
                </c:pt>
                <c:pt idx="4">
                  <c:v>1.1000000000000001</c:v>
                </c:pt>
              </c:numCache>
            </c:numRef>
          </c:val>
          <c:extLst>
            <c:ext xmlns:c16="http://schemas.microsoft.com/office/drawing/2014/chart" uri="{C3380CC4-5D6E-409C-BE32-E72D297353CC}">
              <c16:uniqueId val="{00000001-6D1A-4B34-A0F4-B59160AA9D13}"/>
            </c:ext>
          </c:extLst>
        </c:ser>
        <c:dLbls>
          <c:showLegendKey val="0"/>
          <c:showVal val="1"/>
          <c:showCatName val="0"/>
          <c:showSerName val="0"/>
          <c:showPercent val="0"/>
          <c:showBubbleSize val="0"/>
        </c:dLbls>
        <c:gapWidth val="150"/>
        <c:shape val="box"/>
        <c:axId val="1634280367"/>
        <c:axId val="1634282767"/>
        <c:axId val="0"/>
      </c:bar3DChart>
      <c:catAx>
        <c:axId val="163428036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crossAx val="1634282767"/>
        <c:crosses val="autoZero"/>
        <c:auto val="1"/>
        <c:lblAlgn val="ctr"/>
        <c:lblOffset val="100"/>
        <c:noMultiLvlLbl val="0"/>
      </c:catAx>
      <c:valAx>
        <c:axId val="1634282767"/>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KZ"/>
          </a:p>
        </c:txPr>
        <c:crossAx val="163428036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sz="1100" b="1" i="0" u="none" strike="noStrike" kern="1200" cap="none" spc="0" normalizeH="0" baseline="0">
                <a:solidFill>
                  <a:sysClr val="windowText" lastClr="000000">
                    <a:lumMod val="65000"/>
                    <a:lumOff val="35000"/>
                  </a:sysClr>
                </a:solidFill>
              </a:rPr>
              <a:t>MTT - OD 570nm Day 2 </a:t>
            </a:r>
          </a:p>
          <a:p>
            <a:pPr>
              <a:defRPr/>
            </a:pPr>
            <a:r>
              <a:rPr lang="en-US" sz="1100" b="1" i="0" u="none" strike="noStrike" kern="1200" cap="none" spc="0" normalizeH="0" baseline="0">
                <a:solidFill>
                  <a:sysClr val="windowText" lastClr="000000">
                    <a:lumMod val="65000"/>
                    <a:lumOff val="35000"/>
                  </a:sysClr>
                </a:solidFill>
              </a:rPr>
              <a:t>B.</a:t>
            </a:r>
            <a:endParaRPr lang="ru-RU" sz="1100"/>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ru-KZ"/>
        </a:p>
      </c:txPr>
    </c:title>
    <c:autoTitleDeleted val="0"/>
    <c:plotArea>
      <c:layout/>
      <c:barChart>
        <c:barDir val="col"/>
        <c:grouping val="stacked"/>
        <c:varyColors val="0"/>
        <c:ser>
          <c:idx val="0"/>
          <c:order val="0"/>
          <c:tx>
            <c:strRef>
              <c:f>Лист7!$C$1</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Лист7!$A$2:$B$6</c:f>
              <c:multiLvlStrCache>
                <c:ptCount val="5"/>
                <c:lvl>
                  <c:pt idx="0">
                    <c:v>Control</c:v>
                  </c:pt>
                  <c:pt idx="1">
                    <c:v>TAF</c:v>
                  </c:pt>
                  <c:pt idx="2">
                    <c:v>TAF</c:v>
                  </c:pt>
                  <c:pt idx="3">
                    <c:v>TAF</c:v>
                  </c:pt>
                  <c:pt idx="4">
                    <c:v>TAF</c:v>
                  </c:pt>
                </c:lvl>
                <c:lvl>
                  <c:pt idx="0">
                    <c:v>0</c:v>
                  </c:pt>
                  <c:pt idx="1">
                    <c:v>6,25</c:v>
                  </c:pt>
                  <c:pt idx="2">
                    <c:v>12,5</c:v>
                  </c:pt>
                  <c:pt idx="3">
                    <c:v>25</c:v>
                  </c:pt>
                  <c:pt idx="4">
                    <c:v>50</c:v>
                  </c:pt>
                </c:lvl>
              </c:multiLvlStrCache>
            </c:multiLvlStrRef>
          </c:cat>
          <c:val>
            <c:numRef>
              <c:f>Лист7!$C$2:$C$6</c:f>
              <c:numCache>
                <c:formatCode>General</c:formatCode>
                <c:ptCount val="5"/>
              </c:numCache>
            </c:numRef>
          </c:val>
          <c:extLst>
            <c:ext xmlns:c16="http://schemas.microsoft.com/office/drawing/2014/chart" uri="{C3380CC4-5D6E-409C-BE32-E72D297353CC}">
              <c16:uniqueId val="{00000000-A93B-4644-8980-A343ABF1D4D9}"/>
            </c:ext>
          </c:extLst>
        </c:ser>
        <c:ser>
          <c:idx val="1"/>
          <c:order val="1"/>
          <c:tx>
            <c:strRef>
              <c:f>Лист7!$D$1</c:f>
              <c:strCache>
                <c:ptCount val="1"/>
                <c:pt idx="0">
                  <c:v>OD570nm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Лист7!$A$2:$B$6</c:f>
              <c:multiLvlStrCache>
                <c:ptCount val="5"/>
                <c:lvl>
                  <c:pt idx="0">
                    <c:v>Control</c:v>
                  </c:pt>
                  <c:pt idx="1">
                    <c:v>TAF</c:v>
                  </c:pt>
                  <c:pt idx="2">
                    <c:v>TAF</c:v>
                  </c:pt>
                  <c:pt idx="3">
                    <c:v>TAF</c:v>
                  </c:pt>
                  <c:pt idx="4">
                    <c:v>TAF</c:v>
                  </c:pt>
                </c:lvl>
                <c:lvl>
                  <c:pt idx="0">
                    <c:v>0</c:v>
                  </c:pt>
                  <c:pt idx="1">
                    <c:v>6,25</c:v>
                  </c:pt>
                  <c:pt idx="2">
                    <c:v>12,5</c:v>
                  </c:pt>
                  <c:pt idx="3">
                    <c:v>25</c:v>
                  </c:pt>
                  <c:pt idx="4">
                    <c:v>50</c:v>
                  </c:pt>
                </c:lvl>
              </c:multiLvlStrCache>
            </c:multiLvlStrRef>
          </c:cat>
          <c:val>
            <c:numRef>
              <c:f>Лист7!$D$2:$D$6</c:f>
              <c:numCache>
                <c:formatCode>General</c:formatCode>
                <c:ptCount val="5"/>
                <c:pt idx="0">
                  <c:v>1.2</c:v>
                </c:pt>
                <c:pt idx="1">
                  <c:v>1</c:v>
                </c:pt>
                <c:pt idx="2">
                  <c:v>0.9</c:v>
                </c:pt>
                <c:pt idx="3">
                  <c:v>0.8</c:v>
                </c:pt>
                <c:pt idx="4">
                  <c:v>0.7</c:v>
                </c:pt>
              </c:numCache>
            </c:numRef>
          </c:val>
          <c:extLst>
            <c:ext xmlns:c16="http://schemas.microsoft.com/office/drawing/2014/chart" uri="{C3380CC4-5D6E-409C-BE32-E72D297353CC}">
              <c16:uniqueId val="{00000001-A93B-4644-8980-A343ABF1D4D9}"/>
            </c:ext>
          </c:extLst>
        </c:ser>
        <c:dLbls>
          <c:dLblPos val="ctr"/>
          <c:showLegendKey val="0"/>
          <c:showVal val="1"/>
          <c:showCatName val="0"/>
          <c:showSerName val="0"/>
          <c:showPercent val="0"/>
          <c:showBubbleSize val="0"/>
        </c:dLbls>
        <c:gapWidth val="150"/>
        <c:overlap val="100"/>
        <c:axId val="1630825743"/>
        <c:axId val="986715695"/>
      </c:barChart>
      <c:catAx>
        <c:axId val="16308257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KZ"/>
          </a:p>
        </c:txPr>
        <c:crossAx val="986715695"/>
        <c:crosses val="autoZero"/>
        <c:auto val="1"/>
        <c:lblAlgn val="ctr"/>
        <c:lblOffset val="100"/>
        <c:noMultiLvlLbl val="0"/>
      </c:catAx>
      <c:valAx>
        <c:axId val="986715695"/>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63082574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sz="1100" b="1" i="0" u="none" strike="noStrike" kern="1200" baseline="0">
                <a:solidFill>
                  <a:sysClr val="windowText" lastClr="000000">
                    <a:lumMod val="65000"/>
                    <a:lumOff val="35000"/>
                  </a:sysClr>
                </a:solidFill>
              </a:rPr>
              <a:t>MTT - OD 570nm Day 3 </a:t>
            </a:r>
          </a:p>
          <a:p>
            <a:pPr>
              <a:defRPr/>
            </a:pPr>
            <a:r>
              <a:rPr lang="en-US" sz="1100" b="1" i="0" u="none" strike="noStrike" kern="1200" baseline="0">
                <a:solidFill>
                  <a:sysClr val="windowText" lastClr="000000">
                    <a:lumMod val="65000"/>
                    <a:lumOff val="35000"/>
                  </a:sysClr>
                </a:solidFill>
              </a:rPr>
              <a:t>C.</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ru-KZ"/>
        </a:p>
      </c:txPr>
    </c:title>
    <c:autoTitleDeleted val="0"/>
    <c:plotArea>
      <c:layout/>
      <c:barChart>
        <c:barDir val="col"/>
        <c:grouping val="stacked"/>
        <c:varyColors val="0"/>
        <c:ser>
          <c:idx val="0"/>
          <c:order val="0"/>
          <c:tx>
            <c:strRef>
              <c:f>Лист3!$J$11</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multiLvlStrRef>
              <c:f>Лист3!$H$12:$I$16</c:f>
              <c:multiLvlStrCache>
                <c:ptCount val="5"/>
                <c:lvl>
                  <c:pt idx="0">
                    <c:v>Control</c:v>
                  </c:pt>
                  <c:pt idx="1">
                    <c:v>TAF</c:v>
                  </c:pt>
                  <c:pt idx="2">
                    <c:v>TAF</c:v>
                  </c:pt>
                  <c:pt idx="3">
                    <c:v>TAF</c:v>
                  </c:pt>
                  <c:pt idx="4">
                    <c:v>TAF</c:v>
                  </c:pt>
                </c:lvl>
                <c:lvl>
                  <c:pt idx="0">
                    <c:v>0</c:v>
                  </c:pt>
                  <c:pt idx="1">
                    <c:v>6,25</c:v>
                  </c:pt>
                  <c:pt idx="2">
                    <c:v>12,5</c:v>
                  </c:pt>
                  <c:pt idx="3">
                    <c:v>25</c:v>
                  </c:pt>
                  <c:pt idx="4">
                    <c:v>50</c:v>
                  </c:pt>
                </c:lvl>
              </c:multiLvlStrCache>
            </c:multiLvlStrRef>
          </c:cat>
          <c:val>
            <c:numRef>
              <c:f>Лист3!$J$12:$J$16</c:f>
              <c:numCache>
                <c:formatCode>General</c:formatCode>
                <c:ptCount val="5"/>
              </c:numCache>
            </c:numRef>
          </c:val>
          <c:extLst>
            <c:ext xmlns:c16="http://schemas.microsoft.com/office/drawing/2014/chart" uri="{C3380CC4-5D6E-409C-BE32-E72D297353CC}">
              <c16:uniqueId val="{00000000-9951-4934-A141-20C65C0A5EC3}"/>
            </c:ext>
          </c:extLst>
        </c:ser>
        <c:ser>
          <c:idx val="1"/>
          <c:order val="1"/>
          <c:tx>
            <c:strRef>
              <c:f>Лист3!$K$11</c:f>
              <c:strCache>
                <c:ptCount val="1"/>
                <c:pt idx="0">
                  <c:v>OD570nm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multiLvlStrRef>
              <c:f>Лист3!$H$12:$I$16</c:f>
              <c:multiLvlStrCache>
                <c:ptCount val="5"/>
                <c:lvl>
                  <c:pt idx="0">
                    <c:v>Control</c:v>
                  </c:pt>
                  <c:pt idx="1">
                    <c:v>TAF</c:v>
                  </c:pt>
                  <c:pt idx="2">
                    <c:v>TAF</c:v>
                  </c:pt>
                  <c:pt idx="3">
                    <c:v>TAF</c:v>
                  </c:pt>
                  <c:pt idx="4">
                    <c:v>TAF</c:v>
                  </c:pt>
                </c:lvl>
                <c:lvl>
                  <c:pt idx="0">
                    <c:v>0</c:v>
                  </c:pt>
                  <c:pt idx="1">
                    <c:v>6,25</c:v>
                  </c:pt>
                  <c:pt idx="2">
                    <c:v>12,5</c:v>
                  </c:pt>
                  <c:pt idx="3">
                    <c:v>25</c:v>
                  </c:pt>
                  <c:pt idx="4">
                    <c:v>50</c:v>
                  </c:pt>
                </c:lvl>
              </c:multiLvlStrCache>
            </c:multiLvlStrRef>
          </c:cat>
          <c:val>
            <c:numRef>
              <c:f>Лист3!$K$12:$K$16</c:f>
              <c:numCache>
                <c:formatCode>General</c:formatCode>
                <c:ptCount val="5"/>
                <c:pt idx="0">
                  <c:v>1.2</c:v>
                </c:pt>
                <c:pt idx="1">
                  <c:v>0.9</c:v>
                </c:pt>
                <c:pt idx="2">
                  <c:v>0.8</c:v>
                </c:pt>
                <c:pt idx="3">
                  <c:v>0.7</c:v>
                </c:pt>
                <c:pt idx="4">
                  <c:v>0.6</c:v>
                </c:pt>
              </c:numCache>
            </c:numRef>
          </c:val>
          <c:extLst>
            <c:ext xmlns:c16="http://schemas.microsoft.com/office/drawing/2014/chart" uri="{C3380CC4-5D6E-409C-BE32-E72D297353CC}">
              <c16:uniqueId val="{00000001-9951-4934-A141-20C65C0A5EC3}"/>
            </c:ext>
          </c:extLst>
        </c:ser>
        <c:dLbls>
          <c:dLblPos val="ctr"/>
          <c:showLegendKey val="0"/>
          <c:showVal val="1"/>
          <c:showCatName val="0"/>
          <c:showSerName val="0"/>
          <c:showPercent val="0"/>
          <c:showBubbleSize val="0"/>
        </c:dLbls>
        <c:gapWidth val="150"/>
        <c:overlap val="100"/>
        <c:axId val="1576505055"/>
        <c:axId val="1576502175"/>
      </c:barChart>
      <c:catAx>
        <c:axId val="1576505055"/>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KZ"/>
          </a:p>
        </c:txPr>
        <c:crossAx val="1576502175"/>
        <c:crosses val="autoZero"/>
        <c:auto val="1"/>
        <c:lblAlgn val="ctr"/>
        <c:lblOffset val="100"/>
        <c:noMultiLvlLbl val="0"/>
      </c:catAx>
      <c:valAx>
        <c:axId val="1576502175"/>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KZ"/>
          </a:p>
        </c:txPr>
        <c:crossAx val="1576505055"/>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dk1">
          <a:lumMod val="15000"/>
          <a:lumOff val="85000"/>
        </a:schemeClr>
      </a:solidFill>
      <a:round/>
    </a:ln>
    <a:effectLst/>
  </c:spPr>
  <c:txPr>
    <a:bodyPr/>
    <a:lstStyle/>
    <a:p>
      <a:pPr>
        <a:defRPr/>
      </a:pPr>
      <a:endParaRPr lang="ru-K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US" sz="1100" b="0" i="0" u="none" strike="noStrike" kern="1200" cap="none" spc="0" normalizeH="0" baseline="0">
                <a:solidFill>
                  <a:sysClr val="windowText" lastClr="000000">
                    <a:lumMod val="65000"/>
                    <a:lumOff val="35000"/>
                  </a:sysClr>
                </a:solidFill>
              </a:rPr>
              <a:t>MTT - OD 570nm Day 4 </a:t>
            </a:r>
          </a:p>
          <a:p>
            <a:pPr>
              <a:defRPr/>
            </a:pPr>
            <a:r>
              <a:rPr lang="en-US" sz="1100" b="0" i="0" u="none" strike="noStrike" kern="1200" cap="none" spc="0" normalizeH="0" baseline="0">
                <a:solidFill>
                  <a:sysClr val="windowText" lastClr="000000">
                    <a:lumMod val="65000"/>
                    <a:lumOff val="35000"/>
                  </a:sysClr>
                </a:solidFill>
              </a:rPr>
              <a:t>D.</a:t>
            </a:r>
            <a:endParaRPr lang="ru-RU" sz="1100" b="0"/>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ru-KZ"/>
        </a:p>
      </c:txPr>
    </c:title>
    <c:autoTitleDeleted val="0"/>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Лист8!$C$1</c:f>
              <c:strCache>
                <c:ptCount val="1"/>
              </c:strCache>
            </c:strRef>
          </c:tx>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Лист8!$A$2:$B$6</c:f>
              <c:multiLvlStrCache>
                <c:ptCount val="5"/>
                <c:lvl>
                  <c:pt idx="0">
                    <c:v>Control</c:v>
                  </c:pt>
                  <c:pt idx="1">
                    <c:v>TAF</c:v>
                  </c:pt>
                  <c:pt idx="2">
                    <c:v>TAF</c:v>
                  </c:pt>
                  <c:pt idx="3">
                    <c:v>TAF</c:v>
                  </c:pt>
                  <c:pt idx="4">
                    <c:v>TAF</c:v>
                  </c:pt>
                </c:lvl>
                <c:lvl>
                  <c:pt idx="0">
                    <c:v>0</c:v>
                  </c:pt>
                  <c:pt idx="1">
                    <c:v>6,25</c:v>
                  </c:pt>
                  <c:pt idx="2">
                    <c:v>12,5</c:v>
                  </c:pt>
                  <c:pt idx="3">
                    <c:v>25</c:v>
                  </c:pt>
                  <c:pt idx="4">
                    <c:v>50</c:v>
                  </c:pt>
                </c:lvl>
              </c:multiLvlStrCache>
            </c:multiLvlStrRef>
          </c:cat>
          <c:val>
            <c:numRef>
              <c:f>Лист8!$C$2:$C$6</c:f>
              <c:numCache>
                <c:formatCode>General</c:formatCode>
                <c:ptCount val="5"/>
              </c:numCache>
            </c:numRef>
          </c:val>
          <c:extLst>
            <c:ext xmlns:c16="http://schemas.microsoft.com/office/drawing/2014/chart" uri="{C3380CC4-5D6E-409C-BE32-E72D297353CC}">
              <c16:uniqueId val="{00000000-B381-4424-93D4-D29AC8DA2C30}"/>
            </c:ext>
          </c:extLst>
        </c:ser>
        <c:ser>
          <c:idx val="1"/>
          <c:order val="1"/>
          <c:tx>
            <c:strRef>
              <c:f>Лист8!$D$1</c:f>
              <c:strCache>
                <c:ptCount val="1"/>
                <c:pt idx="0">
                  <c:v>OD570nm</c:v>
                </c:pt>
              </c:strCache>
            </c:strRef>
          </c:tx>
          <c:spPr>
            <a:pattFill prst="ltDnDiag">
              <a:fgClr>
                <a:schemeClr val="accent2"/>
              </a:fgClr>
              <a:bgClr>
                <a:schemeClr val="accent2">
                  <a:lumMod val="20000"/>
                  <a:lumOff val="80000"/>
                </a:schemeClr>
              </a:bgClr>
            </a:pattFill>
            <a:ln>
              <a:solidFill>
                <a:schemeClr val="accent2"/>
              </a:solidFill>
            </a:ln>
            <a:effectLst/>
            <a:sp3d>
              <a:contourClr>
                <a:schemeClr val="accent2"/>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Лист8!$A$2:$B$6</c:f>
              <c:multiLvlStrCache>
                <c:ptCount val="5"/>
                <c:lvl>
                  <c:pt idx="0">
                    <c:v>Control</c:v>
                  </c:pt>
                  <c:pt idx="1">
                    <c:v>TAF</c:v>
                  </c:pt>
                  <c:pt idx="2">
                    <c:v>TAF</c:v>
                  </c:pt>
                  <c:pt idx="3">
                    <c:v>TAF</c:v>
                  </c:pt>
                  <c:pt idx="4">
                    <c:v>TAF</c:v>
                  </c:pt>
                </c:lvl>
                <c:lvl>
                  <c:pt idx="0">
                    <c:v>0</c:v>
                  </c:pt>
                  <c:pt idx="1">
                    <c:v>6,25</c:v>
                  </c:pt>
                  <c:pt idx="2">
                    <c:v>12,5</c:v>
                  </c:pt>
                  <c:pt idx="3">
                    <c:v>25</c:v>
                  </c:pt>
                  <c:pt idx="4">
                    <c:v>50</c:v>
                  </c:pt>
                </c:lvl>
              </c:multiLvlStrCache>
            </c:multiLvlStrRef>
          </c:cat>
          <c:val>
            <c:numRef>
              <c:f>Лист8!$D$2:$D$6</c:f>
              <c:numCache>
                <c:formatCode>General</c:formatCode>
                <c:ptCount val="5"/>
                <c:pt idx="0">
                  <c:v>1.2</c:v>
                </c:pt>
                <c:pt idx="1">
                  <c:v>0.8</c:v>
                </c:pt>
                <c:pt idx="2">
                  <c:v>0.7</c:v>
                </c:pt>
                <c:pt idx="3">
                  <c:v>0.6</c:v>
                </c:pt>
                <c:pt idx="4">
                  <c:v>0.5</c:v>
                </c:pt>
              </c:numCache>
            </c:numRef>
          </c:val>
          <c:extLst>
            <c:ext xmlns:c16="http://schemas.microsoft.com/office/drawing/2014/chart" uri="{C3380CC4-5D6E-409C-BE32-E72D297353CC}">
              <c16:uniqueId val="{00000001-B381-4424-93D4-D29AC8DA2C30}"/>
            </c:ext>
          </c:extLst>
        </c:ser>
        <c:dLbls>
          <c:showLegendKey val="0"/>
          <c:showVal val="1"/>
          <c:showCatName val="0"/>
          <c:showSerName val="0"/>
          <c:showPercent val="0"/>
          <c:showBubbleSize val="0"/>
        </c:dLbls>
        <c:gapWidth val="150"/>
        <c:shape val="box"/>
        <c:axId val="1629226639"/>
        <c:axId val="1629232399"/>
        <c:axId val="0"/>
      </c:bar3DChart>
      <c:catAx>
        <c:axId val="1629226639"/>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629232399"/>
        <c:crosses val="autoZero"/>
        <c:auto val="1"/>
        <c:lblAlgn val="ctr"/>
        <c:lblOffset val="100"/>
        <c:noMultiLvlLbl val="0"/>
      </c:catAx>
      <c:valAx>
        <c:axId val="1629232399"/>
        <c:scaling>
          <c:orientation val="minMax"/>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629226639"/>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Лист1!$B$1</c:f>
              <c:strCache>
                <c:ptCount val="1"/>
                <c:pt idx="0">
                  <c:v>Mildly</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800" b="1" i="0" u="none" strike="noStrike" kern="1200" baseline="0">
                    <a:solidFill>
                      <a:schemeClr val="lt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BarType val="both"/>
            <c:errValType val="stdErr"/>
            <c:noEndCap val="0"/>
            <c:spPr>
              <a:noFill/>
              <a:ln w="9525">
                <a:solidFill>
                  <a:schemeClr val="tx1">
                    <a:lumMod val="65000"/>
                    <a:lumOff val="35000"/>
                  </a:schemeClr>
                </a:solidFill>
                <a:round/>
              </a:ln>
              <a:effectLst/>
            </c:spPr>
          </c:errBars>
          <c:cat>
            <c:strRef>
              <c:f>Лист1!$A$2:$A$7</c:f>
              <c:strCache>
                <c:ptCount val="6"/>
                <c:pt idx="0">
                  <c:v>Cellular toxicity dosage ,mg/l</c:v>
                </c:pt>
                <c:pt idx="1">
                  <c:v>Daily dosage, mg</c:v>
                </c:pt>
                <c:pt idx="2">
                  <c:v>Period of administration, days</c:v>
                </c:pt>
                <c:pt idx="3">
                  <c:v>RdRP inhibiton, coffecient in %</c:v>
                </c:pt>
                <c:pt idx="4">
                  <c:v>Suppression of reproduction, virus, lg</c:v>
                </c:pt>
                <c:pt idx="5">
                  <c:v>Virus accumulation, lg, PFU/ml</c:v>
                </c:pt>
              </c:strCache>
            </c:strRef>
          </c:cat>
          <c:val>
            <c:numRef>
              <c:f>Лист1!$B$2:$B$7</c:f>
              <c:numCache>
                <c:formatCode>General</c:formatCode>
                <c:ptCount val="6"/>
                <c:pt idx="0">
                  <c:v>50</c:v>
                </c:pt>
                <c:pt idx="1">
                  <c:v>400</c:v>
                </c:pt>
                <c:pt idx="2">
                  <c:v>14</c:v>
                </c:pt>
                <c:pt idx="3">
                  <c:v>37.369999999999997</c:v>
                </c:pt>
                <c:pt idx="4">
                  <c:v>0.21</c:v>
                </c:pt>
                <c:pt idx="5">
                  <c:v>7.1</c:v>
                </c:pt>
              </c:numCache>
            </c:numRef>
          </c:val>
          <c:extLst>
            <c:ext xmlns:c16="http://schemas.microsoft.com/office/drawing/2014/chart" uri="{C3380CC4-5D6E-409C-BE32-E72D297353CC}">
              <c16:uniqueId val="{00000000-6117-4291-A72E-5E8F37EF6EAC}"/>
            </c:ext>
          </c:extLst>
        </c:ser>
        <c:ser>
          <c:idx val="1"/>
          <c:order val="1"/>
          <c:tx>
            <c:strRef>
              <c:f>Лист1!$C$1</c:f>
              <c:strCache>
                <c:ptCount val="1"/>
                <c:pt idx="0">
                  <c:v>Moderatly</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800" b="1" i="0" u="none" strike="noStrike" kern="1200" baseline="0">
                    <a:solidFill>
                      <a:schemeClr val="lt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BarType val="both"/>
            <c:errValType val="stdErr"/>
            <c:noEndCap val="0"/>
            <c:spPr>
              <a:noFill/>
              <a:ln w="9525">
                <a:solidFill>
                  <a:schemeClr val="tx1">
                    <a:lumMod val="65000"/>
                    <a:lumOff val="35000"/>
                  </a:schemeClr>
                </a:solidFill>
                <a:round/>
              </a:ln>
              <a:effectLst/>
            </c:spPr>
          </c:errBars>
          <c:cat>
            <c:strRef>
              <c:f>Лист1!$A$2:$A$7</c:f>
              <c:strCache>
                <c:ptCount val="6"/>
                <c:pt idx="0">
                  <c:v>Cellular toxicity dosage ,mg/l</c:v>
                </c:pt>
                <c:pt idx="1">
                  <c:v>Daily dosage, mg</c:v>
                </c:pt>
                <c:pt idx="2">
                  <c:v>Period of administration, days</c:v>
                </c:pt>
                <c:pt idx="3">
                  <c:v>RdRP inhibiton, coffecient in %</c:v>
                </c:pt>
                <c:pt idx="4">
                  <c:v>Suppression of reproduction, virus, lg</c:v>
                </c:pt>
                <c:pt idx="5">
                  <c:v>Virus accumulation, lg, PFU/ml</c:v>
                </c:pt>
              </c:strCache>
            </c:strRef>
          </c:cat>
          <c:val>
            <c:numRef>
              <c:f>Лист1!$C$2:$C$7</c:f>
              <c:numCache>
                <c:formatCode>General</c:formatCode>
                <c:ptCount val="6"/>
                <c:pt idx="0">
                  <c:v>75</c:v>
                </c:pt>
                <c:pt idx="1">
                  <c:v>800</c:v>
                </c:pt>
                <c:pt idx="2">
                  <c:v>10</c:v>
                </c:pt>
                <c:pt idx="3">
                  <c:v>56.055</c:v>
                </c:pt>
                <c:pt idx="4">
                  <c:v>0.42</c:v>
                </c:pt>
                <c:pt idx="5">
                  <c:v>3.6</c:v>
                </c:pt>
              </c:numCache>
            </c:numRef>
          </c:val>
          <c:extLst>
            <c:ext xmlns:c16="http://schemas.microsoft.com/office/drawing/2014/chart" uri="{C3380CC4-5D6E-409C-BE32-E72D297353CC}">
              <c16:uniqueId val="{00000001-6117-4291-A72E-5E8F37EF6EAC}"/>
            </c:ext>
          </c:extLst>
        </c:ser>
        <c:ser>
          <c:idx val="2"/>
          <c:order val="2"/>
          <c:tx>
            <c:strRef>
              <c:f>Лист1!$D$1</c:f>
              <c:strCache>
                <c:ptCount val="1"/>
                <c:pt idx="0">
                  <c:v>Extremly intensevly</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800" b="1" i="0" u="none" strike="noStrike" kern="1200" baseline="0">
                    <a:solidFill>
                      <a:schemeClr val="lt1"/>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BarType val="both"/>
            <c:errValType val="stdErr"/>
            <c:noEndCap val="0"/>
            <c:spPr>
              <a:noFill/>
              <a:ln w="9525">
                <a:solidFill>
                  <a:schemeClr val="tx1">
                    <a:lumMod val="65000"/>
                    <a:lumOff val="35000"/>
                  </a:schemeClr>
                </a:solidFill>
                <a:round/>
              </a:ln>
              <a:effectLst/>
            </c:spPr>
          </c:errBars>
          <c:cat>
            <c:strRef>
              <c:f>Лист1!$A$2:$A$7</c:f>
              <c:strCache>
                <c:ptCount val="6"/>
                <c:pt idx="0">
                  <c:v>Cellular toxicity dosage ,mg/l</c:v>
                </c:pt>
                <c:pt idx="1">
                  <c:v>Daily dosage, mg</c:v>
                </c:pt>
                <c:pt idx="2">
                  <c:v>Period of administration, days</c:v>
                </c:pt>
                <c:pt idx="3">
                  <c:v>RdRP inhibiton, coffecient in %</c:v>
                </c:pt>
                <c:pt idx="4">
                  <c:v>Suppression of reproduction, virus, lg</c:v>
                </c:pt>
                <c:pt idx="5">
                  <c:v>Virus accumulation, lg, PFU/ml</c:v>
                </c:pt>
              </c:strCache>
            </c:strRef>
          </c:cat>
          <c:val>
            <c:numRef>
              <c:f>Лист1!$D$2:$D$7</c:f>
              <c:numCache>
                <c:formatCode>General</c:formatCode>
                <c:ptCount val="6"/>
                <c:pt idx="0">
                  <c:v>100</c:v>
                </c:pt>
                <c:pt idx="1">
                  <c:v>1200</c:v>
                </c:pt>
                <c:pt idx="2">
                  <c:v>7</c:v>
                </c:pt>
                <c:pt idx="3">
                  <c:v>74.739999999999995</c:v>
                </c:pt>
                <c:pt idx="4">
                  <c:v>0.84</c:v>
                </c:pt>
                <c:pt idx="5">
                  <c:v>1.8</c:v>
                </c:pt>
              </c:numCache>
            </c:numRef>
          </c:val>
          <c:extLst>
            <c:ext xmlns:c16="http://schemas.microsoft.com/office/drawing/2014/chart" uri="{C3380CC4-5D6E-409C-BE32-E72D297353CC}">
              <c16:uniqueId val="{00000002-6117-4291-A72E-5E8F37EF6EAC}"/>
            </c:ext>
          </c:extLst>
        </c:ser>
        <c:dLbls>
          <c:showLegendKey val="0"/>
          <c:showVal val="1"/>
          <c:showCatName val="0"/>
          <c:showSerName val="0"/>
          <c:showPercent val="0"/>
          <c:showBubbleSize val="0"/>
        </c:dLbls>
        <c:gapWidth val="79"/>
        <c:overlap val="100"/>
        <c:axId val="1370108991"/>
        <c:axId val="1378895743"/>
      </c:barChart>
      <c:dateAx>
        <c:axId val="1370108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forceAA="0"/>
          <a:lstStyle/>
          <a:p>
            <a:pPr>
              <a:defRPr lang="ru-RU" sz="8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378895743"/>
        <c:crosses val="autoZero"/>
        <c:auto val="0"/>
        <c:lblOffset val="100"/>
        <c:baseTimeUnit val="days"/>
      </c:dateAx>
      <c:valAx>
        <c:axId val="1378895743"/>
        <c:scaling>
          <c:orientation val="minMax"/>
        </c:scaling>
        <c:delete val="1"/>
        <c:axPos val="b"/>
        <c:numFmt formatCode="0%" sourceLinked="1"/>
        <c:majorTickMark val="none"/>
        <c:minorTickMark val="none"/>
        <c:tickLblPos val="nextTo"/>
        <c:crossAx val="1370108991"/>
        <c:crosses val="autoZero"/>
        <c:crossBetween val="between"/>
      </c:valAx>
      <c:spPr>
        <a:noFill/>
        <a:ln>
          <a:noFill/>
        </a:ln>
        <a:effectLst/>
      </c:spPr>
    </c:plotArea>
    <c:legend>
      <c:legendPos val="t"/>
      <c:layout>
        <c:manualLayout>
          <c:xMode val="edge"/>
          <c:yMode val="edge"/>
          <c:x val="0.16132605360349894"/>
          <c:y val="2.1897810218978103E-2"/>
          <c:w val="0.74382068049553618"/>
          <c:h val="0.1053836427380884"/>
        </c:manualLayout>
      </c:layout>
      <c:overlay val="0"/>
      <c:spPr>
        <a:noFill/>
        <a:ln>
          <a:noFill/>
        </a:ln>
        <a:effectLst/>
      </c:spPr>
      <c:txPr>
        <a:bodyPr rot="0" spcFirstLastPara="1" vertOverflow="ellipsis" vert="horz" wrap="square" anchor="ctr" anchorCtr="1"/>
        <a:lstStyle/>
        <a:p>
          <a:pPr>
            <a:defRPr lang="ru-RU"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extLst>
      <c:ext uri="{0b15fc19-7d7d-44ad-8c2d-2c3a37ce22c3}">
        <chartProps xmlns="https://web.wps.cn/et/2018/main" chartId="{3e3111b1-ab25-4074-974c-c7ae2fd541b9}"/>
      </c:ext>
    </c:extLst>
  </c:chart>
  <c:spPr>
    <a:solidFill>
      <a:schemeClr val="lt1"/>
    </a:solidFill>
    <a:ln w="9525" cap="flat" cmpd="sng" algn="ctr">
      <a:solidFill>
        <a:schemeClr val="tx1">
          <a:lumMod val="15000"/>
          <a:lumOff val="85000"/>
        </a:schemeClr>
      </a:solidFill>
      <a:round/>
    </a:ln>
    <a:effectLst/>
  </c:spPr>
  <c:txPr>
    <a:bodyPr/>
    <a:lstStyle/>
    <a:p>
      <a:pPr algn="just">
        <a:defRPr lang="ru-RU"/>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4.xml><?xml version="1.0" encoding="utf-8"?>
<cs:chartStyle xmlns:cs="http://schemas.microsoft.com/office/drawing/2012/chartStyle" xmlns:a="http://schemas.openxmlformats.org/drawingml/2006/main" id="30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303">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6.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66DDDFB-03D8-404B-8E3F-162477EAFC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785</TotalTime>
  <Pages>140</Pages>
  <Words>49679</Words>
  <Characters>283172</Characters>
  <Application>Microsoft Office Word</Application>
  <DocSecurity>0</DocSecurity>
  <Lines>2359</Lines>
  <Paragraphs>664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332187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dc:creator>
  <cp:lastModifiedBy>Saken KHAIDAROV</cp:lastModifiedBy>
  <cp:revision>452</cp:revision>
  <cp:lastPrinted>2025-10-07T09:00:00Z</cp:lastPrinted>
  <dcterms:created xsi:type="dcterms:W3CDTF">2025-10-17T04:59:00Z</dcterms:created>
  <dcterms:modified xsi:type="dcterms:W3CDTF">2025-12-04T04:11:00Z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6f5c25147395eb71bf870b9a2e039d7ed7bf24ee3a556355e89983dc2edef709</vt:lpwstr>
  </property>
  <property fmtid="{D5CDD505-2E9C-101B-9397-08002B2CF9AE}" pid="3" name="KSOProductBuildVer">
    <vt:lpwstr>1049-12.2.0.19805</vt:lpwstr>
  </property>
  <property fmtid="{D5CDD505-2E9C-101B-9397-08002B2CF9AE}" pid="4" name="ICV">
    <vt:lpwstr>CC9E99A6AB2140C2BBAD09A5DA2148BC_13</vt:lpwstr>
  </property>
</Properties>
</file>