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spacing w:val="1"/>
          <w:sz w:val="28"/>
          <w:szCs w:val="28"/>
          <w:lang w:eastAsia="ru-RU"/>
        </w:rPr>
      </w:pPr>
      <w:r w:rsidRPr="0035551E">
        <w:rPr>
          <w:rFonts w:ascii="Times New Roman" w:eastAsiaTheme="minorEastAsia" w:hAnsi="Times New Roman" w:cs="Times New Roman"/>
          <w:spacing w:val="1"/>
          <w:sz w:val="28"/>
          <w:szCs w:val="28"/>
          <w:lang w:eastAsia="ru-RU"/>
        </w:rPr>
        <w:t xml:space="preserve">Министерство высшего образования и науки Республики Казахстан </w:t>
      </w: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spacing w:val="1"/>
          <w:sz w:val="28"/>
          <w:szCs w:val="28"/>
          <w:lang w:eastAsia="ru-RU"/>
        </w:rPr>
      </w:pPr>
      <w:r w:rsidRPr="0035551E">
        <w:rPr>
          <w:rFonts w:ascii="Times New Roman" w:eastAsiaTheme="minorEastAsia" w:hAnsi="Times New Roman" w:cs="Times New Roman"/>
          <w:spacing w:val="1"/>
          <w:sz w:val="28"/>
          <w:szCs w:val="28"/>
          <w:lang w:eastAsia="ru-RU"/>
        </w:rPr>
        <w:t>Казахский национальный университет имени Аль-Фараби</w:t>
      </w: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spacing w:val="1"/>
          <w:sz w:val="28"/>
          <w:szCs w:val="28"/>
          <w:lang w:eastAsia="ru-RU"/>
        </w:rPr>
      </w:pPr>
      <w:r w:rsidRPr="0035551E">
        <w:rPr>
          <w:rFonts w:ascii="Times New Roman" w:eastAsiaTheme="minorEastAsia" w:hAnsi="Times New Roman" w:cs="Times New Roman"/>
          <w:noProof/>
          <w:sz w:val="28"/>
          <w:szCs w:val="28"/>
          <w:lang w:eastAsia="ru-RU"/>
        </w:rPr>
        <mc:AlternateContent>
          <mc:Choice Requires="wps">
            <w:drawing>
              <wp:anchor distT="4294967295" distB="4294967295" distL="114300" distR="114300" simplePos="0" relativeHeight="251659264" behindDoc="0" locked="0" layoutInCell="0" allowOverlap="1" wp14:anchorId="0D7B2FA5" wp14:editId="49DF9519">
                <wp:simplePos x="0" y="0"/>
                <wp:positionH relativeFrom="column">
                  <wp:posOffset>709930</wp:posOffset>
                </wp:positionH>
                <wp:positionV relativeFrom="paragraph">
                  <wp:posOffset>124459</wp:posOffset>
                </wp:positionV>
                <wp:extent cx="4762500" cy="0"/>
                <wp:effectExtent l="0" t="0" r="19050"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D3541" id="Line 1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pt,9.8pt" to="430.9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6PzEwIAACo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" o:allowincell="f" strokeweight=".95pt"/>
            </w:pict>
          </mc:Fallback>
        </mc:AlternateContent>
      </w:r>
    </w:p>
    <w:p w:rsidR="0035551E" w:rsidRPr="0035551E" w:rsidRDefault="0035551E" w:rsidP="0035551E">
      <w:pPr>
        <w:shd w:val="clear" w:color="auto" w:fill="FFFFFF"/>
        <w:tabs>
          <w:tab w:val="left" w:pos="3946"/>
        </w:tabs>
        <w:spacing w:after="0" w:line="240" w:lineRule="auto"/>
        <w:rPr>
          <w:rFonts w:ascii="Times New Roman" w:eastAsiaTheme="minorEastAsia" w:hAnsi="Times New Roman" w:cs="Times New Roman"/>
          <w:spacing w:val="-6"/>
          <w:sz w:val="28"/>
          <w:szCs w:val="28"/>
          <w:lang w:eastAsia="ru-RU"/>
        </w:rPr>
      </w:pPr>
    </w:p>
    <w:p w:rsidR="0035551E" w:rsidRPr="0035551E" w:rsidRDefault="0035551E" w:rsidP="0035551E">
      <w:pPr>
        <w:shd w:val="clear" w:color="auto" w:fill="FFFFFF"/>
        <w:tabs>
          <w:tab w:val="left" w:pos="3946"/>
        </w:tabs>
        <w:spacing w:after="0" w:line="240" w:lineRule="auto"/>
        <w:rPr>
          <w:rFonts w:ascii="Times New Roman" w:eastAsiaTheme="minorEastAsia" w:hAnsi="Times New Roman" w:cs="Times New Roman"/>
          <w:spacing w:val="-6"/>
          <w:sz w:val="28"/>
          <w:szCs w:val="28"/>
          <w:lang w:eastAsia="ru-RU"/>
        </w:rPr>
      </w:pPr>
    </w:p>
    <w:p w:rsidR="0035551E" w:rsidRPr="0035551E" w:rsidRDefault="0035551E" w:rsidP="0035551E">
      <w:pPr>
        <w:shd w:val="clear" w:color="auto" w:fill="FFFFFF"/>
        <w:tabs>
          <w:tab w:val="left" w:pos="3946"/>
        </w:tabs>
        <w:spacing w:after="0" w:line="240" w:lineRule="auto"/>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pacing w:val="-6"/>
          <w:sz w:val="28"/>
          <w:szCs w:val="28"/>
          <w:lang w:eastAsia="ru-RU"/>
        </w:rPr>
        <w:t>УД</w:t>
      </w:r>
      <w:r w:rsidRPr="0035551E">
        <w:rPr>
          <w:rFonts w:ascii="Times New Roman" w:eastAsiaTheme="minorEastAsia" w:hAnsi="Times New Roman" w:cs="Times New Roman"/>
          <w:sz w:val="28"/>
          <w:szCs w:val="28"/>
          <w:lang w:eastAsia="ru-RU"/>
        </w:rPr>
        <w:t>К: 323.21(</w:t>
      </w:r>
      <w:proofErr w:type="gramStart"/>
      <w:r w:rsidRPr="0035551E">
        <w:rPr>
          <w:rFonts w:ascii="Times New Roman" w:eastAsiaTheme="minorEastAsia" w:hAnsi="Times New Roman" w:cs="Times New Roman"/>
          <w:sz w:val="28"/>
          <w:szCs w:val="28"/>
          <w:lang w:eastAsia="ru-RU"/>
        </w:rPr>
        <w:t>574)+</w:t>
      </w:r>
      <w:proofErr w:type="gramEnd"/>
      <w:r w:rsidRPr="0035551E">
        <w:rPr>
          <w:rFonts w:ascii="Times New Roman" w:eastAsiaTheme="minorEastAsia" w:hAnsi="Times New Roman" w:cs="Times New Roman"/>
          <w:sz w:val="28"/>
          <w:szCs w:val="28"/>
          <w:lang w:eastAsia="ru-RU"/>
        </w:rPr>
        <w:t>004                                                    На правах рукописи</w:t>
      </w: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b/>
          <w:spacing w:val="7"/>
          <w:sz w:val="28"/>
          <w:szCs w:val="28"/>
          <w:lang w:eastAsia="ru-RU"/>
        </w:rPr>
      </w:pP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b/>
          <w:spacing w:val="7"/>
          <w:sz w:val="28"/>
          <w:szCs w:val="28"/>
          <w:lang w:eastAsia="ru-RU"/>
        </w:rPr>
      </w:pP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b/>
          <w:spacing w:val="7"/>
          <w:sz w:val="28"/>
          <w:szCs w:val="28"/>
          <w:lang w:eastAsia="ru-RU"/>
        </w:rPr>
      </w:pP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b/>
          <w:sz w:val="28"/>
          <w:szCs w:val="28"/>
          <w:lang w:eastAsia="ru-RU"/>
        </w:rPr>
      </w:pPr>
      <w:r w:rsidRPr="0035551E">
        <w:rPr>
          <w:rFonts w:ascii="Times New Roman" w:eastAsiaTheme="minorEastAsia" w:hAnsi="Times New Roman" w:cs="Times New Roman"/>
          <w:b/>
          <w:spacing w:val="7"/>
          <w:sz w:val="28"/>
          <w:szCs w:val="28"/>
          <w:lang w:eastAsia="ru-RU"/>
        </w:rPr>
        <w:t>ФЕДОРОВА АНАСТАСИЯ ЕВГЕНЬЕВНА</w:t>
      </w: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b/>
          <w:spacing w:val="5"/>
          <w:sz w:val="28"/>
          <w:szCs w:val="28"/>
          <w:lang w:eastAsia="ru-RU"/>
        </w:rPr>
      </w:pPr>
      <w:r w:rsidRPr="0035551E">
        <w:rPr>
          <w:rFonts w:ascii="Times New Roman" w:eastAsiaTheme="minorEastAsia" w:hAnsi="Times New Roman" w:cs="Times New Roman"/>
          <w:b/>
          <w:spacing w:val="5"/>
          <w:sz w:val="28"/>
          <w:szCs w:val="28"/>
          <w:lang w:eastAsia="ru-RU"/>
        </w:rPr>
        <w:t>Роль информационных технологий в становлении и развитии институтов гражданского общества</w:t>
      </w: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ind w:right="182"/>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tabs>
          <w:tab w:val="left" w:pos="778"/>
        </w:tabs>
        <w:spacing w:after="0" w:line="240" w:lineRule="auto"/>
        <w:ind w:left="43" w:firstLine="384"/>
        <w:jc w:val="center"/>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w:t>
      </w:r>
      <w:r w:rsidRPr="0035551E">
        <w:rPr>
          <w:rFonts w:ascii="Times New Roman" w:eastAsiaTheme="minorEastAsia" w:hAnsi="Times New Roman" w:cs="Times New Roman"/>
          <w:sz w:val="28"/>
          <w:szCs w:val="28"/>
          <w:lang w:val="kk-KZ" w:eastAsia="ru-RU"/>
        </w:rPr>
        <w:t>6</w:t>
      </w:r>
      <w:r w:rsidRPr="0035551E">
        <w:rPr>
          <w:rFonts w:ascii="Times New Roman" w:eastAsiaTheme="minorEastAsia" w:hAnsi="Times New Roman" w:cs="Times New Roman"/>
          <w:sz w:val="28"/>
          <w:szCs w:val="28"/>
          <w:lang w:val="en-US" w:eastAsia="ru-RU"/>
        </w:rPr>
        <w:t>D</w:t>
      </w:r>
      <w:r w:rsidRPr="0035551E">
        <w:rPr>
          <w:rFonts w:ascii="Times New Roman" w:eastAsiaTheme="minorEastAsia" w:hAnsi="Times New Roman" w:cs="Times New Roman"/>
          <w:sz w:val="28"/>
          <w:szCs w:val="28"/>
          <w:lang w:eastAsia="ru-RU"/>
        </w:rPr>
        <w:t>050200 – Политология»</w:t>
      </w: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pacing w:val="2"/>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pacing w:val="2"/>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pacing w:val="2"/>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pacing w:val="2"/>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pacing w:val="2"/>
          <w:sz w:val="28"/>
          <w:szCs w:val="28"/>
          <w:lang w:eastAsia="ru-RU"/>
        </w:rPr>
        <w:t>Диссертация на соискание ученой степени</w:t>
      </w:r>
      <w:r w:rsidRPr="0035551E">
        <w:rPr>
          <w:rFonts w:ascii="Times New Roman" w:eastAsiaTheme="minorEastAsia" w:hAnsi="Times New Roman" w:cs="Times New Roman"/>
          <w:spacing w:val="2"/>
          <w:sz w:val="28"/>
          <w:szCs w:val="28"/>
          <w:lang w:eastAsia="ru-RU"/>
        </w:rPr>
        <w:br/>
      </w:r>
      <w:r w:rsidRPr="0035551E">
        <w:rPr>
          <w:rFonts w:ascii="Times New Roman" w:eastAsiaTheme="minorEastAsia" w:hAnsi="Times New Roman" w:cs="Times New Roman"/>
          <w:spacing w:val="4"/>
          <w:sz w:val="28"/>
          <w:szCs w:val="28"/>
          <w:lang w:eastAsia="ru-RU"/>
        </w:rPr>
        <w:t xml:space="preserve">доктора </w:t>
      </w:r>
      <w:r w:rsidRPr="0035551E">
        <w:rPr>
          <w:rFonts w:ascii="Times New Roman" w:eastAsiaTheme="minorEastAsia" w:hAnsi="Times New Roman" w:cs="Times New Roman"/>
          <w:spacing w:val="-3"/>
          <w:sz w:val="28"/>
          <w:szCs w:val="28"/>
          <w:lang w:eastAsia="ru-RU"/>
        </w:rPr>
        <w:t>философии (</w:t>
      </w:r>
      <w:r w:rsidRPr="0035551E">
        <w:rPr>
          <w:rFonts w:ascii="Times New Roman" w:eastAsiaTheme="minorEastAsia" w:hAnsi="Times New Roman" w:cs="Times New Roman"/>
          <w:spacing w:val="-3"/>
          <w:sz w:val="28"/>
          <w:szCs w:val="28"/>
          <w:lang w:val="en-US" w:eastAsia="ru-RU"/>
        </w:rPr>
        <w:t>PhD</w:t>
      </w:r>
      <w:r w:rsidRPr="0035551E">
        <w:rPr>
          <w:rFonts w:ascii="Times New Roman" w:eastAsiaTheme="minorEastAsia" w:hAnsi="Times New Roman" w:cs="Times New Roman"/>
          <w:spacing w:val="-3"/>
          <w:sz w:val="28"/>
          <w:szCs w:val="28"/>
          <w:lang w:eastAsia="ru-RU"/>
        </w:rPr>
        <w:t xml:space="preserve">) </w:t>
      </w:r>
    </w:p>
    <w:p w:rsidR="0035551E" w:rsidRPr="0035551E" w:rsidRDefault="0035551E" w:rsidP="0035551E">
      <w:pPr>
        <w:shd w:val="clear" w:color="auto" w:fill="FFFFFF"/>
        <w:spacing w:after="0" w:line="240" w:lineRule="auto"/>
        <w:ind w:left="38"/>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jc w:val="right"/>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jc w:val="right"/>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ind w:left="38"/>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tabs>
          <w:tab w:val="left" w:pos="7088"/>
        </w:tabs>
        <w:spacing w:after="0" w:line="240" w:lineRule="auto"/>
        <w:jc w:val="right"/>
        <w:rPr>
          <w:rFonts w:ascii="Times New Roman" w:eastAsiaTheme="minorEastAsia" w:hAnsi="Times New Roman" w:cs="Times New Roman"/>
          <w:sz w:val="28"/>
          <w:szCs w:val="28"/>
          <w:lang w:eastAsia="ru-RU"/>
        </w:rPr>
      </w:pPr>
    </w:p>
    <w:p w:rsidR="0035551E" w:rsidRPr="0035551E" w:rsidRDefault="0035551E" w:rsidP="0035551E">
      <w:pPr>
        <w:shd w:val="clear" w:color="auto" w:fill="FFFFFF"/>
        <w:tabs>
          <w:tab w:val="left" w:pos="7088"/>
        </w:tabs>
        <w:spacing w:after="0" w:line="240" w:lineRule="auto"/>
        <w:jc w:val="right"/>
        <w:rPr>
          <w:rFonts w:ascii="Times New Roman" w:eastAsiaTheme="minorEastAsia" w:hAnsi="Times New Roman" w:cs="Times New Roman"/>
          <w:sz w:val="28"/>
          <w:szCs w:val="28"/>
          <w:lang w:eastAsia="ru-RU"/>
        </w:rPr>
      </w:pPr>
    </w:p>
    <w:p w:rsidR="0035551E" w:rsidRPr="0035551E" w:rsidRDefault="0035551E" w:rsidP="0035551E">
      <w:pPr>
        <w:shd w:val="clear" w:color="auto" w:fill="FFFFFF"/>
        <w:tabs>
          <w:tab w:val="left" w:pos="7088"/>
        </w:tabs>
        <w:spacing w:after="0" w:line="240" w:lineRule="auto"/>
        <w:jc w:val="right"/>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167B6DA" wp14:editId="22DE89B6">
                <wp:simplePos x="0" y="0"/>
                <wp:positionH relativeFrom="column">
                  <wp:posOffset>2412365</wp:posOffset>
                </wp:positionH>
                <wp:positionV relativeFrom="paragraph">
                  <wp:posOffset>194945</wp:posOffset>
                </wp:positionV>
                <wp:extent cx="1193800" cy="247650"/>
                <wp:effectExtent l="0" t="0" r="25400" b="19050"/>
                <wp:wrapNone/>
                <wp:docPr id="2" name="Прямоугольник 2"/>
                <wp:cNvGraphicFramePr/>
                <a:graphic xmlns:a="http://schemas.openxmlformats.org/drawingml/2006/main">
                  <a:graphicData uri="http://schemas.microsoft.com/office/word/2010/wordprocessingShape">
                    <wps:wsp>
                      <wps:cNvSpPr/>
                      <wps:spPr>
                        <a:xfrm>
                          <a:off x="0" y="0"/>
                          <a:ext cx="1193800" cy="247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D005E" id="Прямоугольник 2" o:spid="_x0000_s1026" style="position:absolute;margin-left:189.95pt;margin-top:15.35pt;width:94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" filled="f" strokecolor="windowText" strokeweight="1pt"/>
            </w:pict>
          </mc:Fallback>
        </mc:AlternateContent>
      </w:r>
      <w:r w:rsidRPr="0035551E">
        <w:rPr>
          <w:rFonts w:ascii="Times New Roman" w:eastAsiaTheme="minorEastAsia" w:hAnsi="Times New Roman" w:cs="Times New Roman"/>
          <w:sz w:val="28"/>
          <w:szCs w:val="28"/>
          <w:lang w:eastAsia="ru-RU"/>
        </w:rPr>
        <w:t xml:space="preserve">                 Научные консультанты</w:t>
      </w:r>
    </w:p>
    <w:p w:rsidR="0035551E" w:rsidRPr="0035551E" w:rsidRDefault="0035551E" w:rsidP="0035551E">
      <w:pPr>
        <w:shd w:val="clear" w:color="auto" w:fill="FFFFFF"/>
        <w:spacing w:after="0" w:line="240" w:lineRule="auto"/>
        <w:ind w:left="38"/>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 xml:space="preserve">                                                       Булекбаев С.Б., д.филос.н., профессор,                                </w:t>
      </w:r>
    </w:p>
    <w:p w:rsidR="0035551E" w:rsidRPr="0035551E" w:rsidRDefault="0035551E" w:rsidP="0035551E">
      <w:pPr>
        <w:shd w:val="clear" w:color="auto" w:fill="FFFFFF"/>
        <w:tabs>
          <w:tab w:val="left" w:pos="4960"/>
          <w:tab w:val="left" w:pos="6580"/>
        </w:tabs>
        <w:spacing w:after="0" w:line="240" w:lineRule="auto"/>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 xml:space="preserve">                                                        КазУМОиМЯ имени Абылайхана</w:t>
      </w:r>
    </w:p>
    <w:p w:rsidR="0035551E" w:rsidRPr="0035551E" w:rsidRDefault="0035551E" w:rsidP="0035551E">
      <w:pPr>
        <w:shd w:val="clear" w:color="auto" w:fill="FFFFFF"/>
        <w:tabs>
          <w:tab w:val="left" w:pos="4960"/>
          <w:tab w:val="left" w:pos="6580"/>
        </w:tabs>
        <w:spacing w:after="0" w:line="240" w:lineRule="auto"/>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ab/>
      </w: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 xml:space="preserve">                                                   Дирк Берг-Шлоссер, д</w:t>
      </w:r>
      <w:proofErr w:type="gramStart"/>
      <w:r w:rsidRPr="0035551E">
        <w:rPr>
          <w:rFonts w:ascii="Times New Roman" w:eastAsiaTheme="minorEastAsia" w:hAnsi="Times New Roman" w:cs="Times New Roman"/>
          <w:sz w:val="28"/>
          <w:szCs w:val="28"/>
          <w:lang w:eastAsia="ru-RU"/>
        </w:rPr>
        <w:t>.</w:t>
      </w:r>
      <w:proofErr w:type="gramEnd"/>
      <w:r w:rsidRPr="0035551E">
        <w:rPr>
          <w:rFonts w:ascii="Times New Roman" w:eastAsiaTheme="minorEastAsia" w:hAnsi="Times New Roman" w:cs="Times New Roman"/>
          <w:sz w:val="28"/>
          <w:szCs w:val="28"/>
          <w:lang w:eastAsia="ru-RU"/>
        </w:rPr>
        <w:t xml:space="preserve">полит.н., профессор                                                                             </w:t>
      </w: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 xml:space="preserve">                                                       Филиппс-Университет, г. Марбург, Германия      </w:t>
      </w: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 xml:space="preserve">                    </w:t>
      </w: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p>
    <w:p w:rsidR="0035551E" w:rsidRPr="0035551E" w:rsidRDefault="0035551E" w:rsidP="0035551E">
      <w:pPr>
        <w:shd w:val="clear" w:color="auto" w:fill="FFFFFF"/>
        <w:spacing w:after="0" w:line="240" w:lineRule="auto"/>
        <w:jc w:val="center"/>
        <w:rPr>
          <w:rFonts w:ascii="Times New Roman" w:eastAsiaTheme="minorEastAsia" w:hAnsi="Times New Roman" w:cs="Times New Roman"/>
          <w:sz w:val="28"/>
          <w:szCs w:val="28"/>
          <w:lang w:eastAsia="ru-RU"/>
        </w:rPr>
      </w:pPr>
      <w:r w:rsidRPr="0035551E">
        <w:rPr>
          <w:rFonts w:ascii="Times New Roman" w:eastAsiaTheme="minorEastAsia" w:hAnsi="Times New Roman" w:cs="Times New Roman"/>
          <w:sz w:val="28"/>
          <w:szCs w:val="28"/>
          <w:lang w:eastAsia="ru-RU"/>
        </w:rPr>
        <w:t>Республика Казахстан</w:t>
      </w:r>
    </w:p>
    <w:p w:rsidR="0035551E" w:rsidRPr="0035551E" w:rsidRDefault="0035551E" w:rsidP="0035551E">
      <w:pPr>
        <w:spacing w:after="200" w:line="276" w:lineRule="auto"/>
        <w:jc w:val="center"/>
        <w:rPr>
          <w:rFonts w:ascii="Times New Roman" w:eastAsiaTheme="minorEastAsia" w:hAnsi="Times New Roman" w:cs="Times New Roman"/>
          <w:sz w:val="28"/>
          <w:lang w:eastAsia="ru-RU"/>
        </w:rPr>
      </w:pPr>
      <w:r w:rsidRPr="0035551E">
        <w:rPr>
          <w:rFonts w:ascii="Times New Roman" w:eastAsiaTheme="minorEastAsia" w:hAnsi="Times New Roman" w:cs="Times New Roman"/>
          <w:sz w:val="28"/>
          <w:lang w:eastAsia="ru-RU"/>
        </w:rPr>
        <w:t>Алматы, 2026</w:t>
      </w:r>
    </w:p>
    <w:p w:rsidR="0035551E" w:rsidRDefault="0035551E" w:rsidP="00E97EDF">
      <w:pPr>
        <w:spacing w:after="0" w:line="240" w:lineRule="auto"/>
        <w:jc w:val="center"/>
        <w:rPr>
          <w:rFonts w:ascii="Times New Roman" w:hAnsi="Times New Roman" w:cs="Times New Roman"/>
          <w:sz w:val="28"/>
        </w:rPr>
      </w:pPr>
    </w:p>
    <w:p w:rsidR="00B63CB5" w:rsidRDefault="00B63CB5" w:rsidP="00E97EDF">
      <w:pPr>
        <w:spacing w:after="0" w:line="240" w:lineRule="auto"/>
        <w:jc w:val="center"/>
        <w:rPr>
          <w:rFonts w:ascii="Times New Roman" w:hAnsi="Times New Roman" w:cs="Times New Roman"/>
          <w:sz w:val="28"/>
        </w:rPr>
      </w:pPr>
    </w:p>
    <w:p w:rsidR="00AE476E" w:rsidRPr="00E97EDF" w:rsidRDefault="00177694" w:rsidP="00E97EDF">
      <w:pPr>
        <w:spacing w:after="0" w:line="240" w:lineRule="auto"/>
        <w:jc w:val="center"/>
        <w:rPr>
          <w:rFonts w:ascii="Times New Roman" w:hAnsi="Times New Roman" w:cs="Times New Roman"/>
          <w:sz w:val="28"/>
        </w:rPr>
      </w:pPr>
      <w:r w:rsidRPr="00E97EDF">
        <w:rPr>
          <w:rFonts w:ascii="Times New Roman" w:hAnsi="Times New Roman" w:cs="Times New Roman"/>
          <w:sz w:val="28"/>
        </w:rPr>
        <w:lastRenderedPageBreak/>
        <w:t>СОДЕРЖАНИЕ</w:t>
      </w:r>
    </w:p>
    <w:p w:rsidR="00177694" w:rsidRPr="00E97EDF" w:rsidRDefault="00177694" w:rsidP="00E97EDF">
      <w:pPr>
        <w:spacing w:after="0" w:line="240" w:lineRule="auto"/>
        <w:jc w:val="both"/>
        <w:rPr>
          <w:rFonts w:ascii="Times New Roman" w:hAnsi="Times New Roman" w:cs="Times New Roman"/>
          <w:sz w:val="28"/>
        </w:rPr>
      </w:pPr>
    </w:p>
    <w:p w:rsidR="00167412" w:rsidRDefault="00167412" w:rsidP="00E97EDF">
      <w:pPr>
        <w:spacing w:line="240" w:lineRule="auto"/>
        <w:jc w:val="both"/>
        <w:rPr>
          <w:rFonts w:ascii="Times New Roman" w:hAnsi="Times New Roman" w:cs="Times New Roman"/>
          <w:sz w:val="28"/>
        </w:rPr>
      </w:pPr>
      <w:r>
        <w:rPr>
          <w:rFonts w:ascii="Times New Roman" w:hAnsi="Times New Roman" w:cs="Times New Roman"/>
          <w:sz w:val="28"/>
        </w:rPr>
        <w:t>НОРМАТИВНЫЕ ССЫЛКИ…………………………………………………</w:t>
      </w:r>
      <w:proofErr w:type="gramStart"/>
      <w:r>
        <w:rPr>
          <w:rFonts w:ascii="Times New Roman" w:hAnsi="Times New Roman" w:cs="Times New Roman"/>
          <w:sz w:val="28"/>
        </w:rPr>
        <w:t>…….</w:t>
      </w:r>
      <w:proofErr w:type="gramEnd"/>
      <w:r>
        <w:rPr>
          <w:rFonts w:ascii="Times New Roman" w:hAnsi="Times New Roman" w:cs="Times New Roman"/>
          <w:sz w:val="28"/>
        </w:rPr>
        <w:t>.</w:t>
      </w:r>
      <w:r w:rsidR="00B46B14">
        <w:rPr>
          <w:rFonts w:ascii="Times New Roman" w:hAnsi="Times New Roman" w:cs="Times New Roman"/>
          <w:sz w:val="28"/>
        </w:rPr>
        <w:t>4</w:t>
      </w:r>
    </w:p>
    <w:p w:rsidR="00900863" w:rsidRPr="00E97EDF" w:rsidRDefault="00E97EDF" w:rsidP="00E97EDF">
      <w:pPr>
        <w:spacing w:line="240" w:lineRule="auto"/>
        <w:jc w:val="both"/>
        <w:rPr>
          <w:rFonts w:ascii="Times New Roman" w:hAnsi="Times New Roman" w:cs="Times New Roman"/>
          <w:sz w:val="28"/>
        </w:rPr>
      </w:pPr>
      <w:r w:rsidRPr="00E97EDF">
        <w:rPr>
          <w:rFonts w:ascii="Times New Roman" w:hAnsi="Times New Roman" w:cs="Times New Roman"/>
          <w:sz w:val="28"/>
        </w:rPr>
        <w:t>ОПРЕДЕЛЕНИЯ, ОБОЗНАЧЕНИЯ И СОКРАЩЕНИЯ</w:t>
      </w:r>
      <w:r w:rsidR="00970DBB">
        <w:rPr>
          <w:rFonts w:ascii="Times New Roman" w:hAnsi="Times New Roman" w:cs="Times New Roman"/>
          <w:sz w:val="28"/>
        </w:rPr>
        <w:t>……………………</w:t>
      </w:r>
      <w:proofErr w:type="gramStart"/>
      <w:r w:rsidR="00970DBB">
        <w:rPr>
          <w:rFonts w:ascii="Times New Roman" w:hAnsi="Times New Roman" w:cs="Times New Roman"/>
          <w:sz w:val="28"/>
        </w:rPr>
        <w:t>…….</w:t>
      </w:r>
      <w:proofErr w:type="gramEnd"/>
      <w:r w:rsidR="00970DBB">
        <w:rPr>
          <w:rFonts w:ascii="Times New Roman" w:hAnsi="Times New Roman" w:cs="Times New Roman"/>
          <w:sz w:val="28"/>
        </w:rPr>
        <w:t>.</w:t>
      </w:r>
      <w:r w:rsidR="004F7A31">
        <w:rPr>
          <w:rFonts w:ascii="Times New Roman" w:hAnsi="Times New Roman" w:cs="Times New Roman"/>
          <w:sz w:val="28"/>
        </w:rPr>
        <w:t>5</w:t>
      </w:r>
    </w:p>
    <w:p w:rsidR="00900863" w:rsidRPr="00E97EDF" w:rsidRDefault="002664CB" w:rsidP="00E97EDF">
      <w:pPr>
        <w:spacing w:line="240" w:lineRule="auto"/>
        <w:jc w:val="both"/>
        <w:rPr>
          <w:rFonts w:ascii="Times New Roman" w:hAnsi="Times New Roman" w:cs="Times New Roman"/>
          <w:sz w:val="28"/>
        </w:rPr>
      </w:pPr>
      <w:r w:rsidRPr="00E97EDF">
        <w:rPr>
          <w:rFonts w:ascii="Times New Roman" w:hAnsi="Times New Roman" w:cs="Times New Roman"/>
          <w:sz w:val="28"/>
        </w:rPr>
        <w:t>ВВЕДЕНИЕ</w:t>
      </w:r>
      <w:r w:rsidR="00970DBB">
        <w:rPr>
          <w:rFonts w:ascii="Times New Roman" w:hAnsi="Times New Roman" w:cs="Times New Roman"/>
          <w:sz w:val="28"/>
        </w:rPr>
        <w:t>……………………………………………………………………</w:t>
      </w:r>
      <w:proofErr w:type="gramStart"/>
      <w:r w:rsidR="00970DBB">
        <w:rPr>
          <w:rFonts w:ascii="Times New Roman" w:hAnsi="Times New Roman" w:cs="Times New Roman"/>
          <w:sz w:val="28"/>
        </w:rPr>
        <w:t>…….</w:t>
      </w:r>
      <w:proofErr w:type="gramEnd"/>
      <w:r w:rsidR="00970DBB">
        <w:rPr>
          <w:rFonts w:ascii="Times New Roman" w:hAnsi="Times New Roman" w:cs="Times New Roman"/>
          <w:sz w:val="28"/>
        </w:rPr>
        <w:t>.</w:t>
      </w:r>
      <w:r w:rsidR="004F7A31">
        <w:rPr>
          <w:rFonts w:ascii="Times New Roman" w:hAnsi="Times New Roman" w:cs="Times New Roman"/>
          <w:sz w:val="28"/>
        </w:rPr>
        <w:t>8</w:t>
      </w:r>
    </w:p>
    <w:p w:rsidR="001B5DD3" w:rsidRPr="00E97EDF" w:rsidRDefault="00E97EDF" w:rsidP="00867063">
      <w:pPr>
        <w:spacing w:after="0" w:line="240" w:lineRule="auto"/>
        <w:jc w:val="both"/>
        <w:rPr>
          <w:rFonts w:ascii="Times New Roman" w:hAnsi="Times New Roman" w:cs="Times New Roman"/>
          <w:sz w:val="28"/>
        </w:rPr>
      </w:pPr>
      <w:r w:rsidRPr="00E97EDF">
        <w:rPr>
          <w:rFonts w:ascii="Times New Roman" w:hAnsi="Times New Roman" w:cs="Times New Roman"/>
          <w:sz w:val="28"/>
        </w:rPr>
        <w:t>1</w:t>
      </w:r>
      <w:r>
        <w:rPr>
          <w:rFonts w:ascii="Times New Roman" w:hAnsi="Times New Roman" w:cs="Times New Roman"/>
          <w:sz w:val="28"/>
        </w:rPr>
        <w:t xml:space="preserve"> </w:t>
      </w:r>
      <w:r w:rsidR="00CC22D6">
        <w:rPr>
          <w:rFonts w:ascii="Times New Roman" w:hAnsi="Times New Roman" w:cs="Times New Roman"/>
          <w:sz w:val="28"/>
        </w:rPr>
        <w:t xml:space="preserve">ГЛАВА </w:t>
      </w:r>
      <w:r w:rsidR="002664CB" w:rsidRPr="00E97EDF">
        <w:rPr>
          <w:rFonts w:ascii="Times New Roman" w:hAnsi="Times New Roman" w:cs="Times New Roman"/>
          <w:sz w:val="28"/>
        </w:rPr>
        <w:t>ТЕОРЕТИКО-МЕТОДОЛОГИЧЕСКИЙ АНАЛИЗ ИНСТИТУТОВ ГРАЖДАНСКОГО ОБЩЕСТВА</w:t>
      </w:r>
      <w:r w:rsidR="00970DBB">
        <w:rPr>
          <w:rFonts w:ascii="Times New Roman" w:hAnsi="Times New Roman" w:cs="Times New Roman"/>
          <w:sz w:val="28"/>
        </w:rPr>
        <w:t>……………………………………………</w:t>
      </w:r>
      <w:proofErr w:type="gramStart"/>
      <w:r w:rsidR="00970DBB">
        <w:rPr>
          <w:rFonts w:ascii="Times New Roman" w:hAnsi="Times New Roman" w:cs="Times New Roman"/>
          <w:sz w:val="28"/>
        </w:rPr>
        <w:t>…….</w:t>
      </w:r>
      <w:proofErr w:type="gramEnd"/>
      <w:r w:rsidR="002F71CE">
        <w:rPr>
          <w:rFonts w:ascii="Times New Roman" w:hAnsi="Times New Roman" w:cs="Times New Roman"/>
          <w:sz w:val="28"/>
        </w:rPr>
        <w:t>24</w:t>
      </w:r>
    </w:p>
    <w:p w:rsidR="000E0ABC" w:rsidRPr="00E97EDF" w:rsidRDefault="00F2153A" w:rsidP="00867063">
      <w:pPr>
        <w:pStyle w:val="a3"/>
        <w:numPr>
          <w:ilvl w:val="1"/>
          <w:numId w:val="1"/>
        </w:numPr>
        <w:spacing w:after="0" w:line="240" w:lineRule="auto"/>
        <w:ind w:left="0" w:firstLine="0"/>
        <w:jc w:val="both"/>
        <w:rPr>
          <w:rFonts w:ascii="Times New Roman" w:hAnsi="Times New Roman" w:cs="Times New Roman"/>
          <w:sz w:val="28"/>
        </w:rPr>
      </w:pPr>
      <w:r w:rsidRPr="00E97EDF">
        <w:rPr>
          <w:rFonts w:ascii="Times New Roman" w:hAnsi="Times New Roman" w:cs="Times New Roman"/>
          <w:sz w:val="28"/>
        </w:rPr>
        <w:t>Обоснование теоретико-методологического подхода диссертационного исследования</w:t>
      </w:r>
      <w:r w:rsidR="00D35C0E">
        <w:rPr>
          <w:rFonts w:ascii="Times New Roman" w:hAnsi="Times New Roman" w:cs="Times New Roman"/>
          <w:sz w:val="28"/>
        </w:rPr>
        <w:t>…………………………………………………………………………-</w:t>
      </w:r>
    </w:p>
    <w:p w:rsidR="00CC22D6" w:rsidRPr="00CC22D6" w:rsidRDefault="00CC22D6" w:rsidP="00CC22D6">
      <w:pPr>
        <w:pStyle w:val="a3"/>
        <w:numPr>
          <w:ilvl w:val="1"/>
          <w:numId w:val="1"/>
        </w:num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CC22D6">
        <w:rPr>
          <w:rFonts w:ascii="Times New Roman" w:hAnsi="Times New Roman" w:cs="Times New Roman"/>
          <w:sz w:val="28"/>
        </w:rPr>
        <w:t>Дефиниции, их интерпретация и операционализация</w:t>
      </w:r>
      <w:r>
        <w:rPr>
          <w:rFonts w:ascii="Times New Roman" w:hAnsi="Times New Roman" w:cs="Times New Roman"/>
          <w:sz w:val="28"/>
        </w:rPr>
        <w:t>…………………</w:t>
      </w:r>
      <w:proofErr w:type="gramStart"/>
      <w:r>
        <w:rPr>
          <w:rFonts w:ascii="Times New Roman" w:hAnsi="Times New Roman" w:cs="Times New Roman"/>
          <w:sz w:val="28"/>
        </w:rPr>
        <w:t>……</w:t>
      </w:r>
      <w:r w:rsidR="00E77C60">
        <w:rPr>
          <w:rFonts w:ascii="Times New Roman" w:hAnsi="Times New Roman" w:cs="Times New Roman"/>
          <w:sz w:val="28"/>
        </w:rPr>
        <w:t>.</w:t>
      </w:r>
      <w:proofErr w:type="gramEnd"/>
      <w:r w:rsidR="00DC4F07">
        <w:rPr>
          <w:rFonts w:ascii="Times New Roman" w:hAnsi="Times New Roman" w:cs="Times New Roman"/>
          <w:sz w:val="28"/>
        </w:rPr>
        <w:t>2</w:t>
      </w:r>
      <w:r w:rsidR="00344C36">
        <w:rPr>
          <w:rFonts w:ascii="Times New Roman" w:hAnsi="Times New Roman" w:cs="Times New Roman"/>
          <w:sz w:val="28"/>
        </w:rPr>
        <w:t>9</w:t>
      </w:r>
    </w:p>
    <w:p w:rsidR="00CC22D6" w:rsidRPr="00CC22D6" w:rsidRDefault="00CC22D6" w:rsidP="00CC22D6">
      <w:pPr>
        <w:pStyle w:val="a3"/>
        <w:numPr>
          <w:ilvl w:val="2"/>
          <w:numId w:val="1"/>
        </w:numPr>
        <w:spacing w:after="0" w:line="240" w:lineRule="auto"/>
        <w:jc w:val="both"/>
        <w:rPr>
          <w:rFonts w:ascii="Times New Roman" w:hAnsi="Times New Roman" w:cs="Times New Roman"/>
          <w:sz w:val="28"/>
        </w:rPr>
      </w:pPr>
      <w:r w:rsidRPr="00CC22D6">
        <w:rPr>
          <w:rFonts w:ascii="Times New Roman" w:hAnsi="Times New Roman" w:cs="Times New Roman"/>
          <w:sz w:val="28"/>
        </w:rPr>
        <w:t>Гражданское общество: сложности формулировки понятия</w:t>
      </w:r>
      <w:r>
        <w:rPr>
          <w:rFonts w:ascii="Times New Roman" w:hAnsi="Times New Roman" w:cs="Times New Roman"/>
          <w:sz w:val="28"/>
        </w:rPr>
        <w:t>………………-</w:t>
      </w:r>
    </w:p>
    <w:p w:rsidR="00CC22D6" w:rsidRPr="00CC22D6" w:rsidRDefault="00CC22D6" w:rsidP="00CC22D6">
      <w:pPr>
        <w:spacing w:after="0" w:line="240" w:lineRule="auto"/>
        <w:jc w:val="both"/>
        <w:rPr>
          <w:rFonts w:ascii="Times New Roman" w:hAnsi="Times New Roman" w:cs="Times New Roman"/>
          <w:sz w:val="28"/>
        </w:rPr>
      </w:pPr>
      <w:r w:rsidRPr="00CC22D6">
        <w:rPr>
          <w:rFonts w:ascii="Times New Roman" w:hAnsi="Times New Roman" w:cs="Times New Roman"/>
          <w:sz w:val="28"/>
        </w:rPr>
        <w:t>1.2.1.1 История формирования понятия «гражданское общество» - диахронный анализ</w:t>
      </w:r>
      <w:r>
        <w:rPr>
          <w:rFonts w:ascii="Times New Roman" w:hAnsi="Times New Roman" w:cs="Times New Roman"/>
          <w:sz w:val="28"/>
        </w:rPr>
        <w:t>…………………………………………………………………………………-</w:t>
      </w:r>
    </w:p>
    <w:p w:rsidR="00CC22D6" w:rsidRPr="00E47E9F" w:rsidRDefault="00E47E9F" w:rsidP="00E47E9F">
      <w:pPr>
        <w:spacing w:after="0" w:line="240" w:lineRule="auto"/>
        <w:jc w:val="both"/>
        <w:rPr>
          <w:rFonts w:ascii="Times New Roman" w:hAnsi="Times New Roman" w:cs="Times New Roman"/>
          <w:sz w:val="28"/>
        </w:rPr>
      </w:pPr>
      <w:r w:rsidRPr="00E47E9F">
        <w:rPr>
          <w:rFonts w:ascii="Times New Roman" w:hAnsi="Times New Roman" w:cs="Times New Roman"/>
          <w:sz w:val="28"/>
        </w:rPr>
        <w:t>1.2.1.2 Современные трактовки понятия «гражданское общество»: дискурсивный анализ</w:t>
      </w:r>
      <w:r>
        <w:rPr>
          <w:rFonts w:ascii="Times New Roman" w:hAnsi="Times New Roman" w:cs="Times New Roman"/>
          <w:sz w:val="28"/>
        </w:rPr>
        <w:t>…………………………………………………………………………</w:t>
      </w:r>
      <w:proofErr w:type="gramStart"/>
      <w:r>
        <w:rPr>
          <w:rFonts w:ascii="Times New Roman" w:hAnsi="Times New Roman" w:cs="Times New Roman"/>
          <w:sz w:val="28"/>
        </w:rPr>
        <w:t>……</w:t>
      </w:r>
      <w:r w:rsidR="00777C09">
        <w:rPr>
          <w:rFonts w:ascii="Times New Roman" w:hAnsi="Times New Roman" w:cs="Times New Roman"/>
          <w:sz w:val="28"/>
        </w:rPr>
        <w:t>.</w:t>
      </w:r>
      <w:proofErr w:type="gramEnd"/>
      <w:r>
        <w:rPr>
          <w:rFonts w:ascii="Times New Roman" w:hAnsi="Times New Roman" w:cs="Times New Roman"/>
          <w:sz w:val="28"/>
        </w:rPr>
        <w:t>.</w:t>
      </w:r>
      <w:r w:rsidR="00777C09">
        <w:rPr>
          <w:rFonts w:ascii="Times New Roman" w:hAnsi="Times New Roman" w:cs="Times New Roman"/>
          <w:sz w:val="28"/>
        </w:rPr>
        <w:t>33</w:t>
      </w:r>
    </w:p>
    <w:p w:rsidR="00CC22D6" w:rsidRPr="001243E0" w:rsidRDefault="001243E0" w:rsidP="001243E0">
      <w:pPr>
        <w:spacing w:after="0" w:line="240" w:lineRule="auto"/>
        <w:jc w:val="both"/>
        <w:rPr>
          <w:rFonts w:ascii="Times New Roman" w:hAnsi="Times New Roman" w:cs="Times New Roman"/>
          <w:sz w:val="28"/>
        </w:rPr>
      </w:pPr>
      <w:r w:rsidRPr="001243E0">
        <w:rPr>
          <w:rFonts w:ascii="Times New Roman" w:hAnsi="Times New Roman" w:cs="Times New Roman"/>
          <w:sz w:val="28"/>
        </w:rPr>
        <w:t>1.2.2 Проблематика концептуализации понятия «общественная организация» и классификации её основных типов в институциональном пространстве гражданского общества</w:t>
      </w:r>
      <w:r>
        <w:rPr>
          <w:rFonts w:ascii="Times New Roman" w:hAnsi="Times New Roman" w:cs="Times New Roman"/>
          <w:sz w:val="28"/>
        </w:rPr>
        <w:t>………………………………………………………</w:t>
      </w:r>
      <w:proofErr w:type="gramStart"/>
      <w:r>
        <w:rPr>
          <w:rFonts w:ascii="Times New Roman" w:hAnsi="Times New Roman" w:cs="Times New Roman"/>
          <w:sz w:val="28"/>
        </w:rPr>
        <w:t>…….</w:t>
      </w:r>
      <w:proofErr w:type="gramEnd"/>
      <w:r w:rsidR="00E77C60">
        <w:rPr>
          <w:rFonts w:ascii="Times New Roman" w:hAnsi="Times New Roman" w:cs="Times New Roman"/>
          <w:sz w:val="28"/>
        </w:rPr>
        <w:t>3</w:t>
      </w:r>
      <w:r w:rsidR="00351D35">
        <w:rPr>
          <w:rFonts w:ascii="Times New Roman" w:hAnsi="Times New Roman" w:cs="Times New Roman"/>
          <w:sz w:val="28"/>
        </w:rPr>
        <w:t>8</w:t>
      </w:r>
    </w:p>
    <w:p w:rsidR="00CC22D6" w:rsidRPr="0093085C" w:rsidRDefault="008C41A7" w:rsidP="008465D6">
      <w:pPr>
        <w:pStyle w:val="a3"/>
        <w:numPr>
          <w:ilvl w:val="2"/>
          <w:numId w:val="4"/>
        </w:numPr>
        <w:spacing w:after="0" w:line="240" w:lineRule="auto"/>
        <w:ind w:left="0" w:firstLine="0"/>
        <w:jc w:val="both"/>
        <w:rPr>
          <w:rFonts w:ascii="Times New Roman" w:hAnsi="Times New Roman" w:cs="Times New Roman"/>
          <w:sz w:val="28"/>
        </w:rPr>
      </w:pPr>
      <w:r w:rsidRPr="0093085C">
        <w:rPr>
          <w:rFonts w:ascii="Times New Roman" w:hAnsi="Times New Roman" w:cs="Times New Roman"/>
          <w:sz w:val="28"/>
        </w:rPr>
        <w:t>Операционализация понятий в рамках теоретической модели исследования</w:t>
      </w:r>
      <w:r w:rsidR="007B70B6">
        <w:rPr>
          <w:rFonts w:ascii="Times New Roman" w:hAnsi="Times New Roman" w:cs="Times New Roman"/>
          <w:sz w:val="28"/>
        </w:rPr>
        <w:t>…………………………………………………………………</w:t>
      </w:r>
      <w:proofErr w:type="gramStart"/>
      <w:r w:rsidR="007B70B6">
        <w:rPr>
          <w:rFonts w:ascii="Times New Roman" w:hAnsi="Times New Roman" w:cs="Times New Roman"/>
          <w:sz w:val="28"/>
        </w:rPr>
        <w:t>…….</w:t>
      </w:r>
      <w:proofErr w:type="gramEnd"/>
      <w:r w:rsidR="008F4695">
        <w:rPr>
          <w:rFonts w:ascii="Times New Roman" w:hAnsi="Times New Roman" w:cs="Times New Roman"/>
          <w:sz w:val="28"/>
        </w:rPr>
        <w:t>.4</w:t>
      </w:r>
      <w:r w:rsidR="006A7169">
        <w:rPr>
          <w:rFonts w:ascii="Times New Roman" w:hAnsi="Times New Roman" w:cs="Times New Roman"/>
          <w:sz w:val="28"/>
        </w:rPr>
        <w:t>6</w:t>
      </w:r>
    </w:p>
    <w:p w:rsidR="0093085C" w:rsidRPr="0093085C" w:rsidRDefault="0093085C" w:rsidP="00456156">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1.3 </w:t>
      </w:r>
      <w:r w:rsidRPr="0093085C">
        <w:rPr>
          <w:rFonts w:ascii="Times New Roman" w:hAnsi="Times New Roman" w:cs="Times New Roman"/>
          <w:sz w:val="28"/>
        </w:rPr>
        <w:t>Факторы внутренней среды в формировании институтов гражданского общества</w:t>
      </w:r>
      <w:r w:rsidR="007B70B6">
        <w:rPr>
          <w:rFonts w:ascii="Times New Roman" w:hAnsi="Times New Roman" w:cs="Times New Roman"/>
          <w:sz w:val="28"/>
        </w:rPr>
        <w:t>………………………………………………………………………</w:t>
      </w:r>
      <w:proofErr w:type="gramStart"/>
      <w:r w:rsidR="00962F1A">
        <w:rPr>
          <w:rFonts w:ascii="Times New Roman" w:hAnsi="Times New Roman" w:cs="Times New Roman"/>
          <w:sz w:val="28"/>
        </w:rPr>
        <w:t>…….</w:t>
      </w:r>
      <w:proofErr w:type="gramEnd"/>
      <w:r w:rsidR="006A7169">
        <w:rPr>
          <w:rFonts w:ascii="Times New Roman" w:hAnsi="Times New Roman" w:cs="Times New Roman"/>
          <w:sz w:val="28"/>
        </w:rPr>
        <w:t>49</w:t>
      </w:r>
    </w:p>
    <w:p w:rsidR="00456156" w:rsidRPr="00456156" w:rsidRDefault="00456156" w:rsidP="00456156">
      <w:pPr>
        <w:spacing w:after="0" w:line="240" w:lineRule="auto"/>
        <w:jc w:val="both"/>
        <w:rPr>
          <w:rFonts w:ascii="Times New Roman" w:hAnsi="Times New Roman" w:cs="Times New Roman"/>
          <w:sz w:val="28"/>
        </w:rPr>
      </w:pPr>
      <w:r w:rsidRPr="00456156">
        <w:rPr>
          <w:rFonts w:ascii="Times New Roman" w:hAnsi="Times New Roman" w:cs="Times New Roman"/>
          <w:sz w:val="28"/>
        </w:rPr>
        <w:t>1.4 Факторы внешней среды как детерминанты формирования гражданского общества в Казахстане: критический анализ</w:t>
      </w:r>
      <w:r>
        <w:rPr>
          <w:rFonts w:ascii="Times New Roman" w:hAnsi="Times New Roman" w:cs="Times New Roman"/>
          <w:sz w:val="28"/>
        </w:rPr>
        <w:t>………………………………</w:t>
      </w:r>
      <w:proofErr w:type="gramStart"/>
      <w:r>
        <w:rPr>
          <w:rFonts w:ascii="Times New Roman" w:hAnsi="Times New Roman" w:cs="Times New Roman"/>
          <w:sz w:val="28"/>
        </w:rPr>
        <w:t>…</w:t>
      </w:r>
      <w:r w:rsidR="00D149EF">
        <w:rPr>
          <w:rFonts w:ascii="Times New Roman" w:hAnsi="Times New Roman" w:cs="Times New Roman"/>
          <w:sz w:val="28"/>
        </w:rPr>
        <w:t>….</w:t>
      </w:r>
      <w:proofErr w:type="gramEnd"/>
      <w:r>
        <w:rPr>
          <w:rFonts w:ascii="Times New Roman" w:hAnsi="Times New Roman" w:cs="Times New Roman"/>
          <w:sz w:val="28"/>
        </w:rPr>
        <w:t>.</w:t>
      </w:r>
      <w:r w:rsidR="00D149EF">
        <w:rPr>
          <w:rFonts w:ascii="Times New Roman" w:hAnsi="Times New Roman" w:cs="Times New Roman"/>
          <w:sz w:val="28"/>
        </w:rPr>
        <w:t>5</w:t>
      </w:r>
      <w:r w:rsidR="00E74439">
        <w:rPr>
          <w:rFonts w:ascii="Times New Roman" w:hAnsi="Times New Roman" w:cs="Times New Roman"/>
          <w:sz w:val="28"/>
        </w:rPr>
        <w:t>5</w:t>
      </w:r>
    </w:p>
    <w:p w:rsidR="00CC22D6" w:rsidRPr="00456156" w:rsidRDefault="00456156" w:rsidP="00456156">
      <w:pPr>
        <w:spacing w:after="0" w:line="240" w:lineRule="auto"/>
        <w:jc w:val="both"/>
        <w:rPr>
          <w:rFonts w:ascii="Times New Roman" w:hAnsi="Times New Roman" w:cs="Times New Roman"/>
          <w:sz w:val="28"/>
        </w:rPr>
      </w:pPr>
      <w:r w:rsidRPr="00456156">
        <w:rPr>
          <w:rFonts w:ascii="Times New Roman" w:hAnsi="Times New Roman" w:cs="Times New Roman"/>
          <w:sz w:val="28"/>
        </w:rPr>
        <w:t>1.4.1 Исторические факторы</w:t>
      </w:r>
      <w:r>
        <w:rPr>
          <w:rFonts w:ascii="Times New Roman" w:hAnsi="Times New Roman" w:cs="Times New Roman"/>
          <w:sz w:val="28"/>
        </w:rPr>
        <w:t>…………………………………………………</w:t>
      </w:r>
      <w:proofErr w:type="gramStart"/>
      <w:r w:rsidR="00D149EF">
        <w:rPr>
          <w:rFonts w:ascii="Times New Roman" w:hAnsi="Times New Roman" w:cs="Times New Roman"/>
          <w:sz w:val="28"/>
        </w:rPr>
        <w:t>…….</w:t>
      </w:r>
      <w:proofErr w:type="gramEnd"/>
      <w:r w:rsidR="00D149EF">
        <w:rPr>
          <w:rFonts w:ascii="Times New Roman" w:hAnsi="Times New Roman" w:cs="Times New Roman"/>
          <w:sz w:val="28"/>
        </w:rPr>
        <w:t>.-</w:t>
      </w:r>
    </w:p>
    <w:p w:rsidR="00CC22D6" w:rsidRPr="008638C9" w:rsidRDefault="008638C9" w:rsidP="008638C9">
      <w:pPr>
        <w:spacing w:after="0" w:line="240" w:lineRule="auto"/>
        <w:jc w:val="both"/>
        <w:rPr>
          <w:rFonts w:ascii="Times New Roman" w:hAnsi="Times New Roman" w:cs="Times New Roman"/>
          <w:sz w:val="28"/>
        </w:rPr>
      </w:pPr>
      <w:r w:rsidRPr="008638C9">
        <w:rPr>
          <w:rFonts w:ascii="Times New Roman" w:hAnsi="Times New Roman" w:cs="Times New Roman"/>
          <w:sz w:val="28"/>
        </w:rPr>
        <w:t>1.4.2 Социально-экономические факторы</w:t>
      </w:r>
      <w:r>
        <w:rPr>
          <w:rFonts w:ascii="Times New Roman" w:hAnsi="Times New Roman" w:cs="Times New Roman"/>
          <w:sz w:val="28"/>
        </w:rPr>
        <w:t>……………………………………</w:t>
      </w:r>
      <w:r w:rsidR="00FA2A18">
        <w:rPr>
          <w:rFonts w:ascii="Times New Roman" w:hAnsi="Times New Roman" w:cs="Times New Roman"/>
          <w:sz w:val="28"/>
        </w:rPr>
        <w:t>…...5</w:t>
      </w:r>
      <w:r w:rsidR="00461656">
        <w:rPr>
          <w:rFonts w:ascii="Times New Roman" w:hAnsi="Times New Roman" w:cs="Times New Roman"/>
          <w:sz w:val="28"/>
        </w:rPr>
        <w:t>8</w:t>
      </w:r>
    </w:p>
    <w:p w:rsidR="00CC22D6" w:rsidRPr="00142745" w:rsidRDefault="00142745" w:rsidP="00142745">
      <w:pPr>
        <w:spacing w:after="0" w:line="240" w:lineRule="auto"/>
        <w:jc w:val="both"/>
        <w:rPr>
          <w:rFonts w:ascii="Times New Roman" w:hAnsi="Times New Roman" w:cs="Times New Roman"/>
          <w:sz w:val="28"/>
        </w:rPr>
      </w:pPr>
      <w:r w:rsidRPr="00142745">
        <w:rPr>
          <w:rFonts w:ascii="Times New Roman" w:hAnsi="Times New Roman" w:cs="Times New Roman"/>
          <w:sz w:val="28"/>
        </w:rPr>
        <w:t>1.4.3 Аксиологические факторы</w:t>
      </w:r>
      <w:r>
        <w:rPr>
          <w:rFonts w:ascii="Times New Roman" w:hAnsi="Times New Roman" w:cs="Times New Roman"/>
          <w:sz w:val="28"/>
        </w:rPr>
        <w:t>………………………………………………</w:t>
      </w:r>
      <w:r w:rsidR="00A056FF">
        <w:rPr>
          <w:rFonts w:ascii="Times New Roman" w:hAnsi="Times New Roman" w:cs="Times New Roman"/>
          <w:sz w:val="28"/>
        </w:rPr>
        <w:t>…...</w:t>
      </w:r>
      <w:r w:rsidR="00DC4A98">
        <w:rPr>
          <w:rFonts w:ascii="Times New Roman" w:hAnsi="Times New Roman" w:cs="Times New Roman"/>
          <w:sz w:val="28"/>
        </w:rPr>
        <w:t>59</w:t>
      </w:r>
    </w:p>
    <w:p w:rsidR="00CC22D6" w:rsidRPr="00127D21" w:rsidRDefault="00127D21" w:rsidP="00127D21">
      <w:pPr>
        <w:spacing w:after="0" w:line="240" w:lineRule="auto"/>
        <w:jc w:val="both"/>
        <w:rPr>
          <w:rFonts w:ascii="Times New Roman" w:hAnsi="Times New Roman" w:cs="Times New Roman"/>
          <w:sz w:val="28"/>
        </w:rPr>
      </w:pPr>
      <w:r w:rsidRPr="00127D21">
        <w:rPr>
          <w:rFonts w:ascii="Times New Roman" w:hAnsi="Times New Roman" w:cs="Times New Roman"/>
          <w:sz w:val="28"/>
        </w:rPr>
        <w:t>1.4.4 Политические и правовые факторы</w:t>
      </w:r>
      <w:r>
        <w:rPr>
          <w:rFonts w:ascii="Times New Roman" w:hAnsi="Times New Roman" w:cs="Times New Roman"/>
          <w:sz w:val="28"/>
        </w:rPr>
        <w:t>……………………………………</w:t>
      </w:r>
      <w:proofErr w:type="gramStart"/>
      <w:r>
        <w:rPr>
          <w:rFonts w:ascii="Times New Roman" w:hAnsi="Times New Roman" w:cs="Times New Roman"/>
          <w:sz w:val="28"/>
        </w:rPr>
        <w:t>……</w:t>
      </w:r>
      <w:r w:rsidR="0089686D">
        <w:rPr>
          <w:rFonts w:ascii="Times New Roman" w:hAnsi="Times New Roman" w:cs="Times New Roman"/>
          <w:sz w:val="28"/>
        </w:rPr>
        <w:t>.</w:t>
      </w:r>
      <w:proofErr w:type="gramEnd"/>
      <w:r w:rsidR="0089686D">
        <w:rPr>
          <w:rFonts w:ascii="Times New Roman" w:hAnsi="Times New Roman" w:cs="Times New Roman"/>
          <w:sz w:val="28"/>
        </w:rPr>
        <w:t>6</w:t>
      </w:r>
      <w:r w:rsidR="002023A8">
        <w:rPr>
          <w:rFonts w:ascii="Times New Roman" w:hAnsi="Times New Roman" w:cs="Times New Roman"/>
          <w:sz w:val="28"/>
        </w:rPr>
        <w:t>3</w:t>
      </w:r>
    </w:p>
    <w:p w:rsidR="002C0A6E" w:rsidRPr="002C0A6E" w:rsidRDefault="002C0A6E" w:rsidP="002C0A6E">
      <w:pPr>
        <w:spacing w:after="0" w:line="240" w:lineRule="auto"/>
        <w:jc w:val="both"/>
        <w:rPr>
          <w:rFonts w:ascii="Times New Roman" w:hAnsi="Times New Roman" w:cs="Times New Roman"/>
          <w:sz w:val="28"/>
        </w:rPr>
      </w:pPr>
      <w:r w:rsidRPr="002C0A6E">
        <w:rPr>
          <w:rFonts w:ascii="Times New Roman" w:hAnsi="Times New Roman" w:cs="Times New Roman"/>
          <w:sz w:val="28"/>
        </w:rPr>
        <w:t xml:space="preserve">2 </w:t>
      </w:r>
      <w:r>
        <w:rPr>
          <w:rFonts w:ascii="Times New Roman" w:hAnsi="Times New Roman" w:cs="Times New Roman"/>
          <w:sz w:val="28"/>
        </w:rPr>
        <w:t xml:space="preserve">ГЛАВА </w:t>
      </w:r>
      <w:r w:rsidRPr="002C0A6E">
        <w:rPr>
          <w:rFonts w:ascii="Times New Roman" w:hAnsi="Times New Roman" w:cs="Times New Roman"/>
          <w:sz w:val="28"/>
        </w:rPr>
        <w:t>ФАКТОР ИНФОРМАЦИОННЫХ ТЕХНОЛОГИЙ И ЕГО ВЛИЯНИЕ НА ИНСТИТУТЫ ГРАЖДАНСКОГО ОБЩЕСТВА В КАЗАХСТАНЕ</w:t>
      </w:r>
      <w:r>
        <w:rPr>
          <w:rFonts w:ascii="Times New Roman" w:hAnsi="Times New Roman" w:cs="Times New Roman"/>
          <w:sz w:val="28"/>
        </w:rPr>
        <w:t>…</w:t>
      </w:r>
      <w:proofErr w:type="gramStart"/>
      <w:r>
        <w:rPr>
          <w:rFonts w:ascii="Times New Roman" w:hAnsi="Times New Roman" w:cs="Times New Roman"/>
          <w:sz w:val="28"/>
        </w:rPr>
        <w:t>…</w:t>
      </w:r>
      <w:r w:rsidR="00F61254">
        <w:rPr>
          <w:rFonts w:ascii="Times New Roman" w:hAnsi="Times New Roman" w:cs="Times New Roman"/>
          <w:sz w:val="28"/>
        </w:rPr>
        <w:t>….</w:t>
      </w:r>
      <w:proofErr w:type="gramEnd"/>
      <w:r w:rsidR="00F61254">
        <w:rPr>
          <w:rFonts w:ascii="Times New Roman" w:hAnsi="Times New Roman" w:cs="Times New Roman"/>
          <w:sz w:val="28"/>
        </w:rPr>
        <w:t>.7</w:t>
      </w:r>
      <w:r w:rsidR="00C356A3">
        <w:rPr>
          <w:rFonts w:ascii="Times New Roman" w:hAnsi="Times New Roman" w:cs="Times New Roman"/>
          <w:sz w:val="28"/>
        </w:rPr>
        <w:t>6</w:t>
      </w:r>
    </w:p>
    <w:p w:rsidR="00CC22D6" w:rsidRDefault="002C0A6E" w:rsidP="002C0A6E">
      <w:pPr>
        <w:spacing w:after="0" w:line="240" w:lineRule="auto"/>
        <w:jc w:val="both"/>
        <w:rPr>
          <w:rFonts w:ascii="Times New Roman" w:hAnsi="Times New Roman" w:cs="Times New Roman"/>
          <w:sz w:val="28"/>
        </w:rPr>
      </w:pPr>
      <w:r w:rsidRPr="002C0A6E">
        <w:rPr>
          <w:rFonts w:ascii="Times New Roman" w:hAnsi="Times New Roman" w:cs="Times New Roman"/>
          <w:sz w:val="28"/>
        </w:rPr>
        <w:t>2.1 История развития интернета и информационных технологий</w:t>
      </w:r>
      <w:r>
        <w:rPr>
          <w:rFonts w:ascii="Times New Roman" w:hAnsi="Times New Roman" w:cs="Times New Roman"/>
          <w:sz w:val="28"/>
        </w:rPr>
        <w:t>………………</w:t>
      </w:r>
      <w:r w:rsidR="00592759">
        <w:rPr>
          <w:rFonts w:ascii="Times New Roman" w:hAnsi="Times New Roman" w:cs="Times New Roman"/>
          <w:sz w:val="28"/>
        </w:rPr>
        <w:t>..</w:t>
      </w:r>
      <w:r>
        <w:rPr>
          <w:rFonts w:ascii="Times New Roman" w:hAnsi="Times New Roman" w:cs="Times New Roman"/>
          <w:sz w:val="28"/>
        </w:rPr>
        <w:t>.-</w:t>
      </w:r>
    </w:p>
    <w:p w:rsidR="002C0A6E" w:rsidRDefault="00D615A1" w:rsidP="002C0A6E">
      <w:pPr>
        <w:spacing w:after="0" w:line="240" w:lineRule="auto"/>
        <w:jc w:val="both"/>
        <w:rPr>
          <w:rFonts w:ascii="Times New Roman" w:hAnsi="Times New Roman" w:cs="Times New Roman"/>
          <w:sz w:val="28"/>
        </w:rPr>
      </w:pPr>
      <w:r w:rsidRPr="00D615A1">
        <w:rPr>
          <w:rFonts w:ascii="Times New Roman" w:hAnsi="Times New Roman" w:cs="Times New Roman"/>
          <w:sz w:val="28"/>
        </w:rPr>
        <w:t>2.2 Теоретические направления изучения влияния информационных технологий на гражданское общество: аналитический обзор</w:t>
      </w:r>
      <w:r>
        <w:rPr>
          <w:rFonts w:ascii="Times New Roman" w:hAnsi="Times New Roman" w:cs="Times New Roman"/>
          <w:sz w:val="28"/>
        </w:rPr>
        <w:t>………………………………</w:t>
      </w:r>
      <w:r w:rsidR="00C356A3">
        <w:rPr>
          <w:rFonts w:ascii="Times New Roman" w:hAnsi="Times New Roman" w:cs="Times New Roman"/>
          <w:sz w:val="28"/>
        </w:rPr>
        <w:t>…</w:t>
      </w:r>
      <w:r w:rsidR="00DC4A98">
        <w:rPr>
          <w:rFonts w:ascii="Times New Roman" w:hAnsi="Times New Roman" w:cs="Times New Roman"/>
          <w:sz w:val="28"/>
        </w:rPr>
        <w:t>79</w:t>
      </w:r>
    </w:p>
    <w:p w:rsidR="002C0A6E" w:rsidRDefault="00AB3168" w:rsidP="002C0A6E">
      <w:pPr>
        <w:spacing w:after="0" w:line="240" w:lineRule="auto"/>
        <w:jc w:val="both"/>
        <w:rPr>
          <w:rFonts w:ascii="Times New Roman" w:hAnsi="Times New Roman" w:cs="Times New Roman"/>
          <w:sz w:val="28"/>
        </w:rPr>
      </w:pPr>
      <w:r w:rsidRPr="00AB3168">
        <w:rPr>
          <w:rFonts w:ascii="Times New Roman" w:hAnsi="Times New Roman" w:cs="Times New Roman"/>
          <w:sz w:val="28"/>
        </w:rPr>
        <w:t xml:space="preserve">2.3 Определение понятий «социальная сеть» и «социальные </w:t>
      </w:r>
      <w:proofErr w:type="gramStart"/>
      <w:r w:rsidRPr="00AB3168">
        <w:rPr>
          <w:rFonts w:ascii="Times New Roman" w:hAnsi="Times New Roman" w:cs="Times New Roman"/>
          <w:sz w:val="28"/>
        </w:rPr>
        <w:t>медиа»</w:t>
      </w:r>
      <w:r>
        <w:rPr>
          <w:rFonts w:ascii="Times New Roman" w:hAnsi="Times New Roman" w:cs="Times New Roman"/>
          <w:sz w:val="28"/>
        </w:rPr>
        <w:t>…</w:t>
      </w:r>
      <w:proofErr w:type="gramEnd"/>
      <w:r>
        <w:rPr>
          <w:rFonts w:ascii="Times New Roman" w:hAnsi="Times New Roman" w:cs="Times New Roman"/>
          <w:sz w:val="28"/>
        </w:rPr>
        <w:t>………</w:t>
      </w:r>
      <w:r w:rsidR="0057612E">
        <w:rPr>
          <w:rFonts w:ascii="Times New Roman" w:hAnsi="Times New Roman" w:cs="Times New Roman"/>
          <w:sz w:val="28"/>
        </w:rPr>
        <w:t>..8</w:t>
      </w:r>
      <w:r w:rsidR="008446FC">
        <w:rPr>
          <w:rFonts w:ascii="Times New Roman" w:hAnsi="Times New Roman" w:cs="Times New Roman"/>
          <w:sz w:val="28"/>
        </w:rPr>
        <w:t>6</w:t>
      </w:r>
    </w:p>
    <w:p w:rsidR="002C0A6E" w:rsidRDefault="00437789" w:rsidP="002C0A6E">
      <w:pPr>
        <w:spacing w:after="0" w:line="240" w:lineRule="auto"/>
        <w:jc w:val="both"/>
        <w:rPr>
          <w:rFonts w:ascii="Times New Roman" w:hAnsi="Times New Roman" w:cs="Times New Roman"/>
          <w:sz w:val="28"/>
        </w:rPr>
      </w:pPr>
      <w:r w:rsidRPr="00437789">
        <w:rPr>
          <w:rFonts w:ascii="Times New Roman" w:hAnsi="Times New Roman" w:cs="Times New Roman"/>
          <w:sz w:val="28"/>
        </w:rPr>
        <w:t xml:space="preserve">2.3.1 Операционализация понятия «социальные </w:t>
      </w:r>
      <w:proofErr w:type="gramStart"/>
      <w:r w:rsidRPr="00437789">
        <w:rPr>
          <w:rFonts w:ascii="Times New Roman" w:hAnsi="Times New Roman" w:cs="Times New Roman"/>
          <w:sz w:val="28"/>
        </w:rPr>
        <w:t>медиа»</w:t>
      </w:r>
      <w:r>
        <w:rPr>
          <w:rFonts w:ascii="Times New Roman" w:hAnsi="Times New Roman" w:cs="Times New Roman"/>
          <w:sz w:val="28"/>
        </w:rPr>
        <w:t>…</w:t>
      </w:r>
      <w:proofErr w:type="gramEnd"/>
      <w:r>
        <w:rPr>
          <w:rFonts w:ascii="Times New Roman" w:hAnsi="Times New Roman" w:cs="Times New Roman"/>
          <w:sz w:val="28"/>
        </w:rPr>
        <w:t>……………………</w:t>
      </w:r>
      <w:r w:rsidR="008446FC">
        <w:rPr>
          <w:rFonts w:ascii="Times New Roman" w:hAnsi="Times New Roman" w:cs="Times New Roman"/>
          <w:sz w:val="28"/>
        </w:rPr>
        <w:t>..</w:t>
      </w:r>
      <w:r w:rsidR="000A6E9A">
        <w:rPr>
          <w:rFonts w:ascii="Times New Roman" w:hAnsi="Times New Roman" w:cs="Times New Roman"/>
          <w:sz w:val="28"/>
        </w:rPr>
        <w:t>.</w:t>
      </w:r>
      <w:r w:rsidR="008446FC">
        <w:rPr>
          <w:rFonts w:ascii="Times New Roman" w:hAnsi="Times New Roman" w:cs="Times New Roman"/>
          <w:sz w:val="28"/>
        </w:rPr>
        <w:t>98</w:t>
      </w:r>
    </w:p>
    <w:p w:rsidR="002C0A6E" w:rsidRDefault="008F66BD" w:rsidP="002C0A6E">
      <w:pPr>
        <w:spacing w:after="0" w:line="240" w:lineRule="auto"/>
        <w:jc w:val="both"/>
        <w:rPr>
          <w:rFonts w:ascii="Times New Roman" w:hAnsi="Times New Roman" w:cs="Times New Roman"/>
          <w:sz w:val="28"/>
        </w:rPr>
      </w:pPr>
      <w:r w:rsidRPr="008F66BD">
        <w:rPr>
          <w:rFonts w:ascii="Times New Roman" w:hAnsi="Times New Roman" w:cs="Times New Roman"/>
          <w:sz w:val="28"/>
        </w:rPr>
        <w:t>2.4 История развития социальных медиа в мире и Казахстане</w:t>
      </w:r>
      <w:r>
        <w:rPr>
          <w:rFonts w:ascii="Times New Roman" w:hAnsi="Times New Roman" w:cs="Times New Roman"/>
          <w:sz w:val="28"/>
        </w:rPr>
        <w:t>………………</w:t>
      </w:r>
      <w:r w:rsidR="00960CBF">
        <w:rPr>
          <w:rFonts w:ascii="Times New Roman" w:hAnsi="Times New Roman" w:cs="Times New Roman"/>
          <w:sz w:val="28"/>
        </w:rPr>
        <w:t>..</w:t>
      </w:r>
      <w:r w:rsidR="00B66F12">
        <w:rPr>
          <w:rFonts w:ascii="Times New Roman" w:hAnsi="Times New Roman" w:cs="Times New Roman"/>
          <w:sz w:val="28"/>
        </w:rPr>
        <w:t>.</w:t>
      </w:r>
      <w:r w:rsidR="002423B5">
        <w:rPr>
          <w:rFonts w:ascii="Times New Roman" w:hAnsi="Times New Roman" w:cs="Times New Roman"/>
          <w:sz w:val="28"/>
        </w:rPr>
        <w:t>..</w:t>
      </w:r>
      <w:r w:rsidR="00B66F12">
        <w:rPr>
          <w:rFonts w:ascii="Times New Roman" w:hAnsi="Times New Roman" w:cs="Times New Roman"/>
          <w:sz w:val="28"/>
        </w:rPr>
        <w:t>.</w:t>
      </w:r>
      <w:r w:rsidR="002423B5">
        <w:rPr>
          <w:rFonts w:ascii="Times New Roman" w:hAnsi="Times New Roman" w:cs="Times New Roman"/>
          <w:sz w:val="28"/>
        </w:rPr>
        <w:t>99</w:t>
      </w:r>
    </w:p>
    <w:p w:rsidR="008F66BD" w:rsidRPr="008F66BD" w:rsidRDefault="008F66BD" w:rsidP="008F66BD">
      <w:pPr>
        <w:spacing w:after="0" w:line="240" w:lineRule="auto"/>
        <w:jc w:val="both"/>
        <w:rPr>
          <w:rFonts w:ascii="Times New Roman" w:hAnsi="Times New Roman" w:cs="Times New Roman"/>
          <w:sz w:val="28"/>
        </w:rPr>
      </w:pPr>
      <w:r w:rsidRPr="008F66BD">
        <w:rPr>
          <w:rFonts w:ascii="Times New Roman" w:hAnsi="Times New Roman" w:cs="Times New Roman"/>
          <w:sz w:val="28"/>
        </w:rPr>
        <w:t>3</w:t>
      </w:r>
      <w:r>
        <w:rPr>
          <w:rFonts w:ascii="Times New Roman" w:hAnsi="Times New Roman" w:cs="Times New Roman"/>
          <w:sz w:val="28"/>
        </w:rPr>
        <w:t xml:space="preserve"> ГЛАВА</w:t>
      </w:r>
      <w:r w:rsidRPr="008F66BD">
        <w:rPr>
          <w:rFonts w:ascii="Times New Roman" w:hAnsi="Times New Roman" w:cs="Times New Roman"/>
          <w:sz w:val="28"/>
        </w:rPr>
        <w:t xml:space="preserve"> ВЛИЯНИЕ СОЦИАЛЬНЫХ МЕДИА НА ДЕЯТЕЛЬНОСТЬ МОЛОДЁЖНЫХ ОБЩЕСТВЕННЫХ ОРГАНИЗАЦИЙ КАЗАХСТАНА</w:t>
      </w:r>
      <w:r>
        <w:rPr>
          <w:rFonts w:ascii="Times New Roman" w:hAnsi="Times New Roman" w:cs="Times New Roman"/>
          <w:sz w:val="28"/>
        </w:rPr>
        <w:t>……</w:t>
      </w:r>
      <w:r w:rsidR="00B66F12">
        <w:rPr>
          <w:rFonts w:ascii="Times New Roman" w:hAnsi="Times New Roman" w:cs="Times New Roman"/>
          <w:sz w:val="28"/>
        </w:rPr>
        <w:t>10</w:t>
      </w:r>
      <w:r w:rsidR="00FC58AC">
        <w:rPr>
          <w:rFonts w:ascii="Times New Roman" w:hAnsi="Times New Roman" w:cs="Times New Roman"/>
          <w:sz w:val="28"/>
        </w:rPr>
        <w:t>5</w:t>
      </w:r>
      <w:r w:rsidRPr="008F66BD">
        <w:rPr>
          <w:rFonts w:ascii="Times New Roman" w:hAnsi="Times New Roman" w:cs="Times New Roman"/>
          <w:sz w:val="28"/>
        </w:rPr>
        <w:t xml:space="preserve"> </w:t>
      </w:r>
    </w:p>
    <w:p w:rsidR="008F66BD" w:rsidRPr="008F66BD" w:rsidRDefault="008F66BD" w:rsidP="008F66BD">
      <w:pPr>
        <w:spacing w:after="0" w:line="240" w:lineRule="auto"/>
        <w:jc w:val="both"/>
        <w:rPr>
          <w:rFonts w:ascii="Times New Roman" w:hAnsi="Times New Roman" w:cs="Times New Roman"/>
          <w:sz w:val="28"/>
        </w:rPr>
      </w:pPr>
      <w:r w:rsidRPr="008F66BD">
        <w:rPr>
          <w:rFonts w:ascii="Times New Roman" w:hAnsi="Times New Roman" w:cs="Times New Roman"/>
          <w:sz w:val="28"/>
        </w:rPr>
        <w:t>3.1 Количественный анализ влияния социальных медиа на деятельность молодёжных общественных организаций Казахстана</w:t>
      </w:r>
      <w:r>
        <w:rPr>
          <w:rFonts w:ascii="Times New Roman" w:hAnsi="Times New Roman" w:cs="Times New Roman"/>
          <w:sz w:val="28"/>
        </w:rPr>
        <w:t>……………………………-</w:t>
      </w:r>
    </w:p>
    <w:p w:rsidR="00B46B14" w:rsidRDefault="008F66BD" w:rsidP="008F66BD">
      <w:pPr>
        <w:spacing w:after="0" w:line="240" w:lineRule="auto"/>
        <w:jc w:val="both"/>
        <w:rPr>
          <w:rFonts w:ascii="Times New Roman" w:hAnsi="Times New Roman" w:cs="Times New Roman"/>
          <w:sz w:val="28"/>
        </w:rPr>
      </w:pPr>
      <w:r w:rsidRPr="008F66BD">
        <w:rPr>
          <w:rFonts w:ascii="Times New Roman" w:hAnsi="Times New Roman" w:cs="Times New Roman"/>
          <w:sz w:val="28"/>
        </w:rPr>
        <w:t>3.1.1 Анализ результатов социологического опроса молодёжи Казахстана</w:t>
      </w:r>
      <w:proofErr w:type="gramStart"/>
      <w:r>
        <w:rPr>
          <w:rFonts w:ascii="Times New Roman" w:hAnsi="Times New Roman" w:cs="Times New Roman"/>
          <w:sz w:val="28"/>
        </w:rPr>
        <w:t>…….</w:t>
      </w:r>
      <w:proofErr w:type="gramEnd"/>
      <w:r>
        <w:rPr>
          <w:rFonts w:ascii="Times New Roman" w:hAnsi="Times New Roman" w:cs="Times New Roman"/>
          <w:sz w:val="28"/>
        </w:rPr>
        <w:t>-</w:t>
      </w:r>
    </w:p>
    <w:p w:rsidR="002C0A6E" w:rsidRPr="00B46B14" w:rsidRDefault="002C0A6E" w:rsidP="00B46B14">
      <w:pPr>
        <w:jc w:val="center"/>
        <w:rPr>
          <w:rFonts w:ascii="Times New Roman" w:hAnsi="Times New Roman" w:cs="Times New Roman"/>
          <w:sz w:val="28"/>
        </w:rPr>
      </w:pPr>
    </w:p>
    <w:p w:rsidR="008F66BD" w:rsidRDefault="005348A6" w:rsidP="008F66BD">
      <w:pPr>
        <w:spacing w:after="0" w:line="240" w:lineRule="auto"/>
        <w:jc w:val="both"/>
        <w:rPr>
          <w:rFonts w:ascii="Times New Roman" w:hAnsi="Times New Roman" w:cs="Times New Roman"/>
          <w:sz w:val="28"/>
        </w:rPr>
      </w:pPr>
      <w:r w:rsidRPr="005348A6">
        <w:rPr>
          <w:rFonts w:ascii="Times New Roman" w:hAnsi="Times New Roman" w:cs="Times New Roman"/>
          <w:sz w:val="28"/>
        </w:rPr>
        <w:lastRenderedPageBreak/>
        <w:t>3.1.2 Результаты множественного корреляционно-регрессионного анализа, проведённого на основании данных социологического исследования молодёжи Казахстана</w:t>
      </w:r>
      <w:r>
        <w:rPr>
          <w:rFonts w:ascii="Times New Roman" w:hAnsi="Times New Roman" w:cs="Times New Roman"/>
          <w:sz w:val="28"/>
        </w:rPr>
        <w:t>………………………………………………………………………</w:t>
      </w:r>
      <w:r w:rsidR="00BF7035">
        <w:rPr>
          <w:rFonts w:ascii="Times New Roman" w:hAnsi="Times New Roman" w:cs="Times New Roman"/>
          <w:sz w:val="28"/>
        </w:rPr>
        <w:t>…1</w:t>
      </w:r>
      <w:r w:rsidR="00FC58AC">
        <w:rPr>
          <w:rFonts w:ascii="Times New Roman" w:hAnsi="Times New Roman" w:cs="Times New Roman"/>
          <w:sz w:val="28"/>
        </w:rPr>
        <w:t>28</w:t>
      </w:r>
    </w:p>
    <w:p w:rsidR="008F3F65" w:rsidRPr="008F3F65" w:rsidRDefault="008F3F65" w:rsidP="008F3F65">
      <w:pPr>
        <w:spacing w:after="0" w:line="240" w:lineRule="auto"/>
        <w:jc w:val="both"/>
        <w:rPr>
          <w:rFonts w:ascii="Times New Roman" w:hAnsi="Times New Roman" w:cs="Times New Roman"/>
          <w:sz w:val="28"/>
        </w:rPr>
      </w:pPr>
      <w:r w:rsidRPr="008F3F65">
        <w:rPr>
          <w:rFonts w:ascii="Times New Roman" w:hAnsi="Times New Roman" w:cs="Times New Roman"/>
          <w:sz w:val="28"/>
        </w:rPr>
        <w:t>3.2 Качественный анализ влияния социальных медиа на деятельность молодёжных общественных организаций Казахстана</w:t>
      </w:r>
      <w:r>
        <w:rPr>
          <w:rFonts w:ascii="Times New Roman" w:hAnsi="Times New Roman" w:cs="Times New Roman"/>
          <w:sz w:val="28"/>
        </w:rPr>
        <w:t>……………………</w:t>
      </w:r>
      <w:proofErr w:type="gramStart"/>
      <w:r>
        <w:rPr>
          <w:rFonts w:ascii="Times New Roman" w:hAnsi="Times New Roman" w:cs="Times New Roman"/>
          <w:sz w:val="28"/>
        </w:rPr>
        <w:t>……</w:t>
      </w:r>
      <w:r w:rsidR="00C31CE8">
        <w:rPr>
          <w:rFonts w:ascii="Times New Roman" w:hAnsi="Times New Roman" w:cs="Times New Roman"/>
          <w:sz w:val="28"/>
        </w:rPr>
        <w:t>.</w:t>
      </w:r>
      <w:proofErr w:type="gramEnd"/>
      <w:r w:rsidR="00C31CE8">
        <w:rPr>
          <w:rFonts w:ascii="Times New Roman" w:hAnsi="Times New Roman" w:cs="Times New Roman"/>
          <w:sz w:val="28"/>
        </w:rPr>
        <w:t>1</w:t>
      </w:r>
      <w:r w:rsidR="00FC58AC">
        <w:rPr>
          <w:rFonts w:ascii="Times New Roman" w:hAnsi="Times New Roman" w:cs="Times New Roman"/>
          <w:sz w:val="28"/>
        </w:rPr>
        <w:t>57</w:t>
      </w:r>
    </w:p>
    <w:p w:rsidR="002C0A6E" w:rsidRDefault="008F3F65" w:rsidP="008F3F65">
      <w:pPr>
        <w:spacing w:after="0" w:line="240" w:lineRule="auto"/>
        <w:jc w:val="both"/>
        <w:rPr>
          <w:rFonts w:ascii="Times New Roman" w:hAnsi="Times New Roman" w:cs="Times New Roman"/>
          <w:sz w:val="28"/>
        </w:rPr>
      </w:pPr>
      <w:r w:rsidRPr="008F3F65">
        <w:rPr>
          <w:rFonts w:ascii="Times New Roman" w:hAnsi="Times New Roman" w:cs="Times New Roman"/>
          <w:sz w:val="28"/>
        </w:rPr>
        <w:t>3.2.1 Анализ результатов глубинного интервью казахстанских экспертов на предмет места социальных медиа в развитии молодёжных общественных организаций</w:t>
      </w:r>
      <w:r>
        <w:rPr>
          <w:rFonts w:ascii="Times New Roman" w:hAnsi="Times New Roman" w:cs="Times New Roman"/>
          <w:sz w:val="28"/>
        </w:rPr>
        <w:t>…………………………………………………………</w:t>
      </w:r>
      <w:r w:rsidR="00C31CE8">
        <w:rPr>
          <w:rFonts w:ascii="Times New Roman" w:hAnsi="Times New Roman" w:cs="Times New Roman"/>
          <w:sz w:val="28"/>
        </w:rPr>
        <w:t>…………</w:t>
      </w:r>
      <w:proofErr w:type="gramStart"/>
      <w:r w:rsidR="00C31CE8">
        <w:rPr>
          <w:rFonts w:ascii="Times New Roman" w:hAnsi="Times New Roman" w:cs="Times New Roman"/>
          <w:sz w:val="28"/>
        </w:rPr>
        <w:t>…….</w:t>
      </w:r>
      <w:proofErr w:type="gramEnd"/>
      <w:r w:rsidR="00C31CE8">
        <w:rPr>
          <w:rFonts w:ascii="Times New Roman" w:hAnsi="Times New Roman" w:cs="Times New Roman"/>
          <w:sz w:val="28"/>
        </w:rPr>
        <w:t>-</w:t>
      </w:r>
    </w:p>
    <w:p w:rsidR="002C0A6E" w:rsidRDefault="00D875DE" w:rsidP="002C0A6E">
      <w:pPr>
        <w:spacing w:after="0" w:line="240" w:lineRule="auto"/>
        <w:jc w:val="both"/>
        <w:rPr>
          <w:rFonts w:ascii="Times New Roman" w:hAnsi="Times New Roman" w:cs="Times New Roman"/>
          <w:sz w:val="28"/>
        </w:rPr>
      </w:pPr>
      <w:r w:rsidRPr="00D875DE">
        <w:rPr>
          <w:rFonts w:ascii="Times New Roman" w:hAnsi="Times New Roman" w:cs="Times New Roman"/>
          <w:sz w:val="28"/>
        </w:rPr>
        <w:t>3.2.2 Анализ результатов глубинного интервью с представителями молодёжных общественных организаций Казахстана</w:t>
      </w:r>
      <w:r>
        <w:rPr>
          <w:rFonts w:ascii="Times New Roman" w:hAnsi="Times New Roman" w:cs="Times New Roman"/>
          <w:sz w:val="28"/>
        </w:rPr>
        <w:t>……………………………………</w:t>
      </w:r>
      <w:r w:rsidR="00C31CE8">
        <w:rPr>
          <w:rFonts w:ascii="Times New Roman" w:hAnsi="Times New Roman" w:cs="Times New Roman"/>
          <w:sz w:val="28"/>
        </w:rPr>
        <w:t>……16</w:t>
      </w:r>
      <w:r w:rsidR="00DD28A9">
        <w:rPr>
          <w:rFonts w:ascii="Times New Roman" w:hAnsi="Times New Roman" w:cs="Times New Roman"/>
          <w:sz w:val="28"/>
        </w:rPr>
        <w:t>0</w:t>
      </w:r>
    </w:p>
    <w:p w:rsidR="00E56E3D" w:rsidRPr="00E56E3D" w:rsidRDefault="00E56E3D" w:rsidP="00E56E3D">
      <w:pPr>
        <w:spacing w:after="0" w:line="240" w:lineRule="auto"/>
        <w:jc w:val="both"/>
        <w:rPr>
          <w:rFonts w:ascii="Times New Roman" w:hAnsi="Times New Roman" w:cs="Times New Roman"/>
          <w:sz w:val="28"/>
        </w:rPr>
      </w:pPr>
      <w:r w:rsidRPr="00E56E3D">
        <w:rPr>
          <w:rFonts w:ascii="Times New Roman" w:hAnsi="Times New Roman" w:cs="Times New Roman"/>
          <w:sz w:val="28"/>
        </w:rPr>
        <w:t>ЗАКЛЮЧЕНИЕ</w:t>
      </w:r>
      <w:r>
        <w:rPr>
          <w:rFonts w:ascii="Times New Roman" w:hAnsi="Times New Roman" w:cs="Times New Roman"/>
          <w:sz w:val="28"/>
        </w:rPr>
        <w:t>……………………………………………………</w:t>
      </w:r>
      <w:r w:rsidR="00531B1A">
        <w:rPr>
          <w:rFonts w:ascii="Times New Roman" w:hAnsi="Times New Roman" w:cs="Times New Roman"/>
          <w:sz w:val="28"/>
        </w:rPr>
        <w:t>………………1</w:t>
      </w:r>
      <w:r w:rsidR="00B84709">
        <w:rPr>
          <w:rFonts w:ascii="Times New Roman" w:hAnsi="Times New Roman" w:cs="Times New Roman"/>
          <w:sz w:val="28"/>
        </w:rPr>
        <w:t>71</w:t>
      </w:r>
    </w:p>
    <w:p w:rsidR="00E56E3D" w:rsidRPr="00CC694B" w:rsidRDefault="00E56E3D" w:rsidP="00E56E3D">
      <w:pPr>
        <w:spacing w:after="0" w:line="240" w:lineRule="auto"/>
        <w:jc w:val="both"/>
        <w:rPr>
          <w:rFonts w:ascii="Times New Roman" w:hAnsi="Times New Roman" w:cs="Times New Roman"/>
          <w:sz w:val="28"/>
        </w:rPr>
      </w:pPr>
      <w:r w:rsidRPr="00E56E3D">
        <w:rPr>
          <w:rFonts w:ascii="Times New Roman" w:hAnsi="Times New Roman" w:cs="Times New Roman"/>
          <w:sz w:val="28"/>
        </w:rPr>
        <w:t>СПИСОК</w:t>
      </w:r>
      <w:r w:rsidRPr="00CC694B">
        <w:rPr>
          <w:rFonts w:ascii="Times New Roman" w:hAnsi="Times New Roman" w:cs="Times New Roman"/>
          <w:sz w:val="28"/>
        </w:rPr>
        <w:t xml:space="preserve"> </w:t>
      </w:r>
      <w:r w:rsidRPr="00E56E3D">
        <w:rPr>
          <w:rFonts w:ascii="Times New Roman" w:hAnsi="Times New Roman" w:cs="Times New Roman"/>
          <w:sz w:val="28"/>
        </w:rPr>
        <w:t>ИСПОЛЬЗОВАННЫХ</w:t>
      </w:r>
      <w:r w:rsidRPr="00CC694B">
        <w:rPr>
          <w:rFonts w:ascii="Times New Roman" w:hAnsi="Times New Roman" w:cs="Times New Roman"/>
          <w:sz w:val="28"/>
        </w:rPr>
        <w:t xml:space="preserve"> </w:t>
      </w:r>
      <w:r w:rsidRPr="00E56E3D">
        <w:rPr>
          <w:rFonts w:ascii="Times New Roman" w:hAnsi="Times New Roman" w:cs="Times New Roman"/>
          <w:sz w:val="28"/>
        </w:rPr>
        <w:t>ИСТОЧНИКОВ</w:t>
      </w:r>
      <w:r>
        <w:rPr>
          <w:rFonts w:ascii="Times New Roman" w:hAnsi="Times New Roman" w:cs="Times New Roman"/>
          <w:sz w:val="28"/>
        </w:rPr>
        <w:t>……………………………</w:t>
      </w:r>
      <w:r w:rsidR="00531B1A">
        <w:rPr>
          <w:rFonts w:ascii="Times New Roman" w:hAnsi="Times New Roman" w:cs="Times New Roman"/>
          <w:sz w:val="28"/>
        </w:rPr>
        <w:t>...17</w:t>
      </w:r>
      <w:r w:rsidR="00DD28A9">
        <w:rPr>
          <w:rFonts w:ascii="Times New Roman" w:hAnsi="Times New Roman" w:cs="Times New Roman"/>
          <w:sz w:val="28"/>
        </w:rPr>
        <w:t>4</w:t>
      </w:r>
      <w:r w:rsidRPr="00CC694B">
        <w:rPr>
          <w:rFonts w:ascii="Times New Roman" w:hAnsi="Times New Roman" w:cs="Times New Roman"/>
          <w:sz w:val="28"/>
        </w:rPr>
        <w:t xml:space="preserve"> </w:t>
      </w:r>
    </w:p>
    <w:p w:rsidR="00CC694B" w:rsidRPr="00CC694B" w:rsidRDefault="00CC694B" w:rsidP="00CC694B">
      <w:pPr>
        <w:spacing w:after="0" w:line="240" w:lineRule="auto"/>
        <w:jc w:val="both"/>
        <w:rPr>
          <w:rFonts w:ascii="Times New Roman" w:hAnsi="Times New Roman" w:cs="Times New Roman"/>
          <w:sz w:val="28"/>
        </w:rPr>
      </w:pPr>
      <w:r w:rsidRPr="00CC694B">
        <w:rPr>
          <w:rFonts w:ascii="Times New Roman" w:hAnsi="Times New Roman" w:cs="Times New Roman"/>
          <w:sz w:val="28"/>
        </w:rPr>
        <w:t xml:space="preserve">Приложение А </w:t>
      </w:r>
    </w:p>
    <w:p w:rsidR="00CC694B" w:rsidRPr="00CC694B" w:rsidRDefault="00CC694B" w:rsidP="00CC694B">
      <w:pPr>
        <w:spacing w:after="0" w:line="240" w:lineRule="auto"/>
        <w:jc w:val="both"/>
        <w:rPr>
          <w:rFonts w:ascii="Times New Roman" w:hAnsi="Times New Roman" w:cs="Times New Roman"/>
          <w:sz w:val="28"/>
        </w:rPr>
      </w:pPr>
      <w:r w:rsidRPr="00CC694B">
        <w:rPr>
          <w:rFonts w:ascii="Times New Roman" w:hAnsi="Times New Roman" w:cs="Times New Roman"/>
          <w:sz w:val="28"/>
        </w:rPr>
        <w:t xml:space="preserve">Приложение Б </w:t>
      </w:r>
    </w:p>
    <w:p w:rsidR="00CC694B" w:rsidRPr="00CC694B" w:rsidRDefault="00CC694B" w:rsidP="00CC694B">
      <w:pPr>
        <w:spacing w:after="0" w:line="240" w:lineRule="auto"/>
        <w:jc w:val="both"/>
        <w:rPr>
          <w:rFonts w:ascii="Times New Roman" w:hAnsi="Times New Roman" w:cs="Times New Roman"/>
          <w:sz w:val="28"/>
        </w:rPr>
      </w:pPr>
      <w:r w:rsidRPr="00CC694B">
        <w:rPr>
          <w:rFonts w:ascii="Times New Roman" w:hAnsi="Times New Roman" w:cs="Times New Roman"/>
          <w:sz w:val="28"/>
        </w:rPr>
        <w:t xml:space="preserve">Приложение В </w:t>
      </w:r>
    </w:p>
    <w:p w:rsidR="00CC694B" w:rsidRPr="00CC694B" w:rsidRDefault="00CC694B" w:rsidP="00CC694B">
      <w:pPr>
        <w:spacing w:after="0" w:line="240" w:lineRule="auto"/>
        <w:jc w:val="both"/>
        <w:rPr>
          <w:rFonts w:ascii="Times New Roman" w:hAnsi="Times New Roman" w:cs="Times New Roman"/>
          <w:sz w:val="28"/>
        </w:rPr>
      </w:pPr>
      <w:r w:rsidRPr="00CC694B">
        <w:rPr>
          <w:rFonts w:ascii="Times New Roman" w:hAnsi="Times New Roman" w:cs="Times New Roman"/>
          <w:sz w:val="28"/>
        </w:rPr>
        <w:t>Приложение Г</w:t>
      </w:r>
    </w:p>
    <w:p w:rsidR="002C0A6E" w:rsidRDefault="00CC694B" w:rsidP="002C0A6E">
      <w:pPr>
        <w:spacing w:after="0" w:line="240" w:lineRule="auto"/>
        <w:jc w:val="both"/>
        <w:rPr>
          <w:rFonts w:ascii="Times New Roman" w:hAnsi="Times New Roman" w:cs="Times New Roman"/>
          <w:sz w:val="28"/>
        </w:rPr>
      </w:pPr>
      <w:r w:rsidRPr="00CC694B">
        <w:rPr>
          <w:rFonts w:ascii="Times New Roman" w:hAnsi="Times New Roman" w:cs="Times New Roman"/>
          <w:sz w:val="28"/>
        </w:rPr>
        <w:t>Приложение</w:t>
      </w:r>
      <w:r>
        <w:rPr>
          <w:rFonts w:ascii="Times New Roman" w:hAnsi="Times New Roman" w:cs="Times New Roman"/>
          <w:sz w:val="28"/>
        </w:rPr>
        <w:t xml:space="preserve"> Д</w:t>
      </w:r>
    </w:p>
    <w:p w:rsidR="00CC694B" w:rsidRDefault="00CC694B" w:rsidP="002C0A6E">
      <w:pPr>
        <w:spacing w:after="0" w:line="240" w:lineRule="auto"/>
        <w:jc w:val="both"/>
        <w:rPr>
          <w:rFonts w:ascii="Times New Roman" w:hAnsi="Times New Roman" w:cs="Times New Roman"/>
          <w:sz w:val="28"/>
        </w:rPr>
      </w:pPr>
      <w:r w:rsidRPr="00CC694B">
        <w:rPr>
          <w:rFonts w:ascii="Times New Roman" w:hAnsi="Times New Roman" w:cs="Times New Roman"/>
          <w:sz w:val="28"/>
        </w:rPr>
        <w:t>Приложение</w:t>
      </w:r>
      <w:r>
        <w:rPr>
          <w:rFonts w:ascii="Times New Roman" w:hAnsi="Times New Roman" w:cs="Times New Roman"/>
          <w:sz w:val="28"/>
        </w:rPr>
        <w:t xml:space="preserve"> Е</w:t>
      </w:r>
    </w:p>
    <w:p w:rsidR="008E78D8" w:rsidRDefault="008E78D8" w:rsidP="002C0A6E">
      <w:pPr>
        <w:spacing w:after="0" w:line="240" w:lineRule="auto"/>
        <w:jc w:val="both"/>
        <w:rPr>
          <w:rFonts w:ascii="Times New Roman" w:hAnsi="Times New Roman" w:cs="Times New Roman"/>
          <w:sz w:val="28"/>
        </w:rPr>
      </w:pPr>
      <w:r>
        <w:rPr>
          <w:rFonts w:ascii="Times New Roman" w:hAnsi="Times New Roman" w:cs="Times New Roman"/>
          <w:sz w:val="28"/>
        </w:rPr>
        <w:t>Приложение Ж</w:t>
      </w: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2C0A6E" w:rsidRDefault="002C0A6E"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78084C" w:rsidRDefault="0078084C" w:rsidP="002C0A6E">
      <w:pPr>
        <w:spacing w:after="0" w:line="240" w:lineRule="auto"/>
        <w:jc w:val="both"/>
        <w:rPr>
          <w:rFonts w:ascii="Times New Roman" w:hAnsi="Times New Roman" w:cs="Times New Roman"/>
          <w:sz w:val="28"/>
        </w:rPr>
      </w:pPr>
    </w:p>
    <w:p w:rsidR="00BE7B04" w:rsidRDefault="00BE7B04" w:rsidP="00BE7B04">
      <w:pPr>
        <w:spacing w:after="0" w:line="240" w:lineRule="auto"/>
        <w:ind w:firstLine="709"/>
        <w:jc w:val="center"/>
        <w:rPr>
          <w:rFonts w:ascii="Times New Roman" w:hAnsi="Times New Roman" w:cs="Times New Roman"/>
          <w:sz w:val="28"/>
        </w:rPr>
      </w:pPr>
      <w:r>
        <w:rPr>
          <w:rFonts w:ascii="Times New Roman" w:hAnsi="Times New Roman" w:cs="Times New Roman"/>
          <w:sz w:val="28"/>
        </w:rPr>
        <w:t>НОРМАТИВНЫЕ ССЫЛКИ</w:t>
      </w:r>
    </w:p>
    <w:p w:rsidR="00BE7B04" w:rsidRDefault="00BE7B04" w:rsidP="00BE7B04">
      <w:pPr>
        <w:spacing w:after="0" w:line="240" w:lineRule="auto"/>
        <w:ind w:firstLine="709"/>
        <w:jc w:val="center"/>
        <w:rPr>
          <w:rFonts w:ascii="Times New Roman" w:hAnsi="Times New Roman" w:cs="Times New Roman"/>
          <w:sz w:val="28"/>
        </w:rPr>
      </w:pPr>
    </w:p>
    <w:p w:rsidR="00BE7B04" w:rsidRDefault="00BE7B04" w:rsidP="00BE7B04">
      <w:pPr>
        <w:spacing w:after="0" w:line="240" w:lineRule="auto"/>
        <w:ind w:firstLine="709"/>
        <w:jc w:val="both"/>
        <w:rPr>
          <w:rFonts w:ascii="Times New Roman" w:hAnsi="Times New Roman" w:cs="Times New Roman"/>
          <w:bCs/>
          <w:sz w:val="28"/>
        </w:rPr>
      </w:pPr>
      <w:r>
        <w:rPr>
          <w:rFonts w:ascii="Times New Roman" w:hAnsi="Times New Roman" w:cs="Times New Roman"/>
          <w:bCs/>
          <w:sz w:val="28"/>
        </w:rPr>
        <w:t>При подготовке данного диссертационного исследования использовались следующие документы:</w:t>
      </w:r>
    </w:p>
    <w:p w:rsidR="00BE7B04" w:rsidRDefault="00BE7B04" w:rsidP="00BE7B04">
      <w:pPr>
        <w:spacing w:after="0" w:line="240" w:lineRule="auto"/>
        <w:ind w:firstLine="709"/>
        <w:jc w:val="both"/>
        <w:rPr>
          <w:rFonts w:ascii="Times New Roman" w:hAnsi="Times New Roman" w:cs="Times New Roman"/>
          <w:sz w:val="28"/>
        </w:rPr>
      </w:pPr>
      <w:r w:rsidRPr="00B86D72">
        <w:rPr>
          <w:rFonts w:ascii="Times New Roman" w:hAnsi="Times New Roman" w:cs="Times New Roman"/>
          <w:bCs/>
          <w:sz w:val="28"/>
        </w:rPr>
        <w:t>Конституция Республики Казахстан</w:t>
      </w:r>
      <w:r w:rsidRPr="00291AAC">
        <w:rPr>
          <w:rFonts w:ascii="Times New Roman" w:hAnsi="Times New Roman" w:cs="Times New Roman"/>
          <w:sz w:val="28"/>
        </w:rPr>
        <w:t xml:space="preserve"> (принята на республиканском референдуме 30 августа 1995 г.) : с изм. и доп. по состоянию на 16 сентября 2022 г. — URL: </w:t>
      </w:r>
      <w:hyperlink r:id="rId8" w:history="1">
        <w:r w:rsidRPr="00DC55F0">
          <w:rPr>
            <w:rStyle w:val="a8"/>
            <w:rFonts w:ascii="Times New Roman" w:hAnsi="Times New Roman" w:cs="Times New Roman"/>
            <w:sz w:val="28"/>
          </w:rPr>
          <w:t>https://adilet.zan.kz/rus/docs/K950001000_</w:t>
        </w:r>
      </w:hyperlink>
    </w:p>
    <w:p w:rsidR="00BE7B04" w:rsidRDefault="00BE7B04" w:rsidP="00BE7B04">
      <w:pPr>
        <w:spacing w:after="0" w:line="240" w:lineRule="auto"/>
        <w:ind w:firstLine="709"/>
        <w:jc w:val="both"/>
        <w:rPr>
          <w:rFonts w:ascii="Times New Roman" w:hAnsi="Times New Roman" w:cs="Times New Roman"/>
          <w:sz w:val="28"/>
        </w:rPr>
      </w:pPr>
      <w:r w:rsidRPr="00B86D72">
        <w:rPr>
          <w:rFonts w:ascii="Times New Roman" w:hAnsi="Times New Roman" w:cs="Times New Roman"/>
          <w:sz w:val="28"/>
        </w:rPr>
        <w:t>Закон Республики Казахстан «Об общественных объединениях» от 31 мая 1996 года № 3-I (с изм. и доп. по сост. на 02.01.2024)</w:t>
      </w:r>
    </w:p>
    <w:p w:rsidR="00BE7B04" w:rsidRDefault="00BE7B04" w:rsidP="00BE7B04">
      <w:pPr>
        <w:spacing w:after="0" w:line="240" w:lineRule="auto"/>
        <w:ind w:firstLine="709"/>
        <w:jc w:val="both"/>
        <w:rPr>
          <w:rFonts w:ascii="Times New Roman" w:hAnsi="Times New Roman" w:cs="Times New Roman"/>
          <w:sz w:val="28"/>
        </w:rPr>
      </w:pPr>
      <w:r w:rsidRPr="00B86D72">
        <w:rPr>
          <w:rFonts w:ascii="Times New Roman" w:hAnsi="Times New Roman" w:cs="Times New Roman"/>
          <w:sz w:val="28"/>
        </w:rPr>
        <w:t>Концепция развития гражданского общества в Республ</w:t>
      </w:r>
      <w:r>
        <w:rPr>
          <w:rFonts w:ascii="Times New Roman" w:hAnsi="Times New Roman" w:cs="Times New Roman"/>
          <w:sz w:val="28"/>
        </w:rPr>
        <w:t>ике Казахстан на 2006–2011 годы</w:t>
      </w:r>
      <w:r w:rsidRPr="00B86D72">
        <w:rPr>
          <w:rFonts w:ascii="Times New Roman" w:hAnsi="Times New Roman" w:cs="Times New Roman"/>
          <w:sz w:val="28"/>
        </w:rPr>
        <w:t>: утв. Указом Президента Республики Казахстан от 25 июля 2006 г. № 154.</w:t>
      </w:r>
    </w:p>
    <w:p w:rsidR="00BE7B04" w:rsidRDefault="00BE7B04" w:rsidP="00BE7B04">
      <w:pPr>
        <w:spacing w:after="0" w:line="240" w:lineRule="auto"/>
        <w:ind w:firstLine="709"/>
        <w:jc w:val="both"/>
        <w:rPr>
          <w:rFonts w:ascii="Times New Roman" w:hAnsi="Times New Roman" w:cs="Times New Roman"/>
          <w:sz w:val="28"/>
        </w:rPr>
      </w:pPr>
      <w:r w:rsidRPr="008E1A56">
        <w:rPr>
          <w:rFonts w:ascii="Times New Roman" w:hAnsi="Times New Roman" w:cs="Times New Roman"/>
          <w:sz w:val="28"/>
        </w:rPr>
        <w:t>Концепция</w:t>
      </w:r>
      <w:r>
        <w:rPr>
          <w:rFonts w:ascii="Times New Roman" w:hAnsi="Times New Roman" w:cs="Times New Roman"/>
          <w:sz w:val="28"/>
        </w:rPr>
        <w:t xml:space="preserve"> </w:t>
      </w:r>
      <w:r w:rsidRPr="008E1A56">
        <w:rPr>
          <w:rFonts w:ascii="Times New Roman" w:hAnsi="Times New Roman" w:cs="Times New Roman"/>
          <w:sz w:val="28"/>
        </w:rPr>
        <w:t>развития гражданского общества в Республике Казахстан</w:t>
      </w:r>
      <w:r>
        <w:rPr>
          <w:rFonts w:ascii="Times New Roman" w:hAnsi="Times New Roman" w:cs="Times New Roman"/>
          <w:sz w:val="28"/>
        </w:rPr>
        <w:t xml:space="preserve">: </w:t>
      </w:r>
      <w:r w:rsidRPr="00B86D72">
        <w:rPr>
          <w:rFonts w:ascii="Times New Roman" w:hAnsi="Times New Roman" w:cs="Times New Roman"/>
          <w:sz w:val="28"/>
        </w:rPr>
        <w:t>утв.</w:t>
      </w:r>
      <w:r>
        <w:rPr>
          <w:rFonts w:ascii="Times New Roman" w:hAnsi="Times New Roman" w:cs="Times New Roman"/>
          <w:sz w:val="28"/>
        </w:rPr>
        <w:t xml:space="preserve"> </w:t>
      </w:r>
      <w:r w:rsidRPr="008E1A56">
        <w:rPr>
          <w:rFonts w:ascii="Times New Roman" w:hAnsi="Times New Roman" w:cs="Times New Roman"/>
          <w:sz w:val="28"/>
        </w:rPr>
        <w:t>Указом Президента</w:t>
      </w:r>
      <w:r>
        <w:rPr>
          <w:rFonts w:ascii="Times New Roman" w:hAnsi="Times New Roman" w:cs="Times New Roman"/>
          <w:sz w:val="28"/>
        </w:rPr>
        <w:t xml:space="preserve"> </w:t>
      </w:r>
      <w:r w:rsidRPr="008E1A56">
        <w:rPr>
          <w:rFonts w:ascii="Times New Roman" w:hAnsi="Times New Roman" w:cs="Times New Roman"/>
          <w:sz w:val="28"/>
        </w:rPr>
        <w:t>Республики Казахстан</w:t>
      </w:r>
      <w:r>
        <w:rPr>
          <w:rFonts w:ascii="Times New Roman" w:hAnsi="Times New Roman" w:cs="Times New Roman"/>
          <w:sz w:val="28"/>
        </w:rPr>
        <w:t xml:space="preserve"> </w:t>
      </w:r>
      <w:r w:rsidRPr="008E1A56">
        <w:rPr>
          <w:rFonts w:ascii="Times New Roman" w:hAnsi="Times New Roman" w:cs="Times New Roman"/>
          <w:sz w:val="28"/>
        </w:rPr>
        <w:t>от 27 августа 2020 года № 390</w:t>
      </w:r>
      <w:r>
        <w:rPr>
          <w:rFonts w:ascii="Times New Roman" w:hAnsi="Times New Roman" w:cs="Times New Roman"/>
          <w:sz w:val="28"/>
        </w:rPr>
        <w:t>.</w:t>
      </w:r>
    </w:p>
    <w:p w:rsidR="00BE7B04" w:rsidRDefault="00BE7B04" w:rsidP="00BE7B04">
      <w:pPr>
        <w:spacing w:after="0" w:line="240" w:lineRule="auto"/>
        <w:ind w:firstLine="709"/>
        <w:jc w:val="both"/>
        <w:rPr>
          <w:rFonts w:ascii="Times New Roman" w:hAnsi="Times New Roman" w:cs="Times New Roman"/>
          <w:sz w:val="28"/>
        </w:rPr>
      </w:pPr>
      <w:r>
        <w:rPr>
          <w:rFonts w:ascii="Times New Roman" w:hAnsi="Times New Roman" w:cs="Times New Roman"/>
          <w:sz w:val="28"/>
        </w:rPr>
        <w:t>З</w:t>
      </w:r>
      <w:r w:rsidRPr="00B86D72">
        <w:rPr>
          <w:rFonts w:ascii="Times New Roman" w:hAnsi="Times New Roman" w:cs="Times New Roman"/>
          <w:sz w:val="28"/>
        </w:rPr>
        <w:t>акон Республики Казахстан «Об информатизации» от 24 ноября 2015 года № 418-V ЗРК (с изменениями и дополнениями по состоянию на 30.11.2025).</w:t>
      </w:r>
    </w:p>
    <w:p w:rsidR="00BE7B04" w:rsidRPr="00393EE3" w:rsidRDefault="00BE7B04" w:rsidP="00BE7B04">
      <w:pPr>
        <w:spacing w:after="0" w:line="240" w:lineRule="auto"/>
        <w:ind w:firstLine="709"/>
        <w:jc w:val="both"/>
        <w:rPr>
          <w:rFonts w:ascii="Times New Roman" w:hAnsi="Times New Roman" w:cs="Times New Roman"/>
          <w:sz w:val="28"/>
        </w:rPr>
      </w:pPr>
      <w:r w:rsidRPr="00393EE3">
        <w:rPr>
          <w:rFonts w:ascii="Times New Roman" w:hAnsi="Times New Roman" w:cs="Times New Roman"/>
          <w:sz w:val="28"/>
        </w:rPr>
        <w:t>Закон Республики Казахстан «О некоммерческих организациях»</w:t>
      </w:r>
      <w:r>
        <w:rPr>
          <w:rFonts w:ascii="Times New Roman" w:hAnsi="Times New Roman" w:cs="Times New Roman"/>
          <w:sz w:val="28"/>
        </w:rPr>
        <w:t xml:space="preserve"> </w:t>
      </w:r>
      <w:r w:rsidRPr="00393EE3">
        <w:rPr>
          <w:rFonts w:ascii="Times New Roman" w:hAnsi="Times New Roman" w:cs="Times New Roman"/>
          <w:sz w:val="28"/>
        </w:rPr>
        <w:t>от 16 января 2001 года № 142-II (с изменениями и дополнениями).</w:t>
      </w:r>
    </w:p>
    <w:p w:rsidR="00BE7B04" w:rsidRPr="00393EE3" w:rsidRDefault="00BE7B04" w:rsidP="00BE7B04">
      <w:pPr>
        <w:spacing w:after="0" w:line="240" w:lineRule="auto"/>
        <w:ind w:firstLine="709"/>
        <w:jc w:val="both"/>
        <w:rPr>
          <w:rFonts w:ascii="Times New Roman" w:hAnsi="Times New Roman" w:cs="Times New Roman"/>
          <w:sz w:val="28"/>
        </w:rPr>
      </w:pPr>
      <w:r w:rsidRPr="00393EE3">
        <w:rPr>
          <w:rFonts w:ascii="Times New Roman" w:hAnsi="Times New Roman" w:cs="Times New Roman"/>
          <w:sz w:val="28"/>
        </w:rPr>
        <w:t>Закон Республики Казахстан «О персональных данных и их защите»</w:t>
      </w:r>
      <w:r>
        <w:rPr>
          <w:rFonts w:ascii="Times New Roman" w:hAnsi="Times New Roman" w:cs="Times New Roman"/>
          <w:sz w:val="28"/>
        </w:rPr>
        <w:t xml:space="preserve"> </w:t>
      </w:r>
      <w:r w:rsidRPr="00393EE3">
        <w:rPr>
          <w:rFonts w:ascii="Times New Roman" w:hAnsi="Times New Roman" w:cs="Times New Roman"/>
          <w:sz w:val="28"/>
        </w:rPr>
        <w:t>от 21 мая 2013 года № 94-V (с изменениями и дополнениями).</w:t>
      </w:r>
    </w:p>
    <w:p w:rsidR="00BE7B04" w:rsidRPr="00393EE3" w:rsidRDefault="00BE7B04" w:rsidP="00BE7B04">
      <w:pPr>
        <w:spacing w:after="0" w:line="240" w:lineRule="auto"/>
        <w:ind w:firstLine="709"/>
        <w:jc w:val="both"/>
        <w:rPr>
          <w:rFonts w:ascii="Times New Roman" w:hAnsi="Times New Roman" w:cs="Times New Roman"/>
          <w:sz w:val="28"/>
        </w:rPr>
      </w:pPr>
      <w:r w:rsidRPr="00393EE3">
        <w:rPr>
          <w:rFonts w:ascii="Times New Roman" w:hAnsi="Times New Roman" w:cs="Times New Roman"/>
          <w:sz w:val="28"/>
        </w:rPr>
        <w:t>Закон Республики Казахстан «О государственной молодежной политике»</w:t>
      </w:r>
      <w:r>
        <w:rPr>
          <w:rFonts w:ascii="Times New Roman" w:hAnsi="Times New Roman" w:cs="Times New Roman"/>
          <w:sz w:val="28"/>
        </w:rPr>
        <w:t xml:space="preserve"> </w:t>
      </w:r>
      <w:r w:rsidRPr="00393EE3">
        <w:rPr>
          <w:rFonts w:ascii="Times New Roman" w:hAnsi="Times New Roman" w:cs="Times New Roman"/>
          <w:sz w:val="28"/>
        </w:rPr>
        <w:t>от 9 февраля 2015 года № 285-V ЗРК (с изменениями и дополнениями).</w:t>
      </w:r>
    </w:p>
    <w:p w:rsidR="00BE7B04" w:rsidRPr="00393EE3" w:rsidRDefault="00BE7B04" w:rsidP="00BE7B04">
      <w:pPr>
        <w:spacing w:after="0" w:line="240" w:lineRule="auto"/>
        <w:ind w:firstLine="709"/>
        <w:jc w:val="both"/>
        <w:rPr>
          <w:rFonts w:ascii="Times New Roman" w:hAnsi="Times New Roman" w:cs="Times New Roman"/>
          <w:sz w:val="28"/>
        </w:rPr>
      </w:pPr>
      <w:r w:rsidRPr="00393EE3">
        <w:rPr>
          <w:rFonts w:ascii="Times New Roman" w:hAnsi="Times New Roman" w:cs="Times New Roman"/>
          <w:sz w:val="28"/>
        </w:rPr>
        <w:t>Закон Республики Казахстан «О доступе к информации»</w:t>
      </w:r>
      <w:r>
        <w:rPr>
          <w:rFonts w:ascii="Times New Roman" w:hAnsi="Times New Roman" w:cs="Times New Roman"/>
          <w:sz w:val="28"/>
        </w:rPr>
        <w:t xml:space="preserve"> </w:t>
      </w:r>
      <w:r w:rsidRPr="00393EE3">
        <w:rPr>
          <w:rFonts w:ascii="Times New Roman" w:hAnsi="Times New Roman" w:cs="Times New Roman"/>
          <w:sz w:val="28"/>
        </w:rPr>
        <w:t>от 16 ноября 2015 года № 401-V ЗРК (с изменениями и дополнениями).</w:t>
      </w:r>
    </w:p>
    <w:p w:rsidR="00BE7B04" w:rsidRPr="00393EE3" w:rsidRDefault="00BE7B04" w:rsidP="00BE7B04">
      <w:pPr>
        <w:spacing w:after="0" w:line="240" w:lineRule="auto"/>
        <w:ind w:firstLine="709"/>
        <w:jc w:val="both"/>
        <w:rPr>
          <w:rFonts w:ascii="Times New Roman" w:hAnsi="Times New Roman" w:cs="Times New Roman"/>
          <w:sz w:val="28"/>
        </w:rPr>
      </w:pPr>
      <w:r w:rsidRPr="00393EE3">
        <w:rPr>
          <w:rFonts w:ascii="Times New Roman" w:hAnsi="Times New Roman" w:cs="Times New Roman"/>
          <w:sz w:val="28"/>
        </w:rPr>
        <w:t>Закон Республики Казахстан «Об информатизации»</w:t>
      </w:r>
      <w:r>
        <w:rPr>
          <w:rFonts w:ascii="Times New Roman" w:hAnsi="Times New Roman" w:cs="Times New Roman"/>
          <w:sz w:val="28"/>
        </w:rPr>
        <w:t xml:space="preserve"> </w:t>
      </w:r>
      <w:r w:rsidRPr="00393EE3">
        <w:rPr>
          <w:rFonts w:ascii="Times New Roman" w:hAnsi="Times New Roman" w:cs="Times New Roman"/>
          <w:sz w:val="28"/>
        </w:rPr>
        <w:t>от 24 ноября 2015 года № 418-V ЗРК (с изменениями и дополнениями по состоянию на 30.11.2025).</w:t>
      </w:r>
    </w:p>
    <w:p w:rsidR="00BE7B04" w:rsidRPr="00393EE3" w:rsidRDefault="00BE7B04" w:rsidP="00BE7B04">
      <w:pPr>
        <w:spacing w:after="0" w:line="240" w:lineRule="auto"/>
        <w:ind w:firstLine="709"/>
        <w:jc w:val="both"/>
        <w:rPr>
          <w:rFonts w:ascii="Times New Roman" w:hAnsi="Times New Roman" w:cs="Times New Roman"/>
          <w:sz w:val="28"/>
        </w:rPr>
      </w:pPr>
      <w:r w:rsidRPr="00393EE3">
        <w:rPr>
          <w:rFonts w:ascii="Times New Roman" w:hAnsi="Times New Roman" w:cs="Times New Roman"/>
          <w:sz w:val="28"/>
        </w:rPr>
        <w:t>Закон Республики Казахстан «О связи»</w:t>
      </w:r>
      <w:r>
        <w:rPr>
          <w:rFonts w:ascii="Times New Roman" w:hAnsi="Times New Roman" w:cs="Times New Roman"/>
          <w:sz w:val="28"/>
        </w:rPr>
        <w:t xml:space="preserve"> </w:t>
      </w:r>
      <w:r w:rsidRPr="00393EE3">
        <w:rPr>
          <w:rFonts w:ascii="Times New Roman" w:hAnsi="Times New Roman" w:cs="Times New Roman"/>
          <w:sz w:val="28"/>
        </w:rPr>
        <w:t>от 5 июля 2004 года № 567-II (с изменениями и дополнениями).</w:t>
      </w:r>
    </w:p>
    <w:p w:rsidR="00BE7B04" w:rsidRPr="00393EE3" w:rsidRDefault="00BE7B04" w:rsidP="00BE7B04">
      <w:pPr>
        <w:spacing w:after="0" w:line="240" w:lineRule="auto"/>
        <w:ind w:firstLine="709"/>
        <w:jc w:val="both"/>
        <w:rPr>
          <w:rFonts w:ascii="Times New Roman" w:hAnsi="Times New Roman" w:cs="Times New Roman"/>
          <w:sz w:val="28"/>
        </w:rPr>
      </w:pPr>
      <w:r w:rsidRPr="00393EE3">
        <w:rPr>
          <w:rFonts w:ascii="Times New Roman" w:hAnsi="Times New Roman" w:cs="Times New Roman"/>
          <w:sz w:val="28"/>
        </w:rPr>
        <w:t>Государственная программа «Цифровой Казахстан»</w:t>
      </w:r>
      <w:r>
        <w:rPr>
          <w:rFonts w:ascii="Times New Roman" w:hAnsi="Times New Roman" w:cs="Times New Roman"/>
          <w:sz w:val="28"/>
        </w:rPr>
        <w:t xml:space="preserve">: </w:t>
      </w:r>
      <w:r w:rsidRPr="00393EE3">
        <w:rPr>
          <w:rFonts w:ascii="Times New Roman" w:hAnsi="Times New Roman" w:cs="Times New Roman"/>
          <w:sz w:val="28"/>
        </w:rPr>
        <w:t>утв</w:t>
      </w:r>
      <w:r>
        <w:rPr>
          <w:rFonts w:ascii="Times New Roman" w:hAnsi="Times New Roman" w:cs="Times New Roman"/>
          <w:sz w:val="28"/>
        </w:rPr>
        <w:t>.</w:t>
      </w:r>
      <w:r w:rsidRPr="00393EE3">
        <w:rPr>
          <w:rFonts w:ascii="Times New Roman" w:hAnsi="Times New Roman" w:cs="Times New Roman"/>
          <w:sz w:val="28"/>
        </w:rPr>
        <w:t xml:space="preserve"> </w:t>
      </w:r>
      <w:r>
        <w:rPr>
          <w:rFonts w:ascii="Times New Roman" w:hAnsi="Times New Roman" w:cs="Times New Roman"/>
          <w:sz w:val="28"/>
        </w:rPr>
        <w:t>П</w:t>
      </w:r>
      <w:r w:rsidRPr="00393EE3">
        <w:rPr>
          <w:rFonts w:ascii="Times New Roman" w:hAnsi="Times New Roman" w:cs="Times New Roman"/>
          <w:sz w:val="28"/>
        </w:rPr>
        <w:t>остановлением Правительства Республики Казахстан от 12 декабря 2017 года № 827.</w:t>
      </w:r>
    </w:p>
    <w:p w:rsidR="00BE7B04" w:rsidRDefault="00BE7B04" w:rsidP="00BE7B04">
      <w:pPr>
        <w:spacing w:after="0" w:line="240" w:lineRule="auto"/>
        <w:ind w:firstLine="709"/>
        <w:jc w:val="both"/>
        <w:rPr>
          <w:rFonts w:ascii="Times New Roman" w:hAnsi="Times New Roman" w:cs="Times New Roman"/>
          <w:sz w:val="28"/>
        </w:rPr>
      </w:pPr>
      <w:r w:rsidRPr="008D0F05">
        <w:rPr>
          <w:rFonts w:ascii="Times New Roman" w:hAnsi="Times New Roman" w:cs="Times New Roman"/>
          <w:sz w:val="28"/>
        </w:rPr>
        <w:t>Закон Республики Казахстан «О средствах массовой информации»</w:t>
      </w:r>
      <w:r>
        <w:rPr>
          <w:rFonts w:ascii="Times New Roman" w:hAnsi="Times New Roman" w:cs="Times New Roman"/>
          <w:sz w:val="28"/>
        </w:rPr>
        <w:t xml:space="preserve"> </w:t>
      </w:r>
      <w:r w:rsidRPr="008D0F05">
        <w:rPr>
          <w:rFonts w:ascii="Times New Roman" w:hAnsi="Times New Roman" w:cs="Times New Roman"/>
          <w:sz w:val="28"/>
        </w:rPr>
        <w:t>от 23 июля 1999 года № 451-I (с изменениями и дополнениями).</w:t>
      </w:r>
    </w:p>
    <w:p w:rsidR="00BE7B04" w:rsidRDefault="00BE7B04" w:rsidP="00BE7B04">
      <w:pPr>
        <w:spacing w:after="0" w:line="240" w:lineRule="auto"/>
        <w:ind w:firstLine="709"/>
        <w:jc w:val="both"/>
        <w:rPr>
          <w:rFonts w:ascii="Times New Roman" w:hAnsi="Times New Roman" w:cs="Times New Roman"/>
          <w:sz w:val="28"/>
        </w:rPr>
      </w:pPr>
      <w:r w:rsidRPr="00370E10">
        <w:rPr>
          <w:rFonts w:ascii="Times New Roman" w:hAnsi="Times New Roman" w:cs="Times New Roman"/>
          <w:sz w:val="28"/>
        </w:rPr>
        <w:t>Закон Республики Казахстан «О порядке организации и проведения мирных собраний»</w:t>
      </w:r>
      <w:r>
        <w:rPr>
          <w:rFonts w:ascii="Times New Roman" w:hAnsi="Times New Roman" w:cs="Times New Roman"/>
          <w:sz w:val="28"/>
        </w:rPr>
        <w:t xml:space="preserve"> </w:t>
      </w:r>
      <w:r w:rsidRPr="00370E10">
        <w:rPr>
          <w:rFonts w:ascii="Times New Roman" w:hAnsi="Times New Roman" w:cs="Times New Roman"/>
          <w:sz w:val="28"/>
        </w:rPr>
        <w:t>от 25 мая 2020 года № 333-VI ЗРК (с изменениями и дополнениями).</w:t>
      </w:r>
    </w:p>
    <w:p w:rsidR="00BE7B04" w:rsidRPr="002B162B" w:rsidRDefault="00BE7B04" w:rsidP="00BE7B04">
      <w:pPr>
        <w:spacing w:after="0" w:line="240" w:lineRule="auto"/>
        <w:ind w:firstLine="709"/>
        <w:jc w:val="both"/>
        <w:rPr>
          <w:rFonts w:ascii="Times New Roman" w:hAnsi="Times New Roman" w:cs="Times New Roman"/>
          <w:sz w:val="28"/>
        </w:rPr>
      </w:pPr>
      <w:r w:rsidRPr="006D7A6C">
        <w:rPr>
          <w:rFonts w:ascii="Times New Roman" w:hAnsi="Times New Roman" w:cs="Times New Roman"/>
          <w:sz w:val="28"/>
        </w:rPr>
        <w:t>Закон Республики Казахстан «Об электронном документе и электронной цифровой подписи»</w:t>
      </w:r>
      <w:r>
        <w:rPr>
          <w:rFonts w:ascii="Times New Roman" w:hAnsi="Times New Roman" w:cs="Times New Roman"/>
          <w:sz w:val="28"/>
        </w:rPr>
        <w:t xml:space="preserve"> </w:t>
      </w:r>
      <w:r w:rsidRPr="006D7A6C">
        <w:rPr>
          <w:rFonts w:ascii="Times New Roman" w:hAnsi="Times New Roman" w:cs="Times New Roman"/>
          <w:sz w:val="28"/>
        </w:rPr>
        <w:t>от 7 января 2003 года № 370-II (с изменениями и дополнениями).</w:t>
      </w:r>
    </w:p>
    <w:p w:rsidR="0078084C" w:rsidRDefault="0078084C" w:rsidP="002C0A6E">
      <w:pPr>
        <w:spacing w:after="0" w:line="240" w:lineRule="auto"/>
        <w:jc w:val="both"/>
        <w:rPr>
          <w:rFonts w:ascii="Times New Roman" w:hAnsi="Times New Roman" w:cs="Times New Roman"/>
          <w:sz w:val="28"/>
        </w:rPr>
      </w:pPr>
    </w:p>
    <w:p w:rsidR="00BE7B04" w:rsidRDefault="00BE7B04" w:rsidP="002C0A6E">
      <w:pPr>
        <w:spacing w:after="0" w:line="240" w:lineRule="auto"/>
        <w:jc w:val="both"/>
        <w:rPr>
          <w:rFonts w:ascii="Times New Roman" w:hAnsi="Times New Roman" w:cs="Times New Roman"/>
          <w:sz w:val="28"/>
        </w:rPr>
      </w:pPr>
    </w:p>
    <w:p w:rsidR="00BE7B04" w:rsidRDefault="00BE7B04" w:rsidP="002C0A6E">
      <w:pPr>
        <w:spacing w:after="0" w:line="240" w:lineRule="auto"/>
        <w:jc w:val="both"/>
        <w:rPr>
          <w:rFonts w:ascii="Times New Roman" w:hAnsi="Times New Roman" w:cs="Times New Roman"/>
          <w:sz w:val="28"/>
        </w:rPr>
      </w:pPr>
    </w:p>
    <w:p w:rsidR="00BE7B04" w:rsidRDefault="00BE7B04" w:rsidP="002C0A6E">
      <w:pPr>
        <w:spacing w:after="0" w:line="240" w:lineRule="auto"/>
        <w:jc w:val="both"/>
        <w:rPr>
          <w:rFonts w:ascii="Times New Roman" w:hAnsi="Times New Roman" w:cs="Times New Roman"/>
          <w:sz w:val="28"/>
        </w:rPr>
      </w:pPr>
    </w:p>
    <w:p w:rsidR="00BE7B04" w:rsidRDefault="00BE7B04" w:rsidP="002C0A6E">
      <w:pPr>
        <w:spacing w:after="0" w:line="240" w:lineRule="auto"/>
        <w:jc w:val="both"/>
        <w:rPr>
          <w:rFonts w:ascii="Times New Roman" w:hAnsi="Times New Roman" w:cs="Times New Roman"/>
          <w:sz w:val="28"/>
        </w:rPr>
      </w:pPr>
    </w:p>
    <w:p w:rsidR="00925A80" w:rsidRPr="00925A80" w:rsidRDefault="00925A80" w:rsidP="00925A80">
      <w:pPr>
        <w:ind w:firstLine="709"/>
        <w:jc w:val="center"/>
        <w:rPr>
          <w:rFonts w:ascii="Times New Roman" w:hAnsi="Times New Roman" w:cs="Times New Roman"/>
          <w:sz w:val="28"/>
        </w:rPr>
      </w:pPr>
      <w:r w:rsidRPr="00925A80">
        <w:rPr>
          <w:rFonts w:ascii="Times New Roman" w:hAnsi="Times New Roman" w:cs="Times New Roman"/>
          <w:sz w:val="28"/>
        </w:rPr>
        <w:lastRenderedPageBreak/>
        <w:t>ОПРЕДЕЛЕНИЯ, ОБОЗНАЧЕНИЯ И СОКРАЩЕНИЯ</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В настоящей диссертации применяют следующие термины с соответствующими определениями:</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Оригинальное определение гражданского общества, разработанное автором диссертационного исследования</w:t>
      </w:r>
      <w:r w:rsidRPr="00925A80">
        <w:rPr>
          <w:rFonts w:ascii="Times New Roman" w:eastAsia="Calibri" w:hAnsi="Times New Roman" w:cs="Times New Roman"/>
          <w:sz w:val="28"/>
        </w:rPr>
        <w:t>: гражданское общество – это такое состояние общественных, экономических, культурных, политических отношений, при котором законодательно оформлены и соблюдаются на практике права человека и гражданина, общественное политическое сознание сформировано под воздействием гражданской культуры и отвечает критериям персональной ответственности, справедливости, готовности к коллективному участию на безвозмездной основе для решения проблем локального характера, включающее в себя различного рода институты, которые являются практической площадкой для реализации интересов участников.</w:t>
      </w:r>
    </w:p>
    <w:p w:rsidR="00925A80" w:rsidRPr="00925A80" w:rsidRDefault="00925A80" w:rsidP="00925A80">
      <w:pPr>
        <w:spacing w:after="0" w:line="240" w:lineRule="auto"/>
        <w:ind w:firstLine="709"/>
        <w:jc w:val="both"/>
        <w:rPr>
          <w:rFonts w:ascii="Times New Roman" w:eastAsia="Calibri" w:hAnsi="Times New Roman" w:cs="Times New Roman"/>
          <w:sz w:val="36"/>
        </w:rPr>
      </w:pPr>
      <w:r w:rsidRPr="00925A80">
        <w:rPr>
          <w:rFonts w:ascii="Times New Roman" w:eastAsia="Calibri" w:hAnsi="Times New Roman" w:cs="Times New Roman"/>
          <w:b/>
          <w:sz w:val="28"/>
        </w:rPr>
        <w:t>Оригинальное определение общественной организации, разработанное автором диссертационного исследования</w:t>
      </w:r>
      <w:r w:rsidRPr="00925A80">
        <w:rPr>
          <w:rFonts w:ascii="Times New Roman" w:eastAsia="Calibri" w:hAnsi="Times New Roman" w:cs="Times New Roman"/>
          <w:sz w:val="28"/>
        </w:rPr>
        <w:t xml:space="preserve">: общественная организация (ассоциация, объединение) – это </w:t>
      </w:r>
      <w:r w:rsidRPr="00925A80">
        <w:rPr>
          <w:rFonts w:ascii="Times New Roman" w:hAnsi="Times New Roman" w:cs="Times New Roman"/>
          <w:sz w:val="28"/>
        </w:rPr>
        <w:t>формализованное объединение граждан, обладающее внутренней структурой и иерархией управления, основанное на принципах добровольного участия, предполагающих свободу входа и выхода членов. Общественная организация функционирует в различных сферах общественной жизни – как политической, так и неполитической – и направлена на реализацию коллективных интересов своих участников.</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Оригинальное определение молодёжных общественных организаций, разработанное автором диссертационного исследования</w:t>
      </w:r>
      <w:r w:rsidRPr="00925A80">
        <w:rPr>
          <w:rFonts w:ascii="Times New Roman" w:eastAsia="Calibri" w:hAnsi="Times New Roman" w:cs="Times New Roman"/>
          <w:sz w:val="28"/>
        </w:rPr>
        <w:t xml:space="preserve">: молодёжные общественные организации – это </w:t>
      </w:r>
      <w:r w:rsidRPr="00925A80">
        <w:rPr>
          <w:rFonts w:ascii="Times New Roman" w:eastAsia="Calibri" w:hAnsi="Times New Roman" w:cs="Times New Roman"/>
          <w:sz w:val="28"/>
          <w:lang w:eastAsia="ru-RU"/>
        </w:rPr>
        <w:t>организации с фиксированной структурой и уставом, имеющие внешних спонсоров как государственного, так и частного характера, включающие неформальные практики взаимодействия и вовлечения участников от 18 до 35 лет с целью гражданской безвозмездной добровольной активности неполитического характера</w:t>
      </w:r>
      <w:r w:rsidRPr="00925A80">
        <w:rPr>
          <w:rFonts w:ascii="Times New Roman" w:eastAsia="Calibri" w:hAnsi="Times New Roman" w:cs="Times New Roman"/>
          <w:sz w:val="28"/>
        </w:rPr>
        <w:t>.</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 xml:space="preserve">Некоммерческая организация (НКО) </w:t>
      </w:r>
      <w:r w:rsidRPr="00925A80">
        <w:rPr>
          <w:rFonts w:ascii="Times New Roman" w:eastAsia="Calibri" w:hAnsi="Times New Roman" w:cs="Times New Roman"/>
          <w:sz w:val="28"/>
        </w:rPr>
        <w:t>– это</w:t>
      </w:r>
      <w:r w:rsidRPr="00925A80">
        <w:rPr>
          <w:rFonts w:ascii="Times New Roman" w:eastAsia="Calibri" w:hAnsi="Times New Roman" w:cs="Times New Roman"/>
          <w:b/>
          <w:sz w:val="28"/>
        </w:rPr>
        <w:t xml:space="preserve"> </w:t>
      </w:r>
      <w:r w:rsidRPr="00925A80">
        <w:rPr>
          <w:rFonts w:ascii="Times New Roman" w:eastAsia="Calibri" w:hAnsi="Times New Roman" w:cs="Times New Roman"/>
          <w:sz w:val="28"/>
        </w:rPr>
        <w:t>объединения с чёткой формальной структурой, зарегистрированные в органах юстиции, имеющие внешние источники финансирования (но не имеющие внутренних в виде членских сборов) и выступающие в качестве связующего звена между властью и определёнными группами населения по тем или иным вопросам.</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Неправительственная организация (НПО)</w:t>
      </w:r>
      <w:r w:rsidRPr="00925A80">
        <w:rPr>
          <w:rFonts w:ascii="Times New Roman" w:eastAsia="Calibri" w:hAnsi="Times New Roman" w:cs="Times New Roman"/>
          <w:sz w:val="28"/>
        </w:rPr>
        <w:t xml:space="preserve"> – это объединение единомышленников частного добровольного характера, которое осуществляет свою деятельность в общественных интересах и не преследует своей целью извлечение коммерческой прибыли.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
          <w:bCs/>
          <w:sz w:val="28"/>
        </w:rPr>
        <w:t>Government-</w:t>
      </w:r>
      <w:r w:rsidRPr="00925A80">
        <w:rPr>
          <w:rFonts w:ascii="Times New Roman" w:hAnsi="Times New Roman" w:cs="Times New Roman"/>
          <w:b/>
          <w:bCs/>
          <w:sz w:val="28"/>
          <w:lang w:val="en-US"/>
        </w:rPr>
        <w:t>o</w:t>
      </w:r>
      <w:r w:rsidRPr="00925A80">
        <w:rPr>
          <w:rFonts w:ascii="Times New Roman" w:hAnsi="Times New Roman" w:cs="Times New Roman"/>
          <w:b/>
          <w:bCs/>
          <w:sz w:val="28"/>
        </w:rPr>
        <w:t xml:space="preserve">rganized </w:t>
      </w:r>
      <w:r w:rsidRPr="00925A80">
        <w:rPr>
          <w:rFonts w:ascii="Times New Roman" w:hAnsi="Times New Roman" w:cs="Times New Roman"/>
          <w:b/>
          <w:bCs/>
          <w:sz w:val="28"/>
          <w:lang w:val="en-US"/>
        </w:rPr>
        <w:t>n</w:t>
      </w:r>
      <w:r w:rsidRPr="00925A80">
        <w:rPr>
          <w:rFonts w:ascii="Times New Roman" w:hAnsi="Times New Roman" w:cs="Times New Roman"/>
          <w:b/>
          <w:bCs/>
          <w:sz w:val="28"/>
        </w:rPr>
        <w:t>on-</w:t>
      </w:r>
      <w:r w:rsidRPr="00925A80">
        <w:rPr>
          <w:rFonts w:ascii="Times New Roman" w:hAnsi="Times New Roman" w:cs="Times New Roman"/>
          <w:b/>
          <w:bCs/>
          <w:sz w:val="28"/>
          <w:lang w:val="en-US"/>
        </w:rPr>
        <w:t>g</w:t>
      </w:r>
      <w:r w:rsidRPr="00925A80">
        <w:rPr>
          <w:rFonts w:ascii="Times New Roman" w:hAnsi="Times New Roman" w:cs="Times New Roman"/>
          <w:b/>
          <w:bCs/>
          <w:sz w:val="28"/>
        </w:rPr>
        <w:t xml:space="preserve">overnmental </w:t>
      </w:r>
      <w:r w:rsidRPr="00925A80">
        <w:rPr>
          <w:rFonts w:ascii="Times New Roman" w:hAnsi="Times New Roman" w:cs="Times New Roman"/>
          <w:b/>
          <w:bCs/>
          <w:sz w:val="28"/>
          <w:lang w:val="en-US"/>
        </w:rPr>
        <w:t>o</w:t>
      </w:r>
      <w:r w:rsidRPr="00925A80">
        <w:rPr>
          <w:rFonts w:ascii="Times New Roman" w:hAnsi="Times New Roman" w:cs="Times New Roman"/>
          <w:b/>
          <w:bCs/>
          <w:sz w:val="28"/>
        </w:rPr>
        <w:t>rganization (GONGO)</w:t>
      </w:r>
      <w:r w:rsidRPr="00925A80">
        <w:rPr>
          <w:rFonts w:ascii="Times New Roman" w:hAnsi="Times New Roman" w:cs="Times New Roman"/>
          <w:sz w:val="28"/>
        </w:rPr>
        <w:t xml:space="preserve"> – это организация, формально относящаяся к категории неправительственных объединений, но фактически созданная, финансируемая и контролируемая государственными структурами с целью реализации государственных или политических задач. Такие организации сохраняют видимость независимости и участия гражданского общества, однако их деятельность определяется интересами государства, а не инициативой участников.</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eastAsia="Calibri" w:hAnsi="Times New Roman" w:cs="Times New Roman"/>
          <w:b/>
          <w:sz w:val="28"/>
        </w:rPr>
        <w:lastRenderedPageBreak/>
        <w:t>Добровольные общественные ассоциации или местные инициативные группы (</w:t>
      </w:r>
      <w:r w:rsidRPr="00925A80">
        <w:rPr>
          <w:rFonts w:ascii="Times New Roman" w:eastAsia="Calibri" w:hAnsi="Times New Roman" w:cs="Times New Roman"/>
          <w:b/>
          <w:sz w:val="28"/>
          <w:lang w:val="en-US"/>
        </w:rPr>
        <w:t>g</w:t>
      </w:r>
      <w:r w:rsidRPr="00925A80">
        <w:rPr>
          <w:rFonts w:ascii="Times New Roman" w:hAnsi="Times New Roman" w:cs="Times New Roman"/>
          <w:b/>
          <w:bCs/>
          <w:sz w:val="28"/>
        </w:rPr>
        <w:t>rassroots associations)</w:t>
      </w:r>
      <w:r w:rsidRPr="00925A80">
        <w:rPr>
          <w:rFonts w:ascii="Times New Roman" w:hAnsi="Times New Roman" w:cs="Times New Roman"/>
          <w:b/>
          <w:sz w:val="28"/>
        </w:rPr>
        <w:t xml:space="preserve"> – </w:t>
      </w:r>
      <w:r w:rsidRPr="00925A80">
        <w:rPr>
          <w:rFonts w:ascii="Times New Roman" w:hAnsi="Times New Roman" w:cs="Times New Roman"/>
          <w:sz w:val="28"/>
        </w:rPr>
        <w:t xml:space="preserve">это </w:t>
      </w:r>
      <w:r w:rsidRPr="00925A80">
        <w:rPr>
          <w:rFonts w:ascii="Times New Roman" w:hAnsi="Times New Roman" w:cs="Times New Roman"/>
          <w:bCs/>
          <w:sz w:val="28"/>
        </w:rPr>
        <w:t>инициативные объединения граждан, создаваемые «снизу», на местном уровне, с целью решения актуальных социальных, культурных или экологических проблем, основанные на добровольном участии членов и минимальной институциональной иерархии.</w:t>
      </w:r>
      <w:r w:rsidRPr="00925A80">
        <w:rPr>
          <w:rFonts w:ascii="Times New Roman" w:hAnsi="Times New Roman" w:cs="Times New Roman"/>
          <w:sz w:val="28"/>
        </w:rPr>
        <w:t xml:space="preserve"> Они характеризуются автономностью от государственных структур, непосредственным вовлечением участников в принятие решений и ориентацией на удовлетворение локальных потребностей сообщества.</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Социальные движения</w:t>
      </w:r>
      <w:r w:rsidRPr="00925A80">
        <w:rPr>
          <w:rFonts w:ascii="Times New Roman" w:eastAsia="Calibri" w:hAnsi="Times New Roman" w:cs="Times New Roman"/>
          <w:sz w:val="28"/>
        </w:rPr>
        <w:t xml:space="preserve"> – это совокупность неформальных сетей, включающих в себя индивидов, группы и организации, вовлечённых в политическое или культурное противостояние, разделяющих общую идентичность.</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Социальные предприятия (</w:t>
      </w:r>
      <w:r w:rsidRPr="00925A80">
        <w:rPr>
          <w:rFonts w:ascii="Times New Roman" w:eastAsia="Calibri" w:hAnsi="Times New Roman" w:cs="Times New Roman"/>
          <w:b/>
          <w:sz w:val="28"/>
          <w:lang w:val="en-US"/>
        </w:rPr>
        <w:t>social</w:t>
      </w:r>
      <w:r w:rsidRPr="00925A80">
        <w:rPr>
          <w:rFonts w:ascii="Times New Roman" w:eastAsia="Calibri" w:hAnsi="Times New Roman" w:cs="Times New Roman"/>
          <w:b/>
          <w:sz w:val="28"/>
        </w:rPr>
        <w:t xml:space="preserve"> </w:t>
      </w:r>
      <w:r w:rsidRPr="00925A80">
        <w:rPr>
          <w:rFonts w:ascii="Times New Roman" w:eastAsia="Calibri" w:hAnsi="Times New Roman" w:cs="Times New Roman"/>
          <w:b/>
          <w:sz w:val="28"/>
          <w:lang w:val="en-US"/>
        </w:rPr>
        <w:t>enterprises</w:t>
      </w:r>
      <w:r w:rsidRPr="00925A80">
        <w:rPr>
          <w:rFonts w:ascii="Times New Roman" w:eastAsia="Calibri" w:hAnsi="Times New Roman" w:cs="Times New Roman"/>
          <w:b/>
          <w:sz w:val="28"/>
        </w:rPr>
        <w:t>)</w:t>
      </w:r>
      <w:r w:rsidRPr="00925A80">
        <w:rPr>
          <w:rFonts w:ascii="Times New Roman" w:eastAsia="Calibri" w:hAnsi="Times New Roman" w:cs="Times New Roman"/>
          <w:sz w:val="28"/>
        </w:rPr>
        <w:t xml:space="preserve"> – это форма отношений между гражданским обществом, государством и бизнесом, предусматривающая реализацию общественно-значимых проектов с привлечением государства и бизнеса, проводимых общественными организациями.</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Глобальное гражданское общество</w:t>
      </w:r>
      <w:r w:rsidRPr="00925A80">
        <w:rPr>
          <w:rFonts w:ascii="Times New Roman" w:eastAsia="Calibri" w:hAnsi="Times New Roman" w:cs="Times New Roman"/>
          <w:sz w:val="28"/>
        </w:rPr>
        <w:t xml:space="preserve"> – это механизм развития общественных контактов и взаимодействий на наднациональном уровне по поводу общечеловеческих проблем и приоритетов.</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Идентичность</w:t>
      </w:r>
      <w:r w:rsidRPr="00925A80">
        <w:rPr>
          <w:rFonts w:ascii="Times New Roman" w:eastAsia="Calibri" w:hAnsi="Times New Roman" w:cs="Times New Roman"/>
          <w:sz w:val="28"/>
        </w:rPr>
        <w:t xml:space="preserve"> – это процесс, при котором индивид, взаимодействуя с другими, осознаёт и определяет собственные цели и задачи в рамках общественной организации, результаты своей деятельности, цели и задачи общественной организации как коллективного актора, а также систему общественно-политических отношений, в рамках которых функционируют эти организации.</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b/>
          <w:sz w:val="28"/>
        </w:rPr>
        <w:t>Гражданская культура (</w:t>
      </w:r>
      <w:r w:rsidRPr="00925A80">
        <w:rPr>
          <w:rFonts w:ascii="Times New Roman" w:eastAsia="Calibri" w:hAnsi="Times New Roman" w:cs="Times New Roman"/>
          <w:b/>
          <w:sz w:val="28"/>
          <w:lang w:val="en-US"/>
        </w:rPr>
        <w:t>civicness</w:t>
      </w:r>
      <w:r w:rsidRPr="00925A80">
        <w:rPr>
          <w:rFonts w:ascii="Times New Roman" w:eastAsia="Calibri" w:hAnsi="Times New Roman" w:cs="Times New Roman"/>
          <w:b/>
          <w:sz w:val="28"/>
        </w:rPr>
        <w:t>)</w:t>
      </w:r>
      <w:r w:rsidRPr="00925A80">
        <w:rPr>
          <w:rFonts w:ascii="Times New Roman" w:eastAsia="Calibri" w:hAnsi="Times New Roman" w:cs="Times New Roman"/>
          <w:sz w:val="28"/>
        </w:rPr>
        <w:t xml:space="preserve"> – это стойкие намерения, имеющиеся у индивидов, активно участвовать в преобразовании социальной и политической системы.</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eastAsia="Calibri" w:hAnsi="Times New Roman" w:cs="Times New Roman"/>
          <w:sz w:val="28"/>
        </w:rPr>
        <w:t xml:space="preserve"> </w:t>
      </w:r>
      <w:r w:rsidRPr="00925A80">
        <w:rPr>
          <w:rFonts w:ascii="Times New Roman" w:eastAsia="Calibri" w:hAnsi="Times New Roman" w:cs="Times New Roman"/>
          <w:b/>
          <w:sz w:val="28"/>
        </w:rPr>
        <w:t>Гражданское поведение (</w:t>
      </w:r>
      <w:r w:rsidRPr="00925A80">
        <w:rPr>
          <w:rFonts w:ascii="Times New Roman" w:eastAsia="Calibri" w:hAnsi="Times New Roman" w:cs="Times New Roman"/>
          <w:b/>
          <w:sz w:val="28"/>
          <w:lang w:val="en-US"/>
        </w:rPr>
        <w:t>civility</w:t>
      </w:r>
      <w:r w:rsidRPr="00925A80">
        <w:rPr>
          <w:rFonts w:ascii="Times New Roman" w:eastAsia="Calibri" w:hAnsi="Times New Roman" w:cs="Times New Roman"/>
          <w:b/>
          <w:sz w:val="28"/>
        </w:rPr>
        <w:t>)</w:t>
      </w:r>
      <w:r w:rsidRPr="00925A80">
        <w:rPr>
          <w:rFonts w:ascii="Times New Roman" w:eastAsia="Calibri" w:hAnsi="Times New Roman" w:cs="Times New Roman"/>
          <w:sz w:val="28"/>
        </w:rPr>
        <w:t xml:space="preserve"> – это цивилизованные контакты лицом к лицу с представителями общественных организаций и государственных институтов, имеющих отношение к проблеме и способных её решить.</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
          <w:sz w:val="28"/>
        </w:rPr>
        <w:t>Коммуникационные медиа</w:t>
      </w:r>
      <w:r w:rsidRPr="00925A80">
        <w:rPr>
          <w:rFonts w:ascii="Times New Roman" w:hAnsi="Times New Roman" w:cs="Times New Roman"/>
          <w:sz w:val="28"/>
        </w:rPr>
        <w:t xml:space="preserve"> – это различные технологические инструменты, которые облегчают коммуникацию, то есть находятся посередине, между отправителем сообщения и его получателем.</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
          <w:sz w:val="28"/>
        </w:rPr>
        <w:t>Масс медиа</w:t>
      </w:r>
      <w:r w:rsidRPr="00925A80">
        <w:rPr>
          <w:rFonts w:ascii="Times New Roman" w:hAnsi="Times New Roman" w:cs="Times New Roman"/>
          <w:sz w:val="28"/>
        </w:rPr>
        <w:t xml:space="preserve"> – это медиа, имеющие относительно большую аудиторию обычно анонимных пользователей.</w:t>
      </w:r>
    </w:p>
    <w:p w:rsidR="00925A80" w:rsidRPr="00925A80" w:rsidRDefault="00925A80" w:rsidP="00925A80">
      <w:pPr>
        <w:spacing w:after="0" w:line="240" w:lineRule="auto"/>
        <w:ind w:firstLine="709"/>
        <w:jc w:val="both"/>
        <w:rPr>
          <w:rFonts w:ascii="Times New Roman" w:eastAsia="Calibri" w:hAnsi="Times New Roman" w:cs="Times New Roman"/>
          <w:sz w:val="28"/>
        </w:rPr>
      </w:pPr>
      <w:r w:rsidRPr="00925A80">
        <w:rPr>
          <w:rFonts w:ascii="Times New Roman" w:hAnsi="Times New Roman" w:cs="Times New Roman"/>
          <w:b/>
          <w:sz w:val="28"/>
        </w:rPr>
        <w:t xml:space="preserve">Социальная сеть – </w:t>
      </w:r>
      <w:r w:rsidRPr="00925A80">
        <w:rPr>
          <w:rFonts w:ascii="Times New Roman" w:hAnsi="Times New Roman" w:cs="Times New Roman"/>
          <w:sz w:val="28"/>
        </w:rPr>
        <w:t>это социальная офлайн структура, включающая в себя людей, организации, группы, которые связаны между собой общими интересами и виртуальными взаимоотношениями.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
          <w:sz w:val="28"/>
        </w:rPr>
        <w:t>Социальные медиа</w:t>
      </w:r>
      <w:r w:rsidRPr="00925A80">
        <w:rPr>
          <w:rFonts w:ascii="Times New Roman" w:hAnsi="Times New Roman" w:cs="Times New Roman"/>
          <w:sz w:val="28"/>
        </w:rPr>
        <w:t xml:space="preserve"> – это группа интернет-платформ, которые основаны на идеологии и технологии Web 2.0 и позволяют создавать и обмениваться контентом, сгенерированным пользователями.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
          <w:sz w:val="28"/>
        </w:rPr>
        <w:t>Молодёжь</w:t>
      </w:r>
      <w:r w:rsidRPr="00925A80">
        <w:rPr>
          <w:rFonts w:ascii="Times New Roman" w:hAnsi="Times New Roman" w:cs="Times New Roman"/>
          <w:sz w:val="28"/>
        </w:rPr>
        <w:t xml:space="preserve"> – это социальная группа, включающая индивидов от 18 до 35 лет.</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
          <w:sz w:val="28"/>
        </w:rPr>
        <w:lastRenderedPageBreak/>
        <w:t>Казнет</w:t>
      </w:r>
      <w:r w:rsidRPr="00925A80">
        <w:rPr>
          <w:rFonts w:ascii="Times New Roman" w:hAnsi="Times New Roman" w:cs="Times New Roman"/>
          <w:sz w:val="28"/>
        </w:rPr>
        <w:t xml:space="preserve"> – интернет, использующий казахстанский домен .</w:t>
      </w:r>
      <w:r w:rsidRPr="00925A80">
        <w:rPr>
          <w:rFonts w:ascii="Times New Roman" w:hAnsi="Times New Roman" w:cs="Times New Roman"/>
          <w:sz w:val="28"/>
          <w:lang w:val="en-US"/>
        </w:rPr>
        <w:t>kz</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
          <w:sz w:val="28"/>
        </w:rPr>
        <w:t>Кликтивизм</w:t>
      </w:r>
      <w:r w:rsidRPr="00925A80">
        <w:rPr>
          <w:rFonts w:ascii="Times New Roman" w:hAnsi="Times New Roman" w:cs="Times New Roman"/>
          <w:sz w:val="28"/>
        </w:rPr>
        <w:t xml:space="preserve"> – тип гражданского вовлечения, при котором онлайн активность граждан высока, однако офлайн вовлечение низко.</w:t>
      </w:r>
    </w:p>
    <w:p w:rsidR="00925A80" w:rsidRPr="00925A80" w:rsidRDefault="00925A80" w:rsidP="00925A80">
      <w:pPr>
        <w:spacing w:after="0" w:line="240" w:lineRule="auto"/>
        <w:ind w:firstLine="709"/>
        <w:jc w:val="both"/>
        <w:rPr>
          <w:rFonts w:ascii="Times New Roman" w:hAnsi="Times New Roman" w:cs="Times New Roman"/>
          <w:sz w:val="28"/>
        </w:rPr>
      </w:pPr>
    </w:p>
    <w:p w:rsidR="00925A80" w:rsidRPr="00925A80" w:rsidRDefault="00925A80" w:rsidP="00925A80">
      <w:pPr>
        <w:spacing w:after="0" w:line="240" w:lineRule="auto"/>
        <w:ind w:firstLine="709"/>
        <w:jc w:val="both"/>
        <w:rPr>
          <w:rFonts w:ascii="Times New Roman" w:hAnsi="Times New Roman" w:cs="Times New Roman"/>
          <w:sz w:val="28"/>
        </w:rPr>
      </w:pP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В настоящей диссертации применяют следующие сокращения:</w:t>
      </w:r>
    </w:p>
    <w:p w:rsidR="00925A80" w:rsidRPr="00925A80" w:rsidRDefault="00925A80" w:rsidP="00925A80">
      <w:pPr>
        <w:spacing w:after="0" w:line="240" w:lineRule="auto"/>
        <w:ind w:firstLine="709"/>
        <w:jc w:val="both"/>
        <w:rPr>
          <w:rFonts w:ascii="Times New Roman" w:hAnsi="Times New Roman" w:cs="Times New Roman"/>
          <w:bCs/>
          <w:sz w:val="28"/>
          <w:szCs w:val="28"/>
        </w:rPr>
      </w:pPr>
      <w:r w:rsidRPr="00925A80">
        <w:rPr>
          <w:rFonts w:ascii="Times New Roman" w:hAnsi="Times New Roman" w:cs="Times New Roman"/>
          <w:sz w:val="28"/>
          <w:szCs w:val="28"/>
        </w:rPr>
        <w:t xml:space="preserve">БНС АСПиР РК – </w:t>
      </w:r>
      <w:r w:rsidRPr="00925A80">
        <w:rPr>
          <w:rFonts w:ascii="Times New Roman" w:hAnsi="Times New Roman" w:cs="Times New Roman"/>
          <w:bCs/>
          <w:sz w:val="28"/>
          <w:szCs w:val="28"/>
        </w:rPr>
        <w:t>Бюро национальной статистики Агентства по стратегическому планированию и реформам Республики Казахстан</w:t>
      </w:r>
    </w:p>
    <w:p w:rsidR="00925A80" w:rsidRPr="00925A80" w:rsidRDefault="00925A80" w:rsidP="00925A80">
      <w:pPr>
        <w:spacing w:after="0" w:line="240" w:lineRule="auto"/>
        <w:ind w:firstLine="709"/>
        <w:jc w:val="both"/>
        <w:rPr>
          <w:rFonts w:ascii="Times New Roman" w:hAnsi="Times New Roman" w:cs="Times New Roman"/>
          <w:bCs/>
          <w:sz w:val="28"/>
          <w:szCs w:val="28"/>
        </w:rPr>
      </w:pPr>
      <w:r w:rsidRPr="00925A80">
        <w:rPr>
          <w:rFonts w:ascii="Times New Roman" w:hAnsi="Times New Roman" w:cs="Times New Roman"/>
          <w:bCs/>
          <w:sz w:val="28"/>
          <w:szCs w:val="28"/>
        </w:rPr>
        <w:t>ВУЗ – высшее учебное заведение</w:t>
      </w:r>
    </w:p>
    <w:p w:rsidR="00925A80" w:rsidRPr="00925A80" w:rsidRDefault="00925A80" w:rsidP="00925A80">
      <w:pPr>
        <w:spacing w:after="0" w:line="240" w:lineRule="auto"/>
        <w:ind w:firstLine="709"/>
        <w:jc w:val="both"/>
        <w:rPr>
          <w:rFonts w:ascii="Times New Roman" w:hAnsi="Times New Roman" w:cs="Times New Roman"/>
          <w:bCs/>
          <w:sz w:val="28"/>
          <w:szCs w:val="28"/>
        </w:rPr>
      </w:pPr>
      <w:r w:rsidRPr="00925A80">
        <w:rPr>
          <w:rFonts w:ascii="Times New Roman" w:hAnsi="Times New Roman" w:cs="Times New Roman"/>
          <w:bCs/>
          <w:sz w:val="28"/>
          <w:szCs w:val="28"/>
        </w:rPr>
        <w:t>ЗОЖ – здоровый образ жизни</w:t>
      </w:r>
    </w:p>
    <w:p w:rsidR="00925A80" w:rsidRPr="00925A80" w:rsidRDefault="00925A80" w:rsidP="00925A80">
      <w:pPr>
        <w:spacing w:after="0" w:line="240" w:lineRule="auto"/>
        <w:ind w:firstLine="709"/>
        <w:jc w:val="both"/>
        <w:rPr>
          <w:rFonts w:ascii="Times New Roman" w:hAnsi="Times New Roman" w:cs="Times New Roman"/>
          <w:bCs/>
          <w:sz w:val="28"/>
          <w:szCs w:val="28"/>
        </w:rPr>
      </w:pPr>
      <w:r w:rsidRPr="00925A80">
        <w:rPr>
          <w:rFonts w:ascii="Times New Roman" w:hAnsi="Times New Roman" w:cs="Times New Roman"/>
          <w:bCs/>
          <w:sz w:val="28"/>
          <w:szCs w:val="28"/>
        </w:rPr>
        <w:t>ИИ – искусственный интеллект</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bCs/>
          <w:sz w:val="28"/>
          <w:szCs w:val="28"/>
        </w:rPr>
        <w:t>ИПН – индивидуальный подоходный налог</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КБТУ – Казахстанско-Британский Технический Университет</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КазНУ имени Аль-Фараби – Казахский Национальный Университет имени Аль-Фараби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КИСИ при Президенте РК – Казахстанский Институт Стратегических Исследований при Президенте Республики Казахстан</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КПСС – Коммунистическая Партия Советского Союза</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МОК – Международная образовательная корпорация</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НКО – некоммерческие организации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НПО – неправительственные организации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ООН – Организация Объединённых Наций</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ПК – персональный компьютер</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РК – Республика Казахстан</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СМИ – средства массовой информации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СНГ – Содружество Независимых Государств</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СССР – Союз Советских Социалистических Республик</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США – Соединённые Штаты Америки</w:t>
      </w:r>
    </w:p>
    <w:p w:rsidR="00925A80" w:rsidRPr="00925A80" w:rsidRDefault="00925A80" w:rsidP="00925A80">
      <w:pPr>
        <w:spacing w:after="0" w:line="240" w:lineRule="auto"/>
        <w:ind w:firstLine="709"/>
        <w:jc w:val="both"/>
        <w:rPr>
          <w:rFonts w:ascii="Times New Roman" w:hAnsi="Times New Roman" w:cs="Times New Roman"/>
          <w:sz w:val="28"/>
        </w:rPr>
      </w:pPr>
      <w:r w:rsidRPr="00925A80">
        <w:rPr>
          <w:rFonts w:ascii="Times New Roman" w:hAnsi="Times New Roman" w:cs="Times New Roman"/>
          <w:sz w:val="28"/>
        </w:rPr>
        <w:t>УМБ имени Кенжегали Сагадиева– Университет Международного Бизнеса имени Кенжегали Сагадиева</w:t>
      </w:r>
    </w:p>
    <w:p w:rsidR="00925A80" w:rsidRPr="00925A80" w:rsidRDefault="00925A80" w:rsidP="00925A80">
      <w:pPr>
        <w:spacing w:after="0" w:line="240" w:lineRule="auto"/>
        <w:ind w:firstLine="709"/>
        <w:jc w:val="both"/>
        <w:rPr>
          <w:rFonts w:ascii="Times New Roman" w:hAnsi="Times New Roman" w:cs="Times New Roman"/>
          <w:sz w:val="28"/>
          <w:lang w:val="en-US"/>
        </w:rPr>
      </w:pPr>
      <w:r w:rsidRPr="00925A80">
        <w:rPr>
          <w:rFonts w:ascii="Times New Roman" w:hAnsi="Times New Roman" w:cs="Times New Roman"/>
          <w:sz w:val="28"/>
        </w:rPr>
        <w:t>ЦПГИ</w:t>
      </w:r>
      <w:r w:rsidRPr="00925A80">
        <w:rPr>
          <w:rFonts w:ascii="Times New Roman" w:hAnsi="Times New Roman" w:cs="Times New Roman"/>
          <w:sz w:val="28"/>
          <w:lang w:val="en-US"/>
        </w:rPr>
        <w:t xml:space="preserve"> – </w:t>
      </w:r>
      <w:r w:rsidRPr="00925A80">
        <w:rPr>
          <w:rFonts w:ascii="Times New Roman" w:hAnsi="Times New Roman" w:cs="Times New Roman"/>
          <w:sz w:val="28"/>
        </w:rPr>
        <w:t>Центр</w:t>
      </w:r>
      <w:r w:rsidRPr="00925A80">
        <w:rPr>
          <w:rFonts w:ascii="Times New Roman" w:hAnsi="Times New Roman" w:cs="Times New Roman"/>
          <w:sz w:val="28"/>
          <w:lang w:val="en-US"/>
        </w:rPr>
        <w:t xml:space="preserve"> </w:t>
      </w:r>
      <w:r w:rsidRPr="00925A80">
        <w:rPr>
          <w:rFonts w:ascii="Times New Roman" w:hAnsi="Times New Roman" w:cs="Times New Roman"/>
          <w:sz w:val="28"/>
        </w:rPr>
        <w:t>поддержки</w:t>
      </w:r>
      <w:r w:rsidRPr="00925A80">
        <w:rPr>
          <w:rFonts w:ascii="Times New Roman" w:hAnsi="Times New Roman" w:cs="Times New Roman"/>
          <w:sz w:val="28"/>
          <w:lang w:val="en-US"/>
        </w:rPr>
        <w:t xml:space="preserve"> </w:t>
      </w:r>
      <w:r w:rsidRPr="00925A80">
        <w:rPr>
          <w:rFonts w:ascii="Times New Roman" w:hAnsi="Times New Roman" w:cs="Times New Roman"/>
          <w:sz w:val="28"/>
        </w:rPr>
        <w:t>гражданских</w:t>
      </w:r>
      <w:r w:rsidRPr="00925A80">
        <w:rPr>
          <w:rFonts w:ascii="Times New Roman" w:hAnsi="Times New Roman" w:cs="Times New Roman"/>
          <w:sz w:val="28"/>
          <w:lang w:val="en-US"/>
        </w:rPr>
        <w:t xml:space="preserve"> </w:t>
      </w:r>
      <w:r w:rsidRPr="00925A80">
        <w:rPr>
          <w:rFonts w:ascii="Times New Roman" w:hAnsi="Times New Roman" w:cs="Times New Roman"/>
          <w:sz w:val="28"/>
        </w:rPr>
        <w:t>инициатив</w:t>
      </w:r>
    </w:p>
    <w:p w:rsidR="00925A80" w:rsidRPr="00925A80" w:rsidRDefault="00925A80" w:rsidP="00925A80">
      <w:pPr>
        <w:spacing w:after="0" w:line="240" w:lineRule="auto"/>
        <w:ind w:firstLine="709"/>
        <w:jc w:val="both"/>
        <w:rPr>
          <w:rFonts w:ascii="Times New Roman" w:hAnsi="Times New Roman" w:cs="Times New Roman"/>
          <w:sz w:val="28"/>
          <w:lang w:val="en-US"/>
        </w:rPr>
      </w:pPr>
      <w:r w:rsidRPr="00925A80">
        <w:rPr>
          <w:rFonts w:ascii="Times New Roman" w:hAnsi="Times New Roman" w:cs="Times New Roman"/>
          <w:bCs/>
          <w:sz w:val="28"/>
          <w:lang w:val="en-US"/>
        </w:rPr>
        <w:t>GONGO – Government-organized non-governmental organization</w:t>
      </w:r>
    </w:p>
    <w:p w:rsidR="00BE7B04" w:rsidRDefault="00BE7B04"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105B94" w:rsidRDefault="00105B94" w:rsidP="002C0A6E">
      <w:pPr>
        <w:spacing w:after="0" w:line="240" w:lineRule="auto"/>
        <w:jc w:val="both"/>
        <w:rPr>
          <w:rFonts w:ascii="Times New Roman" w:hAnsi="Times New Roman" w:cs="Times New Roman"/>
          <w:sz w:val="28"/>
          <w:lang w:val="en-US"/>
        </w:rPr>
      </w:pPr>
    </w:p>
    <w:p w:rsidR="00105B94" w:rsidRDefault="00105B94" w:rsidP="002C0A6E">
      <w:pPr>
        <w:spacing w:after="0" w:line="240" w:lineRule="auto"/>
        <w:jc w:val="both"/>
        <w:rPr>
          <w:rFonts w:ascii="Times New Roman" w:hAnsi="Times New Roman" w:cs="Times New Roman"/>
          <w:sz w:val="28"/>
          <w:lang w:val="en-US"/>
        </w:rPr>
      </w:pPr>
      <w:bookmarkStart w:id="0" w:name="_GoBack"/>
      <w:bookmarkEnd w:id="0"/>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2C0A6E">
      <w:pPr>
        <w:spacing w:after="0" w:line="240" w:lineRule="auto"/>
        <w:jc w:val="both"/>
        <w:rPr>
          <w:rFonts w:ascii="Times New Roman" w:hAnsi="Times New Roman" w:cs="Times New Roman"/>
          <w:sz w:val="28"/>
          <w:lang w:val="en-US"/>
        </w:rPr>
      </w:pPr>
    </w:p>
    <w:p w:rsidR="00A12636" w:rsidRDefault="00A12636" w:rsidP="00A12636">
      <w:pPr>
        <w:spacing w:after="0" w:line="240" w:lineRule="auto"/>
        <w:jc w:val="center"/>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lastRenderedPageBreak/>
        <w:t>ВВЕДЕНИЕ</w:t>
      </w:r>
    </w:p>
    <w:p w:rsidR="00B63CB5" w:rsidRPr="00A12636" w:rsidRDefault="00B63CB5" w:rsidP="00A12636">
      <w:pPr>
        <w:spacing w:after="0" w:line="240" w:lineRule="auto"/>
        <w:jc w:val="center"/>
        <w:rPr>
          <w:rFonts w:ascii="Times New Roman" w:eastAsia="Times New Roman" w:hAnsi="Times New Roman" w:cs="Times New Roman"/>
          <w:sz w:val="28"/>
          <w:lang w:eastAsia="ru-RU"/>
        </w:rPr>
      </w:pP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Общая характеристика работы</w:t>
      </w:r>
      <w:r w:rsidR="00F46AC8">
        <w:rPr>
          <w:rFonts w:ascii="Times New Roman" w:eastAsia="Times New Roman" w:hAnsi="Times New Roman" w:cs="Times New Roman"/>
          <w:b/>
          <w:sz w:val="28"/>
          <w:lang w:eastAsia="ru-RU"/>
        </w:rPr>
        <w:t>.</w:t>
      </w:r>
      <w:r w:rsidRPr="00A12636">
        <w:rPr>
          <w:rFonts w:ascii="Times New Roman" w:eastAsia="Times New Roman" w:hAnsi="Times New Roman" w:cs="Times New Roman"/>
          <w:sz w:val="28"/>
          <w:lang w:eastAsia="ru-RU"/>
        </w:rPr>
        <w:t xml:space="preserve"> </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 xml:space="preserve">Диссертационное исследование посвящено изучению влияния информационных технологий, в частности, социальных медиа на развитие институтов гражданского общества в Казахстане на примере молодёжных общественных организаций страны. </w:t>
      </w:r>
      <w:r w:rsidRPr="00A12636">
        <w:rPr>
          <w:rFonts w:ascii="Times New Roman" w:eastAsia="Times New Roman" w:hAnsi="Times New Roman" w:cs="Times New Roman"/>
          <w:sz w:val="28"/>
          <w:szCs w:val="28"/>
          <w:lang w:eastAsia="ru-RU"/>
        </w:rPr>
        <w:t>В работе проводится политологический анализ теоретико-методологических аспектов развития гражданского общества;</w:t>
      </w:r>
      <w:r w:rsidRPr="00A12636">
        <w:rPr>
          <w:rFonts w:ascii="Times New Roman" w:eastAsia="Times New Roman" w:hAnsi="Times New Roman" w:cs="Times New Roman"/>
          <w:sz w:val="28"/>
          <w:lang w:eastAsia="ru-RU"/>
        </w:rPr>
        <w:t xml:space="preserve"> анализируются различные его дефиниции в научном дискурсе зарубежной, посткоммунистической и отечественной научной литературы; формулируется авторское оригинальное определение молодёжных общественных организаций Казахстана. Под посткоммунистической научной литературой понимается массив источников государств Восточной Европы и СНГ. Детально исследуются факторы как внешней, так и внутренней среды, оказывающие воздействие на развитие и спецификацию институтов гражданского общества в Казахстане. Предметно анализируется роль социальных медиа в развитии институтов гражданского общества в Казахстане.</w:t>
      </w:r>
    </w:p>
    <w:p w:rsidR="00A12636" w:rsidRPr="00A12636" w:rsidRDefault="00A12636" w:rsidP="00C4083E">
      <w:pPr>
        <w:spacing w:after="0" w:line="240" w:lineRule="auto"/>
        <w:ind w:firstLine="709"/>
        <w:jc w:val="both"/>
        <w:rPr>
          <w:rFonts w:ascii="Times New Roman" w:eastAsia="Times New Roman" w:hAnsi="Times New Roman" w:cs="Times New Roman"/>
          <w:i/>
          <w:sz w:val="28"/>
          <w:lang w:eastAsia="ru-RU"/>
        </w:rPr>
      </w:pPr>
      <w:r w:rsidRPr="00A12636">
        <w:rPr>
          <w:rFonts w:ascii="Times New Roman" w:eastAsia="Times New Roman" w:hAnsi="Times New Roman" w:cs="Times New Roman"/>
          <w:sz w:val="28"/>
          <w:lang w:eastAsia="ru-RU"/>
        </w:rPr>
        <w:t>В диссертационном исследовании приводятся данные эмпирических исследований, такие как результаты оригинального социологического исследования молодёжи Казахстана, проведённого в 2019, 2023 и 2025 годах, результаты глубинного интервью представителей наиболее известных среди молодёжи общественных организаций, результаты полуструктурированных интервью казахстанских учёных, а также результаты множественного корреляционно-регрессионного анализа, проведённого автором исследования на основании данных оригинального социологического исследования молодёжи Республики Казахстан.</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Актуальность исследования</w:t>
      </w:r>
      <w:r w:rsidRPr="00A12636">
        <w:rPr>
          <w:rFonts w:ascii="Times New Roman" w:eastAsia="Times New Roman" w:hAnsi="Times New Roman" w:cs="Times New Roman"/>
          <w:sz w:val="28"/>
          <w:lang w:eastAsia="ru-RU"/>
        </w:rPr>
        <w:t>. Проблематика исследования развития гражданского общества весьма актуальна для авторитарных государств, к которым относится и Казахстан. После распада СССР они провозгласили себя демократическими государствами. Гражданское общество является неотъемлемым элементом любого демократического государства, поскольку при помощи него осуществляется социальный контроль и делегирование власти государства на низовой уровень отношений. Происходит перераспределение власти между гражданским обществом и государством, что снижает давление государства на граждан и упрощает взаимоотношения между гражданским обществом и государством. Кроме того, граждане способны реализовывать свои права на практике, де юре зафиксированные в основном законе. Гражданское общество даёт возможность облегчить процесс управления, так как многие локальные проблемы можно разрешить с помощью его институтов. Действенное гражданское общество создаёт прочную платформу для воспитания гражданской политической культуры в обществе. Следовательно, работоспособное и эффективное гражданское общество стимулирует развитие демократического государства эволюционным способом.</w:t>
      </w:r>
    </w:p>
    <w:p w:rsidR="00A12636" w:rsidRPr="00A12636" w:rsidRDefault="00A12636" w:rsidP="00C4083E">
      <w:pPr>
        <w:spacing w:after="0" w:line="240" w:lineRule="auto"/>
        <w:ind w:firstLine="709"/>
        <w:jc w:val="both"/>
        <w:rPr>
          <w:rFonts w:ascii="Calibri" w:eastAsia="Times New Roman" w:hAnsi="Calibri" w:cs="Times New Roman"/>
          <w:lang w:eastAsia="ru-RU"/>
        </w:rPr>
      </w:pPr>
      <w:r w:rsidRPr="00A12636">
        <w:rPr>
          <w:rFonts w:ascii="Times New Roman" w:eastAsia="Times New Roman" w:hAnsi="Times New Roman" w:cs="Times New Roman"/>
          <w:sz w:val="28"/>
          <w:lang w:eastAsia="ru-RU"/>
        </w:rPr>
        <w:lastRenderedPageBreak/>
        <w:t xml:space="preserve">Гражданское общество в постсоветском Казахстане находится в начальном периоде своего развития. Оно сталкивается с такими проблемами, как низкая эффективность, фрагментация, атомизация, одностороннее вмешательство государства в деятельность гражданского общества, несущественный вклад гражданского общества в формирование гражданской культуры политического участия, формализм и бюрократизированный процесс реализации инициатив, исходящих «снизу». Казахстан имеет свою специфику исторического, политического, культурного и экономического развития. В частности, Казахстан относится к государствам с достаточно непродолжительным историческим опытом функционирования институтов гражданского общества и гражданского участия. Граждане республики получили возможность образовывать общественные объединения на добровольной основе и принципах общего интереса лишь после обретения независимости, в то время, как гражданское общество в Европе и США эволюционировало в течение более, чем 300 лет. За прошедшее время не удалось создать эффективные институты гражданского общества в Казахстане, как представляется, по причинам как общественно-политического, так и научно-политологического характера. К первым можно отнести серьёзные экономические и социальные проблемы 1990х годов, развитие в обществе Казахстана культуры потребления в 2000х годах, противостоящей культуре самовыражения в терминах </w:t>
      </w:r>
      <w:r w:rsidRPr="00A12636">
        <w:rPr>
          <w:rFonts w:ascii="Times New Roman" w:eastAsia="Times New Roman" w:hAnsi="Times New Roman" w:cs="Times New Roman"/>
          <w:sz w:val="28"/>
          <w:lang w:val="en-US" w:eastAsia="ru-RU"/>
        </w:rPr>
        <w:t>Inglehart</w:t>
      </w:r>
      <w:r w:rsidRPr="00A12636">
        <w:rPr>
          <w:rFonts w:ascii="Times New Roman" w:eastAsia="Times New Roman" w:hAnsi="Times New Roman" w:cs="Times New Roman"/>
          <w:sz w:val="28"/>
          <w:lang w:eastAsia="ru-RU"/>
        </w:rPr>
        <w:t>-</w:t>
      </w:r>
      <w:r w:rsidRPr="00A12636">
        <w:rPr>
          <w:rFonts w:ascii="Times New Roman" w:eastAsia="Times New Roman" w:hAnsi="Times New Roman" w:cs="Times New Roman"/>
          <w:sz w:val="28"/>
          <w:lang w:val="en-US" w:eastAsia="ru-RU"/>
        </w:rPr>
        <w:t>Welzel</w:t>
      </w:r>
      <w:r w:rsidRPr="00A12636">
        <w:rPr>
          <w:rFonts w:ascii="Times New Roman" w:eastAsia="Times New Roman" w:hAnsi="Times New Roman" w:cs="Times New Roman"/>
          <w:sz w:val="28"/>
          <w:lang w:eastAsia="ru-RU"/>
        </w:rPr>
        <w:t>, которая исключала добровольную, безвозмездную активность в рамках институтов гражданского общества, усиление авторитарных тенденций в политической сфере в конце 2010х годов. Отечественных теоретических и практических научных политологических разработок в области гражданского общества в Казахстане, характеризующих локальную специфику и чётко формулирующих общественно-политические условия, в которых развивается гражданское общество страны, пока весьма немного. В подавляющем большинстве научных работ исследовательский фокус распылён между правовой основой функционирования гражданского общества в Казахстане, эволюцией институциональных изменений гражданского общества в стране и контролем государства деятельности институтов гражданского общества. Работы практической плоскости преимущественно посвящены анализу эмпирических данных о морально-ценностных установках граждан и проблематике доверия к общественно-политическим структурам, в том числе институтам гражданского общества. Научный дискурс, исследующий влияние цифровых факторов, таких как информационные технологии и социальные медиа, на данный момент в Казахстане не сформирован. В связи с чем, назрела насущная теоретическая и прикладная необходимость в систематизации, классификации и глубинном политологическом анализе накопленной научно-практической информации о гражданском обществе в Казахстане и его эмпирическом изучении, что было осуществлено в рамках данного диссертационного исследования.</w:t>
      </w:r>
      <w:r w:rsidRPr="00A12636">
        <w:rPr>
          <w:rFonts w:ascii="Calibri" w:eastAsia="Times New Roman" w:hAnsi="Calibri" w:cs="Times New Roman"/>
          <w:lang w:eastAsia="ru-RU"/>
        </w:rPr>
        <w:t xml:space="preserve"> </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 xml:space="preserve">Изучение молодёжи и её цифровой активности в казахстанской политологической литературе основано, прежде всего, на аксиологических факторах развития молодого поколения, морально-нравственных аспектах его </w:t>
      </w:r>
      <w:r w:rsidRPr="00A12636">
        <w:rPr>
          <w:rFonts w:ascii="Times New Roman" w:eastAsia="Times New Roman" w:hAnsi="Times New Roman" w:cs="Times New Roman"/>
          <w:sz w:val="28"/>
          <w:lang w:eastAsia="ru-RU"/>
        </w:rPr>
        <w:lastRenderedPageBreak/>
        <w:t>жизни, а также проблемах молодёжи, связанных с распространением деструктивных идеологий религиозного толка посредством социальных медиа, вредными привычками и асоциальным поведением. Молодёжь в общественно-политической жизни Казахстана рассматривается с позиций общественных объединений зачастую в качестве объекта, но не субъекта политики. Один из основных фокусов массива теоретической научной литературы заключается в описании аморфности, атомизации и отсутствии мотивации молодёжи, чтобы выступать в качестве актора гражданского общества и цифрового актора общественно-политической сферы, но не сферы развлечений или досуга. Следовательно, на сегодняшний день казахстанская политическая наука остро нуждается в отечественных междисциплинарных политологических и социологических исследованиях гражданского общества, его институтов, места молодёжи в деятельности общественных ассоциаций, роли информационных технологий и социальных медиа в развитии гражданского общества в посткоммунистическом Казахстане, что приведёт к накоплению научной литературы данного профиля как теоретического, так и эмпирического характера.</w:t>
      </w:r>
    </w:p>
    <w:p w:rsidR="00A12636" w:rsidRPr="00A12636" w:rsidRDefault="00A12636" w:rsidP="00C4083E">
      <w:pPr>
        <w:spacing w:after="0" w:line="240" w:lineRule="auto"/>
        <w:ind w:firstLine="709"/>
        <w:jc w:val="both"/>
        <w:rPr>
          <w:rFonts w:ascii="Times New Roman" w:eastAsia="Times New Roman" w:hAnsi="Times New Roman" w:cs="Times New Roman"/>
          <w:b/>
          <w:bCs/>
          <w:sz w:val="28"/>
          <w:lang w:eastAsia="ru-RU"/>
        </w:rPr>
      </w:pPr>
      <w:r w:rsidRPr="00A12636">
        <w:rPr>
          <w:rFonts w:ascii="Times New Roman" w:eastAsia="Times New Roman" w:hAnsi="Times New Roman" w:cs="Times New Roman"/>
          <w:sz w:val="28"/>
          <w:lang w:eastAsia="ru-RU"/>
        </w:rPr>
        <w:t xml:space="preserve">Информационные технологии, в частности, социальные медиа способны стимулировать развитие и укреплять институты гражданского общества наряду с другими факторами. </w:t>
      </w:r>
      <w:r w:rsidRPr="00A12636">
        <w:rPr>
          <w:rFonts w:ascii="Times New Roman" w:eastAsia="Times New Roman" w:hAnsi="Times New Roman" w:cs="Times New Roman"/>
          <w:bCs/>
          <w:sz w:val="28"/>
          <w:lang w:eastAsia="ru-RU"/>
        </w:rPr>
        <w:t>Послание Главы государства Касым-Жомарта Токаева народу Казахстана «Казахстан в эпоху искусственного интеллекта: актуальные задачи и их решения через цифровую трансформацию» [1], озвученное 8 сентября 2025 года, прямо указывает на насущную необходимость активного внедрения и использования разнообразных информационных технологий в различных сферах жизнедеятельности страны, что подчёркивает актуальность выбранной темы исследования.</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В современном глобализированном мире социальные медиа играют весьма значительную роль, особенно в жизни молодёжи, которая является их активным пользователем. Социальные медиа являются каналом распространения информации, обладающим рядом таких характеристик как оперативность, возможность обратной связи, реализуемой посредством комментариев, интерактивность, даже возможность эмоционального самовыражения пользователей. В социальных медиа иерархия пользователей практически не выражена, так как местоположение, пол, возраст, образование, место работы, этническая принадлежность не играют значимой роли при общении. В общественно-политической сфере данные факторы позволяют облегчить процесс взаимодействия между акторами гражданского общества, к которым относятся институты гражданского общества (молодёжные общественные организации) и граждане страны, что влияет на развитие горизонтальных сетевых отношений, являющихся одной из основ действенного гражданского общества. Таким образом, нам представляется, что информационные технологии, а именно социальные медиа способны оказать существенное влияние на становление и развитие гражданского общества в Казахстане.</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lastRenderedPageBreak/>
        <w:t>Согласно данным, полученным в ходе проведённых автором оригинальных эмпирических исследований 2019, 2023 и 2025 года, молодёжь активно представлена в крупнейших социальных медиа. Отмечается высокая заинтересованность молодых людей в их использовании. Тем не менее, интерактивные возможности цифровых платформ недостаточно задействованы в общественно-политической жизни страны. По результатам проведённого нами социологического опроса молодёжи Казахстана и глубинного интервью представителей молодёжных общественных организаций республики, молодёжные общественные объединения не в полной мере используют имеющийся интерактивный потенциал социальных медиа и мессенджеров для распространения информации о своей деятельности, рекрутирования новых членов и укрепления своих позиций в общественно-политической жизни страны.</w:t>
      </w:r>
    </w:p>
    <w:p w:rsidR="00A12636" w:rsidRPr="00A12636" w:rsidRDefault="00A12636" w:rsidP="00C4083E">
      <w:pPr>
        <w:spacing w:after="0" w:line="240" w:lineRule="auto"/>
        <w:ind w:firstLine="709"/>
        <w:jc w:val="both"/>
        <w:rPr>
          <w:rFonts w:ascii="Times New Roman" w:eastAsia="Times New Roman" w:hAnsi="Times New Roman" w:cs="Times New Roman"/>
          <w:color w:val="FF0000"/>
          <w:sz w:val="28"/>
          <w:lang w:eastAsia="ru-RU"/>
        </w:rPr>
      </w:pPr>
      <w:r w:rsidRPr="00A12636">
        <w:rPr>
          <w:rFonts w:ascii="Times New Roman" w:eastAsia="Times New Roman" w:hAnsi="Times New Roman" w:cs="Times New Roman"/>
          <w:sz w:val="28"/>
          <w:lang w:eastAsia="ru-RU"/>
        </w:rPr>
        <w:t xml:space="preserve">Исследование гражданского общества и цифровых технологий в его развитии весьма востребовано не только в отечественной теоретической политологии, но и в практической политике. Оно может быть использовано государством для корректировки внутриполитической повестки дня в отношении институтов гражданского общества, использования имеющихся у них цифровых возможностей для запуска новых каналов политической коммуникации, формирования у граждан культуры гражданского участия в общественно-политических делах локального уровня. Важность данного направления подтверждается тем, что </w:t>
      </w:r>
      <w:r w:rsidRPr="00A12636">
        <w:rPr>
          <w:rFonts w:ascii="Times New Roman" w:eastAsia="Times New Roman" w:hAnsi="Times New Roman" w:cs="Times New Roman"/>
          <w:sz w:val="28"/>
          <w:szCs w:val="28"/>
          <w:lang w:eastAsia="ru-RU"/>
        </w:rPr>
        <w:t>2 октября 2023 года Президентом Республики Казахстан (РК) Касым-Жомартом Токаевым был подписан Закон</w:t>
      </w:r>
      <w:r w:rsidRPr="00A12636">
        <w:rPr>
          <w:rFonts w:ascii="Times New Roman" w:eastAsia="Times New Roman" w:hAnsi="Times New Roman" w:cs="Times New Roman"/>
          <w:sz w:val="28"/>
          <w:lang w:eastAsia="ru-RU"/>
        </w:rPr>
        <w:t xml:space="preserve"> «Об общественном контроле», предусматривающий осуществление гражданами и общественными объединениями контроля за деятельностью государственных учреждений, чьё функционирование напрямую затрагивает интересы граждан [2]. Необходимо также отметить, что глобальная кризисная ситуация, связанная с пандемией COVID-19 и с объявлением чрезвычайного положения и карантина в регионах Казахстана в 2020 году, отчётливо продемонстрировала значимость социальных медиа в общественно-политической жизни, поскольку из-за самоизоляции и обсервации информационные средства остаются едва ли не единственным каналом взаимодействия с внешним миром. Кроме того, данный кризис наглядно показал, что гражданское сознание и ответственность являются ключевыми характеристиками граждан страны, способными снизить нагрузку на государство и систему здравоохранения. Это подводит нас к выводу о том, что в Казахстане давно назрела необходимость воспитания у граждан политической и социальной культуры гражданского типа посредством институтов гражданского общества, развития самих институтов, особенно их онлайн площадок как основных агентов реализации интересов граждан в кризисный период. Все эти вопросы имеют особое значение в условиях меняющейся внутриполитической обстановки в Казахстане, а также в связи с растущими внешними угрозами, связанными с глобализацией медиа, пост-правдой и деструктивными идеологиями. </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lastRenderedPageBreak/>
        <w:t>Степень научной разработанности темы</w:t>
      </w:r>
      <w:r w:rsidRPr="00A12636">
        <w:rPr>
          <w:rFonts w:ascii="Times New Roman" w:eastAsia="Times New Roman" w:hAnsi="Times New Roman" w:cs="Times New Roman"/>
          <w:i/>
          <w:sz w:val="28"/>
          <w:lang w:eastAsia="ru-RU"/>
        </w:rPr>
        <w:t>.</w:t>
      </w:r>
      <w:r w:rsidRPr="00A12636">
        <w:rPr>
          <w:rFonts w:ascii="Times New Roman" w:eastAsia="Times New Roman" w:hAnsi="Times New Roman" w:cs="Times New Roman"/>
          <w:sz w:val="28"/>
          <w:lang w:eastAsia="ru-RU"/>
        </w:rPr>
        <w:t xml:space="preserve"> Диссертационное исследование строится на нескольких компонентах массива научной литературы, существующей в рамках изучения гражданского общества.</w:t>
      </w:r>
    </w:p>
    <w:p w:rsidR="00A12636" w:rsidRPr="00A12636" w:rsidRDefault="00A12636" w:rsidP="008465D6">
      <w:pPr>
        <w:numPr>
          <w:ilvl w:val="0"/>
          <w:numId w:val="6"/>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В качестве базовой парадигмы изучаются труды учёных классического политического либерализма, поскольку именно эта мейнстримная теория заложила основу фундаментального изучения и понимания феномена гражданского общества. Рассматриваются классические труды Аристотеля, </w:t>
      </w:r>
      <w:r w:rsidRPr="00A12636">
        <w:rPr>
          <w:rFonts w:ascii="Times New Roman" w:eastAsia="Calibri" w:hAnsi="Times New Roman" w:cs="Times New Roman"/>
          <w:sz w:val="28"/>
          <w:lang w:val="en-US"/>
        </w:rPr>
        <w:t>J</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Locke</w:t>
      </w:r>
      <w:r w:rsidRPr="00A12636">
        <w:rPr>
          <w:rFonts w:ascii="Times New Roman" w:eastAsia="Calibri" w:hAnsi="Times New Roman" w:cs="Times New Roman"/>
          <w:sz w:val="28"/>
        </w:rPr>
        <w:t xml:space="preserve">, </w:t>
      </w:r>
      <w:r w:rsidRPr="00A12636">
        <w:rPr>
          <w:rFonts w:ascii="Times New Roman" w:eastAsia="Calibri" w:hAnsi="Times New Roman" w:cs="Times New Roman"/>
          <w:iCs/>
          <w:sz w:val="28"/>
          <w:lang w:val="fr-FR"/>
        </w:rPr>
        <w:t>J.-J. Rousseau</w:t>
      </w:r>
      <w:r w:rsidRPr="00A12636">
        <w:rPr>
          <w:rFonts w:ascii="Times New Roman" w:eastAsia="Calibri" w:hAnsi="Times New Roman" w:cs="Times New Roman"/>
          <w:sz w:val="28"/>
        </w:rPr>
        <w:t xml:space="preserve">, </w:t>
      </w:r>
      <w:r w:rsidRPr="00A12636">
        <w:rPr>
          <w:rFonts w:ascii="Times New Roman" w:eastAsia="Calibri" w:hAnsi="Times New Roman" w:cs="Times New Roman"/>
          <w:iCs/>
          <w:sz w:val="28"/>
          <w:lang w:val="fr-FR"/>
        </w:rPr>
        <w:t>Ch. L. de Montesquieu</w:t>
      </w:r>
      <w:r w:rsidRPr="00A12636">
        <w:rPr>
          <w:rFonts w:ascii="Times New Roman" w:eastAsia="Calibri" w:hAnsi="Times New Roman" w:cs="Times New Roman"/>
          <w:sz w:val="28"/>
        </w:rPr>
        <w:t xml:space="preserve">, </w:t>
      </w:r>
      <w:r w:rsidRPr="00A12636">
        <w:rPr>
          <w:rFonts w:ascii="Times New Roman" w:eastAsia="Calibri" w:hAnsi="Times New Roman" w:cs="Times New Roman"/>
          <w:iCs/>
          <w:sz w:val="28"/>
          <w:lang w:val="en"/>
        </w:rPr>
        <w:t>A</w:t>
      </w:r>
      <w:r w:rsidRPr="00A12636">
        <w:rPr>
          <w:rFonts w:ascii="Times New Roman" w:eastAsia="Calibri" w:hAnsi="Times New Roman" w:cs="Times New Roman"/>
          <w:iCs/>
          <w:sz w:val="28"/>
        </w:rPr>
        <w:t xml:space="preserve">. </w:t>
      </w:r>
      <w:r w:rsidRPr="00A12636">
        <w:rPr>
          <w:rFonts w:ascii="Times New Roman" w:eastAsia="Calibri" w:hAnsi="Times New Roman" w:cs="Times New Roman"/>
          <w:iCs/>
          <w:sz w:val="28"/>
          <w:lang w:val="en"/>
        </w:rPr>
        <w:t>Ferguson</w:t>
      </w:r>
      <w:r w:rsidRPr="00A12636">
        <w:rPr>
          <w:rFonts w:ascii="Times New Roman" w:eastAsia="Calibri" w:hAnsi="Times New Roman" w:cs="Times New Roman"/>
          <w:sz w:val="28"/>
        </w:rPr>
        <w:t xml:space="preserve">, A. de Tocqueville, </w:t>
      </w:r>
      <w:r w:rsidRPr="00A12636">
        <w:rPr>
          <w:rFonts w:ascii="Times New Roman" w:eastAsia="Calibri" w:hAnsi="Times New Roman" w:cs="Times New Roman"/>
          <w:iCs/>
          <w:sz w:val="28"/>
          <w:lang w:val="en"/>
        </w:rPr>
        <w:t>A</w:t>
      </w:r>
      <w:r w:rsidRPr="00A12636">
        <w:rPr>
          <w:rFonts w:ascii="Times New Roman" w:eastAsia="Calibri" w:hAnsi="Times New Roman" w:cs="Times New Roman"/>
          <w:iCs/>
          <w:sz w:val="28"/>
        </w:rPr>
        <w:t xml:space="preserve">. </w:t>
      </w:r>
      <w:r w:rsidRPr="00A12636">
        <w:rPr>
          <w:rFonts w:ascii="Times New Roman" w:eastAsia="Calibri" w:hAnsi="Times New Roman" w:cs="Times New Roman"/>
          <w:iCs/>
          <w:sz w:val="28"/>
          <w:lang w:val="en"/>
        </w:rPr>
        <w:t>Smith</w:t>
      </w:r>
      <w:r w:rsidRPr="00A12636">
        <w:rPr>
          <w:rFonts w:ascii="Times New Roman" w:eastAsia="Calibri" w:hAnsi="Times New Roman" w:cs="Times New Roman"/>
          <w:sz w:val="28"/>
        </w:rPr>
        <w:t xml:space="preserve">, </w:t>
      </w:r>
      <w:r w:rsidRPr="00A12636">
        <w:rPr>
          <w:rFonts w:ascii="Times New Roman" w:eastAsia="Calibri" w:hAnsi="Times New Roman" w:cs="Times New Roman"/>
          <w:iCs/>
          <w:sz w:val="28"/>
          <w:lang w:val="de-DE"/>
        </w:rPr>
        <w:t>G. Hegel</w:t>
      </w:r>
      <w:r w:rsidRPr="00A12636">
        <w:rPr>
          <w:rFonts w:ascii="Times New Roman" w:eastAsia="Calibri" w:hAnsi="Times New Roman" w:cs="Times New Roman"/>
          <w:sz w:val="28"/>
        </w:rPr>
        <w:t xml:space="preserve">. Поскольку гражданское общество является динамичным явлением, необходимо было изучить массив современной литературы, посвящённой обновлённым трактовкам гражданского общества, а именно работы </w:t>
      </w:r>
      <w:r w:rsidRPr="00A12636">
        <w:rPr>
          <w:rFonts w:ascii="Times New Roman" w:eastAsia="Calibri" w:hAnsi="Times New Roman" w:cs="Times New Roman"/>
          <w:sz w:val="28"/>
          <w:lang w:val="en-US"/>
        </w:rPr>
        <w:t>M</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Edwards</w:t>
      </w:r>
      <w:r w:rsidRPr="00A12636">
        <w:rPr>
          <w:rFonts w:ascii="Times New Roman" w:eastAsia="Calibri" w:hAnsi="Times New Roman" w:cs="Times New Roman"/>
          <w:sz w:val="28"/>
        </w:rPr>
        <w:t xml:space="preserve">, Ю. Резника, </w:t>
      </w:r>
      <w:r w:rsidRPr="00A12636">
        <w:rPr>
          <w:rFonts w:ascii="Times New Roman" w:eastAsia="Calibri" w:hAnsi="Times New Roman" w:cs="Times New Roman"/>
          <w:sz w:val="28"/>
          <w:lang w:val="en-US"/>
        </w:rPr>
        <w:t>R</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Putnam</w:t>
      </w:r>
      <w:r w:rsidRPr="00A12636">
        <w:rPr>
          <w:rFonts w:ascii="Times New Roman" w:eastAsia="Calibri" w:hAnsi="Times New Roman" w:cs="Times New Roman"/>
          <w:sz w:val="28"/>
        </w:rPr>
        <w:t xml:space="preserve">, </w:t>
      </w:r>
      <w:r w:rsidRPr="00A12636">
        <w:rPr>
          <w:rFonts w:ascii="Times New Roman" w:eastAsia="Calibri" w:hAnsi="Times New Roman" w:cs="Times New Roman"/>
          <w:iCs/>
          <w:sz w:val="28"/>
          <w:lang w:val="de-DE"/>
        </w:rPr>
        <w:t>J. Habermas</w:t>
      </w:r>
      <w:r w:rsidRPr="00A12636">
        <w:rPr>
          <w:rFonts w:ascii="Times New Roman" w:eastAsia="Calibri" w:hAnsi="Times New Roman" w:cs="Times New Roman"/>
          <w:sz w:val="28"/>
        </w:rPr>
        <w:t xml:space="preserve">, Д. Волкова, </w:t>
      </w:r>
      <w:r w:rsidRPr="00A12636">
        <w:rPr>
          <w:rFonts w:ascii="Times New Roman" w:eastAsia="Calibri" w:hAnsi="Times New Roman" w:cs="Times New Roman"/>
          <w:sz w:val="28"/>
          <w:lang w:val="en-US"/>
        </w:rPr>
        <w:t>S</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Pierobon</w:t>
      </w:r>
      <w:r w:rsidRPr="00A12636">
        <w:rPr>
          <w:rFonts w:ascii="Times New Roman" w:eastAsia="Calibri" w:hAnsi="Times New Roman" w:cs="Times New Roman"/>
          <w:bCs/>
          <w:sz w:val="28"/>
        </w:rPr>
        <w:t xml:space="preserve">, </w:t>
      </w:r>
      <w:r w:rsidRPr="00A12636">
        <w:rPr>
          <w:rFonts w:ascii="Times New Roman" w:eastAsia="Calibri" w:hAnsi="Times New Roman" w:cs="Times New Roman"/>
          <w:bCs/>
          <w:iCs/>
          <w:sz w:val="28"/>
          <w:lang w:val="fr-FR"/>
        </w:rPr>
        <w:t>M. Laruelle</w:t>
      </w:r>
      <w:r w:rsidRPr="00A12636">
        <w:rPr>
          <w:rFonts w:ascii="Times New Roman" w:eastAsia="Calibri" w:hAnsi="Times New Roman" w:cs="Times New Roman"/>
          <w:bCs/>
          <w:iCs/>
          <w:sz w:val="28"/>
        </w:rPr>
        <w:t xml:space="preserve">, C. Knox, D. Sharipova, </w:t>
      </w:r>
      <w:r w:rsidRPr="00A12636">
        <w:rPr>
          <w:rFonts w:ascii="Times New Roman" w:eastAsia="Calibri" w:hAnsi="Times New Roman" w:cs="Times New Roman"/>
          <w:sz w:val="28"/>
        </w:rPr>
        <w:t xml:space="preserve">К. Токтомушева, P. Chaney, </w:t>
      </w:r>
      <w:r w:rsidRPr="00A12636">
        <w:rPr>
          <w:rFonts w:ascii="Times New Roman" w:eastAsia="Calibri" w:hAnsi="Times New Roman" w:cs="Times New Roman"/>
          <w:bCs/>
          <w:sz w:val="28"/>
        </w:rPr>
        <w:t xml:space="preserve">I. Daminov, K. Rollan, </w:t>
      </w:r>
      <w:r w:rsidRPr="00A12636">
        <w:rPr>
          <w:rFonts w:ascii="Times New Roman" w:eastAsia="Calibri" w:hAnsi="Times New Roman" w:cs="Times New Roman"/>
          <w:bCs/>
          <w:iCs/>
          <w:sz w:val="28"/>
        </w:rPr>
        <w:t>M. Somerton, B. Kurmanov, U. Selteyev, A. Almaganbetov, S. Nanovsky, Sh. Yessimova</w:t>
      </w:r>
      <w:r w:rsidRPr="00A12636">
        <w:rPr>
          <w:rFonts w:ascii="Times New Roman" w:eastAsia="Calibri" w:hAnsi="Times New Roman" w:cs="Times New Roman"/>
          <w:sz w:val="28"/>
        </w:rPr>
        <w:t xml:space="preserve"> и многих других. </w:t>
      </w:r>
    </w:p>
    <w:p w:rsidR="00A12636" w:rsidRPr="00A12636" w:rsidRDefault="00A12636" w:rsidP="008465D6">
      <w:pPr>
        <w:numPr>
          <w:ilvl w:val="0"/>
          <w:numId w:val="6"/>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Современная политическая наука сталкивается с такой существенной методологической проблемой как сложности при определении терминов «институт», «организация», «социальная сеть», «социальные медиа». С целью формулировки приемлемой дефиниции для данного исследования, мы обращались к работам таких учёных, как О. Попова, </w:t>
      </w:r>
      <w:r w:rsidRPr="00A12636">
        <w:rPr>
          <w:rFonts w:ascii="Times New Roman" w:eastAsia="Calibri" w:hAnsi="Times New Roman" w:cs="Times New Roman"/>
          <w:sz w:val="28"/>
          <w:szCs w:val="28"/>
          <w:lang w:val="en-US"/>
        </w:rPr>
        <w:t>D</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North</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J</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G</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March</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J</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P</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Olsen</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D</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Della</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Porta</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M</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Diani</w:t>
      </w:r>
      <w:r w:rsidRPr="00A12636">
        <w:rPr>
          <w:rFonts w:ascii="Times New Roman" w:eastAsia="Calibri" w:hAnsi="Times New Roman" w:cs="Times New Roman"/>
          <w:sz w:val="28"/>
        </w:rPr>
        <w:t xml:space="preserve">, Ю. Булуктаев, </w:t>
      </w:r>
      <w:r w:rsidRPr="00A12636">
        <w:rPr>
          <w:rFonts w:ascii="Times New Roman" w:eastAsia="Times New Roman" w:hAnsi="Times New Roman" w:cs="Times New Roman"/>
          <w:sz w:val="28"/>
          <w:szCs w:val="28"/>
          <w:lang w:val="en-US" w:eastAsia="ru-RU"/>
        </w:rPr>
        <w:t>D</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Croteau</w:t>
      </w:r>
      <w:r w:rsidRPr="00A12636">
        <w:rPr>
          <w:rFonts w:ascii="Times New Roman" w:eastAsia="Calibri" w:hAnsi="Times New Roman" w:cs="Times New Roman"/>
          <w:sz w:val="28"/>
        </w:rPr>
        <w:t xml:space="preserve">, Чэнь Ди, </w:t>
      </w:r>
      <w:r w:rsidRPr="00A12636">
        <w:rPr>
          <w:rFonts w:ascii="Times New Roman" w:eastAsia="Times New Roman" w:hAnsi="Times New Roman" w:cs="Times New Roman"/>
          <w:sz w:val="28"/>
          <w:szCs w:val="28"/>
          <w:lang w:val="en-US" w:eastAsia="ru-RU"/>
        </w:rPr>
        <w:t>J</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van</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Dijck</w:t>
      </w:r>
      <w:r w:rsidRPr="00A12636">
        <w:rPr>
          <w:rFonts w:ascii="Times New Roman" w:eastAsia="Calibri" w:hAnsi="Times New Roman" w:cs="Times New Roman"/>
          <w:sz w:val="28"/>
        </w:rPr>
        <w:t xml:space="preserve">, М. </w:t>
      </w:r>
      <w:r w:rsidRPr="00A12636">
        <w:rPr>
          <w:rFonts w:ascii="Times New Roman" w:eastAsia="Calibri" w:hAnsi="Times New Roman" w:cs="Times New Roman"/>
          <w:sz w:val="28"/>
          <w:lang w:val="en-US"/>
        </w:rPr>
        <w:t>Castells</w:t>
      </w:r>
      <w:r w:rsidRPr="00A12636">
        <w:rPr>
          <w:rFonts w:ascii="Times New Roman" w:eastAsia="Calibri" w:hAnsi="Times New Roman" w:cs="Times New Roman"/>
          <w:sz w:val="28"/>
        </w:rPr>
        <w:t xml:space="preserve">, А. Подберёзкин, </w:t>
      </w:r>
      <w:r w:rsidRPr="00A12636">
        <w:rPr>
          <w:rFonts w:ascii="Times New Roman" w:eastAsia="Calibri" w:hAnsi="Times New Roman" w:cs="Times New Roman"/>
          <w:sz w:val="28"/>
          <w:lang w:val="en-US"/>
        </w:rPr>
        <w:t>C</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Shirky</w:t>
      </w:r>
      <w:r w:rsidRPr="00A12636">
        <w:rPr>
          <w:rFonts w:ascii="Times New Roman" w:eastAsia="Calibri" w:hAnsi="Times New Roman" w:cs="Times New Roman"/>
          <w:sz w:val="28"/>
        </w:rPr>
        <w:t>.</w:t>
      </w:r>
    </w:p>
    <w:p w:rsidR="00A12636" w:rsidRPr="00A12636" w:rsidRDefault="00A12636" w:rsidP="008465D6">
      <w:pPr>
        <w:numPr>
          <w:ilvl w:val="0"/>
          <w:numId w:val="6"/>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В рамках исторического институционализма, как ответвления неоинституционализма, изучаются факторы внешней среды, оказывающие существенное влияние на формирование и эволюцию гражданского общества. С целью их исследования в диссертации используются труды</w:t>
      </w:r>
      <w:r w:rsidRPr="00A12636">
        <w:rPr>
          <w:rFonts w:ascii="Times New Roman" w:eastAsia="Times New Roman" w:hAnsi="Times New Roman" w:cs="Times New Roman"/>
          <w:sz w:val="28"/>
          <w:lang w:eastAsia="ru-RU"/>
        </w:rPr>
        <w:t xml:space="preserve"> </w:t>
      </w:r>
      <w:r w:rsidRPr="00A12636">
        <w:rPr>
          <w:rFonts w:ascii="Times New Roman" w:eastAsia="Calibri" w:hAnsi="Times New Roman" w:cs="Times New Roman"/>
          <w:sz w:val="28"/>
          <w:szCs w:val="28"/>
          <w:lang w:val="en-US"/>
        </w:rPr>
        <w:t>M</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Howard</w:t>
      </w:r>
      <w:r w:rsidRPr="00A12636">
        <w:rPr>
          <w:rFonts w:ascii="Times New Roman" w:eastAsia="Calibri" w:hAnsi="Times New Roman" w:cs="Times New Roman"/>
          <w:sz w:val="28"/>
        </w:rPr>
        <w:t xml:space="preserve">, Ю. Булуктаева, А. Леденёвой, </w:t>
      </w:r>
      <w:r w:rsidRPr="00A12636">
        <w:rPr>
          <w:rFonts w:ascii="Times New Roman" w:eastAsia="Calibri" w:hAnsi="Times New Roman" w:cs="Times New Roman"/>
          <w:sz w:val="28"/>
          <w:szCs w:val="28"/>
          <w:lang w:val="en-US"/>
        </w:rPr>
        <w:t>H</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Kriesi</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J</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Cohen</w:t>
      </w:r>
      <w:r w:rsidRPr="00A12636">
        <w:rPr>
          <w:rFonts w:ascii="Times New Roman" w:eastAsia="Calibri" w:hAnsi="Times New Roman" w:cs="Times New Roman"/>
          <w:sz w:val="28"/>
        </w:rPr>
        <w:t xml:space="preserve">, А. </w:t>
      </w:r>
      <w:r w:rsidRPr="00A12636">
        <w:rPr>
          <w:rFonts w:ascii="Times New Roman" w:eastAsia="Calibri" w:hAnsi="Times New Roman" w:cs="Times New Roman"/>
          <w:sz w:val="28"/>
          <w:szCs w:val="28"/>
          <w:lang w:val="en-US"/>
        </w:rPr>
        <w:t>Arato</w:t>
      </w:r>
      <w:r w:rsidRPr="00A12636">
        <w:rPr>
          <w:rFonts w:ascii="Times New Roman" w:eastAsia="Calibri" w:hAnsi="Times New Roman" w:cs="Times New Roman"/>
          <w:sz w:val="28"/>
        </w:rPr>
        <w:t xml:space="preserve">, К. Габдуллиной, </w:t>
      </w:r>
      <w:r w:rsidRPr="00A12636">
        <w:rPr>
          <w:rFonts w:ascii="Times New Roman" w:eastAsia="Times New Roman" w:hAnsi="Times New Roman" w:cs="Times New Roman"/>
          <w:sz w:val="28"/>
          <w:szCs w:val="28"/>
          <w:lang w:val="en-US" w:eastAsia="ru-RU"/>
        </w:rPr>
        <w:t>J</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S</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Dryzek</w:t>
      </w:r>
      <w:r w:rsidRPr="00A12636">
        <w:rPr>
          <w:rFonts w:ascii="Times New Roman" w:eastAsia="Calibri" w:hAnsi="Times New Roman" w:cs="Times New Roman"/>
          <w:sz w:val="28"/>
        </w:rPr>
        <w:t xml:space="preserve">, </w:t>
      </w:r>
      <w:r w:rsidRPr="00A12636">
        <w:rPr>
          <w:rFonts w:ascii="Times New Roman" w:eastAsia="Times New Roman" w:hAnsi="Times New Roman" w:cs="Times New Roman"/>
          <w:sz w:val="28"/>
          <w:szCs w:val="28"/>
          <w:lang w:val="en-US" w:eastAsia="ru-RU"/>
        </w:rPr>
        <w:t>S</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Tarrow</w:t>
      </w:r>
      <w:r w:rsidRPr="00A12636">
        <w:rPr>
          <w:rFonts w:ascii="Times New Roman" w:eastAsia="Calibri" w:hAnsi="Times New Roman" w:cs="Times New Roman"/>
          <w:sz w:val="28"/>
        </w:rPr>
        <w:t xml:space="preserve">. Сетевой институционализм, как направление неоинституционализма, рассматривает факторы внутренней среды, воздействующие на функционирование институтов гражданского общества. Для анализа данного типа факторов мы исследуем работы А. </w:t>
      </w:r>
      <w:r w:rsidRPr="00A12636">
        <w:rPr>
          <w:rFonts w:ascii="Times New Roman" w:eastAsia="Calibri" w:hAnsi="Times New Roman" w:cs="Times New Roman"/>
          <w:sz w:val="28"/>
          <w:szCs w:val="28"/>
          <w:lang w:val="en-US"/>
        </w:rPr>
        <w:t>Melucci</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P</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L</w:t>
      </w:r>
      <w:r w:rsidRPr="00A12636">
        <w:rPr>
          <w:rFonts w:ascii="Times New Roman" w:eastAsia="Calibri" w:hAnsi="Times New Roman" w:cs="Times New Roman"/>
          <w:sz w:val="28"/>
          <w:szCs w:val="28"/>
        </w:rPr>
        <w:t xml:space="preserve">. </w:t>
      </w:r>
      <w:r w:rsidRPr="00A12636">
        <w:rPr>
          <w:rFonts w:ascii="Times New Roman" w:eastAsia="Calibri" w:hAnsi="Times New Roman" w:cs="Times New Roman"/>
          <w:sz w:val="28"/>
          <w:szCs w:val="28"/>
          <w:lang w:val="en-US"/>
        </w:rPr>
        <w:t>Berger</w:t>
      </w:r>
      <w:r w:rsidRPr="00A12636">
        <w:rPr>
          <w:rFonts w:ascii="Times New Roman" w:eastAsia="Calibri" w:hAnsi="Times New Roman" w:cs="Times New Roman"/>
          <w:sz w:val="28"/>
        </w:rPr>
        <w:t xml:space="preserve">, Т. </w:t>
      </w:r>
      <w:r w:rsidRPr="00A12636">
        <w:rPr>
          <w:rFonts w:ascii="Times New Roman" w:eastAsia="Calibri" w:hAnsi="Times New Roman" w:cs="Times New Roman"/>
          <w:sz w:val="28"/>
          <w:szCs w:val="28"/>
          <w:lang w:val="en-US"/>
        </w:rPr>
        <w:t>Luckmann</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C</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Bolzendahl</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B</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Klandermans</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G</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Brennan</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N</w:t>
      </w:r>
      <w:r w:rsidRPr="00A12636">
        <w:rPr>
          <w:rFonts w:ascii="Times New Roman" w:eastAsia="Calibri" w:hAnsi="Times New Roman" w:cs="Times New Roman"/>
          <w:sz w:val="28"/>
        </w:rPr>
        <w:t>.</w:t>
      </w:r>
      <w:r w:rsidRPr="00A12636">
        <w:rPr>
          <w:rFonts w:ascii="Times New Roman" w:eastAsia="Calibri" w:hAnsi="Times New Roman" w:cs="Times New Roman"/>
          <w:sz w:val="28"/>
          <w:lang w:val="en-US"/>
        </w:rPr>
        <w:t>L</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szCs w:val="28"/>
          <w:lang w:val="en-US"/>
        </w:rPr>
        <w:t>Rosenblum</w:t>
      </w:r>
      <w:r w:rsidRPr="00A12636">
        <w:rPr>
          <w:rFonts w:ascii="Times New Roman" w:eastAsia="Calibri" w:hAnsi="Times New Roman" w:cs="Times New Roman"/>
          <w:sz w:val="28"/>
        </w:rPr>
        <w:t>, Д. Шариповой, А. Бурханова.</w:t>
      </w:r>
    </w:p>
    <w:p w:rsidR="00A12636" w:rsidRPr="00A12636" w:rsidRDefault="00A12636" w:rsidP="008465D6">
      <w:pPr>
        <w:numPr>
          <w:ilvl w:val="0"/>
          <w:numId w:val="6"/>
        </w:numPr>
        <w:spacing w:after="0" w:line="240" w:lineRule="auto"/>
        <w:ind w:left="0" w:firstLine="709"/>
        <w:contextualSpacing/>
        <w:jc w:val="both"/>
        <w:rPr>
          <w:rFonts w:ascii="Times New Roman" w:eastAsia="Times New Roman" w:hAnsi="Times New Roman" w:cs="Times New Roman"/>
          <w:sz w:val="28"/>
          <w:szCs w:val="28"/>
          <w:lang w:eastAsia="ru-RU"/>
        </w:rPr>
      </w:pPr>
      <w:r w:rsidRPr="00A12636">
        <w:rPr>
          <w:rFonts w:ascii="Times New Roman" w:eastAsia="Calibri" w:hAnsi="Times New Roman" w:cs="Times New Roman"/>
          <w:sz w:val="28"/>
        </w:rPr>
        <w:t xml:space="preserve">Наряду с гражданским обществом, его институтами, факторами внешней и внутренней среды, влияющими на их развитие и деятельность, данное диссертационное исследование сосредоточено на изучении социальных медиа и их влияния на институты гражданского общества. Для раскрытия их воздействия проанализированы научные работы таких авторов, как </w:t>
      </w:r>
      <w:r w:rsidRPr="00A12636">
        <w:rPr>
          <w:rFonts w:ascii="Times New Roman" w:eastAsia="Times New Roman" w:hAnsi="Times New Roman" w:cs="Times New Roman"/>
          <w:sz w:val="28"/>
          <w:szCs w:val="28"/>
          <w:lang w:val="en-US" w:eastAsia="ru-RU"/>
        </w:rPr>
        <w:t>D</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Croteau</w:t>
      </w:r>
      <w:r w:rsidRPr="00A12636">
        <w:rPr>
          <w:rFonts w:ascii="Times New Roman" w:eastAsia="Times New Roman" w:hAnsi="Times New Roman" w:cs="Times New Roman"/>
          <w:sz w:val="28"/>
          <w:szCs w:val="28"/>
          <w:lang w:eastAsia="ru-RU"/>
        </w:rPr>
        <w:t xml:space="preserve">, Чэнь Ди, </w:t>
      </w:r>
      <w:r w:rsidRPr="00A12636">
        <w:rPr>
          <w:rFonts w:ascii="Times New Roman" w:eastAsia="Times New Roman" w:hAnsi="Times New Roman" w:cs="Times New Roman"/>
          <w:sz w:val="28"/>
          <w:szCs w:val="28"/>
          <w:lang w:val="en-US" w:eastAsia="ru-RU"/>
        </w:rPr>
        <w:t>J</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van</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Dijck</w:t>
      </w:r>
      <w:r w:rsidRPr="00A12636">
        <w:rPr>
          <w:rFonts w:ascii="Times New Roman" w:eastAsia="Times New Roman" w:hAnsi="Times New Roman" w:cs="Times New Roman"/>
          <w:sz w:val="28"/>
          <w:szCs w:val="28"/>
          <w:lang w:eastAsia="ru-RU"/>
        </w:rPr>
        <w:t xml:space="preserve">, Д. Шигаева, </w:t>
      </w:r>
      <w:r w:rsidRPr="00A12636">
        <w:rPr>
          <w:rFonts w:ascii="Times New Roman" w:eastAsia="Times New Roman" w:hAnsi="Times New Roman" w:cs="Times New Roman"/>
          <w:sz w:val="28"/>
          <w:szCs w:val="28"/>
          <w:lang w:val="en-US" w:eastAsia="ru-RU"/>
        </w:rPr>
        <w:t>L</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A</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Lievrouw</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S</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Livingstone</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C</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Shirky</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G</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Coleman</w:t>
      </w:r>
      <w:r w:rsidRPr="00A12636">
        <w:rPr>
          <w:rFonts w:ascii="Times New Roman" w:eastAsia="Times New Roman" w:hAnsi="Times New Roman" w:cs="Times New Roman"/>
          <w:sz w:val="28"/>
          <w:szCs w:val="28"/>
          <w:lang w:eastAsia="ru-RU"/>
        </w:rPr>
        <w:t xml:space="preserve">, М. </w:t>
      </w:r>
      <w:r w:rsidRPr="00A12636">
        <w:rPr>
          <w:rFonts w:ascii="Times New Roman" w:eastAsia="Times New Roman" w:hAnsi="Times New Roman" w:cs="Times New Roman"/>
          <w:sz w:val="28"/>
          <w:szCs w:val="28"/>
          <w:lang w:val="en-US" w:eastAsia="ru-RU"/>
        </w:rPr>
        <w:t>Warschauer</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L</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Winner</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J</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Harkin</w:t>
      </w:r>
      <w:r w:rsidRPr="00A12636">
        <w:rPr>
          <w:rFonts w:ascii="Times New Roman" w:eastAsia="Times New Roman" w:hAnsi="Times New Roman" w:cs="Times New Roman"/>
          <w:sz w:val="28"/>
          <w:szCs w:val="28"/>
          <w:lang w:eastAsia="ru-RU"/>
        </w:rPr>
        <w:t xml:space="preserve">, И. Сайрамбай, А. Нурмаков, Д. Кудайбергенова, </w:t>
      </w:r>
      <w:r w:rsidRPr="00A12636">
        <w:rPr>
          <w:rFonts w:ascii="Times New Roman" w:eastAsia="Times New Roman" w:hAnsi="Times New Roman" w:cs="Times New Roman"/>
          <w:sz w:val="28"/>
          <w:szCs w:val="28"/>
          <w:lang w:val="en-US" w:eastAsia="ru-RU"/>
        </w:rPr>
        <w:t>M</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McPherson</w:t>
      </w:r>
      <w:r w:rsidRPr="00A12636">
        <w:rPr>
          <w:rFonts w:ascii="Times New Roman" w:eastAsia="Times New Roman" w:hAnsi="Times New Roman" w:cs="Times New Roman"/>
          <w:bCs/>
          <w:sz w:val="28"/>
          <w:szCs w:val="28"/>
          <w:lang w:eastAsia="ru-RU"/>
        </w:rPr>
        <w:t xml:space="preserve">, </w:t>
      </w:r>
      <w:r w:rsidRPr="00A12636">
        <w:rPr>
          <w:rFonts w:ascii="Times New Roman" w:eastAsia="Times New Roman" w:hAnsi="Times New Roman" w:cs="Times New Roman"/>
          <w:bCs/>
          <w:sz w:val="28"/>
          <w:szCs w:val="28"/>
          <w:lang w:val="en-US" w:eastAsia="ru-RU"/>
        </w:rPr>
        <w:t>H</w:t>
      </w:r>
      <w:r w:rsidRPr="00A12636">
        <w:rPr>
          <w:rFonts w:ascii="Times New Roman" w:eastAsia="Times New Roman" w:hAnsi="Times New Roman" w:cs="Times New Roman"/>
          <w:bCs/>
          <w:sz w:val="28"/>
          <w:szCs w:val="28"/>
          <w:lang w:eastAsia="ru-RU"/>
        </w:rPr>
        <w:t xml:space="preserve">. </w:t>
      </w:r>
      <w:r w:rsidRPr="00A12636">
        <w:rPr>
          <w:rFonts w:ascii="Times New Roman" w:eastAsia="Times New Roman" w:hAnsi="Times New Roman" w:cs="Times New Roman"/>
          <w:sz w:val="28"/>
          <w:szCs w:val="28"/>
          <w:lang w:val="en-US" w:eastAsia="ru-RU"/>
        </w:rPr>
        <w:t>Rheingold</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D</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sz w:val="28"/>
          <w:szCs w:val="28"/>
          <w:lang w:val="en-US" w:eastAsia="ru-RU"/>
        </w:rPr>
        <w:t>Lewis</w:t>
      </w:r>
      <w:r w:rsidRPr="00A12636">
        <w:rPr>
          <w:rFonts w:ascii="Times New Roman" w:eastAsia="Times New Roman" w:hAnsi="Times New Roman" w:cs="Times New Roman"/>
          <w:sz w:val="28"/>
          <w:szCs w:val="28"/>
          <w:lang w:eastAsia="ru-RU"/>
        </w:rPr>
        <w:t xml:space="preserve">, К. Токтомушев, А. </w:t>
      </w:r>
      <w:r w:rsidRPr="00A12636">
        <w:rPr>
          <w:rFonts w:ascii="Times New Roman" w:eastAsia="Times New Roman" w:hAnsi="Times New Roman" w:cs="Times New Roman"/>
          <w:sz w:val="28"/>
          <w:szCs w:val="28"/>
          <w:lang w:val="en-US" w:eastAsia="ru-RU"/>
        </w:rPr>
        <w:t>Frigerio</w:t>
      </w:r>
      <w:r w:rsidRPr="00A12636">
        <w:rPr>
          <w:rFonts w:ascii="Times New Roman" w:eastAsia="Times New Roman" w:hAnsi="Times New Roman" w:cs="Times New Roman"/>
          <w:sz w:val="28"/>
          <w:szCs w:val="28"/>
          <w:lang w:eastAsia="ru-RU"/>
        </w:rPr>
        <w:t xml:space="preserve">, </w:t>
      </w:r>
      <w:r w:rsidRPr="00A12636">
        <w:rPr>
          <w:rFonts w:ascii="Times New Roman" w:eastAsia="Times New Roman" w:hAnsi="Times New Roman" w:cs="Times New Roman"/>
          <w:bCs/>
          <w:sz w:val="28"/>
          <w:szCs w:val="28"/>
          <w:lang w:eastAsia="ru-RU"/>
        </w:rPr>
        <w:t>B. Kurmanov, D. Kuznetsova, C. Tolbert, D. Gritsenko, A. Trochev, K. Vehkalahti</w:t>
      </w:r>
      <w:r w:rsidRPr="00A12636">
        <w:rPr>
          <w:rFonts w:ascii="Times New Roman" w:eastAsia="Times New Roman" w:hAnsi="Times New Roman" w:cs="Times New Roman"/>
          <w:sz w:val="28"/>
          <w:szCs w:val="28"/>
          <w:lang w:eastAsia="ru-RU"/>
        </w:rPr>
        <w:t>.</w:t>
      </w:r>
    </w:p>
    <w:p w:rsidR="00A12636" w:rsidRPr="00A12636" w:rsidRDefault="00A12636" w:rsidP="008465D6">
      <w:pPr>
        <w:numPr>
          <w:ilvl w:val="0"/>
          <w:numId w:val="6"/>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Отдельно необходимо остановиться на современном отечественном дискурсе, посвящённом гражданскому обществу, роли социальных медиа и </w:t>
      </w:r>
      <w:r w:rsidRPr="00A12636">
        <w:rPr>
          <w:rFonts w:ascii="Times New Roman" w:eastAsia="Calibri" w:hAnsi="Times New Roman" w:cs="Times New Roman"/>
          <w:sz w:val="28"/>
        </w:rPr>
        <w:lastRenderedPageBreak/>
        <w:t xml:space="preserve">молодёжи как одного из акторов гражданского общества. Весьма важными для данного исследования являются работы Ю. Булуктаева, З. Шаукеновой, А. Бижанова, Д. Сатпаева, А. Амребаева, Л. Зайниевой, Г. Насимовой, Е. Алиярова, Ж. Симтикова, Ж. Жабиной, М. Абишевой, А. Морозова, С. Барлыбаевой, А. Малик, Д. Косназарова, Н. Есхуатовой, Е. Токтарова, </w:t>
      </w:r>
      <w:r w:rsidRPr="00A12636">
        <w:rPr>
          <w:rFonts w:ascii="Times New Roman" w:eastAsia="Calibri" w:hAnsi="Times New Roman" w:cs="Times New Roman"/>
          <w:bCs/>
          <w:iCs/>
          <w:sz w:val="28"/>
        </w:rPr>
        <w:t xml:space="preserve">B. Kurmanov, U. Selteyev, A. Almaganbetov, А. </w:t>
      </w:r>
      <w:r w:rsidRPr="00A12636">
        <w:rPr>
          <w:rFonts w:ascii="Times New Roman" w:eastAsia="Calibri" w:hAnsi="Times New Roman" w:cs="Times New Roman"/>
          <w:sz w:val="28"/>
          <w:lang w:val="en-US"/>
        </w:rPr>
        <w:t>Kussainova</w:t>
      </w:r>
      <w:r w:rsidRPr="00A12636">
        <w:rPr>
          <w:rFonts w:ascii="Times New Roman" w:eastAsia="Calibri" w:hAnsi="Times New Roman" w:cs="Times New Roman"/>
          <w:sz w:val="28"/>
        </w:rPr>
        <w:t>, С. Жандосовой.</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Целью</w:t>
      </w:r>
      <w:r w:rsidRPr="00A12636">
        <w:rPr>
          <w:rFonts w:ascii="Times New Roman" w:eastAsia="Times New Roman" w:hAnsi="Times New Roman" w:cs="Times New Roman"/>
          <w:sz w:val="28"/>
          <w:lang w:eastAsia="ru-RU"/>
        </w:rPr>
        <w:t xml:space="preserve"> данного исследования является политологический анализ влияния информационных технологий (социальных медиа) на деятельность институтов гражданского общества (молодёжных общественных организаций) в Казахстане.</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 xml:space="preserve">Для реализации цели исследования в работе поставлены следующие </w:t>
      </w:r>
      <w:r w:rsidRPr="00A12636">
        <w:rPr>
          <w:rFonts w:ascii="Times New Roman" w:eastAsia="Times New Roman" w:hAnsi="Times New Roman" w:cs="Times New Roman"/>
          <w:b/>
          <w:sz w:val="28"/>
          <w:lang w:eastAsia="ru-RU"/>
        </w:rPr>
        <w:t>задачи</w:t>
      </w:r>
      <w:r w:rsidRPr="00A12636">
        <w:rPr>
          <w:rFonts w:ascii="Times New Roman" w:eastAsia="Times New Roman" w:hAnsi="Times New Roman" w:cs="Times New Roman"/>
          <w:sz w:val="28"/>
          <w:lang w:eastAsia="ru-RU"/>
        </w:rPr>
        <w:t>:</w:t>
      </w:r>
    </w:p>
    <w:p w:rsidR="00A12636" w:rsidRPr="00A12636" w:rsidRDefault="00A12636" w:rsidP="008465D6">
      <w:pPr>
        <w:numPr>
          <w:ilvl w:val="0"/>
          <w:numId w:val="5"/>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изучить теоретическую базу гражданского общества в мировой и отечественной литературе. Поскольку специфика посткоммунистических и авторитарных государств слабо освещается в литературе, созданной в рамках классического политического либерализма, необходимо дополнить и расширить анализ научных источников ведущими разработками отечественных специалистов и учёных посткоммунистических государств. Это позволяет глубже и фундаментальнее охарактеризовать сложность и многоаспектность явления гражданского общества, а также обосновать отсутствие зонтичного определения гражданского общества в современной политической науке.</w:t>
      </w:r>
    </w:p>
    <w:p w:rsidR="00A12636" w:rsidRPr="00A12636" w:rsidRDefault="00A12636" w:rsidP="008465D6">
      <w:pPr>
        <w:numPr>
          <w:ilvl w:val="0"/>
          <w:numId w:val="5"/>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рассмотреть развитие социальных медиа и мессенджеров в постсоветском</w:t>
      </w:r>
      <w:r w:rsidRPr="00A12636">
        <w:rPr>
          <w:rFonts w:ascii="Times New Roman" w:eastAsia="Calibri" w:hAnsi="Times New Roman" w:cs="Times New Roman"/>
          <w:color w:val="FF0000"/>
          <w:sz w:val="28"/>
        </w:rPr>
        <w:t xml:space="preserve"> </w:t>
      </w:r>
      <w:r w:rsidRPr="00A12636">
        <w:rPr>
          <w:rFonts w:ascii="Times New Roman" w:eastAsia="Calibri" w:hAnsi="Times New Roman" w:cs="Times New Roman"/>
          <w:sz w:val="28"/>
        </w:rPr>
        <w:t>Казахстане. Социальные медиа весьма существенно дополняют и влияют на гражданское общество в Казахстане. Их влияние достаточно разнонаправленно: от базового распространения информации до интерактивных возможностей рекрутирования членов в молодёжные общественные организации. Вместе с тем, они не способны привести к значимым изменениям в структуре институтов гражданского общества РК, увеличению вовлечения молодёжи Казахстана в молодёжные общественные организации и улучшению функционирования молодёжных общественных организаций как институтов гражданского общества.</w:t>
      </w:r>
    </w:p>
    <w:p w:rsidR="00A12636" w:rsidRPr="00A12636" w:rsidRDefault="00A12636" w:rsidP="008465D6">
      <w:pPr>
        <w:numPr>
          <w:ilvl w:val="0"/>
          <w:numId w:val="5"/>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провести оригинальное социологическое исследование молодёжи Казахстана на предмет активности в социальных медиа и в деятельности общественных объединений. Данная задача поставлена в связи с необходимостью продемонстрировать эмпирический разрыв между цифровым вовлечением молодёжи Казахстана и её офлайн гражданским участием. Опросы проводились в 2019, 2023 и 2025 годах среди молодёжи Казахстана в возрасте от 18 до 25 лет. Общий размер выборки составил 600 респондентов. </w:t>
      </w:r>
    </w:p>
    <w:p w:rsidR="00A12636" w:rsidRPr="00A12636" w:rsidRDefault="00A12636" w:rsidP="008465D6">
      <w:pPr>
        <w:numPr>
          <w:ilvl w:val="0"/>
          <w:numId w:val="5"/>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провести множественный корреляционно-регрессионный анализ, основанный на данных оригинального социологического исследования молодёжи Казахстана 2019, 2023 и 2025 годов. Метод корреляционно-регрессионного анализа позволил выявить зависимость и причинно-следственную связь между переменными. В качестве независимой переменной использовалось офлайн гражданское участие молодёжи Казахстана в возрасте от 18 до 25 лет посредством её вовлечения в деятельность молодёжных </w:t>
      </w:r>
      <w:r w:rsidRPr="00A12636">
        <w:rPr>
          <w:rFonts w:ascii="Times New Roman" w:eastAsia="Calibri" w:hAnsi="Times New Roman" w:cs="Times New Roman"/>
          <w:sz w:val="28"/>
        </w:rPr>
        <w:lastRenderedPageBreak/>
        <w:t>общественных объединений. Зависимыми переменными выступили факторы как цифрового, так и недиджитального характера.</w:t>
      </w:r>
    </w:p>
    <w:p w:rsidR="00A12636" w:rsidRPr="00A12636" w:rsidRDefault="00A12636" w:rsidP="008465D6">
      <w:pPr>
        <w:numPr>
          <w:ilvl w:val="0"/>
          <w:numId w:val="5"/>
        </w:numPr>
        <w:spacing w:after="0" w:line="240" w:lineRule="auto"/>
        <w:ind w:left="0" w:firstLine="709"/>
        <w:contextualSpacing/>
        <w:jc w:val="both"/>
        <w:rPr>
          <w:rFonts w:ascii="Times New Roman" w:eastAsia="Calibri" w:hAnsi="Times New Roman" w:cs="Times New Roman"/>
          <w:color w:val="FF0000"/>
          <w:sz w:val="28"/>
        </w:rPr>
      </w:pPr>
      <w:r w:rsidRPr="00A12636">
        <w:rPr>
          <w:rFonts w:ascii="Times New Roman" w:eastAsia="Calibri" w:hAnsi="Times New Roman" w:cs="Times New Roman"/>
          <w:sz w:val="28"/>
        </w:rPr>
        <w:t xml:space="preserve">провести глубинные интервью с представителями наиболее известных молодёжи общественных объединений Казахстана. Применение </w:t>
      </w:r>
      <w:r w:rsidRPr="00A12636">
        <w:rPr>
          <w:rFonts w:ascii="Times New Roman" w:eastAsia="Calibri" w:hAnsi="Times New Roman" w:cs="Times New Roman"/>
          <w:sz w:val="28"/>
          <w:lang w:val="en-US"/>
        </w:rPr>
        <w:t>mixed</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method</w:t>
      </w:r>
      <w:r w:rsidRPr="00A12636">
        <w:rPr>
          <w:rFonts w:ascii="Times New Roman" w:eastAsia="Calibri" w:hAnsi="Times New Roman" w:cs="Times New Roman"/>
          <w:sz w:val="28"/>
        </w:rPr>
        <w:t xml:space="preserve"> позволяет оценить гражданское вовлечение молодёжи с позиции представителей молодёжных общественных организаций, наиболее востребованных в молодёжной среде, выявленных на основании оригинального социологического опроса. Интервью полуструктурированного вида позволяет выявить глубинные причины невысокого гражданского офлайн вовлечения молодёжи Казахстана, а также проанализировать масштаб и характер использования социальных медиа молодёжными общественными объединениями.</w:t>
      </w:r>
      <w:r w:rsidRPr="00A12636">
        <w:rPr>
          <w:rFonts w:ascii="Times New Roman" w:eastAsia="Calibri" w:hAnsi="Times New Roman" w:cs="Times New Roman"/>
          <w:color w:val="FF0000"/>
          <w:sz w:val="28"/>
        </w:rPr>
        <w:t xml:space="preserve"> </w:t>
      </w:r>
    </w:p>
    <w:p w:rsidR="00A12636" w:rsidRPr="00A12636" w:rsidRDefault="00A12636" w:rsidP="008465D6">
      <w:pPr>
        <w:numPr>
          <w:ilvl w:val="0"/>
          <w:numId w:val="5"/>
        </w:numPr>
        <w:spacing w:after="0" w:line="240" w:lineRule="auto"/>
        <w:ind w:left="0" w:firstLine="709"/>
        <w:contextualSpacing/>
        <w:jc w:val="both"/>
        <w:rPr>
          <w:rFonts w:ascii="Times New Roman" w:eastAsia="Calibri" w:hAnsi="Times New Roman" w:cs="Times New Roman"/>
          <w:color w:val="FF0000"/>
          <w:sz w:val="28"/>
        </w:rPr>
      </w:pPr>
      <w:r w:rsidRPr="00A12636">
        <w:rPr>
          <w:rFonts w:ascii="Times New Roman" w:eastAsia="Calibri" w:hAnsi="Times New Roman" w:cs="Times New Roman"/>
          <w:sz w:val="28"/>
        </w:rPr>
        <w:t>провести глубинные интервью с казахстанскими представителями экспертного сообщества в области гражданских институтов и практик. Эта задача поставлена с целью получения актуальных экспертных оценок состояния гражданского общества в РК, степени участия молодёжи в его деятельности, уровня её вовлечённости в социальные медиа и выявление перспектив влияния социальных медиа на институты гражданского общества и молодёжное гражданское вовлечение в Казахстане.</w:t>
      </w:r>
    </w:p>
    <w:p w:rsidR="00A12636" w:rsidRPr="00A12636" w:rsidRDefault="00A12636" w:rsidP="008465D6">
      <w:pPr>
        <w:numPr>
          <w:ilvl w:val="0"/>
          <w:numId w:val="5"/>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представить анализ эффективности социальных медиа как инструмента стимулирования развития молодёжных общественных организаций и разработать рекомендации для молодёжных общественных объединений, профильных министерств и комитетов, направленные на улучшение ситуации.</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i/>
          <w:sz w:val="28"/>
          <w:lang w:eastAsia="ru-RU"/>
        </w:rPr>
        <w:t xml:space="preserve"> </w:t>
      </w:r>
      <w:r w:rsidRPr="00A12636">
        <w:rPr>
          <w:rFonts w:ascii="Times New Roman" w:eastAsia="Times New Roman" w:hAnsi="Times New Roman" w:cs="Times New Roman"/>
          <w:b/>
          <w:sz w:val="28"/>
          <w:lang w:eastAsia="ru-RU"/>
        </w:rPr>
        <w:t>Объектом</w:t>
      </w:r>
      <w:r w:rsidRPr="00A12636">
        <w:rPr>
          <w:rFonts w:ascii="Times New Roman" w:eastAsia="Times New Roman" w:hAnsi="Times New Roman" w:cs="Times New Roman"/>
          <w:sz w:val="28"/>
          <w:lang w:eastAsia="ru-RU"/>
        </w:rPr>
        <w:t xml:space="preserve"> настоящего исследования являются институты гражданского общества (молодёжные общественные организации) современного Казахстана.</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Предметом</w:t>
      </w:r>
      <w:r w:rsidRPr="00A12636">
        <w:rPr>
          <w:rFonts w:ascii="Times New Roman" w:eastAsia="Times New Roman" w:hAnsi="Times New Roman" w:cs="Times New Roman"/>
          <w:sz w:val="28"/>
          <w:lang w:eastAsia="ru-RU"/>
        </w:rPr>
        <w:t xml:space="preserve"> данного исследования является изучение влияния социальных медиа на деятельность молодёжных общественных объединений постсоветского Казахстана.</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 xml:space="preserve">В основе данного диссертационного исследования лежат следующие </w:t>
      </w:r>
      <w:r w:rsidRPr="00A12636">
        <w:rPr>
          <w:rFonts w:ascii="Times New Roman" w:eastAsia="Times New Roman" w:hAnsi="Times New Roman" w:cs="Times New Roman"/>
          <w:b/>
          <w:sz w:val="28"/>
          <w:lang w:eastAsia="ru-RU"/>
        </w:rPr>
        <w:t>гипотезы</w:t>
      </w:r>
      <w:r w:rsidRPr="00A12636">
        <w:rPr>
          <w:rFonts w:ascii="Times New Roman" w:eastAsia="Times New Roman" w:hAnsi="Times New Roman" w:cs="Times New Roman"/>
          <w:sz w:val="28"/>
          <w:lang w:eastAsia="ru-RU"/>
        </w:rPr>
        <w:t>:</w:t>
      </w:r>
    </w:p>
    <w:p w:rsidR="00A12636" w:rsidRPr="00A12636" w:rsidRDefault="00A12636" w:rsidP="008465D6">
      <w:pPr>
        <w:numPr>
          <w:ilvl w:val="0"/>
          <w:numId w:val="12"/>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предполагается, что уровень вовлечения молодёжи современного Казахстана в социальные медиа сохраняет стабильно высокий показатель вне зависимости от внешних факторов (пандемия, январские события 2022 года). Востребованность российских онлайн-платформ снизилась после российско-украинского конфликта 2022 года.</w:t>
      </w:r>
    </w:p>
    <w:p w:rsidR="00A12636" w:rsidRPr="00A12636" w:rsidRDefault="00A12636" w:rsidP="008465D6">
      <w:pPr>
        <w:numPr>
          <w:ilvl w:val="0"/>
          <w:numId w:val="12"/>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предполагается, что уровень офлайн гражданского участия молодёжи в деятельности молодёжных общественных объединений повысился после 2019 года (пандемия </w:t>
      </w:r>
      <w:r w:rsidRPr="00A12636">
        <w:rPr>
          <w:rFonts w:ascii="Times New Roman" w:eastAsia="Calibri" w:hAnsi="Times New Roman" w:cs="Times New Roman"/>
          <w:sz w:val="28"/>
          <w:lang w:val="en-US"/>
        </w:rPr>
        <w:t>COVID</w:t>
      </w:r>
      <w:r w:rsidRPr="00A12636">
        <w:rPr>
          <w:rFonts w:ascii="Times New Roman" w:eastAsia="Calibri" w:hAnsi="Times New Roman" w:cs="Times New Roman"/>
          <w:sz w:val="28"/>
        </w:rPr>
        <w:t>-19) и 2022 года (после январских событий в Казахстане, войны России и Украины).</w:t>
      </w:r>
    </w:p>
    <w:p w:rsidR="00A12636" w:rsidRPr="00A12636" w:rsidRDefault="00A12636" w:rsidP="008465D6">
      <w:pPr>
        <w:numPr>
          <w:ilvl w:val="0"/>
          <w:numId w:val="12"/>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предполагается, что молодёжные общественные объединения интенсивно применяют социальные медиа для вовлечения молодёжи в офлайн гражданскую активность.</w:t>
      </w:r>
    </w:p>
    <w:p w:rsidR="00A12636" w:rsidRPr="00A12636" w:rsidRDefault="00A12636" w:rsidP="008465D6">
      <w:pPr>
        <w:numPr>
          <w:ilvl w:val="0"/>
          <w:numId w:val="12"/>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lastRenderedPageBreak/>
        <w:t xml:space="preserve">предполагается, что онлайн гражданское участие молодёжи Казахстана успешно трансформируется в офлайн гражданское вовлечение в рамках молодёжных общественных ассоциаций.  </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Научная новизна работы</w:t>
      </w:r>
      <w:r w:rsidRPr="00A12636">
        <w:rPr>
          <w:rFonts w:ascii="Times New Roman" w:eastAsia="Times New Roman" w:hAnsi="Times New Roman" w:cs="Times New Roman"/>
          <w:i/>
          <w:sz w:val="28"/>
          <w:lang w:eastAsia="ru-RU"/>
        </w:rPr>
        <w:t xml:space="preserve">. </w:t>
      </w:r>
      <w:r w:rsidRPr="00A12636">
        <w:rPr>
          <w:rFonts w:ascii="Times New Roman" w:eastAsia="Times New Roman" w:hAnsi="Times New Roman" w:cs="Times New Roman"/>
          <w:sz w:val="28"/>
          <w:lang w:eastAsia="ru-RU"/>
        </w:rPr>
        <w:t xml:space="preserve">На уровне первичного анализа сфера гражданского общества достаточно изучена в мировой научной политической литературе. </w:t>
      </w:r>
      <w:r w:rsidRPr="00A12636">
        <w:rPr>
          <w:rFonts w:ascii="Times New Roman" w:eastAsia="Times New Roman" w:hAnsi="Times New Roman" w:cs="Times New Roman"/>
          <w:sz w:val="28"/>
          <w:szCs w:val="28"/>
          <w:lang w:eastAsia="ru-RU"/>
        </w:rPr>
        <w:t>Однако данная позиция не обладает достаточной методологической обоснованностью применительно к анализу авторитарных государств.</w:t>
      </w:r>
      <w:r w:rsidRPr="00A12636">
        <w:rPr>
          <w:rFonts w:ascii="Calibri" w:eastAsia="Times New Roman" w:hAnsi="Calibri" w:cs="Times New Roman"/>
          <w:lang w:eastAsia="ru-RU"/>
        </w:rPr>
        <w:t xml:space="preserve"> </w:t>
      </w:r>
      <w:r w:rsidRPr="00A12636">
        <w:rPr>
          <w:rFonts w:ascii="Times New Roman" w:eastAsia="Times New Roman" w:hAnsi="Times New Roman" w:cs="Times New Roman"/>
          <w:sz w:val="28"/>
          <w:lang w:eastAsia="ru-RU"/>
        </w:rPr>
        <w:t>В политических контекстах такого рода существуют иные процессы как объективно-исторического, так и субъективно-ценностного характера, способные значительно сместить исследовательский и понятийный фокус с классического объяснения феномена гражданского общества на нетрадиционное.</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Принципиальная научная новизна данного исследования заключается в следующем:</w:t>
      </w:r>
    </w:p>
    <w:p w:rsidR="00A12636" w:rsidRPr="00A12636" w:rsidRDefault="00A12636" w:rsidP="008465D6">
      <w:pPr>
        <w:numPr>
          <w:ilvl w:val="0"/>
          <w:numId w:val="7"/>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проведён всеобъемлющий теоретико-методологический анализ массива западной, посткоммунистической и отечественной научной литературы на предмет определения гражданского общества и его основных компонентов с акцентом на специфику авторитарного политического контекста. Выявлено отсутствие зонтичного определения понятия «гражданское общество», являющегося универсальным для демократических и авторитарных политических систем. В результате чего автором исследования представлено собственное определение гражданского общества, агрегирующее дефиниции, выработанные в рамках как классического политического либерализма, так и разработок посткоммунистических и отечественных учёных;</w:t>
      </w:r>
    </w:p>
    <w:p w:rsidR="00A12636" w:rsidRPr="00A12636" w:rsidRDefault="00A12636" w:rsidP="008465D6">
      <w:pPr>
        <w:numPr>
          <w:ilvl w:val="0"/>
          <w:numId w:val="7"/>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разработано авторское определение термина «молодёжная общественная организация» как института гражданского общества, под которой понимаются организации с фиксированной структурой и уставом, имеющие внешних спонсоров как государственного, так и частного характера, включающие неформальные практики взаимодействия и вовлечения участников от 18 до 35 лет с целью гражданской безвозмездной добровольной активности неполитического характера. Используемый подход неоинституционализма позволил установить, что понятийный аппарат сферы институтов достаточно несфокусирован и требует детального анализа. Предложена операционализация данного понятия через применение его в процессе сбора и обработки эмпирических данных;</w:t>
      </w:r>
    </w:p>
    <w:p w:rsidR="00A12636" w:rsidRPr="00A12636" w:rsidRDefault="00A12636" w:rsidP="008465D6">
      <w:pPr>
        <w:numPr>
          <w:ilvl w:val="0"/>
          <w:numId w:val="7"/>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введены в практику политической науки путём опубликования в журнале </w:t>
      </w:r>
      <w:r w:rsidRPr="00A12636">
        <w:rPr>
          <w:rFonts w:ascii="Times New Roman" w:eastAsia="Calibri" w:hAnsi="Times New Roman" w:cs="Times New Roman"/>
          <w:sz w:val="28"/>
          <w:lang w:val="en-US"/>
        </w:rPr>
        <w:t>Central</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Asian</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Survey</w:t>
      </w:r>
      <w:r w:rsidRPr="00A12636">
        <w:rPr>
          <w:rFonts w:ascii="Times New Roman" w:eastAsia="Calibri" w:hAnsi="Times New Roman" w:cs="Times New Roman"/>
          <w:sz w:val="28"/>
        </w:rPr>
        <w:t xml:space="preserve"> результаты эмпирических исследований, основанных на смешанной методике (</w:t>
      </w:r>
      <w:r w:rsidRPr="00A12636">
        <w:rPr>
          <w:rFonts w:ascii="Times New Roman" w:eastAsia="Calibri" w:hAnsi="Times New Roman" w:cs="Times New Roman"/>
          <w:i/>
          <w:sz w:val="28"/>
          <w:lang w:val="en-US"/>
        </w:rPr>
        <w:t>mixed</w:t>
      </w:r>
      <w:r w:rsidRPr="00A12636">
        <w:rPr>
          <w:rFonts w:ascii="Times New Roman" w:eastAsia="Calibri" w:hAnsi="Times New Roman" w:cs="Times New Roman"/>
          <w:i/>
          <w:sz w:val="28"/>
        </w:rPr>
        <w:t xml:space="preserve"> </w:t>
      </w:r>
      <w:r w:rsidRPr="00A12636">
        <w:rPr>
          <w:rFonts w:ascii="Times New Roman" w:eastAsia="Calibri" w:hAnsi="Times New Roman" w:cs="Times New Roman"/>
          <w:i/>
          <w:sz w:val="28"/>
          <w:lang w:val="en-US"/>
        </w:rPr>
        <w:t>method</w:t>
      </w:r>
      <w:r w:rsidRPr="00A12636">
        <w:rPr>
          <w:rFonts w:ascii="Times New Roman" w:eastAsia="Calibri" w:hAnsi="Times New Roman" w:cs="Times New Roman"/>
          <w:sz w:val="28"/>
        </w:rPr>
        <w:t>) качественных и количественных данных. Выявлены основные мотивы онлайн и офлайн гражданского участия молодёжи, а также ингибирующие факторы, оказывающие негативное влияние на увеличение гражданского вовлечения молодых людей в деятельность институтов гражданского общества посредством оригинального социологического исследования молодёжи Казахстана, проведённого в 2019, 2023 и 2025 годах;</w:t>
      </w:r>
    </w:p>
    <w:p w:rsidR="00A12636" w:rsidRPr="00A12636" w:rsidRDefault="00A12636" w:rsidP="008465D6">
      <w:pPr>
        <w:numPr>
          <w:ilvl w:val="0"/>
          <w:numId w:val="7"/>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lastRenderedPageBreak/>
        <w:t>осуществлена валидация данных оригинального социологического опроса молодёжи РК в возрасте от 18 до 25 лет и выявлены причинно-следственные связи на основе проведённого</w:t>
      </w:r>
      <w:r w:rsidRPr="00A12636">
        <w:rPr>
          <w:rFonts w:ascii="Times New Roman" w:eastAsia="Calibri" w:hAnsi="Times New Roman" w:cs="Times New Roman"/>
          <w:b/>
          <w:i/>
          <w:sz w:val="28"/>
        </w:rPr>
        <w:t xml:space="preserve"> </w:t>
      </w:r>
      <w:r w:rsidRPr="00A12636">
        <w:rPr>
          <w:rFonts w:ascii="Times New Roman" w:eastAsia="Calibri" w:hAnsi="Times New Roman" w:cs="Times New Roman"/>
          <w:sz w:val="28"/>
        </w:rPr>
        <w:t>множественного корреляционно-регрессионного анализа его данных. Установлены тенденции офлайн и онлайн гражданского вовлечения молодых людей и влияния на них различных факторов.</w:t>
      </w:r>
    </w:p>
    <w:p w:rsidR="00A12636" w:rsidRPr="00A12636" w:rsidRDefault="00A12636" w:rsidP="008465D6">
      <w:pPr>
        <w:numPr>
          <w:ilvl w:val="0"/>
          <w:numId w:val="7"/>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доказана обоснованность применения инструментов </w:t>
      </w:r>
      <w:r w:rsidRPr="00A12636">
        <w:rPr>
          <w:rFonts w:ascii="Times New Roman" w:eastAsia="Calibri" w:hAnsi="Times New Roman" w:cs="Times New Roman"/>
          <w:i/>
          <w:sz w:val="28"/>
        </w:rPr>
        <w:t>mixed method</w:t>
      </w:r>
      <w:r w:rsidRPr="00A12636">
        <w:rPr>
          <w:rFonts w:ascii="Times New Roman" w:eastAsia="Calibri" w:hAnsi="Times New Roman" w:cs="Times New Roman"/>
          <w:sz w:val="28"/>
        </w:rPr>
        <w:t xml:space="preserve"> посредством использования качественного анализа</w:t>
      </w:r>
      <w:r w:rsidRPr="00A12636">
        <w:rPr>
          <w:rFonts w:ascii="Times New Roman" w:eastAsia="Calibri" w:hAnsi="Times New Roman" w:cs="Times New Roman"/>
          <w:b/>
          <w:i/>
          <w:sz w:val="28"/>
        </w:rPr>
        <w:t xml:space="preserve"> </w:t>
      </w:r>
      <w:r w:rsidRPr="00A12636">
        <w:rPr>
          <w:rFonts w:ascii="Times New Roman" w:eastAsia="Calibri" w:hAnsi="Times New Roman" w:cs="Times New Roman"/>
          <w:sz w:val="28"/>
        </w:rPr>
        <w:t>(оригинальные глубинные интервью с лидерами молодёжных общественных ассоциаций). Соотнесены данные авторского опроса и результаты множественного корреляционно-регрессионного анализа, выявлены общие и специфические компоненты офлайн гражданского участия молодёжи. Зафиксировано место социальных медиа в рекрутировании и деятельности молодёжных общественных организаций, а также роль недиджитальных факторов в активизации реального гражданского вовлечения молодёжи в деятельность институтов гражданского общества.</w:t>
      </w:r>
    </w:p>
    <w:p w:rsidR="00A12636" w:rsidRPr="00A12636" w:rsidRDefault="00A12636" w:rsidP="008465D6">
      <w:pPr>
        <w:numPr>
          <w:ilvl w:val="0"/>
          <w:numId w:val="7"/>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определён научный вклад проведённого полуструктурированного интервью среди казахстанских экспертов в области гражданского общества в количестве 10 респондентов. Данное количество рекомендуется С. Квале, как наиболее эффективное в исследованиях подобного рода [3, с. 13]. Осуществлён компаративистский анализ полученных данных в сопоставлении с результатами оригинального социологического исследования, а также с данными глубинных интервью с представителями молодёжных общественных объединений Казахстана.</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ab/>
        <w:t xml:space="preserve">В ходе проведения комплексного политологического анализа и эмпирического исследования использован метод триангуляции данных, а также принципы причинности и целостности. Автор занимает позицию осмысленного и обоснованного анализа, опирается на принципы объективности и достоверности. </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Теоретико-методологическая основа исследования</w:t>
      </w:r>
      <w:r w:rsidRPr="00A12636">
        <w:rPr>
          <w:rFonts w:ascii="Times New Roman" w:eastAsia="Times New Roman" w:hAnsi="Times New Roman" w:cs="Times New Roman"/>
          <w:i/>
          <w:sz w:val="28"/>
          <w:lang w:eastAsia="ru-RU"/>
        </w:rPr>
        <w:t xml:space="preserve"> </w:t>
      </w:r>
      <w:r w:rsidRPr="00A12636">
        <w:rPr>
          <w:rFonts w:ascii="Times New Roman" w:eastAsia="Times New Roman" w:hAnsi="Times New Roman" w:cs="Times New Roman"/>
          <w:sz w:val="28"/>
          <w:lang w:eastAsia="ru-RU"/>
        </w:rPr>
        <w:t xml:space="preserve">заключается в формировании структурной рамки исследования, которая включает четыре уровня анализа. </w:t>
      </w:r>
      <w:r w:rsidRPr="00A12636">
        <w:rPr>
          <w:rFonts w:ascii="Times New Roman" w:eastAsia="Times New Roman" w:hAnsi="Times New Roman" w:cs="Times New Roman"/>
          <w:i/>
          <w:sz w:val="28"/>
          <w:lang w:eastAsia="ru-RU"/>
        </w:rPr>
        <w:t>Во-первых</w:t>
      </w:r>
      <w:r w:rsidRPr="00A12636">
        <w:rPr>
          <w:rFonts w:ascii="Times New Roman" w:eastAsia="Times New Roman" w:hAnsi="Times New Roman" w:cs="Times New Roman"/>
          <w:sz w:val="28"/>
          <w:lang w:eastAsia="ru-RU"/>
        </w:rPr>
        <w:t xml:space="preserve">, парадигмальный уровень содержит ретроспективный анализ основных положений классического политического либерализма, поскольку именно эта гранд-теория заложила основы понимания явления гражданского общества, сформулировала понятийный аппарат и обосновала компоненты гражданского общества, отграничивающие его от массового общества и государства. Анализ классических работ по гражданскому обществу необходим для исследования, так как это формирует генезис понятия. Поскольку политология как самостоятельная наука начинает оформляться в конце </w:t>
      </w:r>
      <w:r w:rsidRPr="00A12636">
        <w:rPr>
          <w:rFonts w:ascii="Times New Roman" w:eastAsia="Times New Roman" w:hAnsi="Times New Roman" w:cs="Times New Roman"/>
          <w:sz w:val="28"/>
          <w:lang w:val="en-US" w:eastAsia="ru-RU"/>
        </w:rPr>
        <w:t>XIX</w:t>
      </w:r>
      <w:r w:rsidRPr="00A12636">
        <w:rPr>
          <w:rFonts w:ascii="Times New Roman" w:eastAsia="Times New Roman" w:hAnsi="Times New Roman" w:cs="Times New Roman"/>
          <w:sz w:val="28"/>
          <w:lang w:eastAsia="ru-RU"/>
        </w:rPr>
        <w:t xml:space="preserve"> – начале </w:t>
      </w:r>
      <w:r w:rsidRPr="00A12636">
        <w:rPr>
          <w:rFonts w:ascii="Times New Roman" w:eastAsia="Times New Roman" w:hAnsi="Times New Roman" w:cs="Times New Roman"/>
          <w:sz w:val="28"/>
          <w:lang w:val="en-US" w:eastAsia="ru-RU"/>
        </w:rPr>
        <w:t>XX</w:t>
      </w:r>
      <w:r w:rsidRPr="00A12636">
        <w:rPr>
          <w:rFonts w:ascii="Times New Roman" w:eastAsia="Times New Roman" w:hAnsi="Times New Roman" w:cs="Times New Roman"/>
          <w:sz w:val="28"/>
          <w:lang w:eastAsia="ru-RU"/>
        </w:rPr>
        <w:t xml:space="preserve"> века, более ранние работы по гражданскому обществу относятся к философской науке. Однако, это не умаляет их научной и методологической значимости для данного исследования, так как они позволяют показать понятийную неоднородность и противоречивость феномена гражданского общества. Это позволило автору прийти к необходимости разработки авторского определения термина «гражданское общество».</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i/>
          <w:sz w:val="28"/>
          <w:lang w:eastAsia="ru-RU"/>
        </w:rPr>
        <w:lastRenderedPageBreak/>
        <w:t>Во-вторых</w:t>
      </w:r>
      <w:r w:rsidRPr="00A12636">
        <w:rPr>
          <w:rFonts w:ascii="Times New Roman" w:eastAsia="Times New Roman" w:hAnsi="Times New Roman" w:cs="Times New Roman"/>
          <w:sz w:val="28"/>
          <w:lang w:eastAsia="ru-RU"/>
        </w:rPr>
        <w:t>, теоретическая рамка, позволяющая предметно изучить институты гражданского общества (молодёжные общественные организации) и социальные медиа (информационные технологии). В качестве основного подхода использован неоинституционализм, раскрывающий многоаспектную природу институтов гражданского общества. Данный подход позволяет выявить факторы внешней и внутренней среды и показать их роль и место в формировании молодёжных общественных организаций. Он методологически напрямую связан с традицией классического политического либерализма, так как раскрывает, каким образом гражданское общество может быть превращено из нормативно-декларативного состояния в институционализированно-актуализированное.</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i/>
          <w:sz w:val="28"/>
          <w:lang w:eastAsia="ru-RU"/>
        </w:rPr>
        <w:t>В-третьих</w:t>
      </w:r>
      <w:r w:rsidRPr="00A12636">
        <w:rPr>
          <w:rFonts w:ascii="Times New Roman" w:eastAsia="Times New Roman" w:hAnsi="Times New Roman" w:cs="Times New Roman"/>
          <w:sz w:val="28"/>
          <w:lang w:eastAsia="ru-RU"/>
        </w:rPr>
        <w:t xml:space="preserve">, диссертационное исследование обращается к теориям технологического детерминизма и социальных сил с целью концептуализации терминов «социальная сеть» и «социальные медиа», а также выявления места диджитальных (цифровых) и недиджитальных (нецифровых) факторов в изменении состояния и функционирования институтов гражданского общества. Использование данных теоретических подходов позволило найти различающиеся аспекты в определении термина «социальная сеть» и «социальные медиа». Первый может относиться к неформальным связям горизонтального характера как между участниками института гражданского общества (молодёжными общественными ассоциациями) в офлайн взаимодействии, так и в онлайн среде. Понятие «социальные медиа» конкретизирует природу явления, указывая на её онлайн и цифровую специфику, и невозможность её экстраполяции на офлайн взаимодействие. Именно по этой причине данное исследование именует цифровые платформы типа </w:t>
      </w:r>
      <w:r w:rsidRPr="00A12636">
        <w:rPr>
          <w:rFonts w:ascii="Times New Roman" w:eastAsia="Times New Roman" w:hAnsi="Times New Roman" w:cs="Times New Roman"/>
          <w:sz w:val="28"/>
          <w:lang w:val="en-US" w:eastAsia="ru-RU"/>
        </w:rPr>
        <w:t>Facebook</w:t>
      </w:r>
      <w:r w:rsidRPr="00A12636">
        <w:rPr>
          <w:rFonts w:ascii="Times New Roman" w:eastAsia="Times New Roman" w:hAnsi="Times New Roman" w:cs="Times New Roman"/>
          <w:sz w:val="28"/>
          <w:lang w:eastAsia="ru-RU"/>
        </w:rPr>
        <w:t xml:space="preserve">, </w:t>
      </w:r>
      <w:r w:rsidRPr="00A12636">
        <w:rPr>
          <w:rFonts w:ascii="Times New Roman" w:eastAsia="Times New Roman" w:hAnsi="Times New Roman" w:cs="Times New Roman"/>
          <w:sz w:val="28"/>
          <w:lang w:val="en-US" w:eastAsia="ru-RU"/>
        </w:rPr>
        <w:t>Instagram</w:t>
      </w:r>
      <w:r w:rsidRPr="00A12636">
        <w:rPr>
          <w:rFonts w:ascii="Times New Roman" w:eastAsia="Times New Roman" w:hAnsi="Times New Roman" w:cs="Times New Roman"/>
          <w:sz w:val="28"/>
          <w:lang w:eastAsia="ru-RU"/>
        </w:rPr>
        <w:t xml:space="preserve">, </w:t>
      </w:r>
      <w:r w:rsidRPr="00A12636">
        <w:rPr>
          <w:rFonts w:ascii="Times New Roman" w:eastAsia="Times New Roman" w:hAnsi="Times New Roman" w:cs="Times New Roman"/>
          <w:sz w:val="28"/>
          <w:lang w:val="en-US" w:eastAsia="ru-RU"/>
        </w:rPr>
        <w:t>YouTube</w:t>
      </w:r>
      <w:r w:rsidRPr="00A12636">
        <w:rPr>
          <w:rFonts w:ascii="Times New Roman" w:eastAsia="Times New Roman" w:hAnsi="Times New Roman" w:cs="Times New Roman"/>
          <w:sz w:val="28"/>
          <w:lang w:eastAsia="ru-RU"/>
        </w:rPr>
        <w:t xml:space="preserve">, </w:t>
      </w:r>
      <w:r w:rsidRPr="00A12636">
        <w:rPr>
          <w:rFonts w:ascii="Times New Roman" w:eastAsia="Times New Roman" w:hAnsi="Times New Roman" w:cs="Times New Roman"/>
          <w:sz w:val="28"/>
          <w:lang w:val="en-US" w:eastAsia="ru-RU"/>
        </w:rPr>
        <w:t>What</w:t>
      </w:r>
      <w:r w:rsidRPr="00A12636">
        <w:rPr>
          <w:rFonts w:ascii="Times New Roman" w:eastAsia="Times New Roman" w:hAnsi="Times New Roman" w:cs="Times New Roman"/>
          <w:sz w:val="28"/>
          <w:lang w:eastAsia="ru-RU"/>
        </w:rPr>
        <w:t>’</w:t>
      </w:r>
      <w:r w:rsidRPr="00A12636">
        <w:rPr>
          <w:rFonts w:ascii="Times New Roman" w:eastAsia="Times New Roman" w:hAnsi="Times New Roman" w:cs="Times New Roman"/>
          <w:sz w:val="28"/>
          <w:lang w:val="en-US" w:eastAsia="ru-RU"/>
        </w:rPr>
        <w:t>s</w:t>
      </w:r>
      <w:r w:rsidRPr="00A12636">
        <w:rPr>
          <w:rFonts w:ascii="Times New Roman" w:eastAsia="Times New Roman" w:hAnsi="Times New Roman" w:cs="Times New Roman"/>
          <w:sz w:val="28"/>
          <w:lang w:eastAsia="ru-RU"/>
        </w:rPr>
        <w:t xml:space="preserve"> </w:t>
      </w:r>
      <w:r w:rsidRPr="00A12636">
        <w:rPr>
          <w:rFonts w:ascii="Times New Roman" w:eastAsia="Times New Roman" w:hAnsi="Times New Roman" w:cs="Times New Roman"/>
          <w:sz w:val="28"/>
          <w:lang w:val="en-US" w:eastAsia="ru-RU"/>
        </w:rPr>
        <w:t>App</w:t>
      </w:r>
      <w:r w:rsidRPr="00A12636">
        <w:rPr>
          <w:rFonts w:ascii="Times New Roman" w:eastAsia="Times New Roman" w:hAnsi="Times New Roman" w:cs="Times New Roman"/>
          <w:sz w:val="28"/>
          <w:lang w:eastAsia="ru-RU"/>
        </w:rPr>
        <w:t xml:space="preserve">, </w:t>
      </w:r>
      <w:r w:rsidRPr="00A12636">
        <w:rPr>
          <w:rFonts w:ascii="Times New Roman" w:eastAsia="Times New Roman" w:hAnsi="Times New Roman" w:cs="Times New Roman"/>
          <w:sz w:val="28"/>
          <w:lang w:val="en-US" w:eastAsia="ru-RU"/>
        </w:rPr>
        <w:t>Tiktok</w:t>
      </w:r>
      <w:r w:rsidRPr="00A12636">
        <w:rPr>
          <w:rFonts w:ascii="Times New Roman" w:eastAsia="Times New Roman" w:hAnsi="Times New Roman" w:cs="Times New Roman"/>
          <w:sz w:val="28"/>
          <w:lang w:eastAsia="ru-RU"/>
        </w:rPr>
        <w:t xml:space="preserve"> как «социальные медиа».</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Помимо этого, подходы технологического детерминизма и теории социальных сил можно рассматривать как экстремумы в трактовке аспектов, воздействующих на гражданское общество. Технологический детерминизм указывает на определяющую роль информационных технологий (социальные медиа) в прогрессивном развитии институтов гражданского общества (молодёжных общественных объединений), утверждая, что недиджитальные факторы не оказывают на них существенного воздействия. Теория социальных сил представляет собой противоположность, которая акцентирует внимание на роли нецифровых факторов, таких как ценности, общественно-политическая структура, политическая культура в развитии институтов гражданского общества (молодёжных общественных организаций). Цифровые факторы, безусловно, важны в современном диджитализированном мире, однако, их влияние вторично.</w:t>
      </w:r>
    </w:p>
    <w:p w:rsidR="00A12636" w:rsidRPr="00A12636" w:rsidRDefault="00A12636" w:rsidP="00C4083E">
      <w:pPr>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i/>
          <w:sz w:val="28"/>
          <w:lang w:eastAsia="ru-RU"/>
        </w:rPr>
        <w:t>В-четвёртых</w:t>
      </w:r>
      <w:r w:rsidRPr="00A12636">
        <w:rPr>
          <w:rFonts w:ascii="Times New Roman" w:eastAsia="Times New Roman" w:hAnsi="Times New Roman" w:cs="Times New Roman"/>
          <w:sz w:val="28"/>
          <w:lang w:eastAsia="ru-RU"/>
        </w:rPr>
        <w:t xml:space="preserve">, значимым компонентом исследования является эмпирико-прикладная рамка, сочетающая в себе различные методы и методики сбора и обработки первичных данных. К ним относятся метод социологического опроса, проведённого путём полустандартизированных разветвлённых анкет, содержащих открытые и закрытые вопросы; метод множественного </w:t>
      </w:r>
      <w:r w:rsidRPr="00A12636">
        <w:rPr>
          <w:rFonts w:ascii="Times New Roman" w:eastAsia="Times New Roman" w:hAnsi="Times New Roman" w:cs="Times New Roman"/>
          <w:sz w:val="28"/>
          <w:lang w:eastAsia="ru-RU"/>
        </w:rPr>
        <w:lastRenderedPageBreak/>
        <w:t>корреляционно-регрессионного анализа данных оригинального социологического опроса 2019, 2023 и 2025 годов, включающий построение шести различных регрессионных моделей, содержащих различающееся количество предикторов; метод глубинного интервью, использованный для качественного компонента диссертационного исследования посредством устных бесед с представителями институтов гражданского общества (молодёжных общественных ассоциаций) и казахстанскими экспертами в области гражданского общества; компаративный анализ различных теоретических и прикладных аспектов.</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Эмпирическая и источниковая база</w:t>
      </w:r>
      <w:r w:rsidRPr="00A12636">
        <w:rPr>
          <w:rFonts w:ascii="Times New Roman" w:eastAsia="Times New Roman" w:hAnsi="Times New Roman" w:cs="Times New Roman"/>
          <w:i/>
          <w:sz w:val="28"/>
          <w:lang w:eastAsia="ru-RU"/>
        </w:rPr>
        <w:t xml:space="preserve">. </w:t>
      </w:r>
      <w:r w:rsidRPr="00A12636">
        <w:rPr>
          <w:rFonts w:ascii="Times New Roman" w:eastAsia="Times New Roman" w:hAnsi="Times New Roman" w:cs="Times New Roman"/>
          <w:sz w:val="28"/>
          <w:lang w:eastAsia="ru-RU"/>
        </w:rPr>
        <w:t>Эмпирическая база исследования состоит из четырёх основных этапов:</w:t>
      </w:r>
    </w:p>
    <w:p w:rsidR="00A12636" w:rsidRPr="00A12636" w:rsidRDefault="00A12636" w:rsidP="008465D6">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На первом этапе проводилось оригинальное социологическое исследование молодёжи РК в возрасте 18-25 лет методом письменного опроса (анкетирование) в 2019 и 2023 годах, для чего был разработан специальный гайд. На основании его данных проведён множественный корреляционно-регрессионный анализ, построено 6 моделей с различными предикторами, подтверждающими и опровергающими положения теорий технологического детерминизма и социальных сил в казахстанских общественно-политических реалиях (Приложение Б и В). Выбор указанных периодов обусловлен исследовательской задачей выявления динамики цифрового вовлечения молодёжи в условиях сменяющихся макросоциальных контекстов. Первый промежуточный этап (2019 г.) отражает особенности цифровых практик и офлайн гражданского вовлечения молодёжи в докризисный период, характеризующийся относительной социальной и политической стабильностью. Второй промежуточный этап (2023 г.) позволяет зафиксировать трансформации, вызванные пандемией COVID-19 как фактором резкого усиления цифровизации и изменения повседневных коммуникационных практик, а также внешнеполитическими и внутриполитическими факторами (январскими событиями в РК и войной России и Украины). </w:t>
      </w:r>
    </w:p>
    <w:p w:rsidR="00A12636" w:rsidRPr="00A12636" w:rsidRDefault="00A12636" w:rsidP="008465D6">
      <w:pPr>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На втором этапе проводилось интервьюирование представителей молодёжных общественных организаций (институтов гражданского общества) РК методом глубинного интервью, а также казахстанских специалистов в сфере гражданского общества (Приложения Г, Д, Е, Ж). </w:t>
      </w:r>
    </w:p>
    <w:p w:rsidR="00A12636" w:rsidRPr="00A12636" w:rsidRDefault="00A12636" w:rsidP="008465D6">
      <w:pPr>
        <w:numPr>
          <w:ilvl w:val="0"/>
          <w:numId w:val="8"/>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Заключительный этап представляет собой оригинальный социологический опрос молодёжи РК в возрасте от 18 до 25 лет в 2025 году</w:t>
      </w:r>
      <w:r w:rsidR="00311903">
        <w:rPr>
          <w:rFonts w:ascii="Times New Roman" w:eastAsia="Calibri" w:hAnsi="Times New Roman" w:cs="Times New Roman"/>
          <w:sz w:val="28"/>
        </w:rPr>
        <w:t xml:space="preserve"> </w:t>
      </w:r>
      <w:r w:rsidR="00311903" w:rsidRPr="00A12636">
        <w:rPr>
          <w:rFonts w:ascii="Times New Roman" w:eastAsia="Calibri" w:hAnsi="Times New Roman" w:cs="Times New Roman"/>
          <w:sz w:val="28"/>
        </w:rPr>
        <w:t>(Приложение Б и В</w:t>
      </w:r>
      <w:r w:rsidR="00311903">
        <w:rPr>
          <w:rFonts w:ascii="Times New Roman" w:eastAsia="Calibri" w:hAnsi="Times New Roman" w:cs="Times New Roman"/>
          <w:sz w:val="28"/>
        </w:rPr>
        <w:t>)</w:t>
      </w:r>
      <w:r w:rsidRPr="00A12636">
        <w:rPr>
          <w:rFonts w:ascii="Times New Roman" w:eastAsia="Calibri" w:hAnsi="Times New Roman" w:cs="Times New Roman"/>
          <w:sz w:val="28"/>
        </w:rPr>
        <w:t xml:space="preserve"> и проведение множественного корреляционно-регрессионного анализа его результатов.</w:t>
      </w:r>
      <w:r w:rsidRPr="00A12636">
        <w:rPr>
          <w:rFonts w:ascii="Calibri" w:eastAsia="Calibri" w:hAnsi="Calibri" w:cs="Times New Roman"/>
        </w:rPr>
        <w:t xml:space="preserve"> </w:t>
      </w:r>
      <w:r w:rsidRPr="00A12636">
        <w:rPr>
          <w:rFonts w:ascii="Times New Roman" w:eastAsia="Calibri" w:hAnsi="Times New Roman" w:cs="Times New Roman"/>
          <w:sz w:val="28"/>
        </w:rPr>
        <w:t>Данный этап (2025 г.) репрезентирует посткризисное состояние, сформировавшееся после январских событий в Казахстане, а также после проводимых государством реформ в области гражданского вовлечения и участия.</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i/>
          <w:sz w:val="28"/>
          <w:lang w:eastAsia="ru-RU"/>
        </w:rPr>
        <w:t>Источниковую базу исследования</w:t>
      </w:r>
      <w:r w:rsidRPr="00A12636">
        <w:rPr>
          <w:rFonts w:ascii="Times New Roman" w:eastAsia="Times New Roman" w:hAnsi="Times New Roman" w:cs="Times New Roman"/>
          <w:sz w:val="28"/>
          <w:lang w:eastAsia="ru-RU"/>
        </w:rPr>
        <w:t xml:space="preserve"> составляют следующие документы: </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1) Конституция РК (1995 год с изменениями и дополнениями по состоянию на 16.09.2022). Данная информация применялась при анализе политико-</w:t>
      </w:r>
      <w:r w:rsidRPr="00A12636">
        <w:rPr>
          <w:rFonts w:ascii="Times New Roman" w:eastAsia="Times New Roman" w:hAnsi="Times New Roman" w:cs="Times New Roman"/>
          <w:sz w:val="28"/>
          <w:lang w:eastAsia="ru-RU"/>
        </w:rPr>
        <w:lastRenderedPageBreak/>
        <w:t>правовых факторов внешней среды, воздействующих на развитие гражданского общества.</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2) Закон РК об общественных объединениях от 1996 года (с изменениями и дополнениями по состоянию на 02.01.2024). Этот документ мы использовали при изучении правовых условий для функционирования и развития общественных объединений Казахстана.</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 xml:space="preserve">3) Концепция развития гражданского общества в РК на 2006-2011 годы, которая позволила автору рассмотреть направления развития гражданского общества, задаваемые государством. </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 xml:space="preserve">4) Закон РК об информатизации от 2015 года (с изменениями и дополнениями по состоянию на 30.11.2025). Данный документ был проанализирован с целью изучения существующей ситуации в сфере информационных технологий, а также направлений их возможного развития.  </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2636">
        <w:rPr>
          <w:rFonts w:ascii="Times New Roman" w:eastAsia="Times New Roman" w:hAnsi="Times New Roman" w:cs="Times New Roman"/>
          <w:sz w:val="28"/>
          <w:lang w:eastAsia="ru-RU"/>
        </w:rPr>
        <w:t xml:space="preserve">5) Электронный ресурс </w:t>
      </w:r>
      <w:r w:rsidRPr="00A12636">
        <w:rPr>
          <w:rFonts w:ascii="Times New Roman" w:eastAsia="Times New Roman" w:hAnsi="Times New Roman" w:cs="Times New Roman"/>
          <w:bCs/>
          <w:sz w:val="28"/>
          <w:szCs w:val="28"/>
          <w:lang w:eastAsia="ru-RU"/>
        </w:rPr>
        <w:t>Бюро национальной статистики Агентства по стратегическому планированию и реформам Республики Казахстан</w:t>
      </w:r>
      <w:r w:rsidRPr="00A12636">
        <w:rPr>
          <w:rFonts w:ascii="Times New Roman" w:eastAsia="Times New Roman" w:hAnsi="Times New Roman" w:cs="Times New Roman"/>
          <w:b/>
          <w:sz w:val="28"/>
          <w:szCs w:val="28"/>
          <w:lang w:eastAsia="ru-RU"/>
        </w:rPr>
        <w:t xml:space="preserve"> </w:t>
      </w:r>
      <w:r w:rsidRPr="00A12636">
        <w:rPr>
          <w:rFonts w:ascii="Times New Roman" w:eastAsia="Times New Roman" w:hAnsi="Times New Roman" w:cs="Times New Roman"/>
          <w:sz w:val="28"/>
          <w:szCs w:val="28"/>
          <w:lang w:eastAsia="ru-RU"/>
        </w:rPr>
        <w:t>(БНС АСПиР РК)</w:t>
      </w:r>
      <w:r w:rsidRPr="00A12636">
        <w:rPr>
          <w:rFonts w:ascii="Times New Roman" w:eastAsia="Times New Roman" w:hAnsi="Times New Roman" w:cs="Times New Roman"/>
          <w:sz w:val="28"/>
          <w:lang w:eastAsia="ru-RU"/>
        </w:rPr>
        <w:t xml:space="preserve"> (</w:t>
      </w:r>
      <w:hyperlink r:id="rId9" w:history="1">
        <w:r w:rsidRPr="00A12636">
          <w:rPr>
            <w:rFonts w:ascii="Times New Roman" w:eastAsia="Times New Roman" w:hAnsi="Times New Roman" w:cs="Times New Roman"/>
            <w:color w:val="0000FF"/>
            <w:sz w:val="28"/>
            <w:u w:val="single"/>
            <w:lang w:eastAsia="ru-RU"/>
          </w:rPr>
          <w:t>https://stat.gov.kz/ru/</w:t>
        </w:r>
      </w:hyperlink>
      <w:r w:rsidRPr="00A12636">
        <w:rPr>
          <w:rFonts w:ascii="Times New Roman" w:eastAsia="Times New Roman" w:hAnsi="Times New Roman" w:cs="Times New Roman"/>
          <w:sz w:val="28"/>
          <w:lang w:eastAsia="ru-RU"/>
        </w:rPr>
        <w:t xml:space="preserve">) (до октября 2020 года – Комитет по статистике Министерства национальной экономики Республики Казахстан), использованный автором в качестве основного источника официальной статистики по социальным показателям, необходимым при анализе социокультурных факторов внешней среды и их влияния на институты гражданского общества Казахстана. </w:t>
      </w:r>
      <w:r w:rsidRPr="00A12636">
        <w:rPr>
          <w:rFonts w:ascii="Times New Roman" w:eastAsia="Times New Roman" w:hAnsi="Times New Roman" w:cs="Times New Roman"/>
          <w:sz w:val="28"/>
          <w:szCs w:val="28"/>
          <w:lang w:eastAsia="ru-RU"/>
        </w:rPr>
        <w:t>Кроме того, при анализе факторов внешней среды использованы материалы республиканских и международных конференций и форумов, а также отчёты международных организаций, таких как Transparency International и Организация Объединённых Наций (ООН).</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Основные положения, выносимые на защиту</w:t>
      </w:r>
      <w:r w:rsidRPr="00A12636">
        <w:rPr>
          <w:rFonts w:ascii="Times New Roman" w:eastAsia="Times New Roman" w:hAnsi="Times New Roman" w:cs="Times New Roman"/>
          <w:i/>
          <w:sz w:val="28"/>
          <w:lang w:eastAsia="ru-RU"/>
        </w:rPr>
        <w:t>.</w:t>
      </w:r>
      <w:r w:rsidRPr="00A12636">
        <w:rPr>
          <w:rFonts w:ascii="Times New Roman" w:eastAsia="Times New Roman" w:hAnsi="Times New Roman" w:cs="Times New Roman"/>
          <w:sz w:val="28"/>
          <w:lang w:eastAsia="ru-RU"/>
        </w:rPr>
        <w:t xml:space="preserve"> </w:t>
      </w:r>
    </w:p>
    <w:p w:rsidR="00A12636" w:rsidRPr="00A12636" w:rsidRDefault="00A12636" w:rsidP="008465D6">
      <w:pPr>
        <w:numPr>
          <w:ilvl w:val="0"/>
          <w:numId w:val="13"/>
        </w:numPr>
        <w:spacing w:after="20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В силу отсутствия зонтичного определения гражданского общества, диссертационное исследование предлагает следующую дефиницию:  гражданское общество – это состояние общественных, экономических, культурных, политических отношений, при котором законодательно оформлены и соблюдаются на практике права человека и гражданина, общественное политическое сознание сформировано под воздействием гражданской культуры и отвечает критериям персональной ответственности, справедливости, готовности к коллективному участию на безвозмездной основе для решения проблем локального характера, включающее в себя различного рода общественные объединения, которые являются практической площадкой для реализации интересов участников. По причине проблематичности определения понятия «молодёжные общественные ассоциации» в казахстанском политическом контексте, автор данного исследования разработала оригинальное определение молодёжных общественных организаций: молодёжные общественные организации – это организации с фиксированной структурой и уставом, имеющие внешних спонсоров как государственного, так и частного характера, включающие неформальные практики взаимодействия и вовлечения участников от 18 до 35 лет в попытки выстраивания горизонтальных связей, наряду с иерархизированными.</w:t>
      </w:r>
    </w:p>
    <w:p w:rsidR="00A12636" w:rsidRPr="00A12636" w:rsidRDefault="00A12636" w:rsidP="008465D6">
      <w:pPr>
        <w:numPr>
          <w:ilvl w:val="0"/>
          <w:numId w:val="13"/>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lastRenderedPageBreak/>
        <w:t>В ходе исследования выявлено, что в условиях постсоветского Казахстана весьма важна логика «</w:t>
      </w:r>
      <w:r w:rsidRPr="00A12636">
        <w:rPr>
          <w:rFonts w:ascii="Times New Roman" w:eastAsia="Calibri" w:hAnsi="Times New Roman" w:cs="Times New Roman"/>
          <w:sz w:val="28"/>
          <w:lang w:val="en-US"/>
        </w:rPr>
        <w:t>Path</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Dependence</w:t>
      </w:r>
      <w:r w:rsidRPr="00A12636">
        <w:rPr>
          <w:rFonts w:ascii="Times New Roman" w:eastAsia="Calibri" w:hAnsi="Times New Roman" w:cs="Times New Roman"/>
          <w:sz w:val="28"/>
        </w:rPr>
        <w:t>», оказывающая существенное влияние на эволюцию институтов гражданского общества. Это значит, что авторитарная политическая система, отсутствие опыта гражданского участия у населения, распылённость и неструктурированность институтов гражданского общества, проблемы с формированием гражданской политической культуры населения, высокий уровень вовлечения государства в деятельность гражданского общества способны служить сдерживающими факторами для развития институтов гражданского общества Казахстана. Помимо этого, доминирование сильных горизонтальных связей над слабыми также является ингибитором для гражданского участия, в том числе молодёжи РК.</w:t>
      </w:r>
    </w:p>
    <w:p w:rsidR="00A12636" w:rsidRPr="00A12636" w:rsidRDefault="00A12636" w:rsidP="008465D6">
      <w:pPr>
        <w:numPr>
          <w:ilvl w:val="0"/>
          <w:numId w:val="13"/>
        </w:numPr>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Результаты оригинальных социологических опросов 2019, 2023 и 2025 годов выявили следующие тенденции: во-первых, вовлечение молодёжи в социальные медиа стабильно высокое (близко к 100%). При этом развлечение сохраняет позиции ключевого мотива при использовании социальных медиа, получение информации о социально-политической жизни РК стабильно остаётся на третьем месте. Во-вторых, предметная популярность платформ социальных медиа претерпела изменения – в 2019 и 2023 годах самыми популярными были </w:t>
      </w:r>
      <w:r w:rsidRPr="00A12636">
        <w:rPr>
          <w:rFonts w:ascii="Times New Roman" w:eastAsia="Calibri" w:hAnsi="Times New Roman" w:cs="Times New Roman"/>
          <w:sz w:val="28"/>
          <w:lang w:val="en-US"/>
        </w:rPr>
        <w:t>Facebook</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Instagram</w:t>
      </w:r>
      <w:r w:rsidRPr="00A12636">
        <w:rPr>
          <w:rFonts w:ascii="Times New Roman" w:eastAsia="Calibri" w:hAnsi="Times New Roman" w:cs="Times New Roman"/>
          <w:sz w:val="28"/>
        </w:rPr>
        <w:t xml:space="preserve"> и </w:t>
      </w:r>
      <w:r w:rsidRPr="00A12636">
        <w:rPr>
          <w:rFonts w:ascii="Times New Roman" w:eastAsia="Calibri" w:hAnsi="Times New Roman" w:cs="Times New Roman"/>
          <w:sz w:val="28"/>
          <w:lang w:val="en-US"/>
        </w:rPr>
        <w:t>VKontakte</w:t>
      </w:r>
      <w:r w:rsidRPr="00A12636">
        <w:rPr>
          <w:rFonts w:ascii="Times New Roman" w:eastAsia="Calibri" w:hAnsi="Times New Roman" w:cs="Times New Roman"/>
          <w:sz w:val="28"/>
        </w:rPr>
        <w:t xml:space="preserve">, в 2025 году ими стали </w:t>
      </w:r>
      <w:r w:rsidRPr="00A12636">
        <w:rPr>
          <w:rFonts w:ascii="Times New Roman" w:eastAsia="Calibri" w:hAnsi="Times New Roman" w:cs="Times New Roman"/>
          <w:sz w:val="28"/>
          <w:lang w:val="en-US"/>
        </w:rPr>
        <w:t>Instagram</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Tiktok</w:t>
      </w:r>
      <w:r w:rsidRPr="00A12636">
        <w:rPr>
          <w:rFonts w:ascii="Times New Roman" w:eastAsia="Calibri" w:hAnsi="Times New Roman" w:cs="Times New Roman"/>
          <w:sz w:val="28"/>
        </w:rPr>
        <w:t xml:space="preserve"> и </w:t>
      </w:r>
      <w:r w:rsidRPr="00A12636">
        <w:rPr>
          <w:rFonts w:ascii="Times New Roman" w:eastAsia="Calibri" w:hAnsi="Times New Roman" w:cs="Times New Roman"/>
          <w:sz w:val="28"/>
          <w:lang w:val="en-US"/>
        </w:rPr>
        <w:t>What</w:t>
      </w:r>
      <w:r w:rsidRPr="00A12636">
        <w:rPr>
          <w:rFonts w:ascii="Times New Roman" w:eastAsia="Calibri" w:hAnsi="Times New Roman" w:cs="Times New Roman"/>
          <w:sz w:val="28"/>
        </w:rPr>
        <w:t>’</w:t>
      </w:r>
      <w:r w:rsidRPr="00A12636">
        <w:rPr>
          <w:rFonts w:ascii="Times New Roman" w:eastAsia="Calibri" w:hAnsi="Times New Roman" w:cs="Times New Roman"/>
          <w:sz w:val="28"/>
          <w:lang w:val="en-US"/>
        </w:rPr>
        <w:t>s</w:t>
      </w:r>
      <w:r w:rsidRPr="00A12636">
        <w:rPr>
          <w:rFonts w:ascii="Times New Roman" w:eastAsia="Calibri" w:hAnsi="Times New Roman" w:cs="Times New Roman"/>
          <w:sz w:val="28"/>
        </w:rPr>
        <w:t xml:space="preserve"> </w:t>
      </w:r>
      <w:r w:rsidRPr="00A12636">
        <w:rPr>
          <w:rFonts w:ascii="Times New Roman" w:eastAsia="Calibri" w:hAnsi="Times New Roman" w:cs="Times New Roman"/>
          <w:sz w:val="28"/>
          <w:lang w:val="en-US"/>
        </w:rPr>
        <w:t>App</w:t>
      </w:r>
      <w:r w:rsidRPr="00A12636">
        <w:rPr>
          <w:rFonts w:ascii="Times New Roman" w:eastAsia="Calibri" w:hAnsi="Times New Roman" w:cs="Times New Roman"/>
          <w:sz w:val="28"/>
        </w:rPr>
        <w:t>. Наконец, относительно гражданского вовлечения молодёжи, осведомлённость молодёжи об институтах гражданского общества (молодёжных общественных организациях) существенно не возросла, несмотря на пандемию или январские события 2022 года. Предметная осведомлённость о конкретных молодёжных общественных объединениях весьма распылена и несфокусирована. Единственным исключением является «Лига Волонтёров», однако и её востребованность в 2025 году резко снизилась.</w:t>
      </w:r>
    </w:p>
    <w:p w:rsidR="00A12636" w:rsidRPr="00A12636" w:rsidRDefault="00A12636" w:rsidP="008465D6">
      <w:pPr>
        <w:numPr>
          <w:ilvl w:val="0"/>
          <w:numId w:val="13"/>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Множественный корреляционно-регрессионный анализ данных оригинальных социологических опросов 2019, 2023 и 2025 годов показал, что институционально оформленное цифровое взаимодействие (подписка молодёжи на аккаунты институтов гражданского общества) является наиболее статистически значимым предиктором офлайн гражданского участия. Простое наличие аккаунта в социальных медиа (неинституционализированное цифровое вовлечение), напротив, утрачивает статистическую значимость. Осведомлённость молодёжи об институтах гражданского общества является недиджитальным и контекстно зависимым предиктором: при исключении из анализа цифровых компонентов, его роль резко возрастает. Однако, в присутствии цифрового институционализированного вовлечения молодёжи, данный фактор теряет свою значимость. Это говорит о том, что положения теории технологического детерминизма и теории социальных сил не находят отражения в казахстанских политических реалиях. Соответственно, требуется разработка уникальной теоретико-прикладной гибридной модели, позволяющей корректно анализировать роль информационных технологий в развитии институтов гражданского общества в РК.</w:t>
      </w:r>
    </w:p>
    <w:p w:rsidR="00A12636" w:rsidRPr="00A12636" w:rsidRDefault="00A12636" w:rsidP="008465D6">
      <w:pPr>
        <w:numPr>
          <w:ilvl w:val="0"/>
          <w:numId w:val="13"/>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lastRenderedPageBreak/>
        <w:t xml:space="preserve">Результаты глубинных интервью с лидерами молодёжных общественных ассоциаций говорят о том, что социальные медиа как канал коммуникации важны, но не уникальны. Зачастую важнее оказывается личный опыт участия, либо мнение вовлекающихся знакомых, друзей, родных (сильные горизонтальные связи). Проблемы существуют как в доминировании материалистических ценностей у молодёжи над постматериалистическими (в терминологии </w:t>
      </w:r>
      <w:r w:rsidRPr="00A12636">
        <w:rPr>
          <w:rFonts w:ascii="Times New Roman" w:eastAsia="Calibri" w:hAnsi="Times New Roman" w:cs="Times New Roman"/>
          <w:sz w:val="28"/>
          <w:lang w:val="en-US"/>
        </w:rPr>
        <w:t>Inglehart</w:t>
      </w:r>
      <w:r w:rsidRPr="00A12636">
        <w:rPr>
          <w:rFonts w:ascii="Times New Roman" w:eastAsia="Calibri" w:hAnsi="Times New Roman" w:cs="Times New Roman"/>
          <w:sz w:val="28"/>
        </w:rPr>
        <w:t>-</w:t>
      </w:r>
      <w:r w:rsidRPr="00A12636">
        <w:rPr>
          <w:rFonts w:ascii="Times New Roman" w:eastAsia="Calibri" w:hAnsi="Times New Roman" w:cs="Times New Roman"/>
          <w:sz w:val="28"/>
          <w:lang w:val="en-US"/>
        </w:rPr>
        <w:t>Welzel</w:t>
      </w:r>
      <w:r w:rsidRPr="00A12636">
        <w:rPr>
          <w:rFonts w:ascii="Times New Roman" w:eastAsia="Calibri" w:hAnsi="Times New Roman" w:cs="Times New Roman"/>
          <w:sz w:val="28"/>
        </w:rPr>
        <w:t>), так и недостаточной работе молодёжных общественных объединений по рекрутированию и формированию гражданской политической культуры у молодых людей.</w:t>
      </w:r>
    </w:p>
    <w:p w:rsidR="00A12636" w:rsidRPr="00A12636" w:rsidRDefault="00A12636" w:rsidP="008465D6">
      <w:pPr>
        <w:numPr>
          <w:ilvl w:val="0"/>
          <w:numId w:val="13"/>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Отечественное научное политологическое сообщество разделяет мнение о том, что социальные медиа не способны существенно повлиять на гражданское общество. Мобилизационный потенциал социальных медиа может быть достаточно высоким лишь в случае резонансных событий или мероприятий, однако, при необходимости упрочить систематическое вовлечение молодёжи, их эффект невысок. Наряду с избеганием вовлечения в политическую сферу молодёжными общественными организациями, существует проблема отсутствия у них стратегического системного подхода по мобилизации участников и промоутингу своей деятельности как онлайн, так и офлайн. Также весьма значимой является проблема фрагментированности молодёжных общественных объединений, их разобщённости и нежелания формировать сетевой характер работы.</w:t>
      </w:r>
    </w:p>
    <w:p w:rsidR="00A12636" w:rsidRPr="00A12636" w:rsidRDefault="00A12636" w:rsidP="008465D6">
      <w:pPr>
        <w:numPr>
          <w:ilvl w:val="0"/>
          <w:numId w:val="13"/>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Проведённое исследование показало, что социальные медиа являются достаточно эффективным инструментом для развития институтов гражданского общества при отсутствии иных факторов. Они способны формировать информированность молодёжи об институтах гражданского общества, однако, офлайн взаимодействие превалирует в условиях «цифровой усталости» молодёжи, а также недоверия к цифровым каналам, вызванным ростом различных мошеннических проявлений после 2022 года. Следовательно, рекомендации включают в себя как таргетированное внимание государства и институтов гражданского общества к онлайн продвижению ценностей гражданского участия у молодёжи, так и активизацию офлайн взаимодействий через организацию мероприятий и ивентов как развлекательного, так и политического характера.</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Хронологические рамки</w:t>
      </w:r>
      <w:r w:rsidRPr="00A12636">
        <w:rPr>
          <w:rFonts w:ascii="Times New Roman" w:eastAsia="Times New Roman" w:hAnsi="Times New Roman" w:cs="Times New Roman"/>
          <w:sz w:val="28"/>
          <w:lang w:eastAsia="ru-RU"/>
        </w:rPr>
        <w:t xml:space="preserve"> данной работы охватывают период с 1991 года по 2025 год.</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Теоретическая и практическая значимость</w:t>
      </w:r>
      <w:r w:rsidRPr="00A12636">
        <w:rPr>
          <w:rFonts w:ascii="Times New Roman" w:eastAsia="Times New Roman" w:hAnsi="Times New Roman" w:cs="Times New Roman"/>
          <w:sz w:val="28"/>
          <w:lang w:eastAsia="ru-RU"/>
        </w:rPr>
        <w:t xml:space="preserve"> настоящего исследования заключается в том, что его результаты, основанные на теоретическом и эмпирическом изучении проблемы, характеризуют современное состояние гражданского общества Казахстана, раскрывают имеющиеся сложности в формировании действенных институтов гражданского общества, позволяют определить существующие в республике перспективы его развития. Проведённые эмпирические исследования показывают роль социальных медиа в становлении и развитии институтов гражданского общества на примере молодёжных общественных организаций. Полученные результаты и </w:t>
      </w:r>
      <w:r w:rsidRPr="00A12636">
        <w:rPr>
          <w:rFonts w:ascii="Times New Roman" w:eastAsia="Times New Roman" w:hAnsi="Times New Roman" w:cs="Times New Roman"/>
          <w:sz w:val="28"/>
          <w:lang w:eastAsia="ru-RU"/>
        </w:rPr>
        <w:lastRenderedPageBreak/>
        <w:t xml:space="preserve">разработанные рекомендации могут быть использованы на государственном уровне, общественными объединениями, высшими учебными заведениями (ВУЗами), а также при дальнейших исследованиях данной темы. </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Апробация диссертационного исследования</w:t>
      </w:r>
      <w:r w:rsidRPr="00A12636">
        <w:rPr>
          <w:rFonts w:ascii="Times New Roman" w:eastAsia="Times New Roman" w:hAnsi="Times New Roman" w:cs="Times New Roman"/>
          <w:i/>
          <w:sz w:val="28"/>
          <w:lang w:eastAsia="ru-RU"/>
        </w:rPr>
        <w:t>.</w:t>
      </w:r>
      <w:r w:rsidRPr="00A12636">
        <w:rPr>
          <w:rFonts w:ascii="Times New Roman" w:eastAsia="Times New Roman" w:hAnsi="Times New Roman" w:cs="Times New Roman"/>
          <w:sz w:val="28"/>
          <w:lang w:eastAsia="ru-RU"/>
        </w:rPr>
        <w:t xml:space="preserve"> В ходе проведения исследования и подготовки диссертации автором опубликованы следующие статьи в журналах КОКСОН и международном журнале, рецензируемом в базе данных </w:t>
      </w:r>
      <w:r w:rsidRPr="00A12636">
        <w:rPr>
          <w:rFonts w:ascii="Times New Roman" w:eastAsia="Times New Roman" w:hAnsi="Times New Roman" w:cs="Times New Roman"/>
          <w:sz w:val="28"/>
          <w:lang w:val="en-US" w:eastAsia="ru-RU"/>
        </w:rPr>
        <w:t>SCOPUS</w:t>
      </w:r>
      <w:r w:rsidRPr="00A12636">
        <w:rPr>
          <w:rFonts w:ascii="Times New Roman" w:eastAsia="Times New Roman" w:hAnsi="Times New Roman" w:cs="Times New Roman"/>
          <w:sz w:val="28"/>
          <w:lang w:eastAsia="ru-RU"/>
        </w:rPr>
        <w:t xml:space="preserve">: </w:t>
      </w:r>
    </w:p>
    <w:p w:rsidR="00A12636" w:rsidRPr="00A12636" w:rsidRDefault="00A12636" w:rsidP="008465D6">
      <w:pPr>
        <w:numPr>
          <w:ilvl w:val="0"/>
          <w:numId w:val="9"/>
        </w:numPr>
        <w:autoSpaceDE w:val="0"/>
        <w:autoSpaceDN w:val="0"/>
        <w:adjustRightInd w:val="0"/>
        <w:spacing w:after="0" w:line="240" w:lineRule="auto"/>
        <w:ind w:left="0" w:firstLine="709"/>
        <w:contextualSpacing/>
        <w:jc w:val="both"/>
        <w:rPr>
          <w:rFonts w:ascii="Times New Roman" w:eastAsia="Calibri" w:hAnsi="Times New Roman" w:cs="Times New Roman"/>
          <w:sz w:val="36"/>
        </w:rPr>
      </w:pPr>
      <w:r w:rsidRPr="00A12636">
        <w:rPr>
          <w:rFonts w:ascii="Times New Roman" w:eastAsia="Calibri" w:hAnsi="Times New Roman" w:cs="Times New Roman"/>
          <w:sz w:val="28"/>
        </w:rPr>
        <w:t>Федорова, А.Е. Понятие «гражданин» в гражданском обществе // Журнал социогуманитарных исследований Аль-Фараби. – 2018. – № 1 (61). – С. 112–128.</w:t>
      </w:r>
    </w:p>
    <w:p w:rsidR="00A12636" w:rsidRPr="00A12636" w:rsidRDefault="00A12636" w:rsidP="008465D6">
      <w:pPr>
        <w:numPr>
          <w:ilvl w:val="0"/>
          <w:numId w:val="9"/>
        </w:numPr>
        <w:autoSpaceDE w:val="0"/>
        <w:autoSpaceDN w:val="0"/>
        <w:adjustRightInd w:val="0"/>
        <w:spacing w:after="0" w:line="240" w:lineRule="auto"/>
        <w:ind w:left="0" w:firstLine="709"/>
        <w:contextualSpacing/>
        <w:jc w:val="both"/>
        <w:rPr>
          <w:rFonts w:ascii="Times New Roman" w:eastAsia="Calibri" w:hAnsi="Times New Roman" w:cs="Times New Roman"/>
          <w:sz w:val="36"/>
        </w:rPr>
      </w:pPr>
      <w:r w:rsidRPr="00A12636">
        <w:rPr>
          <w:rFonts w:ascii="Times New Roman" w:eastAsia="Calibri" w:hAnsi="Times New Roman" w:cs="Times New Roman"/>
          <w:sz w:val="28"/>
        </w:rPr>
        <w:t xml:space="preserve">Федорова, А.Е. Горизонтальные связи - фундамент гражданского общества: на примере экологических общественных объединений Казахстана // Журнал социогуманитарных исследований Аль-Фараби. – 2018. –  № 4 (64). –  С. 101-119. </w:t>
      </w:r>
    </w:p>
    <w:p w:rsidR="00A12636" w:rsidRPr="00A12636" w:rsidRDefault="00A12636" w:rsidP="008465D6">
      <w:pPr>
        <w:numPr>
          <w:ilvl w:val="0"/>
          <w:numId w:val="9"/>
        </w:numPr>
        <w:autoSpaceDE w:val="0"/>
        <w:autoSpaceDN w:val="0"/>
        <w:adjustRightInd w:val="0"/>
        <w:spacing w:after="0" w:line="240" w:lineRule="auto"/>
        <w:ind w:left="0" w:firstLine="709"/>
        <w:contextualSpacing/>
        <w:jc w:val="both"/>
        <w:rPr>
          <w:rFonts w:ascii="Times New Roman" w:eastAsia="Calibri" w:hAnsi="Times New Roman" w:cs="Times New Roman"/>
          <w:sz w:val="36"/>
          <w:lang w:val="en-US"/>
        </w:rPr>
      </w:pPr>
      <w:r w:rsidRPr="00A12636">
        <w:rPr>
          <w:rFonts w:ascii="Times New Roman" w:eastAsia="Calibri" w:hAnsi="Times New Roman" w:cs="Times New Roman"/>
          <w:sz w:val="28"/>
          <w:lang w:val="en-US"/>
        </w:rPr>
        <w:t xml:space="preserve">Fjodorova, A. Critical analysis of theoretical perspectives on civil society // </w:t>
      </w:r>
      <w:r w:rsidRPr="00A12636">
        <w:rPr>
          <w:rFonts w:ascii="Times New Roman" w:eastAsia="Calibri" w:hAnsi="Times New Roman" w:cs="Times New Roman"/>
          <w:sz w:val="28"/>
        </w:rPr>
        <w:t>Журнал</w:t>
      </w:r>
      <w:r w:rsidRPr="00A12636">
        <w:rPr>
          <w:rFonts w:ascii="Times New Roman" w:eastAsia="Calibri" w:hAnsi="Times New Roman" w:cs="Times New Roman"/>
          <w:sz w:val="28"/>
          <w:lang w:val="en-US"/>
        </w:rPr>
        <w:t xml:space="preserve"> </w:t>
      </w:r>
      <w:r w:rsidRPr="00A12636">
        <w:rPr>
          <w:rFonts w:ascii="Times New Roman" w:eastAsia="Calibri" w:hAnsi="Times New Roman" w:cs="Times New Roman"/>
          <w:sz w:val="28"/>
        </w:rPr>
        <w:t>социогуманитарных</w:t>
      </w:r>
      <w:r w:rsidRPr="00A12636">
        <w:rPr>
          <w:rFonts w:ascii="Times New Roman" w:eastAsia="Calibri" w:hAnsi="Times New Roman" w:cs="Times New Roman"/>
          <w:sz w:val="28"/>
          <w:lang w:val="en-US"/>
        </w:rPr>
        <w:t xml:space="preserve"> </w:t>
      </w:r>
      <w:r w:rsidRPr="00A12636">
        <w:rPr>
          <w:rFonts w:ascii="Times New Roman" w:eastAsia="Calibri" w:hAnsi="Times New Roman" w:cs="Times New Roman"/>
          <w:sz w:val="28"/>
        </w:rPr>
        <w:t>исследований</w:t>
      </w:r>
      <w:r w:rsidRPr="00A12636">
        <w:rPr>
          <w:rFonts w:ascii="Times New Roman" w:eastAsia="Calibri" w:hAnsi="Times New Roman" w:cs="Times New Roman"/>
          <w:sz w:val="28"/>
          <w:lang w:val="en-US"/>
        </w:rPr>
        <w:t xml:space="preserve"> </w:t>
      </w:r>
      <w:r w:rsidRPr="00A12636">
        <w:rPr>
          <w:rFonts w:ascii="Times New Roman" w:eastAsia="Calibri" w:hAnsi="Times New Roman" w:cs="Times New Roman"/>
          <w:sz w:val="28"/>
        </w:rPr>
        <w:t>Аль</w:t>
      </w:r>
      <w:r w:rsidRPr="00A12636">
        <w:rPr>
          <w:rFonts w:ascii="Times New Roman" w:eastAsia="Calibri" w:hAnsi="Times New Roman" w:cs="Times New Roman"/>
          <w:sz w:val="28"/>
          <w:lang w:val="en-US"/>
        </w:rPr>
        <w:t>-</w:t>
      </w:r>
      <w:r w:rsidRPr="00A12636">
        <w:rPr>
          <w:rFonts w:ascii="Times New Roman" w:eastAsia="Calibri" w:hAnsi="Times New Roman" w:cs="Times New Roman"/>
          <w:sz w:val="28"/>
        </w:rPr>
        <w:t>Фараби</w:t>
      </w:r>
      <w:r w:rsidRPr="00A12636">
        <w:rPr>
          <w:rFonts w:ascii="Times New Roman" w:eastAsia="Calibri" w:hAnsi="Times New Roman" w:cs="Times New Roman"/>
          <w:sz w:val="28"/>
          <w:lang w:val="en-US"/>
        </w:rPr>
        <w:t xml:space="preserve">. – 2019. – № 3 (67). – </w:t>
      </w:r>
      <w:proofErr w:type="gramStart"/>
      <w:r w:rsidRPr="00A12636">
        <w:rPr>
          <w:rFonts w:ascii="Times New Roman" w:eastAsia="Calibri" w:hAnsi="Times New Roman" w:cs="Times New Roman"/>
          <w:sz w:val="28"/>
        </w:rPr>
        <w:t>С</w:t>
      </w:r>
      <w:r w:rsidRPr="00A12636">
        <w:rPr>
          <w:rFonts w:ascii="Times New Roman" w:eastAsia="Calibri" w:hAnsi="Times New Roman" w:cs="Times New Roman"/>
          <w:sz w:val="28"/>
          <w:lang w:val="en-US"/>
        </w:rPr>
        <w:t>. 106</w:t>
      </w:r>
      <w:proofErr w:type="gramEnd"/>
      <w:r w:rsidRPr="00A12636">
        <w:rPr>
          <w:rFonts w:ascii="Times New Roman" w:eastAsia="Calibri" w:hAnsi="Times New Roman" w:cs="Times New Roman"/>
          <w:sz w:val="28"/>
          <w:lang w:val="en-US"/>
        </w:rPr>
        <w:t xml:space="preserve">-121. </w:t>
      </w:r>
    </w:p>
    <w:p w:rsidR="00A12636" w:rsidRPr="00A12636" w:rsidRDefault="00A12636" w:rsidP="008465D6">
      <w:pPr>
        <w:numPr>
          <w:ilvl w:val="0"/>
          <w:numId w:val="9"/>
        </w:numPr>
        <w:autoSpaceDE w:val="0"/>
        <w:autoSpaceDN w:val="0"/>
        <w:adjustRightInd w:val="0"/>
        <w:spacing w:after="0" w:line="240" w:lineRule="auto"/>
        <w:ind w:left="0" w:firstLine="709"/>
        <w:contextualSpacing/>
        <w:jc w:val="both"/>
        <w:rPr>
          <w:rFonts w:ascii="Times New Roman" w:eastAsia="Calibri" w:hAnsi="Times New Roman" w:cs="Times New Roman"/>
          <w:sz w:val="36"/>
        </w:rPr>
      </w:pPr>
      <w:r w:rsidRPr="00A12636">
        <w:rPr>
          <w:rFonts w:ascii="Times New Roman" w:eastAsia="Calibri" w:hAnsi="Times New Roman" w:cs="Times New Roman"/>
          <w:sz w:val="28"/>
        </w:rPr>
        <w:t xml:space="preserve">Федорова, А.Е. Дефиниции гражданского общества в посткоммунистических и либерально-демократических государствах – общее и особенное: сравнительный анализ (на примере Казахстана) // Журнал социогуманитарных исследований Аль-Фараби. – 2020. – № 2 (70). – С. 123-133. </w:t>
      </w:r>
    </w:p>
    <w:p w:rsidR="00A12636" w:rsidRPr="00A12636" w:rsidRDefault="00A12636" w:rsidP="008465D6">
      <w:pPr>
        <w:numPr>
          <w:ilvl w:val="0"/>
          <w:numId w:val="9"/>
        </w:numPr>
        <w:autoSpaceDE w:val="0"/>
        <w:autoSpaceDN w:val="0"/>
        <w:adjustRightInd w:val="0"/>
        <w:spacing w:after="0" w:line="240" w:lineRule="auto"/>
        <w:ind w:left="0" w:firstLine="709"/>
        <w:contextualSpacing/>
        <w:jc w:val="both"/>
        <w:rPr>
          <w:rFonts w:ascii="Times New Roman" w:eastAsia="Calibri" w:hAnsi="Times New Roman" w:cs="Times New Roman"/>
          <w:sz w:val="36"/>
          <w:lang w:val="en-US"/>
        </w:rPr>
      </w:pPr>
      <w:r w:rsidRPr="00A12636">
        <w:rPr>
          <w:rFonts w:ascii="Times New Roman" w:eastAsia="Calibri" w:hAnsi="Times New Roman" w:cs="Times New Roman"/>
          <w:sz w:val="28"/>
          <w:lang w:val="en-US"/>
        </w:rPr>
        <w:t>Anastassiya Fedorova. Social media and spoken language in youth civic engagement in Kazakhstan // Central Asian Survey, DOI: 10.1080/02634937.2025.2560878. – Pp. 1-27.</w:t>
      </w:r>
      <w:r w:rsidRPr="00A12636">
        <w:rPr>
          <w:rFonts w:ascii="Times New Roman" w:eastAsia="Calibri" w:hAnsi="Times New Roman" w:cs="Times New Roman"/>
          <w:sz w:val="36"/>
          <w:lang w:val="en-US"/>
        </w:rPr>
        <w:t xml:space="preserve"> </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sz w:val="28"/>
          <w:lang w:eastAsia="ru-RU"/>
        </w:rPr>
        <w:t xml:space="preserve">Выступления на международных конференциях включают в себя публикации в сборниках по итогам конференций: </w:t>
      </w:r>
    </w:p>
    <w:p w:rsidR="00A12636" w:rsidRPr="00A12636" w:rsidRDefault="00A12636" w:rsidP="008465D6">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Федорова, А.Е. Проблемные аспекты формирования социального капитала как основы гражданского общества в Казахстане // Сборник научных статей по итогам международной научно-практической конференции «Роль науки в развитии социума: теоретические и практические аспекты». – 2018. – 9-10 февраля. – Санкт-Петербург, Россия. – С. 145-147. </w:t>
      </w:r>
    </w:p>
    <w:p w:rsidR="00A12636" w:rsidRPr="00A12636" w:rsidRDefault="00A12636" w:rsidP="008465D6">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Федорова, А.Е. Блогосфера Казахстана как инструмент политической коммуникации – проблемы и перспективы // Санкт-Петербургский центр системного анализа. Сборник научных статей по итогам национальной научно-практической конференции «Интегральные и дифференциальные парадигмы развития науки и практики России». – 2018. – 29 – 30 ноября. – Санкт-Петербург, Россия. – С. 118-121. </w:t>
      </w:r>
    </w:p>
    <w:p w:rsidR="00A12636" w:rsidRPr="00A12636" w:rsidRDefault="00A12636" w:rsidP="008465D6">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Федорова, А.Е. Проблемы дефиниций – сложности в определении понятия «гражданское общество» // Сборник научных статей по итогам Международной научно-практической конференции «Актуальные теории, концепции, прикладной характер современных научных исследований». – 2019. – 30-31 мая. – Санкт-Петербург, Россия. – С. 84-87. </w:t>
      </w:r>
    </w:p>
    <w:p w:rsidR="00A12636" w:rsidRPr="00A12636" w:rsidRDefault="00A12636" w:rsidP="008465D6">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 xml:space="preserve">Федорова, А.Е. Проблематика классификации общественных организаций гражданского общества (на примере Казахстана) // Сборник </w:t>
      </w:r>
      <w:r w:rsidRPr="00A12636">
        <w:rPr>
          <w:rFonts w:ascii="Times New Roman" w:eastAsia="Calibri" w:hAnsi="Times New Roman" w:cs="Times New Roman"/>
          <w:sz w:val="28"/>
        </w:rPr>
        <w:lastRenderedPageBreak/>
        <w:t>научных статей по итогам работы Межвузовского научного конгресса Высшая школа: научные исследования. – 2019. – 8 ноября. – Москва, Россия. – С. 115-123.</w:t>
      </w:r>
    </w:p>
    <w:p w:rsidR="00A12636" w:rsidRPr="00A12636" w:rsidRDefault="00A12636" w:rsidP="008465D6">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8"/>
          <w:lang w:val="en-US"/>
        </w:rPr>
      </w:pPr>
      <w:r w:rsidRPr="00A12636">
        <w:rPr>
          <w:rFonts w:ascii="Times New Roman" w:eastAsia="Calibri" w:hAnsi="Times New Roman" w:cs="Times New Roman"/>
          <w:sz w:val="28"/>
          <w:lang w:val="en-US"/>
        </w:rPr>
        <w:t xml:space="preserve">Fedorova Anastassiya. Civic identity as a product of the institutions of civil society – pro </w:t>
      </w:r>
      <w:proofErr w:type="gramStart"/>
      <w:r w:rsidRPr="00A12636">
        <w:rPr>
          <w:rFonts w:ascii="Times New Roman" w:eastAsia="Calibri" w:hAnsi="Times New Roman" w:cs="Times New Roman"/>
          <w:sz w:val="28"/>
          <w:lang w:val="en-US"/>
        </w:rPr>
        <w:t>et</w:t>
      </w:r>
      <w:proofErr w:type="gramEnd"/>
      <w:r w:rsidRPr="00A12636">
        <w:rPr>
          <w:rFonts w:ascii="Times New Roman" w:eastAsia="Calibri" w:hAnsi="Times New Roman" w:cs="Times New Roman"/>
          <w:sz w:val="28"/>
          <w:lang w:val="en-US"/>
        </w:rPr>
        <w:t xml:space="preserve"> contra (the case of Kazakhstan) // Materials of the International Conference “Process Management &amp; Scientific Developments”. – 2019. </w:t>
      </w:r>
      <w:proofErr w:type="gramStart"/>
      <w:r w:rsidRPr="00A12636">
        <w:rPr>
          <w:rFonts w:ascii="Times New Roman" w:eastAsia="Calibri" w:hAnsi="Times New Roman" w:cs="Times New Roman"/>
          <w:sz w:val="28"/>
          <w:lang w:val="en-US"/>
        </w:rPr>
        <w:t>–  November</w:t>
      </w:r>
      <w:proofErr w:type="gramEnd"/>
      <w:r w:rsidRPr="00A12636">
        <w:rPr>
          <w:rFonts w:ascii="Times New Roman" w:eastAsia="Calibri" w:hAnsi="Times New Roman" w:cs="Times New Roman"/>
          <w:sz w:val="28"/>
          <w:lang w:val="en-US"/>
        </w:rPr>
        <w:t xml:space="preserve"> 14. – Birmingham, the UK. – P</w:t>
      </w:r>
      <w:r w:rsidRPr="00A12636">
        <w:rPr>
          <w:rFonts w:ascii="Times New Roman" w:eastAsia="Calibri" w:hAnsi="Times New Roman" w:cs="Times New Roman"/>
          <w:sz w:val="28"/>
        </w:rPr>
        <w:t>р</w:t>
      </w:r>
      <w:r w:rsidRPr="00A12636">
        <w:rPr>
          <w:rFonts w:ascii="Times New Roman" w:eastAsia="Calibri" w:hAnsi="Times New Roman" w:cs="Times New Roman"/>
          <w:sz w:val="28"/>
          <w:lang w:val="en-US"/>
        </w:rPr>
        <w:t xml:space="preserve">.102-108. </w:t>
      </w:r>
    </w:p>
    <w:p w:rsidR="00A12636" w:rsidRPr="00A12636" w:rsidRDefault="00A12636" w:rsidP="008465D6">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8"/>
          <w:lang w:val="en-US"/>
        </w:rPr>
      </w:pPr>
      <w:r w:rsidRPr="00A12636">
        <w:rPr>
          <w:rFonts w:ascii="Times New Roman" w:eastAsia="Calibri" w:hAnsi="Times New Roman" w:cs="Times New Roman"/>
          <w:sz w:val="28"/>
          <w:lang w:val="en-US"/>
        </w:rPr>
        <w:t>Fedorova, A.E.</w:t>
      </w:r>
      <w:r w:rsidRPr="00A12636">
        <w:rPr>
          <w:rFonts w:ascii="Times New Roman" w:eastAsia="Calibri" w:hAnsi="Times New Roman" w:cs="Times New Roman"/>
          <w:b/>
          <w:bCs/>
          <w:sz w:val="28"/>
          <w:lang w:val="en-US"/>
        </w:rPr>
        <w:t xml:space="preserve"> </w:t>
      </w:r>
      <w:r w:rsidRPr="00A12636">
        <w:rPr>
          <w:rFonts w:ascii="Times New Roman" w:eastAsia="Calibri" w:hAnsi="Times New Roman" w:cs="Times New Roman"/>
          <w:bCs/>
          <w:sz w:val="28"/>
          <w:lang w:val="en-US"/>
        </w:rPr>
        <w:t xml:space="preserve">The COVID-19 pandemic and youth civic engagement in Kazakhstan // </w:t>
      </w:r>
      <w:r w:rsidRPr="00A12636">
        <w:rPr>
          <w:rFonts w:ascii="Times New Roman" w:eastAsia="Calibri" w:hAnsi="Times New Roman" w:cs="Times New Roman"/>
          <w:sz w:val="28"/>
          <w:lang w:val="en-US" w:eastAsia="ko-KR"/>
        </w:rPr>
        <w:t xml:space="preserve">Proceedings of the conference «Sagadiyev Readings 2022 – New Economic Policy: Realities and Prospects». – 2022. – 20-22 April. </w:t>
      </w:r>
      <w:proofErr w:type="gramStart"/>
      <w:r w:rsidRPr="00A12636">
        <w:rPr>
          <w:rFonts w:ascii="Times New Roman" w:eastAsia="Calibri" w:hAnsi="Times New Roman" w:cs="Times New Roman"/>
          <w:sz w:val="28"/>
          <w:lang w:val="en-US" w:eastAsia="ko-KR"/>
        </w:rPr>
        <w:t>– University of International</w:t>
      </w:r>
      <w:proofErr w:type="gramEnd"/>
      <w:r w:rsidRPr="00A12636">
        <w:rPr>
          <w:rFonts w:ascii="Times New Roman" w:eastAsia="Calibri" w:hAnsi="Times New Roman" w:cs="Times New Roman"/>
          <w:sz w:val="28"/>
          <w:lang w:val="en-US" w:eastAsia="ko-KR"/>
        </w:rPr>
        <w:t xml:space="preserve"> Business. – Almaty, Kazakhstan. – Pp. 380-392. </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ko-KR"/>
        </w:rPr>
      </w:pPr>
      <w:r w:rsidRPr="00A12636">
        <w:rPr>
          <w:rFonts w:ascii="Times New Roman" w:eastAsia="Times New Roman" w:hAnsi="Times New Roman" w:cs="Times New Roman"/>
          <w:sz w:val="28"/>
          <w:lang w:eastAsia="ko-KR"/>
        </w:rPr>
        <w:t xml:space="preserve">Кроме этого, опубликованы результаты эмпирических исследований: </w:t>
      </w:r>
    </w:p>
    <w:p w:rsidR="00A12636" w:rsidRPr="00A12636" w:rsidRDefault="00A12636" w:rsidP="008465D6">
      <w:pPr>
        <w:numPr>
          <w:ilvl w:val="0"/>
          <w:numId w:val="11"/>
        </w:numPr>
        <w:autoSpaceDE w:val="0"/>
        <w:autoSpaceDN w:val="0"/>
        <w:adjustRightInd w:val="0"/>
        <w:spacing w:after="0" w:line="240" w:lineRule="auto"/>
        <w:ind w:left="0" w:firstLine="709"/>
        <w:contextualSpacing/>
        <w:jc w:val="both"/>
        <w:rPr>
          <w:rFonts w:ascii="Times New Roman" w:eastAsia="Calibri" w:hAnsi="Times New Roman" w:cs="Times New Roman"/>
          <w:sz w:val="28"/>
        </w:rPr>
      </w:pPr>
      <w:r w:rsidRPr="00A12636">
        <w:rPr>
          <w:rFonts w:ascii="Times New Roman" w:eastAsia="Calibri" w:hAnsi="Times New Roman" w:cs="Times New Roman"/>
          <w:sz w:val="28"/>
        </w:rPr>
        <w:t>Федорова, А.Е. Влияние социальных медиа на деятельность молодёжных общественных организаций Казахстана. Монография. ИФПР КН МОН РК. – Алматы, 2021. – 58 стр.</w:t>
      </w:r>
    </w:p>
    <w:p w:rsidR="00A12636" w:rsidRPr="00A12636" w:rsidRDefault="00A12636" w:rsidP="00C4083E">
      <w:pPr>
        <w:autoSpaceDE w:val="0"/>
        <w:autoSpaceDN w:val="0"/>
        <w:adjustRightInd w:val="0"/>
        <w:spacing w:after="0" w:line="240" w:lineRule="auto"/>
        <w:ind w:firstLine="709"/>
        <w:jc w:val="both"/>
        <w:rPr>
          <w:rFonts w:ascii="Times New Roman" w:eastAsia="Times New Roman" w:hAnsi="Times New Roman" w:cs="Times New Roman"/>
          <w:sz w:val="28"/>
          <w:lang w:eastAsia="ru-RU"/>
        </w:rPr>
      </w:pPr>
      <w:r w:rsidRPr="00A12636">
        <w:rPr>
          <w:rFonts w:ascii="Times New Roman" w:eastAsia="Times New Roman" w:hAnsi="Times New Roman" w:cs="Times New Roman"/>
          <w:b/>
          <w:sz w:val="28"/>
          <w:lang w:eastAsia="ru-RU"/>
        </w:rPr>
        <w:t>Структура и объём диссертации</w:t>
      </w:r>
      <w:r w:rsidRPr="00A12636">
        <w:rPr>
          <w:rFonts w:ascii="Times New Roman" w:eastAsia="Times New Roman" w:hAnsi="Times New Roman" w:cs="Times New Roman"/>
          <w:sz w:val="28"/>
          <w:lang w:eastAsia="ru-RU"/>
        </w:rPr>
        <w:t>. Диссертационное исследование состоит из введения, основной части, включающей в себя 3 главы, содержащие изучение теоретических проблем, связанных со сложностями дефиниций гражданского общества, общественных организаций, этапами развития гражданского общества в мировой политике и постсоветском Казахстане, влиянием факторов внешней среды, как-то: социокультурные, аксиологические, политико-правовые на институты гражданского общества в Казахстане, развитие социальных медиа как средства коммуникации, а, впоследствии, как независимой переменной, способной воздействовать на гражданское общество, анализ эмпирических данных посредством оригинального социологического опроса, глубинного интервью представителей молодёжных общественных ассоциаций Казахстана с целью наглядной демонстрации обозначенных теорией проблем, результата множественного корреляционно-регрессионного анализа, а также рекомендации, основанные на собранном теоретическом и прикладном материале, предлагающие пути решения проблем, заключения, списка использованной литературы в количестве 198 источников и 7 приложений.</w:t>
      </w:r>
    </w:p>
    <w:p w:rsidR="00A12636" w:rsidRPr="00A12636" w:rsidRDefault="00A12636" w:rsidP="00C4083E">
      <w:pPr>
        <w:spacing w:after="200" w:line="276" w:lineRule="auto"/>
        <w:ind w:firstLine="709"/>
        <w:rPr>
          <w:rFonts w:ascii="Calibri" w:eastAsia="Times New Roman" w:hAnsi="Calibri" w:cs="Times New Roman"/>
          <w:lang w:eastAsia="ru-RU"/>
        </w:rPr>
      </w:pPr>
    </w:p>
    <w:p w:rsidR="00A12636" w:rsidRPr="00A12636" w:rsidRDefault="00A12636" w:rsidP="00C4083E">
      <w:pPr>
        <w:spacing w:after="0" w:line="240" w:lineRule="auto"/>
        <w:ind w:firstLine="709"/>
        <w:jc w:val="both"/>
        <w:rPr>
          <w:rFonts w:ascii="Times New Roman" w:hAnsi="Times New Roman" w:cs="Times New Roman"/>
          <w:sz w:val="28"/>
        </w:rPr>
      </w:pPr>
    </w:p>
    <w:p w:rsidR="002C0A6E" w:rsidRPr="00A12636" w:rsidRDefault="002C0A6E" w:rsidP="00C4083E">
      <w:pPr>
        <w:spacing w:after="0" w:line="240" w:lineRule="auto"/>
        <w:ind w:firstLine="709"/>
        <w:jc w:val="both"/>
        <w:rPr>
          <w:rFonts w:ascii="Times New Roman" w:hAnsi="Times New Roman" w:cs="Times New Roman"/>
          <w:sz w:val="28"/>
        </w:rPr>
      </w:pPr>
    </w:p>
    <w:p w:rsidR="001B5DD3" w:rsidRDefault="001B5DD3"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7AF6" w:rsidRDefault="00787AF6" w:rsidP="00C4083E">
      <w:pPr>
        <w:spacing w:after="0" w:line="240" w:lineRule="auto"/>
        <w:ind w:firstLine="709"/>
        <w:jc w:val="both"/>
        <w:rPr>
          <w:rFonts w:ascii="Times New Roman"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lastRenderedPageBreak/>
        <w:t>1 ТЕОРЕТИКО-МЕТОДОЛОГИЧЕСКИЙ АНАЛИЗ ИНСТИТУТОВ ГРАЖДАНСКОГО ОБЩЕСТВА</w:t>
      </w:r>
    </w:p>
    <w:p w:rsidR="00780172" w:rsidRPr="00780172" w:rsidRDefault="00780172" w:rsidP="00780172">
      <w:pPr>
        <w:tabs>
          <w:tab w:val="left" w:pos="2990"/>
        </w:tabs>
        <w:spacing w:after="0" w:line="240" w:lineRule="auto"/>
        <w:ind w:firstLine="709"/>
        <w:jc w:val="both"/>
        <w:rPr>
          <w:rFonts w:ascii="Times New Roman" w:eastAsia="Calibri" w:hAnsi="Times New Roman" w:cs="Times New Roman"/>
          <w:b/>
          <w:sz w:val="28"/>
        </w:rPr>
      </w:pPr>
      <w:r>
        <w:rPr>
          <w:rFonts w:ascii="Times New Roman" w:eastAsia="Calibri" w:hAnsi="Times New Roman" w:cs="Times New Roman"/>
          <w:b/>
          <w:sz w:val="28"/>
        </w:rPr>
        <w:tab/>
      </w:r>
    </w:p>
    <w:p w:rsidR="00780172" w:rsidRPr="00DD2450" w:rsidRDefault="00DD2450" w:rsidP="00DD2450">
      <w:pPr>
        <w:spacing w:after="0" w:line="240" w:lineRule="auto"/>
        <w:ind w:firstLine="709"/>
        <w:jc w:val="both"/>
        <w:rPr>
          <w:rFonts w:ascii="Times New Roman" w:eastAsia="Calibri" w:hAnsi="Times New Roman" w:cs="Times New Roman"/>
          <w:b/>
          <w:sz w:val="36"/>
        </w:rPr>
      </w:pPr>
      <w:r>
        <w:rPr>
          <w:rFonts w:ascii="Times New Roman" w:eastAsia="Calibri" w:hAnsi="Times New Roman" w:cs="Times New Roman"/>
          <w:b/>
          <w:sz w:val="28"/>
        </w:rPr>
        <w:t xml:space="preserve">1.1 </w:t>
      </w:r>
      <w:r w:rsidR="00780172" w:rsidRPr="00DD2450">
        <w:rPr>
          <w:rFonts w:ascii="Times New Roman" w:eastAsia="Calibri" w:hAnsi="Times New Roman" w:cs="Times New Roman"/>
          <w:b/>
          <w:sz w:val="28"/>
        </w:rPr>
        <w:t>Обоснование теоретико-методологического подхода диссертационного исследования</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 качестве основного теоретико-методологического направления автор диссертационного исследования использует школу </w:t>
      </w:r>
      <w:r w:rsidRPr="00780172">
        <w:rPr>
          <w:rFonts w:ascii="Times New Roman" w:eastAsia="Calibri" w:hAnsi="Times New Roman" w:cs="Times New Roman"/>
          <w:i/>
          <w:sz w:val="28"/>
        </w:rPr>
        <w:t>нового институционализма</w:t>
      </w:r>
      <w:r w:rsidRPr="00780172">
        <w:rPr>
          <w:rFonts w:ascii="Times New Roman" w:eastAsia="Calibri" w:hAnsi="Times New Roman" w:cs="Times New Roman"/>
          <w:sz w:val="28"/>
        </w:rPr>
        <w:t xml:space="preserve"> или </w:t>
      </w:r>
      <w:r w:rsidRPr="00780172">
        <w:rPr>
          <w:rFonts w:ascii="Times New Roman" w:eastAsia="Calibri" w:hAnsi="Times New Roman" w:cs="Times New Roman"/>
          <w:i/>
          <w:sz w:val="28"/>
        </w:rPr>
        <w:t>неоинституционализма</w:t>
      </w:r>
      <w:r w:rsidRPr="00780172">
        <w:rPr>
          <w:rFonts w:ascii="Times New Roman" w:eastAsia="Calibri" w:hAnsi="Times New Roman" w:cs="Times New Roman"/>
          <w:sz w:val="28"/>
        </w:rPr>
        <w:t xml:space="preserve"> в связи с тем, что объектом исследования являются институты гражданского общества.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Рассматривается краткая история неоинституционализма. Термин «институционализм» был введён в 1919 году </w:t>
      </w:r>
      <w:r w:rsidRPr="00780172">
        <w:rPr>
          <w:rFonts w:ascii="Times New Roman" w:eastAsia="Calibri" w:hAnsi="Times New Roman" w:cs="Times New Roman"/>
          <w:sz w:val="28"/>
          <w:szCs w:val="28"/>
          <w:lang w:val="en-US"/>
        </w:rPr>
        <w:t>W</w:t>
      </w:r>
      <w:r w:rsidRPr="00780172">
        <w:rPr>
          <w:rFonts w:ascii="Times New Roman" w:eastAsia="Calibri" w:hAnsi="Times New Roman" w:cs="Times New Roman"/>
          <w:sz w:val="28"/>
          <w:szCs w:val="28"/>
        </w:rPr>
        <w:t xml:space="preserve">. </w:t>
      </w:r>
      <w:r w:rsidRPr="00780172">
        <w:rPr>
          <w:rFonts w:ascii="Times New Roman" w:eastAsia="Calibri" w:hAnsi="Times New Roman" w:cs="Times New Roman"/>
          <w:sz w:val="28"/>
          <w:szCs w:val="28"/>
          <w:lang w:val="en-US"/>
        </w:rPr>
        <w:t>Hamilton</w:t>
      </w:r>
      <w:r w:rsidRPr="00780172">
        <w:rPr>
          <w:rFonts w:ascii="Times New Roman" w:eastAsia="Calibri" w:hAnsi="Times New Roman" w:cs="Times New Roman"/>
          <w:sz w:val="28"/>
        </w:rPr>
        <w:t xml:space="preserve">. Он определил институт как «распространённый способ мышления или действия, запечатлённый в привычках групп и обычаях народа» [4, p. 312]. В то время институты изучались в качестве формальных установок – законов. Согласно этой точке зрения, институты отображают сложившиеся процедуры, по которым осуществляется управление, развивается общественно-политическая сфера, а также общее согласие по тем или иным вопросам [5, с. 20].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К середине ХХ века наблюдается упадок институционализма в связи с рядом причин:</w:t>
      </w:r>
    </w:p>
    <w:p w:rsidR="00780172" w:rsidRPr="00780172" w:rsidRDefault="00780172" w:rsidP="008465D6">
      <w:pPr>
        <w:numPr>
          <w:ilvl w:val="0"/>
          <w:numId w:val="1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sz w:val="28"/>
        </w:rPr>
        <w:t>недостаточными возможностями метода в исследовании институтов, которые рассматривались только как бюрократические организации, действующие строго в рамках выработанных правил и сложившейся структуры;</w:t>
      </w:r>
    </w:p>
    <w:p w:rsidR="00780172" w:rsidRPr="00780172" w:rsidRDefault="00780172" w:rsidP="008465D6">
      <w:pPr>
        <w:numPr>
          <w:ilvl w:val="0"/>
          <w:numId w:val="1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sz w:val="28"/>
        </w:rPr>
        <w:t>узостью формального подхода в изучении институтов, который исследовал их только через правовые нормы;</w:t>
      </w:r>
    </w:p>
    <w:p w:rsidR="00780172" w:rsidRPr="00780172" w:rsidRDefault="00780172" w:rsidP="008465D6">
      <w:pPr>
        <w:numPr>
          <w:ilvl w:val="0"/>
          <w:numId w:val="1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sz w:val="28"/>
        </w:rPr>
        <w:t>трудностями при компаративистском анализе институтов разных государств [5, с. 23].</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 1960-х годах институционализм практически исчезает, и на авансцену анализа политики выходит </w:t>
      </w:r>
      <w:r w:rsidRPr="00780172">
        <w:rPr>
          <w:rFonts w:ascii="Times New Roman" w:eastAsia="Calibri" w:hAnsi="Times New Roman" w:cs="Times New Roman"/>
          <w:i/>
          <w:sz w:val="28"/>
        </w:rPr>
        <w:t>бихевиоризм</w:t>
      </w:r>
      <w:r w:rsidRPr="00780172">
        <w:rPr>
          <w:rFonts w:ascii="Times New Roman" w:eastAsia="Calibri" w:hAnsi="Times New Roman" w:cs="Times New Roman"/>
          <w:sz w:val="28"/>
        </w:rPr>
        <w:t>, который рассматривает политические явления через призму поведения. В частности, институты бихевиористы изучают как формальные механизмы, которые получают возможность к существованию и функционированию только благодаря их участникам</w:t>
      </w:r>
      <w:r w:rsidRPr="00780172">
        <w:rPr>
          <w:rFonts w:ascii="Calibri" w:eastAsia="Calibri" w:hAnsi="Calibri" w:cs="Times New Roman"/>
        </w:rPr>
        <w:t xml:space="preserve"> </w:t>
      </w:r>
      <w:r w:rsidRPr="00780172">
        <w:rPr>
          <w:rFonts w:ascii="Times New Roman" w:eastAsia="Calibri" w:hAnsi="Times New Roman" w:cs="Times New Roman"/>
          <w:sz w:val="28"/>
        </w:rPr>
        <w:t xml:space="preserve">[5, с. 30].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Бихевиоризм не вполне оправдал себя, поскольку слишком большое внимание уделялось поведению участников института. В этом случае, за пределами анализа оказались нормы, ценности, правила. Это способствовало возвращению институционализма в новой его интерпретации. В 1980-е годы появляется новый институционализм или неоинституционализм. Родоначальниками данного направления считаются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March</w:t>
      </w:r>
      <w:r w:rsidRPr="00780172">
        <w:rPr>
          <w:rFonts w:ascii="Times New Roman" w:eastAsia="Calibri" w:hAnsi="Times New Roman" w:cs="Times New Roman"/>
          <w:sz w:val="28"/>
        </w:rPr>
        <w:t xml:space="preserve"> и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Olsen</w:t>
      </w:r>
      <w:r w:rsidRPr="00780172">
        <w:rPr>
          <w:rFonts w:ascii="Times New Roman" w:eastAsia="Calibri" w:hAnsi="Times New Roman" w:cs="Times New Roman"/>
          <w:sz w:val="28"/>
        </w:rPr>
        <w:t xml:space="preserve">, изложившие своё видение в работе «Вновь открывая институты: организационный базис политики» [6, р. 15]. Согласно неоинституционализму, институты рассматриваются как совокупность формальных норм и неформальных «правил игры», что в результате образует сложные организационные отношения, формы взаимодействий и деятельность людей в данных рамках, что позволяет поддерживать стабильность и воспроизводить порядок в обществе [6, р. 15]. В данной работе учёные изучают проблемы </w:t>
      </w:r>
      <w:r w:rsidRPr="00780172">
        <w:rPr>
          <w:rFonts w:ascii="Times New Roman" w:eastAsia="Calibri" w:hAnsi="Times New Roman" w:cs="Times New Roman"/>
          <w:sz w:val="28"/>
        </w:rPr>
        <w:lastRenderedPageBreak/>
        <w:t>организаций, внутреннюю иерархию, окружающую среду, нормы, процедуры, а также влияние всего вышеуказанного на деятельность институтов [6, р. 19]. Таким образом, неоинституционализм отходит от строгой фокусировки на формальных нормах как основе института и включает неформальные, такие как отношения между участниками, традиции политической культуры и политического поведения, влияние внешней среды.</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Неоинституционализм включает в себя два направления, весьма значимые для данного исследования:</w:t>
      </w:r>
    </w:p>
    <w:p w:rsidR="00780172" w:rsidRPr="00780172" w:rsidRDefault="00780172" w:rsidP="008465D6">
      <w:pPr>
        <w:numPr>
          <w:ilvl w:val="0"/>
          <w:numId w:val="25"/>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сетевой институционализм предполагает, что институты гражданского общества способны влиять на формирование институциональной и гражданской идентичности участников, а также на воспитание у них гражданской политической культуры</w:t>
      </w:r>
      <w:r w:rsidRPr="00780172">
        <w:rPr>
          <w:rFonts w:ascii="Times New Roman" w:eastAsia="Calibri" w:hAnsi="Times New Roman" w:cs="Times New Roman"/>
          <w:sz w:val="28"/>
        </w:rPr>
        <w:t xml:space="preserve"> [7, р. 85]. Поскольку основу институтов составляют правила и процедуры, на основании которых строится организационная структура института и его функционирование, данные правила оформляют определённым образом поведение участников института. Они способны воздействовать на самоидентификацию участников, формируя у них определённый тип политического поведения и политической культуры. Их основные принципы индивиды, зачастую, инерционно сохраняют, даже покинув институт. В этом случае воздействие института на индивида не прекращается. Взаимодействие между индивидами в рамках института нельзя сводить к отношениям по типу бильярдных шаров по метафоре А. </w:t>
      </w:r>
      <w:r w:rsidRPr="00780172">
        <w:rPr>
          <w:rFonts w:ascii="Times New Roman" w:eastAsia="Calibri" w:hAnsi="Times New Roman" w:cs="Times New Roman"/>
          <w:sz w:val="28"/>
          <w:lang w:val="en-US"/>
        </w:rPr>
        <w:t>Wolfers</w:t>
      </w:r>
      <w:r w:rsidRPr="00780172">
        <w:rPr>
          <w:rFonts w:ascii="Times New Roman" w:eastAsia="Calibri" w:hAnsi="Times New Roman" w:cs="Times New Roman"/>
          <w:sz w:val="28"/>
        </w:rPr>
        <w:t xml:space="preserve">, теоретика политического реализма [8, p. 33]. Он полагал, что, даже находясь в рамках бильярдного стола, шары, сталкиваясь, разлетаются. Взаимного сотрудничества, кооперации, солидарности между ними нет. Эти отношения конфликтны, не нацелены на взаимодействие, хаотичны. В рамках института между индивидами наблюдается противоположный процесс, а именно, взаимный обмен ценностями, идеями, эмоциями, основанный на участии в деятельности института. Таким образом, через участие, формирование поведения и институциональной идентичности, институт вырабатывает у участников определённую политическую культуру. Сетевой тип отношений как внутри института, так и вне его способен сформировать социальный капитал общества, в особенности такую его составляющую как доверие. Если представить, что отношения в сети неиерархизированы, организованы по горизонтальному принципу и основаны на солидарности и приверженности к общим идеям, то участники вырабатывают в себе доверие друг к другу. Ибо оно способно подтолкнуть участников к совместному действию в условиях недостатка информации о контрагенте [7, р. 88]. Проблема доверия весьма важна для поиска ответа на вопрос неоинституционализма о соотношении формальных и неформальных институтов [5, с. 57].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Крайне интересно предположение сетевого институционализма о том, что в условиях глобализации роль межличностного общения в построении доверия не уменьшается. Информационные технологии, разумеется, упрощают коммуникацию, обмен идеями, ценностями, установками между институтами и их участниками. Однако, доверие как относительно устойчивый конструкт </w:t>
      </w:r>
      <w:r w:rsidRPr="00780172">
        <w:rPr>
          <w:rFonts w:ascii="Times New Roman" w:eastAsia="Calibri" w:hAnsi="Times New Roman" w:cs="Times New Roman"/>
          <w:sz w:val="28"/>
        </w:rPr>
        <w:lastRenderedPageBreak/>
        <w:t xml:space="preserve">формируется лишь в том случае, когда взаимодействие и коммуникация, осуществляемые посредством интернета, дополняются непосредственными межличностными контактами [5, с. 57].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Применяя подход сетевого институционализма, данное исследование имеет в виду, что институты гражданского общества в современном Казахстане могут являться платформой для формирования гражданской политической культуры. Предполагается, что, участвуя, члены института способны выработать идентичность, которая имеет свойство сохраняться определённое время. Кроме того, посредством горизонтальных связей между участниками, институт формирует доверие и способствует накоплению необходимых знаний и опыта гражданского участия.</w:t>
      </w:r>
    </w:p>
    <w:p w:rsidR="00780172" w:rsidRPr="00780172" w:rsidRDefault="00780172" w:rsidP="008465D6">
      <w:pPr>
        <w:numPr>
          <w:ilvl w:val="0"/>
          <w:numId w:val="25"/>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исторический институционализм предполагает, что институциональная форма, организационные принципы, нормы, создаваемые институтами, в определённой степени зависят от исторического пути, пройденного государством</w:t>
      </w:r>
      <w:r w:rsidRPr="00780172">
        <w:rPr>
          <w:rFonts w:ascii="Times New Roman" w:eastAsia="Calibri" w:hAnsi="Times New Roman" w:cs="Times New Roman"/>
          <w:sz w:val="28"/>
        </w:rPr>
        <w:t xml:space="preserve"> [7, р. 97]. Это находит отражение в идее о так называемой </w:t>
      </w:r>
      <w:r w:rsidRPr="00780172">
        <w:rPr>
          <w:rFonts w:ascii="Times New Roman" w:eastAsia="Calibri" w:hAnsi="Times New Roman" w:cs="Times New Roman"/>
          <w:i/>
          <w:sz w:val="28"/>
        </w:rPr>
        <w:t>«тропе зависимости» («Path Dependence»)</w:t>
      </w:r>
      <w:r w:rsidRPr="00780172">
        <w:rPr>
          <w:rFonts w:ascii="Times New Roman" w:eastAsia="Calibri" w:hAnsi="Times New Roman" w:cs="Times New Roman"/>
          <w:sz w:val="28"/>
        </w:rPr>
        <w:t xml:space="preserve"> [7, р. 99]. Эволюционное развитие институтов достаточно непредсказуемо и зависит от точек бифуркации системы (термин заимствован из синергетики и означает этап смены установившегося режима работы системы). Именно в момент прохождения институтами точки бифуркации, возникают возможности выбора дальнейшего развития, то есть «тропы», по которой эволюция институтов будет двигаться [5, с. 54]. Особенность подхода «Path Dependence» в том, что он позволяет проанализировать современное состояние институтов с точки зрения потенциальных возможностей, которые не были реализованы в прошлом [5, с. 54]. Поскольку пройденный путь уже сформировал определённое направление в дальнейшем развитии институтов, меняющаяся внешняя среда, внутренняя эволюция институтов движутся в обозначенном направлении и закрепляют его</w:t>
      </w:r>
      <w:r w:rsidRPr="00780172">
        <w:rPr>
          <w:rFonts w:ascii="Calibri" w:eastAsia="Calibri" w:hAnsi="Calibri" w:cs="Times New Roman"/>
        </w:rPr>
        <w:t xml:space="preserve"> </w:t>
      </w:r>
      <w:r w:rsidRPr="00780172">
        <w:rPr>
          <w:rFonts w:ascii="Times New Roman" w:eastAsia="Calibri" w:hAnsi="Times New Roman" w:cs="Times New Roman"/>
          <w:sz w:val="28"/>
        </w:rPr>
        <w:t>[6, р. 72].  Для Казахстана и его институтов гражданского общества данный подход как в теоретическом изучении предмета, так и в разработке практической политики наиболее оправдан, поскольку он исключает возможность заимствований форм и моделей институтов гражданского общества, которые для республики могут быть неприемлемы.</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Хотя институты зависят от воздействия внешней среды, они, в свою очередь, также способны влиять на неё. В некоторых случаях институты отражают состояние политической системы и её внутренние проблемы. </w:t>
      </w:r>
      <w:r w:rsidRPr="00780172">
        <w:rPr>
          <w:rFonts w:ascii="Times New Roman" w:eastAsia="Calibri" w:hAnsi="Times New Roman" w:cs="Times New Roman"/>
          <w:sz w:val="28"/>
          <w:lang w:val="en-US"/>
        </w:rPr>
        <w:t>N</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Smelser</w:t>
      </w:r>
      <w:r w:rsidRPr="00780172">
        <w:rPr>
          <w:rFonts w:ascii="Times New Roman" w:eastAsia="Calibri" w:hAnsi="Times New Roman" w:cs="Times New Roman"/>
          <w:sz w:val="28"/>
        </w:rPr>
        <w:t xml:space="preserve">, например, полагал, что крайне резкое увеличение институциональной активности и самого количества институтов возникает в результате кризиса политической системы и её неспособности справляться с ним. В подобном случае институты являются индикатором проблем в системе [9, р. 7]. При этом мотивация индивидов к активизации участия в деятельности институтов заключается в попытке защититься от кризиса и сохранить свою идентичность посредством участия.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Эмпирическое подтверждение теории </w:t>
      </w:r>
      <w:r w:rsidRPr="00780172">
        <w:rPr>
          <w:rFonts w:ascii="Times New Roman" w:eastAsia="Calibri" w:hAnsi="Times New Roman" w:cs="Times New Roman"/>
          <w:sz w:val="28"/>
          <w:lang w:val="en-US"/>
        </w:rPr>
        <w:t>N</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Smelser</w:t>
      </w:r>
      <w:r w:rsidRPr="00780172">
        <w:rPr>
          <w:rFonts w:ascii="Times New Roman" w:eastAsia="Calibri" w:hAnsi="Times New Roman" w:cs="Times New Roman"/>
          <w:sz w:val="28"/>
        </w:rPr>
        <w:t xml:space="preserve"> можно увидеть на Рисунке 1. С одной стороны, согласно его точке зрения, действительно, в период </w:t>
      </w:r>
      <w:r w:rsidRPr="00780172">
        <w:rPr>
          <w:rFonts w:ascii="Times New Roman" w:eastAsia="Calibri" w:hAnsi="Times New Roman" w:cs="Times New Roman"/>
          <w:sz w:val="28"/>
        </w:rPr>
        <w:lastRenderedPageBreak/>
        <w:t xml:space="preserve">1991-1992 года политическая система Казахстана переживала кризис. Поэтому наблюдается следующая динамика – с улучшением кризисной ситуации и, соответственно, возвращением системы к состоянию равновесия, количество институтов гражданского общества уменьшалось. С другой стороны, внутренняя мотивация граждан на тот момент, как представляется, была несколько иной, чем описывает </w:t>
      </w:r>
      <w:r w:rsidRPr="00780172">
        <w:rPr>
          <w:rFonts w:ascii="Times New Roman" w:eastAsia="Calibri" w:hAnsi="Times New Roman" w:cs="Times New Roman"/>
          <w:sz w:val="28"/>
          <w:lang w:val="en-US"/>
        </w:rPr>
        <w:t>N</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Smelser</w:t>
      </w:r>
      <w:r w:rsidRPr="00780172">
        <w:rPr>
          <w:rFonts w:ascii="Times New Roman" w:eastAsia="Calibri" w:hAnsi="Times New Roman" w:cs="Times New Roman"/>
          <w:sz w:val="28"/>
        </w:rPr>
        <w:t xml:space="preserve">. Почувствовав перемены, получив законодательно закреплённую возможность участия в различных ассоциациях, граждане Казахстана стали активно реализовывать это право на практике в надежде стимулировать положительные перемены в экономике и политике кризисного периода 1990-х годов, реализовать собственные интересы в условиях пониженной эффективности государственных институтов, а также в рамках проводимой политики либерализации общественно-политических отношений. По-видимому, причина уменьшения количества ассоциаций к 1996 году была не в том, что произошла стабилизация системы, но в том, что граждане осознали безрезультатность своих коллективных усилий и стали отказываться от них как бесперспективных. </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noProof/>
          <w:sz w:val="28"/>
          <w:lang w:eastAsia="ru-RU"/>
        </w:rPr>
        <w:drawing>
          <wp:inline distT="0" distB="0" distL="0" distR="0" wp14:anchorId="4DDD3331" wp14:editId="3A01C2AE">
            <wp:extent cx="5197475" cy="1809750"/>
            <wp:effectExtent l="0" t="0" r="317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center"/>
        <w:rPr>
          <w:rFonts w:ascii="Times New Roman" w:eastAsia="Calibri" w:hAnsi="Times New Roman" w:cs="Times New Roman"/>
          <w:sz w:val="28"/>
        </w:rPr>
      </w:pPr>
      <w:r w:rsidRPr="00780172">
        <w:rPr>
          <w:rFonts w:ascii="Times New Roman" w:eastAsia="Calibri" w:hAnsi="Times New Roman" w:cs="Times New Roman"/>
          <w:sz w:val="28"/>
        </w:rPr>
        <w:t>Рисунок 1 – Количество общественных объединений в Казахстане с 1991 по 1996 год [10, с. 19].</w:t>
      </w:r>
    </w:p>
    <w:p w:rsidR="00780172" w:rsidRPr="00780172" w:rsidRDefault="00780172" w:rsidP="00780172">
      <w:pPr>
        <w:spacing w:after="0" w:line="240" w:lineRule="auto"/>
        <w:ind w:firstLine="709"/>
        <w:jc w:val="center"/>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Поскольку институты подвергаются воздействию внешней среды, диссертация рассматривает некоторые её факторы для характеристики эволюции и современного состояния институтов гражданского общества Казахстана, а именно:</w:t>
      </w:r>
    </w:p>
    <w:p w:rsidR="00780172" w:rsidRPr="00780172" w:rsidRDefault="00780172" w:rsidP="008465D6">
      <w:pPr>
        <w:numPr>
          <w:ilvl w:val="0"/>
          <w:numId w:val="14"/>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Социально-экономические и аксиологические факторы</w:t>
      </w:r>
      <w:r w:rsidRPr="00780172">
        <w:rPr>
          <w:rFonts w:ascii="Times New Roman" w:eastAsia="Calibri" w:hAnsi="Times New Roman" w:cs="Times New Roman"/>
          <w:sz w:val="28"/>
        </w:rPr>
        <w:t>. В данном пункте анализируются особенности развития ценностей гражданского общества в Казахстане с 1991 года до сегодняшнего дня.</w:t>
      </w:r>
    </w:p>
    <w:p w:rsidR="00780172" w:rsidRPr="00780172" w:rsidRDefault="00780172" w:rsidP="008465D6">
      <w:pPr>
        <w:numPr>
          <w:ilvl w:val="0"/>
          <w:numId w:val="14"/>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Политико-правовые факторы</w:t>
      </w:r>
      <w:r w:rsidRPr="00780172">
        <w:rPr>
          <w:rFonts w:ascii="Times New Roman" w:eastAsia="Calibri" w:hAnsi="Times New Roman" w:cs="Times New Roman"/>
          <w:sz w:val="28"/>
        </w:rPr>
        <w:t>. Изучаются правовые нормы в отношении гражданского общества, гражданского участия и гражданского активизма в Казахстане с 1991 года по 2023 год, а также политическая ситуация в целом.</w:t>
      </w:r>
    </w:p>
    <w:p w:rsidR="00780172" w:rsidRPr="00780172" w:rsidRDefault="00780172" w:rsidP="008465D6">
      <w:pPr>
        <w:numPr>
          <w:ilvl w:val="0"/>
          <w:numId w:val="14"/>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Фактор информационных технологий.</w:t>
      </w:r>
      <w:r w:rsidRPr="00780172">
        <w:rPr>
          <w:rFonts w:ascii="Times New Roman" w:eastAsia="Calibri" w:hAnsi="Times New Roman" w:cs="Times New Roman"/>
          <w:sz w:val="28"/>
        </w:rPr>
        <w:t xml:space="preserve"> Данное направление является приоритетным для анализа в рамках темы диссертации. Исследуются этапы развития информационных технологий в Казахстане, прослеживается возможное их влияние на молодёжные общественные объединения в РК. Для анализа </w:t>
      </w:r>
      <w:r w:rsidRPr="00780172">
        <w:rPr>
          <w:rFonts w:ascii="Times New Roman" w:eastAsia="Calibri" w:hAnsi="Times New Roman" w:cs="Times New Roman"/>
          <w:sz w:val="28"/>
        </w:rPr>
        <w:lastRenderedPageBreak/>
        <w:t>данного направления, используются теории технологического детерминизма и социальных сил.</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Выводы</w:t>
      </w:r>
      <w:r w:rsidRPr="00780172">
        <w:rPr>
          <w:rFonts w:ascii="Times New Roman" w:eastAsia="Calibri" w:hAnsi="Times New Roman" w:cs="Times New Roman"/>
          <w:sz w:val="28"/>
        </w:rPr>
        <w:t>:</w:t>
      </w:r>
    </w:p>
    <w:p w:rsidR="00780172" w:rsidRPr="00780172" w:rsidRDefault="00780172" w:rsidP="008465D6">
      <w:pPr>
        <w:numPr>
          <w:ilvl w:val="0"/>
          <w:numId w:val="20"/>
        </w:numPr>
        <w:spacing w:after="0" w:line="240" w:lineRule="auto"/>
        <w:ind w:left="0" w:firstLine="709"/>
        <w:contextualSpacing/>
        <w:jc w:val="both"/>
        <w:rPr>
          <w:rFonts w:ascii="Times New Roman" w:eastAsia="Times New Roman" w:hAnsi="Times New Roman" w:cs="Times New Roman"/>
          <w:sz w:val="28"/>
          <w:szCs w:val="24"/>
          <w:lang w:eastAsia="ru-RU"/>
        </w:rPr>
      </w:pPr>
      <w:r w:rsidRPr="00780172">
        <w:rPr>
          <w:rFonts w:ascii="Times New Roman" w:eastAsia="Times New Roman" w:hAnsi="Times New Roman" w:cs="Times New Roman"/>
          <w:bCs/>
          <w:sz w:val="28"/>
          <w:szCs w:val="24"/>
          <w:lang w:eastAsia="ru-RU"/>
        </w:rPr>
        <w:t>Институты гражданского общества выступают в качестве связующего звена между государством и обществом. Они способны артикулировать интересы представителей различных социальных групп и информировать о них государственную власть. Институты гражданского общества служат инструментом общественного контроля за деятельностью государства, сглаживая социальные конфликты и организуя диалог между властью и обществом. Помимо этого, они служат институтом политической социализации граждан, формируя политическую культуру в обществе, способны выступать в качестве</w:t>
      </w:r>
      <w:r w:rsidRPr="00780172">
        <w:rPr>
          <w:rFonts w:ascii="Times New Roman" w:eastAsia="Calibri" w:hAnsi="Times New Roman" w:cs="Times New Roman"/>
          <w:sz w:val="28"/>
        </w:rPr>
        <w:t xml:space="preserve"> площадки для рекрутирования новых членов в политическую элиту.</w:t>
      </w:r>
      <w:r w:rsidRPr="00780172">
        <w:rPr>
          <w:rFonts w:ascii="Times New Roman" w:eastAsia="Times New Roman" w:hAnsi="Times New Roman" w:cs="Times New Roman"/>
          <w:bCs/>
          <w:sz w:val="28"/>
          <w:szCs w:val="24"/>
          <w:lang w:eastAsia="ru-RU"/>
        </w:rPr>
        <w:t xml:space="preserve"> В конечном итоге, действенные институты гражданского общества способны легитимизировать или делигитимизировать власть через формирование общественного мнения о тех или иных принимаемых властью решениях</w:t>
      </w:r>
      <w:r w:rsidRPr="00780172">
        <w:rPr>
          <w:rFonts w:ascii="Times New Roman" w:eastAsia="Times New Roman" w:hAnsi="Times New Roman" w:cs="Times New Roman"/>
          <w:sz w:val="28"/>
          <w:szCs w:val="24"/>
          <w:lang w:eastAsia="ru-RU"/>
        </w:rPr>
        <w:t>. С точки зрения государства, функциональные</w:t>
      </w:r>
      <w:r w:rsidRPr="00780172">
        <w:rPr>
          <w:rFonts w:ascii="Times New Roman" w:eastAsia="Times New Roman" w:hAnsi="Times New Roman" w:cs="Times New Roman"/>
          <w:bCs/>
          <w:sz w:val="28"/>
          <w:szCs w:val="24"/>
          <w:lang w:eastAsia="ru-RU"/>
        </w:rPr>
        <w:t xml:space="preserve"> институты гражданского общества способны взять на себя часть власти государства как в политической, так и в гуманитарной сфере с целью фасилитации процессов управления на низовом и локальном уровне. При этом государство сохраняет за собой право на насилие, осуществление законодательной власти и распределение её по системе властной вертикали.</w:t>
      </w:r>
    </w:p>
    <w:p w:rsidR="00780172" w:rsidRPr="00780172" w:rsidRDefault="00780172" w:rsidP="008465D6">
      <w:pPr>
        <w:numPr>
          <w:ilvl w:val="0"/>
          <w:numId w:val="20"/>
        </w:numPr>
        <w:spacing w:after="0" w:line="240" w:lineRule="auto"/>
        <w:ind w:left="0" w:firstLine="709"/>
        <w:contextualSpacing/>
        <w:jc w:val="both"/>
        <w:rPr>
          <w:rFonts w:ascii="Times New Roman" w:eastAsia="Times New Roman" w:hAnsi="Times New Roman" w:cs="Times New Roman"/>
          <w:sz w:val="28"/>
          <w:szCs w:val="24"/>
          <w:lang w:eastAsia="ru-RU"/>
        </w:rPr>
      </w:pPr>
      <w:r w:rsidRPr="00780172">
        <w:rPr>
          <w:rFonts w:ascii="Times New Roman" w:eastAsia="Times New Roman" w:hAnsi="Times New Roman" w:cs="Times New Roman"/>
          <w:bCs/>
          <w:sz w:val="28"/>
          <w:szCs w:val="24"/>
          <w:lang w:eastAsia="ru-RU"/>
        </w:rPr>
        <w:t>Исторический институционализм и принцип «Path Dependence» описывают контекстуальную и эволюционную природу институтов</w:t>
      </w:r>
      <w:r w:rsidRPr="00780172">
        <w:rPr>
          <w:rFonts w:ascii="Times New Roman" w:eastAsia="Times New Roman" w:hAnsi="Times New Roman" w:cs="Times New Roman"/>
          <w:sz w:val="28"/>
          <w:szCs w:val="24"/>
          <w:lang w:eastAsia="ru-RU"/>
        </w:rPr>
        <w:t>. Прошлые решения и структурные траектории определяют направление дальнейшего развития институтов, ограничивая возможность прямого заимствования внешних моделей и подчёркивая необходимость учёта локальных особенностей при формировании и реформировании институтов, включая институты гражданского общества в постсоветском Казахстане.</w:t>
      </w:r>
    </w:p>
    <w:p w:rsidR="00780172" w:rsidRPr="00780172" w:rsidRDefault="00780172" w:rsidP="008465D6">
      <w:pPr>
        <w:numPr>
          <w:ilvl w:val="0"/>
          <w:numId w:val="20"/>
        </w:numPr>
        <w:spacing w:after="0" w:line="240" w:lineRule="auto"/>
        <w:ind w:left="0" w:firstLine="709"/>
        <w:contextualSpacing/>
        <w:jc w:val="both"/>
        <w:rPr>
          <w:rFonts w:ascii="Times New Roman" w:eastAsia="Times New Roman" w:hAnsi="Times New Roman" w:cs="Times New Roman"/>
          <w:sz w:val="28"/>
          <w:szCs w:val="24"/>
          <w:lang w:eastAsia="ru-RU"/>
        </w:rPr>
      </w:pPr>
      <w:r w:rsidRPr="00780172">
        <w:rPr>
          <w:rFonts w:ascii="Times New Roman" w:eastAsia="Times New Roman" w:hAnsi="Times New Roman" w:cs="Times New Roman"/>
          <w:bCs/>
          <w:sz w:val="28"/>
          <w:szCs w:val="24"/>
          <w:lang w:eastAsia="ru-RU"/>
        </w:rPr>
        <w:t>Сетевой институционализм подчёркивает роль горизонтальных связей и доверия в социальном капитале</w:t>
      </w:r>
      <w:r w:rsidRPr="00780172">
        <w:rPr>
          <w:rFonts w:ascii="Times New Roman" w:eastAsia="Times New Roman" w:hAnsi="Times New Roman" w:cs="Times New Roman"/>
          <w:sz w:val="28"/>
          <w:szCs w:val="24"/>
          <w:lang w:eastAsia="ru-RU"/>
        </w:rPr>
        <w:t>. Доверие возникает через взаимодействие и совместную деятельность участников, особенно при сочетании межличностных контактов с коммуникацией через информационные технологии. Этот подход позволяет объяснить, как институты способны адаптироваться в условиях глобализации, сохраняя значимость непосредственного взаимодействия и укрепляя социальные медиа как базу гражданской активности.</w:t>
      </w:r>
    </w:p>
    <w:p w:rsidR="00780172" w:rsidRPr="00780172" w:rsidRDefault="00780172" w:rsidP="008465D6">
      <w:pPr>
        <w:numPr>
          <w:ilvl w:val="0"/>
          <w:numId w:val="2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 xml:space="preserve">Неоинституционализм является оптимальным теоретико-методологическим каркасом исследования институтов гражданского общества в Казахстане. </w:t>
      </w:r>
      <w:r w:rsidRPr="00780172">
        <w:rPr>
          <w:rFonts w:ascii="Times New Roman" w:eastAsia="Calibri" w:hAnsi="Times New Roman" w:cs="Times New Roman"/>
          <w:sz w:val="28"/>
        </w:rPr>
        <w:t xml:space="preserve">Он сочетает анализ формальных норм и неформальных «правил игры», что позволяет рассматривать институты не только как структуры с установленными процедурами, но и как механизмы формирования политической идентичности и культуры участников. Такой подход обеспечивает методологическую основу для изучения </w:t>
      </w:r>
      <w:r w:rsidRPr="00780172">
        <w:rPr>
          <w:rFonts w:ascii="Times New Roman" w:eastAsia="Calibri" w:hAnsi="Times New Roman" w:cs="Times New Roman"/>
          <w:bCs/>
          <w:sz w:val="28"/>
        </w:rPr>
        <w:t>институтов гражданского общества</w:t>
      </w:r>
      <w:r w:rsidRPr="00780172">
        <w:rPr>
          <w:rFonts w:ascii="Times New Roman" w:eastAsia="Calibri" w:hAnsi="Times New Roman" w:cs="Times New Roman"/>
          <w:sz w:val="28"/>
        </w:rPr>
        <w:t>, включая их влияние на поведение, ценности и гражданскую активность членов.</w:t>
      </w:r>
    </w:p>
    <w:p w:rsidR="00780172" w:rsidRPr="00780172" w:rsidRDefault="0092006E" w:rsidP="0092006E">
      <w:pPr>
        <w:spacing w:after="0" w:line="240" w:lineRule="auto"/>
        <w:ind w:left="709"/>
        <w:contextualSpacing/>
        <w:jc w:val="both"/>
        <w:rPr>
          <w:rFonts w:ascii="Times New Roman" w:eastAsia="Calibri" w:hAnsi="Times New Roman" w:cs="Times New Roman"/>
          <w:sz w:val="28"/>
        </w:rPr>
      </w:pPr>
      <w:r>
        <w:rPr>
          <w:rFonts w:ascii="Times New Roman" w:eastAsia="Calibri" w:hAnsi="Times New Roman" w:cs="Times New Roman"/>
          <w:b/>
          <w:sz w:val="28"/>
        </w:rPr>
        <w:lastRenderedPageBreak/>
        <w:t>1.2</w:t>
      </w:r>
      <w:r w:rsidR="00780172" w:rsidRPr="00780172">
        <w:rPr>
          <w:rFonts w:ascii="Times New Roman" w:eastAsia="Calibri" w:hAnsi="Times New Roman" w:cs="Times New Roman"/>
          <w:b/>
          <w:sz w:val="28"/>
        </w:rPr>
        <w:t xml:space="preserve"> Дефиниции, их интерпретация и операционализация</w:t>
      </w:r>
    </w:p>
    <w:p w:rsidR="00780172" w:rsidRPr="00780172" w:rsidRDefault="0092006E" w:rsidP="0092006E">
      <w:pPr>
        <w:spacing w:after="0" w:line="240" w:lineRule="auto"/>
        <w:ind w:left="709"/>
        <w:contextualSpacing/>
        <w:jc w:val="both"/>
        <w:rPr>
          <w:rFonts w:ascii="Times New Roman" w:eastAsia="Calibri" w:hAnsi="Times New Roman" w:cs="Times New Roman"/>
          <w:sz w:val="28"/>
        </w:rPr>
      </w:pPr>
      <w:r>
        <w:rPr>
          <w:rFonts w:ascii="Times New Roman" w:eastAsia="Calibri" w:hAnsi="Times New Roman" w:cs="Times New Roman"/>
          <w:b/>
          <w:sz w:val="28"/>
        </w:rPr>
        <w:t xml:space="preserve">1.2.1 </w:t>
      </w:r>
      <w:r w:rsidR="00780172" w:rsidRPr="00780172">
        <w:rPr>
          <w:rFonts w:ascii="Times New Roman" w:eastAsia="Calibri" w:hAnsi="Times New Roman" w:cs="Times New Roman"/>
          <w:b/>
          <w:sz w:val="28"/>
        </w:rPr>
        <w:t>Гражданское общество: сложности формулировки понятия</w:t>
      </w:r>
    </w:p>
    <w:p w:rsidR="00780172" w:rsidRPr="00780172" w:rsidRDefault="00780172" w:rsidP="00780172">
      <w:pPr>
        <w:spacing w:after="0" w:line="240" w:lineRule="auto"/>
        <w:ind w:firstLine="709"/>
        <w:contextualSpacing/>
        <w:jc w:val="both"/>
        <w:rPr>
          <w:rFonts w:ascii="Times New Roman" w:eastAsia="Calibri" w:hAnsi="Times New Roman" w:cs="Times New Roman"/>
          <w:sz w:val="28"/>
        </w:rPr>
      </w:pPr>
      <w:r w:rsidRPr="00780172">
        <w:rPr>
          <w:rFonts w:ascii="Times New Roman" w:eastAsia="Calibri" w:hAnsi="Times New Roman" w:cs="Times New Roman"/>
          <w:b/>
          <w:sz w:val="28"/>
        </w:rPr>
        <w:t>1</w:t>
      </w:r>
      <w:r w:rsidRPr="00780172">
        <w:rPr>
          <w:rFonts w:ascii="Times New Roman" w:eastAsia="Calibri" w:hAnsi="Times New Roman" w:cs="Times New Roman"/>
          <w:sz w:val="28"/>
        </w:rPr>
        <w:t>.</w:t>
      </w:r>
      <w:r w:rsidRPr="00780172">
        <w:rPr>
          <w:rFonts w:ascii="Times New Roman" w:eastAsia="Calibri" w:hAnsi="Times New Roman" w:cs="Times New Roman"/>
          <w:b/>
          <w:sz w:val="28"/>
        </w:rPr>
        <w:t>2.1.1 История формирования понятия «гражданское общество» - диахронный анализ</w:t>
      </w:r>
    </w:p>
    <w:p w:rsidR="00780172" w:rsidRPr="00780172" w:rsidRDefault="00780172" w:rsidP="00780172">
      <w:pPr>
        <w:spacing w:after="0" w:line="240" w:lineRule="auto"/>
        <w:ind w:firstLine="709"/>
        <w:contextualSpacing/>
        <w:jc w:val="both"/>
        <w:rPr>
          <w:rFonts w:ascii="Times New Roman" w:eastAsia="Calibri" w:hAnsi="Times New Roman" w:cs="Times New Roman"/>
          <w:sz w:val="28"/>
        </w:rPr>
      </w:pPr>
      <w:r w:rsidRPr="00780172">
        <w:rPr>
          <w:rFonts w:ascii="Times New Roman" w:eastAsia="Calibri" w:hAnsi="Times New Roman" w:cs="Times New Roman"/>
          <w:sz w:val="28"/>
        </w:rPr>
        <w:t xml:space="preserve">В истории развития политической мысли существует множество вариантов определения понятия «гражданское общество». Безусловно, в самом начале своего существования (в период развития античных государств) данный термин рассматривался через призму философии, поскольку политологии как науки ещё не существовало, а политика воспринималась как сфера деятельности и способ изучения существовавших отношений между человеком, обществом и государством одновременно (Аристотель).  </w:t>
      </w:r>
      <w:r w:rsidRPr="00780172">
        <w:rPr>
          <w:rFonts w:ascii="Times New Roman" w:eastAsia="Calibri" w:hAnsi="Times New Roman" w:cs="Times New Roman"/>
          <w:i/>
          <w:sz w:val="28"/>
        </w:rPr>
        <w:t>Под термином «гражданское общество» в период античности подразумевалось коллективное общение граждан полиса, направленное на достижение общего блага, что совпадало с понятием «государство»</w:t>
      </w:r>
      <w:r w:rsidRPr="00780172">
        <w:rPr>
          <w:rFonts w:ascii="Times New Roman" w:eastAsia="Calibri" w:hAnsi="Times New Roman" w:cs="Times New Roman"/>
          <w:sz w:val="28"/>
        </w:rPr>
        <w:t xml:space="preserve"> [11, с. 134]. </w:t>
      </w:r>
    </w:p>
    <w:p w:rsidR="00780172" w:rsidRPr="00780172" w:rsidRDefault="00780172" w:rsidP="00780172">
      <w:pPr>
        <w:spacing w:after="0" w:line="240" w:lineRule="auto"/>
        <w:ind w:firstLine="709"/>
        <w:contextualSpacing/>
        <w:jc w:val="both"/>
        <w:rPr>
          <w:rFonts w:ascii="Times New Roman" w:eastAsia="Calibri" w:hAnsi="Times New Roman" w:cs="Times New Roman"/>
          <w:sz w:val="28"/>
        </w:rPr>
      </w:pPr>
      <w:r w:rsidRPr="00780172">
        <w:rPr>
          <w:rFonts w:ascii="Times New Roman" w:eastAsia="Calibri" w:hAnsi="Times New Roman" w:cs="Times New Roman"/>
          <w:sz w:val="28"/>
        </w:rPr>
        <w:t xml:space="preserve">Впоследствии идея гражданского общества преимущественно развивалась и дискутировалась в русле классического политического либерализма, марксизма и неомарксизма, конструктивизма и критической теории [12, с. 233]. В рамках данного диссертационного исследования наиболее релевантно рассмотреть труды учёных-теоретиков классического политического либерализма, таких как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fr-FR"/>
        </w:rPr>
        <w:t>J.-J. Rousseau</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fr-FR"/>
        </w:rPr>
        <w:t>Ch. L. de Montesquieu</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I</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Kant</w:t>
      </w:r>
      <w:r w:rsidRPr="00780172">
        <w:rPr>
          <w:rFonts w:ascii="Times New Roman" w:eastAsia="Calibri" w:hAnsi="Times New Roman" w:cs="Times New Roman"/>
          <w:sz w:val="28"/>
        </w:rPr>
        <w:t xml:space="preserve">.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утверждает, что цель гражданского общества – сохранение собственности. Он полагает, что политическое (гражданское) общество возникает там, где люди передают часть своей естественной власти, которой они обладают, обществу (государству) с целью иметь арбитра для защиты собственности. Они делают это на основе добровольного соглашения. Политическое общество и гражданское общество у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 одно и то же [13, с. 311]. Учёный выделяет две формы организации человеческой активности – естественное состояние и гражданское общество/политическое общество/ государство. Гражданское общество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не определяет однозначно, лишь периодически используя этот термин в своих работах при характеристике ситуации после естественного состояния. Однако, конкретных случаев, когда требуется, по его мнению, использовать термин «государство», когда – «гражданское общество»,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не указывает.</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Кроме вышеизложенного,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высказывал такие идеи как: 1) негосударственные организации внутри государства нежелательны, так как они препятствуют единению последнего и не способствуют выработке единого направления развития. То есть, учёный выступал против создания институтов гражданского общества; 2) индивиды объединяются в сообщества, чтобы защититься от других индивидов [13, с. 311], противопоставляя участников объединения тем, кто не вовлечён в процесс. При вовлечении одну из ключевых ролей играет доверие участников друг к другу, что в XXI веке будет рассматриваться как весьма важный фактор.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Cs/>
          <w:sz w:val="28"/>
          <w:lang w:val="fr-FR"/>
        </w:rPr>
        <w:t>J.-J. Rousseau</w:t>
      </w:r>
      <w:r w:rsidRPr="00780172">
        <w:rPr>
          <w:rFonts w:ascii="Times New Roman" w:eastAsia="Calibri" w:hAnsi="Times New Roman" w:cs="Times New Roman"/>
          <w:sz w:val="28"/>
        </w:rPr>
        <w:t xml:space="preserve"> упоминает в своих трудах термин «гражданское общество» [14, с. 9]. В его трактовке – это община граждан, которые обладают </w:t>
      </w:r>
      <w:r w:rsidRPr="00780172">
        <w:rPr>
          <w:rFonts w:ascii="Times New Roman" w:eastAsia="Calibri" w:hAnsi="Times New Roman" w:cs="Times New Roman"/>
          <w:sz w:val="28"/>
        </w:rPr>
        <w:lastRenderedPageBreak/>
        <w:t xml:space="preserve">определёнными правами. Члены гражданского общества не обладают обязательствами по отношению к общине, в отличие от подданных государства, которые такие обязательства несут согласно общественному договору. При этом участники гражданского общества у </w:t>
      </w:r>
      <w:r w:rsidRPr="00780172">
        <w:rPr>
          <w:rFonts w:ascii="Times New Roman" w:eastAsia="Calibri" w:hAnsi="Times New Roman" w:cs="Times New Roman"/>
          <w:iCs/>
          <w:sz w:val="28"/>
          <w:lang w:val="fr-FR"/>
        </w:rPr>
        <w:t>J.-J. Rousseau</w:t>
      </w:r>
      <w:r w:rsidRPr="00780172">
        <w:rPr>
          <w:rFonts w:ascii="Times New Roman" w:eastAsia="Calibri" w:hAnsi="Times New Roman" w:cs="Times New Roman"/>
          <w:sz w:val="28"/>
        </w:rPr>
        <w:t xml:space="preserve"> именуются «гражданами», но не «подданными» [14, с. 26]. Община, то есть, гражданское общество, стремится контролировать граждан с целью добиться исполнения обязательств, принятых в её рамках.</w:t>
      </w:r>
    </w:p>
    <w:p w:rsidR="00780172" w:rsidRPr="00780172" w:rsidRDefault="00780172" w:rsidP="00780172">
      <w:pPr>
        <w:spacing w:after="0" w:line="240" w:lineRule="auto"/>
        <w:ind w:firstLine="709"/>
        <w:jc w:val="both"/>
        <w:rPr>
          <w:rFonts w:ascii="Times New Roman" w:eastAsia="Calibri" w:hAnsi="Times New Roman" w:cs="Times New Roman"/>
          <w:bCs/>
          <w:sz w:val="28"/>
        </w:rPr>
      </w:pPr>
      <w:r w:rsidRPr="00780172">
        <w:rPr>
          <w:rFonts w:ascii="Times New Roman" w:eastAsia="Calibri" w:hAnsi="Times New Roman" w:cs="Times New Roman"/>
          <w:iCs/>
          <w:sz w:val="28"/>
          <w:lang w:val="fr-FR"/>
        </w:rPr>
        <w:t>Ch. L. de Montesquieu</w:t>
      </w:r>
      <w:r w:rsidRPr="00780172">
        <w:rPr>
          <w:rFonts w:ascii="Times New Roman" w:eastAsia="Calibri" w:hAnsi="Times New Roman" w:cs="Times New Roman"/>
          <w:sz w:val="28"/>
        </w:rPr>
        <w:t xml:space="preserve"> во многом обобщает идеи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и </w:t>
      </w:r>
      <w:r w:rsidRPr="00780172">
        <w:rPr>
          <w:rFonts w:ascii="Times New Roman" w:eastAsia="Calibri" w:hAnsi="Times New Roman" w:cs="Times New Roman"/>
          <w:iCs/>
          <w:sz w:val="28"/>
          <w:lang w:val="fr-FR"/>
        </w:rPr>
        <w:t>J.-J. Rousseau</w:t>
      </w:r>
      <w:r w:rsidRPr="00780172">
        <w:rPr>
          <w:rFonts w:ascii="Times New Roman" w:eastAsia="Calibri" w:hAnsi="Times New Roman" w:cs="Times New Roman"/>
          <w:sz w:val="28"/>
        </w:rPr>
        <w:t xml:space="preserve"> с точки зрения неразделения терминов «государство» и «гражданское общество». Он описывает гражданское общество как сферу, включающую законы, право собственности, обычаи и нравы </w:t>
      </w:r>
      <w:r w:rsidRPr="00780172">
        <w:rPr>
          <w:rFonts w:ascii="Times New Roman" w:eastAsia="Calibri" w:hAnsi="Times New Roman" w:cs="Times New Roman"/>
          <w:bCs/>
          <w:sz w:val="28"/>
        </w:rPr>
        <w:t>[15, с. 83]</w:t>
      </w:r>
      <w:r w:rsidRPr="00780172">
        <w:rPr>
          <w:rFonts w:ascii="Times New Roman" w:eastAsia="Calibri" w:hAnsi="Times New Roman" w:cs="Times New Roman"/>
          <w:sz w:val="28"/>
        </w:rPr>
        <w:t>. Учёный вводит новый термин «</w:t>
      </w:r>
      <w:r w:rsidRPr="00780172">
        <w:rPr>
          <w:rFonts w:ascii="Times New Roman" w:eastAsia="Calibri" w:hAnsi="Times New Roman" w:cs="Times New Roman"/>
          <w:bCs/>
          <w:sz w:val="28"/>
        </w:rPr>
        <w:t xml:space="preserve">corps intermédiaires» или «промежуточные корпорации», которые можно считать примитивным пониманием институтов </w:t>
      </w:r>
      <w:r w:rsidRPr="00780172">
        <w:rPr>
          <w:rFonts w:ascii="Times New Roman" w:eastAsia="Calibri" w:hAnsi="Times New Roman" w:cs="Times New Roman"/>
          <w:sz w:val="28"/>
        </w:rPr>
        <w:t>гражданского общества</w:t>
      </w:r>
      <w:r w:rsidRPr="00780172">
        <w:rPr>
          <w:rFonts w:ascii="Times New Roman" w:eastAsia="Calibri" w:hAnsi="Times New Roman" w:cs="Times New Roman"/>
          <w:bCs/>
          <w:sz w:val="28"/>
        </w:rPr>
        <w:t xml:space="preserve"> [15, с. 113]. Данные «корпорации» сдерживают неограниченную власть государства и одновременно позволяют реализоваться политическим свободам их участников [15, с. 114].</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bCs/>
          <w:sz w:val="28"/>
          <w:lang w:val="en-US"/>
        </w:rPr>
        <w:t>I</w:t>
      </w:r>
      <w:r w:rsidRPr="00780172">
        <w:rPr>
          <w:rFonts w:ascii="Times New Roman" w:eastAsia="Calibri" w:hAnsi="Times New Roman" w:cs="Times New Roman"/>
          <w:bCs/>
          <w:sz w:val="28"/>
        </w:rPr>
        <w:t xml:space="preserve">. </w:t>
      </w:r>
      <w:r w:rsidRPr="00780172">
        <w:rPr>
          <w:rFonts w:ascii="Times New Roman" w:eastAsia="Calibri" w:hAnsi="Times New Roman" w:cs="Times New Roman"/>
          <w:bCs/>
          <w:sz w:val="28"/>
          <w:lang w:val="en-US"/>
        </w:rPr>
        <w:t>Kant</w:t>
      </w:r>
      <w:r w:rsidRPr="00780172">
        <w:rPr>
          <w:rFonts w:ascii="Times New Roman" w:eastAsia="Calibri" w:hAnsi="Times New Roman" w:cs="Times New Roman"/>
          <w:bCs/>
          <w:sz w:val="28"/>
        </w:rPr>
        <w:t xml:space="preserve"> вводит понятие «</w:t>
      </w:r>
      <w:r w:rsidRPr="00780172">
        <w:rPr>
          <w:rFonts w:ascii="Times New Roman" w:eastAsia="Calibri" w:hAnsi="Times New Roman" w:cs="Times New Roman"/>
          <w:sz w:val="28"/>
        </w:rPr>
        <w:t>bürgerliche Gesellschaft» или «гражданское общество», или «гражданско-правовое состояние» [16, с. 5-15]. Наряду с вышеизложенными точками зрения, учёный добавляет необходимость морального долга, который нужно исполнить при переходе к гражданскому обществу, заявляя, что такой акт не может быть добровольным выбором [16, с. 5-15].</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Таким образом, в основе идеи гражданского общества, выработанной в рамках классического политического либерализма, лежат такие категории как </w:t>
      </w:r>
      <w:r w:rsidRPr="00780172">
        <w:rPr>
          <w:rFonts w:ascii="Times New Roman" w:eastAsia="Calibri" w:hAnsi="Times New Roman" w:cs="Times New Roman"/>
          <w:i/>
          <w:sz w:val="28"/>
        </w:rPr>
        <w:t>свобода, право, долг, ограничение деспотизма верховной власти государства, защита собственности</w:t>
      </w:r>
      <w:r w:rsidRPr="00780172">
        <w:rPr>
          <w:rFonts w:ascii="Times New Roman" w:eastAsia="Calibri" w:hAnsi="Times New Roman" w:cs="Times New Roman"/>
          <w:sz w:val="28"/>
        </w:rPr>
        <w:t>. Идея гражданского общества зарождается в умах учёных-теоретиков в связи со стремлением объединить все вышеизложенные категории и построить теоретический конструкт, способный служить развитию общества и государства одновременно [17, с. 66].</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Ретроспективный анализ попыток выработки определения термина «гражданское общество» продолжается рассмотрением</w:t>
      </w:r>
      <w:r w:rsidRPr="00780172">
        <w:rPr>
          <w:rFonts w:ascii="Times New Roman" w:eastAsia="Calibri" w:hAnsi="Times New Roman" w:cs="Times New Roman"/>
          <w:i/>
          <w:sz w:val="28"/>
        </w:rPr>
        <w:t xml:space="preserve"> пяти различных подходов к гражданскому обществу с точки зрения уровня развития общественных отношений</w:t>
      </w:r>
      <w:r w:rsidRPr="00780172">
        <w:rPr>
          <w:rFonts w:ascii="Times New Roman" w:eastAsia="Calibri" w:hAnsi="Times New Roman" w:cs="Times New Roman"/>
          <w:sz w:val="28"/>
        </w:rPr>
        <w:t>.</w:t>
      </w:r>
    </w:p>
    <w:p w:rsidR="00780172" w:rsidRPr="00780172" w:rsidRDefault="00780172" w:rsidP="008465D6">
      <w:pPr>
        <w:numPr>
          <w:ilvl w:val="0"/>
          <w:numId w:val="17"/>
        </w:numPr>
        <w:spacing w:after="0" w:line="240" w:lineRule="auto"/>
        <w:ind w:left="0" w:firstLine="709"/>
        <w:jc w:val="both"/>
        <w:rPr>
          <w:rFonts w:ascii="Times New Roman" w:eastAsia="Calibri" w:hAnsi="Times New Roman" w:cs="Times New Roman"/>
          <w:sz w:val="28"/>
        </w:rPr>
      </w:pPr>
      <w:r w:rsidRPr="00780172">
        <w:rPr>
          <w:rFonts w:ascii="Times New Roman" w:eastAsia="Calibri" w:hAnsi="Times New Roman" w:cs="Times New Roman"/>
          <w:i/>
          <w:sz w:val="28"/>
        </w:rPr>
        <w:t xml:space="preserve">Первый (с исторической точки зрения) и наиболее базовый подход рассматривает гражданское общество как продукт городской среды </w:t>
      </w:r>
      <w:r w:rsidRPr="00780172">
        <w:rPr>
          <w:rFonts w:ascii="Times New Roman" w:eastAsia="Calibri" w:hAnsi="Times New Roman" w:cs="Times New Roman"/>
          <w:sz w:val="28"/>
        </w:rPr>
        <w:t>[18, р. 312]. Люди в городах занимались торговлей, ремёслами, активно общались между собой, в том числе с незнакомцами. Именно в городах возникали условия для сотрудничества людей, не связанных родственными узами. В средневековой Европе в городской среде были распространены различные объединения (гильдии купцов и ремесленников), которые нередко участвовали в городском управлении.  Кроме того, светские университеты, возникшие в городах, стали основой для развития различных молодёжных клубов, объединений и ассоциаций, так как включали в себя наиболее образованную молодёжь того времени [18, р. 312].</w:t>
      </w:r>
    </w:p>
    <w:p w:rsidR="00780172" w:rsidRPr="00780172" w:rsidRDefault="00780172" w:rsidP="008465D6">
      <w:pPr>
        <w:numPr>
          <w:ilvl w:val="0"/>
          <w:numId w:val="17"/>
        </w:numPr>
        <w:spacing w:after="0" w:line="240" w:lineRule="auto"/>
        <w:ind w:left="0" w:firstLine="709"/>
        <w:jc w:val="both"/>
        <w:rPr>
          <w:rFonts w:ascii="Times New Roman" w:eastAsia="Calibri" w:hAnsi="Times New Roman" w:cs="Times New Roman"/>
          <w:sz w:val="28"/>
        </w:rPr>
      </w:pPr>
      <w:r w:rsidRPr="00780172">
        <w:rPr>
          <w:rFonts w:ascii="Times New Roman" w:eastAsia="Calibri" w:hAnsi="Times New Roman" w:cs="Times New Roman"/>
          <w:i/>
          <w:sz w:val="28"/>
        </w:rPr>
        <w:lastRenderedPageBreak/>
        <w:t xml:space="preserve">Второй подход акцентирует внимание на рыночной экономике и настаивает, что функциональное гражданское общество появилось лишь в эпоху капитализма </w:t>
      </w:r>
      <w:r w:rsidRPr="00780172">
        <w:rPr>
          <w:rFonts w:ascii="Times New Roman" w:eastAsia="Calibri" w:hAnsi="Times New Roman" w:cs="Times New Roman"/>
          <w:sz w:val="28"/>
        </w:rPr>
        <w:t xml:space="preserve">[18, р. 313]. При капитализме роль государства минимизируется, вырастает роль частных предпринимателей. Гражданское общество возникает, прежде всего, в среде представителей бизнеса, обладающих частной собственностью [18, р. 313]. </w:t>
      </w:r>
      <w:r w:rsidRPr="00780172">
        <w:rPr>
          <w:rFonts w:ascii="Times New Roman" w:eastAsia="Calibri" w:hAnsi="Times New Roman" w:cs="Times New Roman"/>
          <w:sz w:val="28"/>
          <w:lang w:val="en-US"/>
        </w:rPr>
        <w:t>A</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Smith</w:t>
      </w:r>
      <w:r w:rsidRPr="00780172">
        <w:rPr>
          <w:rFonts w:ascii="Times New Roman" w:eastAsia="Calibri" w:hAnsi="Times New Roman" w:cs="Times New Roman"/>
          <w:sz w:val="28"/>
        </w:rPr>
        <w:t xml:space="preserve"> был сторонником данного подхода. Его основные идеи включают в себя следующее: 1) Рыночная экономика способствует разделению труда, за счёт чего в обществе появляются новые социальные группы; 2) Их представители могут объединяться по профессиональному признаку, создавать ассоциации с тем, чтобы облегчить свою деятельность в конкретной сфере экономики; 3) Эгоистический интерес – это основа рыночной экономики и гражданского общества. Он является мощным стимулом для образования ассоциаций; 4) Гуманизм, альтруизм и мораль – лишь утопические абстракции, которые не способны стимулировать объединение индивидов в ассоциации на практике; 5) Экономическое неравенство – непременное условие для развития институтов гражданского общества, однако, оно не должно быть слишком большим, иначе исчезает гарантия свободы и безопасности индивидов [19, с. 52-57].</w:t>
      </w:r>
    </w:p>
    <w:p w:rsidR="00780172" w:rsidRPr="00780172" w:rsidRDefault="00780172" w:rsidP="008465D6">
      <w:pPr>
        <w:numPr>
          <w:ilvl w:val="0"/>
          <w:numId w:val="17"/>
        </w:numPr>
        <w:spacing w:after="0" w:line="240" w:lineRule="auto"/>
        <w:ind w:left="0" w:firstLine="709"/>
        <w:jc w:val="both"/>
        <w:rPr>
          <w:rFonts w:ascii="Times New Roman" w:eastAsia="Calibri" w:hAnsi="Times New Roman" w:cs="Times New Roman"/>
          <w:sz w:val="28"/>
        </w:rPr>
      </w:pPr>
      <w:r w:rsidRPr="00780172">
        <w:rPr>
          <w:rFonts w:ascii="Times New Roman" w:eastAsia="Calibri" w:hAnsi="Times New Roman" w:cs="Times New Roman"/>
          <w:i/>
          <w:sz w:val="28"/>
        </w:rPr>
        <w:t>Третий подход предполагает, что гражданское общество представляет собой форму коллективного выбора граждан государства, автономную от него</w:t>
      </w:r>
      <w:r w:rsidRPr="00780172">
        <w:rPr>
          <w:rFonts w:ascii="Times New Roman" w:eastAsia="Calibri" w:hAnsi="Times New Roman" w:cs="Times New Roman"/>
          <w:sz w:val="28"/>
        </w:rPr>
        <w:t>. Граждане осознанно и целенаправленно создают добровольные группы и ассоциации [20, р. 313]. Гражданское общество воспринимается как сеть мелких гражданских объединений для решения локальных проблем.</w:t>
      </w:r>
    </w:p>
    <w:p w:rsidR="00780172" w:rsidRPr="00780172" w:rsidRDefault="00780172" w:rsidP="008465D6">
      <w:pPr>
        <w:numPr>
          <w:ilvl w:val="0"/>
          <w:numId w:val="17"/>
        </w:numPr>
        <w:spacing w:after="0" w:line="240" w:lineRule="auto"/>
        <w:ind w:left="0" w:firstLine="709"/>
        <w:jc w:val="both"/>
        <w:rPr>
          <w:rFonts w:ascii="Times New Roman" w:eastAsia="Calibri" w:hAnsi="Times New Roman" w:cs="Times New Roman"/>
          <w:sz w:val="28"/>
        </w:rPr>
      </w:pPr>
      <w:r w:rsidRPr="00780172">
        <w:rPr>
          <w:rFonts w:ascii="Times New Roman" w:eastAsia="Calibri" w:hAnsi="Times New Roman" w:cs="Times New Roman"/>
          <w:i/>
          <w:sz w:val="28"/>
        </w:rPr>
        <w:t xml:space="preserve">Четвёртый подход предполагает существование гражданского общества как сферы, зависящей от государства, как некоего промежуточного исторического этапа от семьи к государству </w:t>
      </w:r>
      <w:r w:rsidRPr="00780172">
        <w:rPr>
          <w:rFonts w:ascii="Times New Roman" w:eastAsia="Calibri" w:hAnsi="Times New Roman" w:cs="Times New Roman"/>
          <w:sz w:val="28"/>
        </w:rPr>
        <w:t xml:space="preserve">[21, с. 226]. Именно в этом ключе его изучал </w:t>
      </w:r>
      <w:r w:rsidRPr="00780172">
        <w:rPr>
          <w:rFonts w:ascii="Times New Roman" w:eastAsia="Calibri" w:hAnsi="Times New Roman" w:cs="Times New Roman"/>
          <w:iCs/>
          <w:sz w:val="28"/>
          <w:lang w:val="de-DE"/>
        </w:rPr>
        <w:t>G. Hegel</w:t>
      </w:r>
      <w:r w:rsidRPr="00780172">
        <w:rPr>
          <w:rFonts w:ascii="Times New Roman" w:eastAsia="Calibri" w:hAnsi="Times New Roman" w:cs="Times New Roman"/>
          <w:sz w:val="28"/>
        </w:rPr>
        <w:t xml:space="preserve">. Он впервые ввёл в политологию понятие «гражданское общество».  В своей работе «Философия права» он рассуждает о взаимодействии индивида, общества, государства и различных форм объединения людей, таких как семья, корпорация. В целом, </w:t>
      </w:r>
      <w:r w:rsidRPr="00780172">
        <w:rPr>
          <w:rFonts w:ascii="Times New Roman" w:eastAsia="Calibri" w:hAnsi="Times New Roman" w:cs="Times New Roman"/>
          <w:iCs/>
          <w:sz w:val="28"/>
          <w:lang w:val="de-DE"/>
        </w:rPr>
        <w:t>G. Hegel</w:t>
      </w:r>
      <w:r w:rsidRPr="00780172">
        <w:rPr>
          <w:rFonts w:ascii="Times New Roman" w:eastAsia="Calibri" w:hAnsi="Times New Roman" w:cs="Times New Roman"/>
          <w:sz w:val="28"/>
        </w:rPr>
        <w:t xml:space="preserve"> отрицательно относится к гражданскому обществу как к потенциальному варианту ассоциации индивидов, мотивируя это тем, что «в гражданском обществе каждый для себя – цель, всё остальное для него ничто» [21, с. 228]. Для </w:t>
      </w:r>
      <w:r w:rsidRPr="00780172">
        <w:rPr>
          <w:rFonts w:ascii="Times New Roman" w:eastAsia="Calibri" w:hAnsi="Times New Roman" w:cs="Times New Roman"/>
          <w:iCs/>
          <w:sz w:val="28"/>
          <w:lang w:val="de-DE"/>
        </w:rPr>
        <w:t>G. Hegel</w:t>
      </w:r>
      <w:r w:rsidRPr="00780172">
        <w:rPr>
          <w:rFonts w:ascii="Times New Roman" w:eastAsia="Calibri" w:hAnsi="Times New Roman" w:cs="Times New Roman"/>
          <w:sz w:val="28"/>
        </w:rPr>
        <w:t xml:space="preserve"> самое главное в гражданском обществе – достижение общих целей, благополучие всех, но не отдельного индивида. Он относит к гражданскому обществу определённые категории граждан, а именно: 1) имеющих частную собственность; 2) образованных; 3) знающих законы [21, с. 264]. Несмотря на то, что определение гражданского общества как такового у </w:t>
      </w:r>
      <w:r w:rsidRPr="00780172">
        <w:rPr>
          <w:rFonts w:ascii="Times New Roman" w:eastAsia="Calibri" w:hAnsi="Times New Roman" w:cs="Times New Roman"/>
          <w:iCs/>
          <w:sz w:val="28"/>
          <w:lang w:val="de-DE"/>
        </w:rPr>
        <w:t>G. Hegel</w:t>
      </w:r>
      <w:r w:rsidRPr="00780172">
        <w:rPr>
          <w:rFonts w:ascii="Times New Roman" w:eastAsia="Calibri" w:hAnsi="Times New Roman" w:cs="Times New Roman"/>
          <w:sz w:val="28"/>
        </w:rPr>
        <w:t xml:space="preserve"> довольно расплывчато, наблюдается дифференциация понятий «общество», «гражданское общество», «государство».</w:t>
      </w:r>
    </w:p>
    <w:p w:rsidR="00780172" w:rsidRPr="00780172" w:rsidRDefault="00780172" w:rsidP="008465D6">
      <w:pPr>
        <w:numPr>
          <w:ilvl w:val="0"/>
          <w:numId w:val="17"/>
        </w:numPr>
        <w:spacing w:after="0" w:line="240" w:lineRule="auto"/>
        <w:ind w:left="0" w:firstLine="709"/>
        <w:jc w:val="both"/>
        <w:rPr>
          <w:rFonts w:ascii="Times New Roman" w:eastAsia="Calibri" w:hAnsi="Times New Roman" w:cs="Times New Roman"/>
          <w:sz w:val="28"/>
        </w:rPr>
      </w:pPr>
      <w:r w:rsidRPr="00780172">
        <w:rPr>
          <w:rFonts w:ascii="Times New Roman" w:eastAsia="Calibri" w:hAnsi="Times New Roman" w:cs="Times New Roman"/>
          <w:i/>
          <w:sz w:val="28"/>
        </w:rPr>
        <w:t>Пятый подход имеет отношение к уровню культурного развития</w:t>
      </w:r>
      <w:r w:rsidRPr="00780172">
        <w:rPr>
          <w:rFonts w:ascii="Times New Roman" w:eastAsia="Calibri" w:hAnsi="Times New Roman" w:cs="Times New Roman"/>
          <w:sz w:val="28"/>
        </w:rPr>
        <w:t xml:space="preserve">. Пионером здесь был </w:t>
      </w:r>
      <w:r w:rsidRPr="00780172">
        <w:rPr>
          <w:rFonts w:ascii="Times New Roman" w:eastAsia="Calibri" w:hAnsi="Times New Roman" w:cs="Times New Roman"/>
          <w:iCs/>
          <w:sz w:val="28"/>
          <w:lang w:val="fr-FR"/>
        </w:rPr>
        <w:t>Ch. L. de Montesquieu</w:t>
      </w:r>
      <w:r w:rsidRPr="00780172">
        <w:rPr>
          <w:rFonts w:ascii="Times New Roman" w:eastAsia="Calibri" w:hAnsi="Times New Roman" w:cs="Times New Roman"/>
          <w:sz w:val="28"/>
        </w:rPr>
        <w:t xml:space="preserve">, который утверждал, что именно «дух» закона способен влиять на индивидов, институты и материальные условия жизни обществ. Как и многие его современники, </w:t>
      </w:r>
      <w:r w:rsidRPr="00780172">
        <w:rPr>
          <w:rFonts w:ascii="Times New Roman" w:eastAsia="Calibri" w:hAnsi="Times New Roman" w:cs="Times New Roman"/>
          <w:iCs/>
          <w:sz w:val="28"/>
          <w:lang w:val="fr-FR"/>
        </w:rPr>
        <w:t>Ch. L. de Montesquieu</w:t>
      </w:r>
      <w:r w:rsidRPr="00780172">
        <w:rPr>
          <w:rFonts w:ascii="Times New Roman" w:eastAsia="Calibri" w:hAnsi="Times New Roman" w:cs="Times New Roman"/>
          <w:sz w:val="28"/>
        </w:rPr>
        <w:t xml:space="preserve"> не был </w:t>
      </w:r>
      <w:r w:rsidRPr="00780172">
        <w:rPr>
          <w:rFonts w:ascii="Times New Roman" w:eastAsia="Calibri" w:hAnsi="Times New Roman" w:cs="Times New Roman"/>
          <w:sz w:val="28"/>
        </w:rPr>
        <w:lastRenderedPageBreak/>
        <w:t xml:space="preserve">сторонником создания каких-либо организаций, защищающих интересы одной группы людей [15, с. 112]. Единый уровень культуры индивидов способен создавать платформу для формирования ассоциаций, преодолевая остальные разделительные линии, такие как классовая, профессиональная, гендерная, этническая, конфессиональная принадлежность [18, р. 315].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Таким образом, все вышеизложенные взгляды и модели гражданского общества можно объединить в три кластера:</w:t>
      </w:r>
    </w:p>
    <w:p w:rsidR="00780172" w:rsidRPr="00780172" w:rsidRDefault="00780172" w:rsidP="008465D6">
      <w:pPr>
        <w:numPr>
          <w:ilvl w:val="0"/>
          <w:numId w:val="26"/>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Гражданская утопия</w:t>
      </w:r>
      <w:r w:rsidRPr="00780172">
        <w:rPr>
          <w:rFonts w:ascii="Times New Roman" w:eastAsia="Calibri" w:hAnsi="Times New Roman" w:cs="Times New Roman"/>
          <w:sz w:val="28"/>
        </w:rPr>
        <w:t xml:space="preserve"> – это идеализированные представления о гражданском обществе, возводящие в абсолют человеческий разум, способность к добровольному самоограничению, умение поступиться собственными интересами ради общей цели. В качестве примера можно привести теорию Платона об идеальном государстве (в античности государство и гражданское общество категориально не разграничивались), учение Аристотеля, </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идеи </w:t>
      </w:r>
      <w:r w:rsidRPr="00780172">
        <w:rPr>
          <w:rFonts w:ascii="Times New Roman" w:eastAsia="Calibri" w:hAnsi="Times New Roman" w:cs="Times New Roman"/>
          <w:sz w:val="28"/>
          <w:lang w:val="en-US"/>
        </w:rPr>
        <w:t>T</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More</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T</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it-IT"/>
        </w:rPr>
        <w:t>Campanella</w:t>
      </w:r>
      <w:r w:rsidRPr="00780172">
        <w:rPr>
          <w:rFonts w:ascii="Times New Roman" w:eastAsia="Calibri" w:hAnsi="Times New Roman" w:cs="Times New Roman"/>
          <w:sz w:val="28"/>
        </w:rPr>
        <w:t>, H. de Saint-Simon и других представителей утопического социализма. Идеалистические воззрения утопистов невозможно реализовать на практике в том виде, в каком они были высказаны. Тем не менее, гражданская утопия стимулирует научный поиск, определяет некий идеал, на котором можно базировать дальнейший анализ [17, с. 52].</w:t>
      </w:r>
    </w:p>
    <w:p w:rsidR="00780172" w:rsidRPr="00780172" w:rsidRDefault="00780172" w:rsidP="008465D6">
      <w:pPr>
        <w:numPr>
          <w:ilvl w:val="0"/>
          <w:numId w:val="26"/>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Гражданская идеология</w:t>
      </w:r>
      <w:r w:rsidRPr="00780172">
        <w:rPr>
          <w:rFonts w:ascii="Times New Roman" w:eastAsia="Calibri" w:hAnsi="Times New Roman" w:cs="Times New Roman"/>
          <w:sz w:val="28"/>
        </w:rPr>
        <w:t xml:space="preserve"> представляет гражданское общество как модель развития политических отношений между властью и обществом. В эту категорию можно отнести более реалистичные концепции таких философов и политологов, как </w:t>
      </w:r>
      <w:r w:rsidRPr="00780172">
        <w:rPr>
          <w:rFonts w:ascii="Times New Roman" w:eastAsia="Calibri" w:hAnsi="Times New Roman" w:cs="Times New Roman"/>
          <w:sz w:val="28"/>
          <w:lang w:val="en-US"/>
        </w:rPr>
        <w:t>I</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Kant</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fr-FR"/>
        </w:rPr>
        <w:t>J.-J. Rousseau</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fr-FR"/>
        </w:rPr>
        <w:t>Ch. L. de Montesquieu</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de-DE"/>
        </w:rPr>
        <w:t>G. Hegel</w:t>
      </w:r>
      <w:r w:rsidRPr="00780172">
        <w:rPr>
          <w:rFonts w:ascii="Times New Roman" w:eastAsia="Calibri" w:hAnsi="Times New Roman" w:cs="Times New Roman"/>
          <w:sz w:val="28"/>
        </w:rPr>
        <w:t xml:space="preserve">, A. de Tocqueville, </w:t>
      </w:r>
      <w:r w:rsidRPr="00780172">
        <w:rPr>
          <w:rFonts w:ascii="Times New Roman" w:eastAsia="Calibri" w:hAnsi="Times New Roman" w:cs="Times New Roman"/>
          <w:sz w:val="28"/>
          <w:lang w:val="en-US"/>
        </w:rPr>
        <w:t>A</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Smith</w:t>
      </w:r>
      <w:r w:rsidRPr="00780172">
        <w:rPr>
          <w:rFonts w:ascii="Times New Roman" w:eastAsia="Calibri" w:hAnsi="Times New Roman" w:cs="Times New Roman"/>
          <w:sz w:val="28"/>
        </w:rPr>
        <w:t xml:space="preserve">, несмотря на то, что не все из них упоминали категорию «гражданское общество» в своих трудах [17, с. 60]. Гражданская идеология способствовала разрушению феодализма, становлению капиталистических отношений и формированию национальных государств в Европе, позднее в Америке. В XVIII веке теоретики относились к гражданскому обществу как к мощной деструктивной силе, уничтожавшей старый порядок отношений между властью и обществом, и стремившейся серьёзно ограничить власть государства в лице монарха. Через призму гражданской идеологии учёные рассматривали зарождающиеся институты гражданского общества, такие как выборные институты демократии, общественные объединения и ассоциации профессионального характера (гильдии, цеха купцов, клубы, религиозные объединения). </w:t>
      </w:r>
    </w:p>
    <w:p w:rsidR="00780172" w:rsidRDefault="00780172" w:rsidP="008465D6">
      <w:pPr>
        <w:numPr>
          <w:ilvl w:val="0"/>
          <w:numId w:val="26"/>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Гражданская рациональность</w:t>
      </w:r>
      <w:r w:rsidRPr="00780172">
        <w:rPr>
          <w:rFonts w:ascii="Times New Roman" w:eastAsia="Calibri" w:hAnsi="Times New Roman" w:cs="Times New Roman"/>
          <w:sz w:val="28"/>
        </w:rPr>
        <w:t xml:space="preserve"> представляет собой общественное практическое видение гражданского общества, его возможности и условия его функционирования [17, с. 73]. Особенности гражданского общества, его функциональность, востребованность и необходимость развития зависят от общественного восприятия [17, с. 78]. Гражданская рациональность разнится, в зависимости от социального класса, уровня дохода и образования индивида, а также его\её отношения к общественно-политической системе в целом. Следовательно, построение гражданской идеологии в Казахстане должно опираться на гражданскую рациональность, сформированную в рамках общественно-политических условий республики.</w:t>
      </w: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lastRenderedPageBreak/>
        <w:t>1.2.1.2 Современные трактовки понятия «гражданское общество»: дискурсивный анализ</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В современной политологии не выработано «зонтичного» определения гражданского общества. Классические теоретические модели далеко не всегда отвечают сложным и противоречивым устройствам реальных обществ и государств, особенно, в случае, если подобные модели, будучи разработанными в определённое время и в рамках определённой парадигмы, применяются к государствам, не отвечающим генеральным принципам этой парадигмы [18, р. 302].</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Исследуются особенности гражданского общества в современной западной политологической традиции</w:t>
      </w:r>
      <w:r w:rsidRPr="00780172">
        <w:rPr>
          <w:rFonts w:ascii="Times New Roman" w:eastAsia="Calibri" w:hAnsi="Times New Roman" w:cs="Times New Roman"/>
          <w:sz w:val="28"/>
        </w:rPr>
        <w:t xml:space="preserve">. В источниках, релевантных для темы диссертационного исследования, гражданское общество описывается как некая система или сеть добровольных низовых ассоциаций, которые самостоятельно регулируют свою деятельность, их свободный доступ в политическую сферу, что означает возможность оказывать влияние на процесс принятия политических решений, а также осуществлять управление на низовом уровне [18, р. 303]. В частности, существуют следующие определения термина «гражданское общество», разработанные современными исследователями. </w:t>
      </w:r>
      <w:r w:rsidRPr="00780172">
        <w:rPr>
          <w:rFonts w:ascii="Times New Roman" w:eastAsia="Calibri" w:hAnsi="Times New Roman" w:cs="Times New Roman"/>
          <w:i/>
          <w:sz w:val="28"/>
        </w:rPr>
        <w:t>Гражданское общество – это сфера добровольных, непринудительных ассоциаций, взаимодействующих с индивидами и государством, где люди принимают участие в коллективном действии, направленном на достижение правовых, общественных, гуманитарных целей и относительно независимая от государства и экономики</w:t>
      </w:r>
      <w:r w:rsidRPr="00780172">
        <w:rPr>
          <w:rFonts w:ascii="Times New Roman" w:eastAsia="Calibri" w:hAnsi="Times New Roman" w:cs="Times New Roman"/>
          <w:sz w:val="28"/>
        </w:rPr>
        <w:t xml:space="preserve"> [18, р. 304]. Степень «добровольности», «независимости» институтов гражданского общества, их «цели», то есть их реальное наполнение являются наиболее дискуссионными вопросами в рамках данной дефиниции. </w:t>
      </w:r>
      <w:r w:rsidRPr="00780172">
        <w:rPr>
          <w:rFonts w:ascii="Times New Roman" w:eastAsia="Calibri" w:hAnsi="Times New Roman" w:cs="Times New Roman"/>
          <w:i/>
          <w:sz w:val="28"/>
        </w:rPr>
        <w:t>Гражданское общество – это пространство добровольных ассоциаций и вид деятельности, который существует относительно автономно и независимо от государства и экономического сектора</w:t>
      </w:r>
      <w:r w:rsidRPr="00780172">
        <w:rPr>
          <w:rFonts w:ascii="Times New Roman" w:eastAsia="Calibri" w:hAnsi="Times New Roman" w:cs="Times New Roman"/>
          <w:sz w:val="28"/>
        </w:rPr>
        <w:t xml:space="preserve"> [22, p. 30]. С точки зрения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Putnam</w:t>
      </w:r>
      <w:r w:rsidRPr="00780172">
        <w:rPr>
          <w:rFonts w:ascii="Times New Roman" w:eastAsia="Calibri" w:hAnsi="Times New Roman" w:cs="Times New Roman"/>
          <w:sz w:val="28"/>
        </w:rPr>
        <w:t xml:space="preserve">, </w:t>
      </w:r>
      <w:r w:rsidRPr="00780172">
        <w:rPr>
          <w:rFonts w:ascii="Times New Roman" w:eastAsia="Calibri" w:hAnsi="Times New Roman" w:cs="Times New Roman"/>
          <w:i/>
          <w:sz w:val="28"/>
        </w:rPr>
        <w:t xml:space="preserve">действенное гражданское общество характеризуется большим количеством добровольных ассоциаций разного направления деятельности, которые обеспечивают возможности вовлечения граждан в дела ассоциаций для решения локальных проблем и являются площадкой для участия в политическом процессе </w:t>
      </w:r>
      <w:r w:rsidRPr="00780172">
        <w:rPr>
          <w:rFonts w:ascii="Times New Roman" w:eastAsia="Calibri" w:hAnsi="Times New Roman" w:cs="Times New Roman"/>
          <w:sz w:val="28"/>
        </w:rPr>
        <w:t xml:space="preserve">[7, р. 32]. </w:t>
      </w:r>
      <w:r w:rsidRPr="00780172">
        <w:rPr>
          <w:rFonts w:ascii="Times New Roman" w:eastAsia="Times New Roman" w:hAnsi="Times New Roman" w:cs="Times New Roman"/>
          <w:iCs/>
          <w:sz w:val="28"/>
          <w:lang w:val="de-DE" w:eastAsia="ru-RU"/>
        </w:rPr>
        <w:t>J. Habermas</w:t>
      </w:r>
      <w:r w:rsidRPr="00780172">
        <w:rPr>
          <w:rFonts w:ascii="Times New Roman" w:eastAsia="Calibri" w:hAnsi="Times New Roman" w:cs="Times New Roman"/>
          <w:sz w:val="28"/>
        </w:rPr>
        <w:t xml:space="preserve"> так определял </w:t>
      </w:r>
      <w:r w:rsidRPr="00780172">
        <w:rPr>
          <w:rFonts w:ascii="Times New Roman" w:eastAsia="Calibri" w:hAnsi="Times New Roman" w:cs="Times New Roman"/>
          <w:i/>
          <w:sz w:val="28"/>
        </w:rPr>
        <w:t>гражданское общество: это открытая и инклюзивная сеть пересекающихся субкультур и их носителей, имеющая непостоянный характер и нечёткие социальные границы</w:t>
      </w:r>
      <w:r w:rsidRPr="00780172">
        <w:rPr>
          <w:rFonts w:ascii="Times New Roman" w:eastAsia="Calibri" w:hAnsi="Times New Roman" w:cs="Times New Roman"/>
          <w:sz w:val="28"/>
        </w:rPr>
        <w:t xml:space="preserve"> [23, р. 225].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Таким образом, основными чертами современного термина «гражданское общество» в западной традиции политической науки являются следующие:</w:t>
      </w:r>
      <w:r w:rsidRPr="00780172">
        <w:rPr>
          <w:rFonts w:ascii="Times New Roman" w:eastAsia="Calibri" w:hAnsi="Times New Roman" w:cs="Times New Roman"/>
          <w:sz w:val="28"/>
        </w:rPr>
        <w:t xml:space="preserve"> создание общественных объединений на основе добровольного участия индивидов и социальных групп, преобладание договорных горизонтальных связей внутри объединений, интеграция данных объединений в автономную систему на основе общей системы ценностей, создающей единое видение социального мира [20, р. 80].</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lastRenderedPageBreak/>
        <w:t xml:space="preserve">С этой точки зрения, проблема Казахстана заключается в том, что гражданское общество в стране, на данный момент, не представляет собой сеть или систему, автономную от государства и функционирующую на основании общих ценностей вовлечённых участников. В данном контексте функционируют разобщённые организации, часть из которых ориентирована преимущественно на поддержание собственного существования, а не на удовлетворение интересов своих членов; другая часть действует под государственным патронажем и формируется при его непосредственной поддержке [24, с. 85]. По-видимому, это происходит по причине недостаточно высокого уровня развития гражданской политической культуры, горизонтальных связей, доверия индивидов друг к другу, а также по причине высокого уровня давления государства на сферу гражданского общества в республике и недостаточно высоком желании самих институтов гражданского общества формировать сетевую структуру отношений внутри гражданского общества. Тем не менее, на современном этапе в Казахстане прослеживаются признаки становления гражданского общества как особого коммуникативного пространства и институциональной платформы формирования гражданской культуры, что коррелирует с концепцией </w:t>
      </w:r>
      <w:r w:rsidRPr="00780172">
        <w:rPr>
          <w:rFonts w:ascii="Times New Roman" w:eastAsia="Times New Roman" w:hAnsi="Times New Roman" w:cs="Times New Roman"/>
          <w:iCs/>
          <w:sz w:val="28"/>
          <w:lang w:val="de-DE" w:eastAsia="ru-RU"/>
        </w:rPr>
        <w:t>J. Habermas</w:t>
      </w:r>
      <w:r w:rsidRPr="00780172">
        <w:rPr>
          <w:rFonts w:ascii="Times New Roman" w:eastAsia="Calibri" w:hAnsi="Times New Roman" w:cs="Times New Roman"/>
          <w:sz w:val="28"/>
        </w:rPr>
        <w:t xml:space="preserve">, рассматривающего неправительственные и некоммерческие организации в качестве ключевой основы развития коммуникативных структур [23, с. 266-267].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 xml:space="preserve">Исследуются особенности определения термина «гражданское общество» в современной посткоммунистической политологической традиции. </w:t>
      </w:r>
      <w:r w:rsidRPr="00780172">
        <w:rPr>
          <w:rFonts w:ascii="Times New Roman" w:eastAsia="Calibri" w:hAnsi="Times New Roman" w:cs="Times New Roman"/>
          <w:sz w:val="28"/>
        </w:rPr>
        <w:t xml:space="preserve">Под «посткоммунистической политологической традицией» понимается массив вторичных источников государств Восточной Европы и СНГ. Дефиниции можно сгруппировать в три когорты: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1) </w:t>
      </w:r>
      <w:r w:rsidRPr="00780172">
        <w:rPr>
          <w:rFonts w:ascii="Times New Roman" w:eastAsia="Calibri" w:hAnsi="Times New Roman" w:cs="Times New Roman"/>
          <w:i/>
          <w:sz w:val="28"/>
        </w:rPr>
        <w:t>расплывчатые определения</w:t>
      </w:r>
      <w:r w:rsidRPr="00780172">
        <w:rPr>
          <w:rFonts w:ascii="Times New Roman" w:eastAsia="Calibri" w:hAnsi="Times New Roman" w:cs="Times New Roman"/>
          <w:sz w:val="28"/>
        </w:rPr>
        <w:t xml:space="preserve">, которые фактически не указывают, чем гражданское общество отличается от массового общества. Приведём одно из них в качестве примера. </w:t>
      </w:r>
      <w:r w:rsidRPr="00780172">
        <w:rPr>
          <w:rFonts w:ascii="Times New Roman" w:eastAsia="Calibri" w:hAnsi="Times New Roman" w:cs="Times New Roman"/>
          <w:i/>
          <w:sz w:val="28"/>
        </w:rPr>
        <w:t>Гражданское общество – это общество с развитыми экономическими, культурными, правовыми и политическими отношениями между его членами, независимое от государства, но взаимодействующее с ним, общество граждан высокого социального, экономического, политического, культурного и морального статуса, создающих совместно с государством развитые правовые отношения</w:t>
      </w:r>
      <w:r w:rsidRPr="00780172">
        <w:rPr>
          <w:rFonts w:ascii="Times New Roman" w:eastAsia="Calibri" w:hAnsi="Times New Roman" w:cs="Times New Roman"/>
          <w:sz w:val="28"/>
        </w:rPr>
        <w:t xml:space="preserve"> [25, р. 350].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2) </w:t>
      </w:r>
      <w:r w:rsidRPr="00780172">
        <w:rPr>
          <w:rFonts w:ascii="Times New Roman" w:eastAsia="Calibri" w:hAnsi="Times New Roman" w:cs="Times New Roman"/>
          <w:i/>
          <w:sz w:val="28"/>
        </w:rPr>
        <w:t>идеалистические дефиниции</w:t>
      </w:r>
      <w:r w:rsidRPr="00780172">
        <w:rPr>
          <w:rFonts w:ascii="Times New Roman" w:eastAsia="Calibri" w:hAnsi="Times New Roman" w:cs="Times New Roman"/>
          <w:sz w:val="28"/>
        </w:rPr>
        <w:t xml:space="preserve">. Параметры обозначения гражданского общества выглядят утопично и достаточно неконкретно [26, с. 83]. Например, </w:t>
      </w:r>
      <w:r w:rsidRPr="00780172">
        <w:rPr>
          <w:rFonts w:ascii="Times New Roman" w:eastAsia="Calibri" w:hAnsi="Times New Roman" w:cs="Times New Roman"/>
          <w:i/>
          <w:sz w:val="28"/>
        </w:rPr>
        <w:t xml:space="preserve">гражданское общество – это ситуация гражданственности, которая складывается там и тогда, где и когда люди находятся в универсальных отношениях с миром и друг с другом, становясь при этом представителями всего человеческого рода и поднимаясь на высоту его всеобщих интересов </w:t>
      </w:r>
      <w:r w:rsidRPr="00780172">
        <w:rPr>
          <w:rFonts w:ascii="Times New Roman" w:eastAsia="Calibri" w:hAnsi="Times New Roman" w:cs="Times New Roman"/>
          <w:sz w:val="28"/>
        </w:rPr>
        <w:t xml:space="preserve">[12, с. 164].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3) </w:t>
      </w:r>
      <w:r w:rsidRPr="00780172">
        <w:rPr>
          <w:rFonts w:ascii="Times New Roman" w:eastAsia="Calibri" w:hAnsi="Times New Roman" w:cs="Times New Roman"/>
          <w:i/>
          <w:sz w:val="28"/>
        </w:rPr>
        <w:t>реалистические определения</w:t>
      </w:r>
      <w:r w:rsidRPr="00780172">
        <w:rPr>
          <w:rFonts w:ascii="Times New Roman" w:eastAsia="Calibri" w:hAnsi="Times New Roman" w:cs="Times New Roman"/>
          <w:sz w:val="28"/>
        </w:rPr>
        <w:t xml:space="preserve"> заимствуют многое из западного политологического дискурса. В рамках данного блока дефиниций формулируется мысль о том, что гражданское общество – исключительно западный продукт, который едва ли способен развиваться в авторитарных и </w:t>
      </w:r>
      <w:r w:rsidRPr="00780172">
        <w:rPr>
          <w:rFonts w:ascii="Times New Roman" w:eastAsia="Calibri" w:hAnsi="Times New Roman" w:cs="Times New Roman"/>
          <w:sz w:val="28"/>
        </w:rPr>
        <w:lastRenderedPageBreak/>
        <w:t>постсоветских государствах [</w:t>
      </w:r>
      <w:r w:rsidRPr="00780172">
        <w:rPr>
          <w:rFonts w:ascii="Times New Roman" w:eastAsia="Calibri" w:hAnsi="Times New Roman" w:cs="Times New Roman"/>
          <w:bCs/>
          <w:sz w:val="28"/>
        </w:rPr>
        <w:t>26, с. 72</w:t>
      </w:r>
      <w:r w:rsidRPr="00780172">
        <w:rPr>
          <w:rFonts w:ascii="Times New Roman" w:eastAsia="Calibri" w:hAnsi="Times New Roman" w:cs="Times New Roman"/>
          <w:sz w:val="28"/>
        </w:rPr>
        <w:t>], поскольку социальные, экономические, политические условия, существующие в западных либерально-демократических государствах не всегда применимы к реалиям стран, не имеющих подобных условий. Тем не менее, ни одна форма гражданского общества не является эталоном. Следовательно, необходимо применять ситуационный подход и анализировать частные случаи [24, с. 85].</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 рамках диссертационного исследования и в силу вышеизложенных замечаний целесообразно задаться вопросом: </w:t>
      </w:r>
      <w:r w:rsidRPr="00780172">
        <w:rPr>
          <w:rFonts w:ascii="Times New Roman" w:eastAsia="Calibri" w:hAnsi="Times New Roman" w:cs="Times New Roman"/>
          <w:i/>
          <w:sz w:val="28"/>
        </w:rPr>
        <w:t>может ли гражданское общество существовать и быть действенным в государствах нелиберальной политической культуры?</w:t>
      </w:r>
      <w:r w:rsidRPr="00780172">
        <w:rPr>
          <w:rFonts w:ascii="Times New Roman" w:eastAsia="Calibri" w:hAnsi="Times New Roman" w:cs="Times New Roman"/>
          <w:b/>
          <w:i/>
          <w:sz w:val="28"/>
        </w:rPr>
        <w:t xml:space="preserve"> </w:t>
      </w:r>
      <w:r w:rsidRPr="00780172">
        <w:rPr>
          <w:rFonts w:ascii="Times New Roman" w:eastAsia="Calibri" w:hAnsi="Times New Roman" w:cs="Times New Roman"/>
          <w:sz w:val="28"/>
        </w:rPr>
        <w:t xml:space="preserve">Существует множество вариантов ответа на этот вопрос, которые можно обобщить в три категории [27, р. 528; 28, с. 21; 29, с. 53; 30, р. 737]: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1) </w:t>
      </w:r>
      <w:r w:rsidRPr="00780172">
        <w:rPr>
          <w:rFonts w:ascii="Times New Roman" w:eastAsia="Calibri" w:hAnsi="Times New Roman" w:cs="Times New Roman"/>
          <w:i/>
          <w:sz w:val="28"/>
        </w:rPr>
        <w:t>узкооперационализированный подход</w:t>
      </w:r>
      <w:r w:rsidRPr="00780172">
        <w:rPr>
          <w:rFonts w:ascii="Times New Roman" w:eastAsia="Calibri" w:hAnsi="Times New Roman" w:cs="Times New Roman"/>
          <w:sz w:val="28"/>
        </w:rPr>
        <w:t xml:space="preserve"> утверждает, что, будучи теоретическим и практическим продуктом цивилизации, построенной на либерально-демократических ценностях, гражданское общество может существовать лишь в государствах, разделяющих модель этой цивилизации, то есть в США и странах Западной Европы [31, р. 114];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2) </w:t>
      </w:r>
      <w:r w:rsidRPr="00780172">
        <w:rPr>
          <w:rFonts w:ascii="Times New Roman" w:eastAsia="Calibri" w:hAnsi="Times New Roman" w:cs="Times New Roman"/>
          <w:i/>
          <w:sz w:val="28"/>
        </w:rPr>
        <w:t>широкооперационализированный подход</w:t>
      </w:r>
      <w:r w:rsidRPr="00780172">
        <w:rPr>
          <w:rFonts w:ascii="Times New Roman" w:eastAsia="Calibri" w:hAnsi="Times New Roman" w:cs="Times New Roman"/>
          <w:sz w:val="28"/>
        </w:rPr>
        <w:t xml:space="preserve"> настаивает на том, что гражданское общество способно существовать в любом государстве, безотносительно его принадлежности к либеральной политической культуре, поскольку те или иные формы общественной и гражданской активности в разной степени существуют везде [32, р. 13; 33, р. 451; 34, р. 1117];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3) </w:t>
      </w:r>
      <w:r w:rsidRPr="00780172">
        <w:rPr>
          <w:rFonts w:ascii="Times New Roman" w:eastAsia="Calibri" w:hAnsi="Times New Roman" w:cs="Times New Roman"/>
          <w:i/>
          <w:sz w:val="28"/>
        </w:rPr>
        <w:t>модерационный подход</w:t>
      </w:r>
      <w:r w:rsidRPr="00780172">
        <w:rPr>
          <w:rFonts w:ascii="Times New Roman" w:eastAsia="Calibri" w:hAnsi="Times New Roman" w:cs="Times New Roman"/>
          <w:sz w:val="28"/>
        </w:rPr>
        <w:t>. С одной стороны, гражданское общество не является универсальным понятием, существующим абсолютно повсеместно. Чрезмерная экспансия содержания понятия «гражданское общество» ведёт к его концептуальной диффузии и, в конечном счёте, утрате аналитической определённости. С другой стороны, если государство модернизируется, в нём наличествуют демократические институты, наблюдается разделение властей, проводятся регулярные выборы, то социальные объединения и иные формы гражданского активизма в таком государстве можно рассматривать как «гражданское общество» без ущерба для трактовки данного термина [35, с. 68].</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Проведённый анализ показывает, что существенной проблемой посткоммунистической научной литературы о гражданском обществе выступает фрагментарность и дисперсность аналитических подходов к его осмыслению, включая трактовки его структуры, а также условий становления и развития.</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Исследуются особенности подходов к определению термина «гражданское общество» в современной казахстанской политологической традиции</w:t>
      </w:r>
      <w:r w:rsidRPr="00780172">
        <w:rPr>
          <w:rFonts w:ascii="Times New Roman" w:eastAsia="Calibri" w:hAnsi="Times New Roman" w:cs="Times New Roman"/>
          <w:sz w:val="28"/>
        </w:rPr>
        <w:t xml:space="preserve">. Массив научных исследований по данной тематике в Казахстане достаточно фрагментирован. Зачастую попытки анализа гражданского общества в Казахстане, его институтов и организаций в отечественной литературе ограничивались, по-видимому, механическим изучением имеющихся ассоциаций или иных форм коллективного действия, юридических норм, в рамках которых они действуют и которые способны выработать самостоятельно и целей общего характера, стоящих перед данными ассоциациями. Значительная </w:t>
      </w:r>
      <w:r w:rsidRPr="00780172">
        <w:rPr>
          <w:rFonts w:ascii="Times New Roman" w:eastAsia="Calibri" w:hAnsi="Times New Roman" w:cs="Times New Roman"/>
          <w:sz w:val="28"/>
        </w:rPr>
        <w:lastRenderedPageBreak/>
        <w:t xml:space="preserve">часть массива научной информации посвящена эволюции гражданского общества в независимом Казахстане и его институтам [36, с. 151]. Приводятся наименования ключевых институтов гражданского общества, их сферы деятельности без подробного теоретико-методологического анализа [37, с. 79]. Во многих источниках рассматривается проблема формирования правового государства и конституционных основ формирования гражданского общества, однако, само по себе гражданское общество не является предметом анализа [38, с. 151; 39, с. 23]. Кроме того, некоторые источники фокусируются на проблемах этатизма, препятствующих развитию гражданского общества в РК как сферы, самостоятельной от государства [40, с. 58]. Существуют источники, описывающие проблемы доверия, ценностей и политической культуры, которые оказывают значительное влияние на формирование гражданского общества. Проблема, однако, в том, что гражданское общество в этих источниках не является предметом исследования, соответственно, определение термина не формулируется [41, с. 133; 42, </w:t>
      </w:r>
      <w:r w:rsidRPr="00780172">
        <w:rPr>
          <w:rFonts w:ascii="Times New Roman" w:eastAsia="Calibri" w:hAnsi="Times New Roman" w:cs="Times New Roman"/>
          <w:sz w:val="28"/>
          <w:lang w:val="en-US"/>
        </w:rPr>
        <w:t>p</w:t>
      </w:r>
      <w:r w:rsidRPr="00780172">
        <w:rPr>
          <w:rFonts w:ascii="Times New Roman" w:eastAsia="Calibri" w:hAnsi="Times New Roman" w:cs="Times New Roman"/>
          <w:sz w:val="28"/>
        </w:rPr>
        <w:t>. 138; 43, р. 240]. Молодёжь также находится в фокусе внимания казахстанских исследователей как один из элементов общественно-политических отношений, однако, анализируется она через призму государственной политики, но не с позиции актора гражданского общества [44, с. 36; 45, р. 5]. Встречаются источники, анализирующие электоральную демократию в РК и опосредованно политические процессы, теоретически способные стимулировать развитие гражданского общества и сопутствующих сфер в республике [46, с. 27; 47, с. 69]. Немного ближе к теме данного диссертационного исследования массив литературы, описывающий партийное строительство в РК и характеризующий политические партии независимого Казахстана как одну из базовых платформ для формирования и развития гражданского общества в республике, как самостоятельной сферы с развитой политической культурой участников [48, с. 60; 49, с. 88].  Формируется небольшой пласт литературы, посвящённой анализу проблематики гражданского общества, гражданской культуры и внешней среды, формирующей институты гражданского общества в РК [50, с. 115; 51, р. 110; 52, с. 125].</w:t>
      </w:r>
    </w:p>
    <w:p w:rsidR="00780172" w:rsidRPr="00780172" w:rsidRDefault="00780172" w:rsidP="00780172">
      <w:pPr>
        <w:spacing w:after="0" w:line="240" w:lineRule="auto"/>
        <w:ind w:firstLine="709"/>
        <w:jc w:val="both"/>
        <w:rPr>
          <w:rFonts w:ascii="Times New Roman" w:eastAsia="Calibri" w:hAnsi="Times New Roman" w:cs="Times New Roman"/>
          <w:sz w:val="28"/>
          <w:szCs w:val="28"/>
        </w:rPr>
      </w:pPr>
      <w:r w:rsidRPr="00780172">
        <w:rPr>
          <w:rFonts w:ascii="Times New Roman" w:eastAsia="Calibri" w:hAnsi="Times New Roman" w:cs="Times New Roman"/>
          <w:sz w:val="28"/>
          <w:szCs w:val="28"/>
        </w:rPr>
        <w:t xml:space="preserve">Таким образом, анализ казахстанской политологической литературы, посвящённой гражданскому обществу, позволяет сделать вывод о концептуальной и методологической незавершённости данного исследовательского поля. Несмотря на наличие значительного массива работ, обращающихся к отдельным аспектам общественно-политического развития независимого Казахстана, гражданское общество в них, как правило, не выступает в качестве самостоятельного и целостного объекта теоретического анализа. Доминирует фрагментарный подход, при котором внимание исследователей сосредоточено либо на описании институционального ландшафта (перечень институтов гражданского общества, партий, общественных ассоциаций), либо на нормативно-правовых условиях их функционирования, без рефлексии над внутренней логикой формирования гражданского общества, его структурой, функциями и границами по отношению к государству. Характерной особенностью отечественной традиции является </w:t>
      </w:r>
      <w:r w:rsidRPr="00780172">
        <w:rPr>
          <w:rFonts w:ascii="Times New Roman" w:eastAsia="Calibri" w:hAnsi="Times New Roman" w:cs="Times New Roman"/>
          <w:sz w:val="28"/>
          <w:szCs w:val="28"/>
        </w:rPr>
        <w:lastRenderedPageBreak/>
        <w:t>преобладание дескриптивного и институционально-юридического анализа над концептуально-теоретическим. В ряде исследований гражданское общество редуцируется до совокупности формально существующих объединений или рассматривается исключительно как производное процессов правового и государственного строительства. Даже в работах, затрагивающих ключевые для гражданского общества категории – доверие, ценности, политическую культуру, молодёжное участие, электоральную демократию или партийное строительство, - само гражданское общество остаётся вторичным понятием, не получающим чёткого определения и аналитической автономии. Одновременно выявляется устойчивая этатистская рамка анализа, в которой гражданское общество рассматривается преимущественно как объект государственной политики, либо как функция институциональных реформ «сверху», что существенно ограничивает понимание его как самостоятельной сферы социальной саморегуляции и коллективного действия. Исключение составляют отдельные исследования партийного строительства, где гражданское общество исследуется как относительно автономная среда формирования политической культуры и участия, однако и здесь отсутствует системная теоретическая проработка понятия.</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Учитывая вышеизложенное, данное диссертационное исследование формулирует собственное определение термина «гражданское общество». </w:t>
      </w:r>
      <w:r w:rsidRPr="00780172">
        <w:rPr>
          <w:rFonts w:ascii="Times New Roman" w:eastAsia="Calibri" w:hAnsi="Times New Roman" w:cs="Times New Roman"/>
          <w:i/>
          <w:sz w:val="28"/>
        </w:rPr>
        <w:t>Гражданское общество – это такое состояние общественных, экономических, культурных, политических отношений, при котором законодательно оформлены и соблюдаются на практике права человека и гражданина, общественное политическое сознание сформировано под воздействием гражданской культуры и отвечает критериям персональной ответственности, справедливости, готовности к коллективному участию на безвозмездной основе для решения проблем локального характера, включающее в себя различного рода институты, которые являются практической площадкой для реализации интересов участников</w:t>
      </w:r>
      <w:r w:rsidRPr="00780172">
        <w:rPr>
          <w:rFonts w:ascii="Times New Roman" w:eastAsia="Calibri" w:hAnsi="Times New Roman" w:cs="Times New Roman"/>
          <w:sz w:val="28"/>
        </w:rPr>
        <w:t xml:space="preserve"> [24, с. 86]. Существенное значение имеет внутренняя мотивация индивидов участвовать добровольно, и самое главное, безвозмездно в деятельности объединения. Особенно велико значение данной мотивации в условиях недостаточного финансирования организаций, безразличия большинства населения [18, р. 301].</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Выводы</w:t>
      </w:r>
      <w:r w:rsidRPr="00780172">
        <w:rPr>
          <w:rFonts w:ascii="Times New Roman" w:eastAsia="Calibri" w:hAnsi="Times New Roman" w:cs="Times New Roman"/>
          <w:sz w:val="28"/>
        </w:rPr>
        <w:t>:</w:t>
      </w:r>
    </w:p>
    <w:p w:rsidR="00780172" w:rsidRPr="00780172" w:rsidRDefault="00780172" w:rsidP="008465D6">
      <w:pPr>
        <w:numPr>
          <w:ilvl w:val="0"/>
          <w:numId w:val="19"/>
        </w:numPr>
        <w:spacing w:after="0" w:line="240" w:lineRule="auto"/>
        <w:ind w:left="0" w:firstLine="709"/>
        <w:contextualSpacing/>
        <w:jc w:val="both"/>
        <w:rPr>
          <w:rFonts w:ascii="Times New Roman" w:eastAsia="Calibri" w:hAnsi="Times New Roman" w:cs="Times New Roman"/>
          <w:sz w:val="36"/>
        </w:rPr>
      </w:pPr>
      <w:r w:rsidRPr="00780172">
        <w:rPr>
          <w:rFonts w:ascii="Times New Roman" w:eastAsia="Calibri" w:hAnsi="Times New Roman" w:cs="Times New Roman"/>
          <w:sz w:val="28"/>
        </w:rPr>
        <w:t xml:space="preserve">отсутствие «зонтичного» определения гражданского общества отражает историческую, культурную и институциональную вариативность форм общественной самоорганизации, что нашло отражение в политической науке. Начиная с античности и вплоть до современных политологических концепций, понятие «гражданское общество» эволюционировало от тождества государству к пониманию его как относительно автономной сферы социальных отношений, опосредующих взаимодействие индивида и публичной власти. В рамках классического политического либерализма были заложены ключевые смысловые основания гражданского общества – свобода, право, собственность, моральный долг, ограничение деспотизма государства. У классических авторов </w:t>
      </w:r>
      <w:r w:rsidRPr="00780172">
        <w:rPr>
          <w:rFonts w:ascii="Times New Roman" w:eastAsia="Calibri" w:hAnsi="Times New Roman" w:cs="Times New Roman"/>
          <w:sz w:val="28"/>
        </w:rPr>
        <w:lastRenderedPageBreak/>
        <w:t>(</w:t>
      </w:r>
      <w:r w:rsidRPr="00780172">
        <w:rPr>
          <w:rFonts w:ascii="Times New Roman" w:eastAsia="Calibri" w:hAnsi="Times New Roman" w:cs="Times New Roman"/>
          <w:sz w:val="28"/>
          <w:lang w:val="en-US"/>
        </w:rPr>
        <w:t>J</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Locke</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fr-FR"/>
        </w:rPr>
        <w:t>J.-J. Rousseau</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fr-FR"/>
        </w:rPr>
        <w:t>Ch. L. de Montesquieu</w:t>
      </w:r>
      <w:r w:rsidRPr="00780172">
        <w:rPr>
          <w:rFonts w:ascii="Times New Roman" w:eastAsia="Calibri" w:hAnsi="Times New Roman" w:cs="Times New Roman"/>
          <w:sz w:val="28"/>
        </w:rPr>
        <w:t xml:space="preserve">, </w:t>
      </w:r>
      <w:r w:rsidRPr="00780172">
        <w:rPr>
          <w:rFonts w:ascii="Times New Roman" w:eastAsia="Calibri" w:hAnsi="Times New Roman" w:cs="Times New Roman"/>
          <w:iCs/>
          <w:sz w:val="28"/>
          <w:lang w:val="de-DE"/>
        </w:rPr>
        <w:t>G. Hegel, I. Kant</w:t>
      </w:r>
      <w:r w:rsidRPr="00780172">
        <w:rPr>
          <w:rFonts w:ascii="Times New Roman" w:eastAsia="Calibri" w:hAnsi="Times New Roman" w:cs="Times New Roman"/>
          <w:sz w:val="28"/>
        </w:rPr>
        <w:t>) отсутствует единая и непротиворечивая трактовка как границ, так и внутренней структуры данного феномена. Это указывает на изначально многомерный характер гражданского общества, не сводимый ни к институциональной, ни к нормативной, ни к культурной плоскости в отдельности.</w:t>
      </w:r>
    </w:p>
    <w:p w:rsidR="00780172" w:rsidRPr="00780172" w:rsidRDefault="00780172" w:rsidP="008465D6">
      <w:pPr>
        <w:numPr>
          <w:ilvl w:val="0"/>
          <w:numId w:val="19"/>
        </w:numPr>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780172">
        <w:rPr>
          <w:rFonts w:ascii="Times New Roman" w:eastAsia="Times New Roman" w:hAnsi="Times New Roman" w:cs="Times New Roman"/>
          <w:sz w:val="28"/>
          <w:szCs w:val="28"/>
          <w:lang w:eastAsia="ru-RU"/>
        </w:rPr>
        <w:t>анализ посткоммунистической политологической традиции показывает, что отсутствие «зонтичного» определения гражданского общества носит структурный характер и обусловлено как методологической неоднородностью исследовательских подходов, так и различиями социально-политических контекстов. Выделяемые в литературе расплывчатые, идеалистические и заимствованные из западного дискурса реалистические дефиниции отражают не столько эволюцию понятия гражданского общества, сколько попытки адаптировать нормативно нагруженную категорию к эмпирически несоизмеримым условиям постсоветских государств и обществ. Наиболее обоснованным представляется модерационный подход, который позволяет избежать как нормативного универсализма, так и концептуального релятивизма. Гражданское общество не может рассматриваться ни как строго универсальная категория, автоматически присутствующая в любом обществе, ни как феномен, жёстко привязанный исключительно к зрелым либеральным демократиям. Исследование гражданского общества в нелиберальных и авторитарных контекстах требует ситуационного, эмпирически чувствительного подхода, при котором формы гражданской самоорганизации и общественного участия оцениваются не по степени их соответствия западным эталонам, а по их функциональной роли в системе взаимодействия общества, государства и власти.</w:t>
      </w:r>
    </w:p>
    <w:p w:rsidR="00780172" w:rsidRPr="00780172" w:rsidRDefault="00780172" w:rsidP="008465D6">
      <w:pPr>
        <w:numPr>
          <w:ilvl w:val="0"/>
          <w:numId w:val="19"/>
        </w:numPr>
        <w:spacing w:before="100" w:beforeAutospacing="1" w:after="100" w:afterAutospacing="1" w:line="240" w:lineRule="auto"/>
        <w:ind w:left="0" w:firstLine="709"/>
        <w:jc w:val="both"/>
        <w:rPr>
          <w:rFonts w:ascii="Times New Roman" w:eastAsia="Times New Roman" w:hAnsi="Times New Roman" w:cs="Times New Roman"/>
          <w:sz w:val="28"/>
          <w:szCs w:val="24"/>
          <w:lang w:eastAsia="ru-RU"/>
        </w:rPr>
      </w:pPr>
      <w:r w:rsidRPr="00780172">
        <w:rPr>
          <w:rFonts w:ascii="Times New Roman" w:eastAsia="Times New Roman" w:hAnsi="Times New Roman" w:cs="Times New Roman"/>
          <w:sz w:val="28"/>
          <w:szCs w:val="24"/>
          <w:lang w:eastAsia="ru-RU"/>
        </w:rPr>
        <w:t>применительно к Казахстану анализ как западных, так и посткоммунистических теоретических традиций, а также отечественного исследовательского поля позволяет утверждать, что гражданское общество в стране находится на этапе незавершённого становления и не может быть релевантно описано ни в терминах «классической» либеральной модели, ни в терминах современной западной политологической традиции. Данные указывают на фрагментарность институционального ландшафта, слабость горизонтальных связей и дефицит доверия, а также на преобладание этатистской логики, в рамках которой гражданское общество трактуется преимущественно как объект регулирования и поддержки со стороны государства. Это обстоятельство принципиально ограничивает аналитическую автономию понятия гражданского общества в казахстанской политологической традиции и ведёт к его редукции либо до перечня формально существующих организаций, либо до производной процессов правового и государственного строительства.</w:t>
      </w: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t>1.2.2</w:t>
      </w:r>
      <w:r w:rsidRPr="00780172">
        <w:rPr>
          <w:rFonts w:ascii="Times New Roman" w:eastAsia="Calibri" w:hAnsi="Times New Roman" w:cs="Times New Roman"/>
          <w:sz w:val="28"/>
        </w:rPr>
        <w:t xml:space="preserve"> </w:t>
      </w:r>
      <w:r w:rsidRPr="00780172">
        <w:rPr>
          <w:rFonts w:ascii="Times New Roman" w:eastAsia="Calibri" w:hAnsi="Times New Roman" w:cs="Times New Roman"/>
          <w:b/>
          <w:sz w:val="28"/>
        </w:rPr>
        <w:t>Проблематика концептуализации понятия «общественная организация» и классификации её основных типов в институциональном пространстве гражданского общества</w:t>
      </w:r>
    </w:p>
    <w:p w:rsid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Необходимо разграничить термины «институт гражданского общества» и «общественная организация». </w:t>
      </w:r>
      <w:r w:rsidRPr="00780172">
        <w:rPr>
          <w:rFonts w:ascii="Times New Roman" w:eastAsia="Calibri" w:hAnsi="Times New Roman" w:cs="Times New Roman"/>
          <w:i/>
          <w:sz w:val="28"/>
        </w:rPr>
        <w:t xml:space="preserve">Приводится различие между терминами </w:t>
      </w:r>
      <w:r w:rsidRPr="00780172">
        <w:rPr>
          <w:rFonts w:ascii="Times New Roman" w:eastAsia="Calibri" w:hAnsi="Times New Roman" w:cs="Times New Roman"/>
          <w:i/>
          <w:sz w:val="28"/>
        </w:rPr>
        <w:lastRenderedPageBreak/>
        <w:t>«институт гражданского общества» и «общественная организация».</w:t>
      </w:r>
      <w:r w:rsidRPr="00780172">
        <w:rPr>
          <w:rFonts w:ascii="Times New Roman" w:eastAsia="Calibri" w:hAnsi="Times New Roman" w:cs="Times New Roman"/>
          <w:sz w:val="28"/>
        </w:rPr>
        <w:t xml:space="preserve"> Институт является более широким понятием и включает в себя формальные и неформальные практики. Общественная организация является более узким понятием, имеет чётко оформленную структуру, которая отграничивает её от иных институтов гражданского общества и характеризуется наличием идентичности её членов, которая сформировалась за счёт регулярного участия в деятельности организации [53, р. 26]. Организации позволяют сохранять и воспроизводить потенциал для участия. Они обеспечивают индивидов ресурсами для участия, в первую очередь, информационной и идейной поддержкой. Наконец, организации формируют и сохраняют у участников чувство принадлежности к конкретной ассоциации, образуя тем самым определённую идентичность [53, р. 5].  Детально различие между институтами гражданского общества и общественными организациями показано на Рисунке 2.</w:t>
      </w:r>
    </w:p>
    <w:p w:rsidR="00F34F60" w:rsidRPr="00780172" w:rsidRDefault="00F34F60"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567"/>
        <w:jc w:val="both"/>
        <w:rPr>
          <w:rFonts w:ascii="Times New Roman" w:eastAsia="Calibri" w:hAnsi="Times New Roman" w:cs="Times New Roman"/>
          <w:sz w:val="28"/>
        </w:rPr>
      </w:pPr>
      <w:r w:rsidRPr="00780172">
        <w:rPr>
          <w:rFonts w:ascii="Times New Roman" w:eastAsia="Calibri" w:hAnsi="Times New Roman" w:cs="Times New Roman"/>
          <w:noProof/>
          <w:sz w:val="28"/>
          <w:lang w:eastAsia="ru-RU"/>
        </w:rPr>
        <w:drawing>
          <wp:inline distT="0" distB="0" distL="0" distR="0" wp14:anchorId="70966BEB" wp14:editId="55B706FD">
            <wp:extent cx="4348065" cy="2182642"/>
            <wp:effectExtent l="0" t="0" r="0" b="8255"/>
            <wp:docPr id="5" name="Рисунок 5" descr="C:\Мои документы\PhD 2025\Окончат вар-т диссера 2025\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ои документы\PhD 2025\Окончат вар-т диссера 2025\Рисунок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4937" cy="2216210"/>
                    </a:xfrm>
                    <a:prstGeom prst="rect">
                      <a:avLst/>
                    </a:prstGeom>
                    <a:noFill/>
                    <a:ln>
                      <a:noFill/>
                    </a:ln>
                  </pic:spPr>
                </pic:pic>
              </a:graphicData>
            </a:graphic>
          </wp:inline>
        </w:drawing>
      </w:r>
    </w:p>
    <w:p w:rsidR="00780172" w:rsidRPr="00780172" w:rsidRDefault="00780172" w:rsidP="00780172">
      <w:pPr>
        <w:spacing w:after="0" w:line="240" w:lineRule="auto"/>
        <w:ind w:firstLine="709"/>
        <w:jc w:val="center"/>
        <w:rPr>
          <w:rFonts w:ascii="Times New Roman" w:eastAsia="Calibri" w:hAnsi="Times New Roman" w:cs="Times New Roman"/>
          <w:sz w:val="28"/>
        </w:rPr>
      </w:pPr>
      <w:r w:rsidRPr="00780172">
        <w:rPr>
          <w:rFonts w:ascii="Times New Roman" w:eastAsia="Calibri" w:hAnsi="Times New Roman" w:cs="Times New Roman"/>
          <w:sz w:val="28"/>
        </w:rPr>
        <w:t>Рисунок 2 – Схема структурной организации институтов гражданского общества, общественных организаций и внешней среды. Источник: разработано автором</w:t>
      </w:r>
    </w:p>
    <w:p w:rsidR="00780172" w:rsidRPr="00780172" w:rsidRDefault="00780172" w:rsidP="00780172">
      <w:pPr>
        <w:spacing w:after="0" w:line="240" w:lineRule="auto"/>
        <w:ind w:firstLine="709"/>
        <w:jc w:val="center"/>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На Рисунке 2 организации GONGO и местные инициативные группы выделены вне общественных организаций по следующей причине: GONGO (Government-organized non-governmental organizations) являются формально негосударственными, но институционально зависимыми от государства организациями. Государство оказывает им патронаж, вплоть до фиксированной системы членства. Зачастую они достаточно жёстко иерархизированы, служат выполнению определённых государственных задач и являются организациями, созданными «сверху» [54, р. 273]. Данное исследование фокусируется на общественных организациях, имеющих определённую автономию от государства, насколько это возможно в казахстанских политических реалиях. Местные инициативные группы (grassroots organizations) –</w:t>
      </w:r>
      <w:r w:rsidRPr="00780172">
        <w:rPr>
          <w:rFonts w:ascii="Times New Roman" w:eastAsia="Calibri" w:hAnsi="Times New Roman" w:cs="Times New Roman"/>
          <w:b/>
          <w:bCs/>
          <w:sz w:val="28"/>
        </w:rPr>
        <w:t xml:space="preserve"> </w:t>
      </w:r>
      <w:r w:rsidRPr="00780172">
        <w:rPr>
          <w:rFonts w:ascii="Times New Roman" w:eastAsia="Calibri" w:hAnsi="Times New Roman" w:cs="Times New Roman"/>
          <w:sz w:val="28"/>
        </w:rPr>
        <w:t xml:space="preserve">это децентрализованные формы гражданской активности, формирующиеся на уровне локальных сообществ и основанные на принципах горизонтального взаимодействия, добровольного участия и автономии от государственных и корпоративных акторов [55, р. 446]. Данный вид общественных организаций </w:t>
      </w:r>
      <w:r w:rsidRPr="00780172">
        <w:rPr>
          <w:rFonts w:ascii="Times New Roman" w:eastAsia="Calibri" w:hAnsi="Times New Roman" w:cs="Times New Roman"/>
          <w:sz w:val="28"/>
        </w:rPr>
        <w:lastRenderedPageBreak/>
        <w:t xml:space="preserve">выделен на Рисунке 2 отдельно, так как они достаточно немногочисленны, имеют узконаправленный профиль активности, малое количество участников и сфокусированы на решении точечных задач (проблемы в рамках одного домохозяйства либо городского квартала). Они формируются по насущной необходимости, имеют ad hoc характер и могут быть распущены после решения проблемы. Данные организации оказывают невысокое влияние на формирование системной гражданской идентичности. Диссертационное исследование фокусируется на общественных организациях, которые имеют определённую структуру и не носят характер ad hoc, имея некоторое стратегическое видение своего дальнейшего развития.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Представляется необходимым сформулировать дефиницию понятия «общественная организация». Аналогично проблеме определения гражданского общества, существующие трактовки данного термина отличаются фрагментарностью и вариативностью. Тем не менее, представляется возможным выработать «зонтичное» определение, интегрирующее ключевые характеристики данного феномена.</w:t>
      </w:r>
    </w:p>
    <w:p w:rsidR="00780172" w:rsidRPr="00780172" w:rsidRDefault="00780172" w:rsidP="00780172">
      <w:pPr>
        <w:spacing w:after="0" w:line="240" w:lineRule="auto"/>
        <w:ind w:firstLine="709"/>
        <w:jc w:val="both"/>
        <w:rPr>
          <w:rFonts w:ascii="Times New Roman" w:eastAsia="Calibri" w:hAnsi="Times New Roman" w:cs="Times New Roman"/>
          <w:i/>
          <w:sz w:val="28"/>
        </w:rPr>
      </w:pPr>
      <w:r w:rsidRPr="00780172">
        <w:rPr>
          <w:rFonts w:ascii="Times New Roman" w:eastAsia="Calibri" w:hAnsi="Times New Roman" w:cs="Times New Roman"/>
          <w:sz w:val="28"/>
        </w:rPr>
        <w:t xml:space="preserve">1) </w:t>
      </w:r>
      <w:r w:rsidRPr="00780172">
        <w:rPr>
          <w:rFonts w:ascii="Times New Roman" w:eastAsia="Calibri" w:hAnsi="Times New Roman" w:cs="Times New Roman"/>
          <w:i/>
          <w:sz w:val="28"/>
        </w:rPr>
        <w:t>общественная</w:t>
      </w:r>
      <w:r w:rsidRPr="00780172">
        <w:rPr>
          <w:rFonts w:ascii="Times New Roman" w:eastAsia="Calibri" w:hAnsi="Times New Roman" w:cs="Times New Roman"/>
          <w:sz w:val="28"/>
        </w:rPr>
        <w:t xml:space="preserve"> </w:t>
      </w:r>
      <w:r w:rsidRPr="00780172">
        <w:rPr>
          <w:rFonts w:ascii="Times New Roman" w:eastAsia="Calibri" w:hAnsi="Times New Roman" w:cs="Times New Roman"/>
          <w:i/>
          <w:sz w:val="28"/>
        </w:rPr>
        <w:t xml:space="preserve">организация – это объединение, ориентированное на достаточно узкие цели, с относительно формализованной структурой; </w:t>
      </w:r>
    </w:p>
    <w:p w:rsidR="00780172" w:rsidRPr="00780172" w:rsidRDefault="00780172" w:rsidP="00780172">
      <w:pPr>
        <w:spacing w:after="0" w:line="240" w:lineRule="auto"/>
        <w:ind w:firstLine="709"/>
        <w:jc w:val="both"/>
        <w:rPr>
          <w:rFonts w:ascii="Times New Roman" w:eastAsia="Calibri" w:hAnsi="Times New Roman" w:cs="Times New Roman"/>
          <w:i/>
          <w:sz w:val="28"/>
        </w:rPr>
      </w:pPr>
      <w:r w:rsidRPr="00780172">
        <w:rPr>
          <w:rFonts w:ascii="Times New Roman" w:eastAsia="Calibri" w:hAnsi="Times New Roman" w:cs="Times New Roman"/>
          <w:i/>
          <w:sz w:val="28"/>
        </w:rPr>
        <w:t>2) общественная</w:t>
      </w:r>
      <w:r w:rsidRPr="00780172">
        <w:rPr>
          <w:rFonts w:ascii="Times New Roman" w:eastAsia="Calibri" w:hAnsi="Times New Roman" w:cs="Times New Roman"/>
          <w:sz w:val="28"/>
        </w:rPr>
        <w:t xml:space="preserve"> </w:t>
      </w:r>
      <w:r w:rsidRPr="00780172">
        <w:rPr>
          <w:rFonts w:ascii="Times New Roman" w:eastAsia="Calibri" w:hAnsi="Times New Roman" w:cs="Times New Roman"/>
          <w:i/>
          <w:sz w:val="28"/>
        </w:rPr>
        <w:t xml:space="preserve">организация – это объединение, не имеющее строгой структуры или официальных целей, но его участники разделяют общий интерес заниматься определённым делом; их деятельность координируется неформально, посредством личных договорённостей;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3) общественная</w:t>
      </w:r>
      <w:r w:rsidRPr="00780172">
        <w:rPr>
          <w:rFonts w:ascii="Times New Roman" w:eastAsia="Calibri" w:hAnsi="Times New Roman" w:cs="Times New Roman"/>
          <w:sz w:val="28"/>
        </w:rPr>
        <w:t xml:space="preserve"> </w:t>
      </w:r>
      <w:r w:rsidRPr="00780172">
        <w:rPr>
          <w:rFonts w:ascii="Times New Roman" w:eastAsia="Calibri" w:hAnsi="Times New Roman" w:cs="Times New Roman"/>
          <w:i/>
          <w:sz w:val="28"/>
        </w:rPr>
        <w:t>организация – это нестабильное объединение групп интересов, которое вырабатывает цели объединения посредством переговоров; вся внутренняя структура, деятельность и её результаты напрямую зависят от воздействия среды, поскольку интересы участников зарождаются именно там</w:t>
      </w:r>
      <w:r w:rsidRPr="00780172">
        <w:rPr>
          <w:rFonts w:ascii="Times New Roman" w:eastAsia="Calibri" w:hAnsi="Times New Roman" w:cs="Times New Roman"/>
          <w:sz w:val="28"/>
        </w:rPr>
        <w:t xml:space="preserve"> [56, р. 110].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Любая организация может включать в себя все три разновидности, в зависимости от проблем, встающих перед ней и выбираемых ею путей их решения. Организация может обладать структурой, чётко сформулированными целями, при этом участники имеют общий конечный интерес, их действия так или иначе могут зависеть от среды [56, р. 138].</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Изучая типы организационных форм, исследователи предложили так называемую гибридную модель «сетевой общественной организации», которая сочетает элементы формальной организации и горизонтальной интеграции. Сетевая общественная организация включает в себя, помимо горизонтальной структуры, гибкость в обозначении целей и эгалитарный тип взаимоотношений между участниками [57, р. 13]. Сетевая модель общественной организации наиболее предпочтительна в ad hoc активности – для решения конкретных задач, рассчитанных на кратко- и среднесрочную перспективу. Сетевая модель адаптивна к изменяющейся окружающей среде, более инновационна в плане распространения информации, а также менее подвержена организационным кризисам в случае неудачи, чем модель жёсткой структуры [58, р. 207]. В качестве отрицательных сторон сетевой модели можно отметить её </w:t>
      </w:r>
      <w:r w:rsidRPr="00780172">
        <w:rPr>
          <w:rFonts w:ascii="Times New Roman" w:eastAsia="Calibri" w:hAnsi="Times New Roman" w:cs="Times New Roman"/>
          <w:sz w:val="28"/>
        </w:rPr>
        <w:lastRenderedPageBreak/>
        <w:t>нестабильность и ориентацию на короткий период действия. Возможно, в долгосрочной перспективе эта модель не способна стать прочным фундаментом для формирования идентичности, а, следовательно, политической культуры участников [9, р. 161].</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Возникает исследовательский вопрос о том, какими должны быть организационная структура и стратегические ориентиры общественной организации для обеспечения её эффективности и результативности? W. Gamson полагал, что стратегия общественной организации должна быть минималистической, а сама организация – централизована и бюрократизирована. Эта точка зрения подвергалась критике, после чего учёный признал, что широта декларируемых целей общественной организации усиливает внутреннюю солидарность и способствует созданию групп организаций одного профиля. Было установлено, что по мере бюрократизации общественных организаций приоритет смещается в сторону их институционального самосохранения; в результате данная установка начинает доминировать над реализацией первоначально декларируемых целей [59, р. 58]. Другие исследователи полагают, что большую роль играет степень зависимости организации от материальных ресурсов, выделяемых элитами политического, экономического, финансового характера [9, р. 227]. Третьи считают, что социальные, экономические, культурные, политические условия оказывают решающее влияние на общественные организации [60, р. 279]. Четвёртые утверждают, что наличие союзников или оппонентов во власти весьма значимо [61, р. 1093].</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Согласно теоретической концепции исторического институционализма, факторы внешней среды способны в значительной степени определять формирование и развитие институтов гражданского общества и, соответственно, общественных организаций. Жёсткая иерархическая структура общественных организаций возникает во враждебной политической среде, преимущественно в авторитарных государствах. При подобной организационной структуре повышается способность к адаптации в условиях неблагоприятной внешней среды и эффективной реализации поставленных целей. Чёткое функциональное разграничение в сочетании с выраженной иерархической упорядоченностью способствует оперативной разработке и принятию тактических решений, направленных на обеспечение устойчивости и сохранения жизнеспособности организации. В более дружественной и инклюзивной политической среде общественные организации, как правило, менее иерархизированны [53, р. 65].</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Зачастую, варианты организационной формы зависят от сложившихся в конкретной стране представлений о том, какая именно форма или модель общественной организации в этом государстве будет наиболее работоспособной [58, р. 211]. Представляется, что в Казахстане широкое распространение получили иерархически организованные общественные объединения, характеризующиеся жёсткой системой субординации при относительно неформализованном распределении функциональных обязанностей. Возможным объяснением данного феномена является недостаточная </w:t>
      </w:r>
      <w:r w:rsidRPr="00780172">
        <w:rPr>
          <w:rFonts w:ascii="Times New Roman" w:eastAsia="Calibri" w:hAnsi="Times New Roman" w:cs="Times New Roman"/>
          <w:sz w:val="28"/>
        </w:rPr>
        <w:lastRenderedPageBreak/>
        <w:t xml:space="preserve">институционализация ценностей персональной ответственности и инициативности среди членов таких организаций, а также, исходя из положений исторического институционализма и подхода Path dependence, исторический опыт выживания и относительно успешного функционирования данного вида общественных организаций.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Общественные объединения, даже при совпадении проблемно-тематической повестки, как правило, демонстрируют низкий уровень межорганизационного взаимодействия; их отношения </w:t>
      </w:r>
      <w:proofErr w:type="gramStart"/>
      <w:r w:rsidRPr="00780172">
        <w:rPr>
          <w:rFonts w:ascii="Times New Roman" w:eastAsia="Calibri" w:hAnsi="Times New Roman" w:cs="Times New Roman"/>
          <w:sz w:val="28"/>
        </w:rPr>
        <w:t>чаще</w:t>
      </w:r>
      <w:proofErr w:type="gramEnd"/>
      <w:r w:rsidRPr="00780172">
        <w:rPr>
          <w:rFonts w:ascii="Times New Roman" w:eastAsia="Calibri" w:hAnsi="Times New Roman" w:cs="Times New Roman"/>
          <w:sz w:val="28"/>
        </w:rPr>
        <w:t xml:space="preserve"> характеризуются институциональной дистанцированностью и взаимным безразличием. При этом кооперация организаций, функционирующих в рамках одного направления деятельности, нередко трансформируется в конкурентные отношения, обусловленные борьбой за целевые группы и ограниченные ресурсные потоки. Организации разного направления деятельности способны выстраивать неконкурентные отношения. Соответственно, сетевые отношения, скорее всего, возникнут именно в среде общественных организаций разной направленности [58, р. 213]. При этом сотрудничество организаций одной направленности способно усилить формирование идентичности участников.</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Общественные организации, помимо продвижения интересов своих участников, указывают слабые стороны в политике государства по отношению к определённым группам [9, р. 230]. Следовательно, они способны оказывать воздействие на политическую среду. Эффективная деятельность общественных организаций (институтов гражданского общества) способна оказать воздействие на законотворчество, изменение в структуре политической системы (появление ведомств, занимающихся имеющимися проблемными вопросами), трансформацию ценностей политической культуры общества [9, р. 232].</w:t>
      </w:r>
    </w:p>
    <w:p w:rsidR="00780172" w:rsidRPr="00780172" w:rsidRDefault="00780172" w:rsidP="00780172">
      <w:pPr>
        <w:numPr>
          <w:ilvl w:val="2"/>
          <w:numId w:val="2"/>
        </w:numPr>
        <w:spacing w:after="0" w:line="240" w:lineRule="auto"/>
        <w:ind w:firstLine="709"/>
        <w:contextualSpacing/>
        <w:jc w:val="both"/>
        <w:rPr>
          <w:rFonts w:ascii="Times New Roman" w:eastAsia="Calibri" w:hAnsi="Times New Roman" w:cs="Times New Roman"/>
          <w:b/>
          <w:vanish/>
          <w:sz w:val="28"/>
        </w:rPr>
      </w:pPr>
    </w:p>
    <w:p w:rsidR="00780172" w:rsidRPr="00780172" w:rsidRDefault="00780172" w:rsidP="00780172">
      <w:pPr>
        <w:spacing w:after="0" w:line="240" w:lineRule="auto"/>
        <w:ind w:firstLine="709"/>
        <w:jc w:val="both"/>
        <w:rPr>
          <w:rFonts w:ascii="Times New Roman" w:eastAsia="Calibri" w:hAnsi="Times New Roman" w:cs="Times New Roman"/>
          <w:i/>
          <w:sz w:val="28"/>
        </w:rPr>
      </w:pPr>
      <w:r w:rsidRPr="00780172">
        <w:rPr>
          <w:rFonts w:ascii="Times New Roman" w:eastAsia="Calibri" w:hAnsi="Times New Roman" w:cs="Times New Roman"/>
          <w:i/>
          <w:sz w:val="28"/>
        </w:rPr>
        <w:t>Анализ типов общественных организаций.</w:t>
      </w:r>
    </w:p>
    <w:p w:rsidR="00780172" w:rsidRPr="00780172" w:rsidRDefault="00780172" w:rsidP="008465D6">
      <w:pPr>
        <w:numPr>
          <w:ilvl w:val="0"/>
          <w:numId w:val="16"/>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Некоммерческие организации (НКО) – nonprofit sector</w:t>
      </w:r>
      <w:r w:rsidRPr="00780172">
        <w:rPr>
          <w:rFonts w:ascii="Times New Roman" w:eastAsia="Calibri" w:hAnsi="Times New Roman" w:cs="Times New Roman"/>
          <w:sz w:val="28"/>
        </w:rPr>
        <w:t xml:space="preserve"> [62, р. 29]. НКО являются объединениями с чёткой формальной структурой, зарегистрированные в органах юстиции, имеющие внешние источники финансирования (но не имеющие внутренних в виде членских сборов) и выступающие в качестве связующего звена между властью и определёнными группами населения по тем или иным вопросам [62, р. 30]. </w:t>
      </w:r>
      <w:r w:rsidRPr="00780172">
        <w:rPr>
          <w:rFonts w:ascii="Times New Roman" w:eastAsia="Calibri" w:hAnsi="Times New Roman" w:cs="Times New Roman"/>
          <w:i/>
          <w:sz w:val="28"/>
        </w:rPr>
        <w:t>Зачастую к НКО относят волонтёрские организации</w:t>
      </w:r>
      <w:r w:rsidRPr="00780172">
        <w:rPr>
          <w:rFonts w:ascii="Times New Roman" w:eastAsia="Calibri" w:hAnsi="Times New Roman" w:cs="Times New Roman"/>
          <w:sz w:val="28"/>
        </w:rPr>
        <w:t xml:space="preserve">. Кроме того, в данную категорию можно включить различные услуги, такие как социальная помощь инвалидам, пожилым людям и иным уязвимым категориям граждан. К данной категории также могут быть отнесены различные формы добровольных объединений, включая спортивные клубы, религиозные ассоциации, благотворительные фонды, профессиональные союзы, а также этнокультурные организации [62, р. 34]. Что касается казахстанских НКО, то, согласно Гражданскому кодексу РК и Закону РК «О некоммерческих организациях» от 16 января 2001 года, некоммерческие организации представляют собой общественное объединение, некоммерческое акционерное общество, фонд, религиозное объединение, объединение юридических лиц в форме ассоциации, нотариальную палату, коллегию </w:t>
      </w:r>
      <w:r w:rsidRPr="00780172">
        <w:rPr>
          <w:rFonts w:ascii="Times New Roman" w:eastAsia="Calibri" w:hAnsi="Times New Roman" w:cs="Times New Roman"/>
          <w:sz w:val="28"/>
        </w:rPr>
        <w:lastRenderedPageBreak/>
        <w:t>адвокатов, палату аудиторов, кооператив собственников квартир, потребительский кооператив [63, с. 189].</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Согласно предположению H. </w:t>
      </w:r>
      <w:r w:rsidRPr="00780172">
        <w:rPr>
          <w:rFonts w:ascii="Times New Roman" w:eastAsia="Times New Roman" w:hAnsi="Times New Roman" w:cs="Times New Roman"/>
          <w:sz w:val="28"/>
          <w:szCs w:val="28"/>
          <w:lang w:eastAsia="ru-RU"/>
        </w:rPr>
        <w:t>Anheier и L. Salamon</w:t>
      </w:r>
      <w:r w:rsidRPr="00780172">
        <w:rPr>
          <w:rFonts w:ascii="Times New Roman" w:eastAsia="Calibri" w:hAnsi="Times New Roman" w:cs="Times New Roman"/>
          <w:sz w:val="28"/>
        </w:rPr>
        <w:t xml:space="preserve">, степень развитости и уровень эффективности данных организаций зависит от типа политического режима – либерального (США), корпоративного (Германия), социально-демократического (Скандинавия), этатистского или государственнического (Япония) [62, р. 31]. Как представляется, в рамках данной классификации Казахстан целесообразно обозначить как этатистский политический режим, поскольку эти учёные описывают его как режим управления, где государство сосредоточивает основную власть в своих руках, неохотно передоверяя её частному сектору, в том числе в сфере услуг, которые являются преимущественно государственными либо частными, но последние извлекают из этих услуг выгоду, соответственно, не являются НКО. Тем не менее, авторы признают, что государственное финансирование подобных организаций существует, и в таком случае их также можно считать некоммерческими и относить к гражданскому обществу [62, р. 32]. Предполагается, что развитая сеть НКО сферы услуг успешно способна дополнять собой социальную государственную политику. </w:t>
      </w:r>
    </w:p>
    <w:p w:rsidR="00780172" w:rsidRPr="00780172" w:rsidRDefault="00780172" w:rsidP="008465D6">
      <w:pPr>
        <w:numPr>
          <w:ilvl w:val="0"/>
          <w:numId w:val="27"/>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Неправительственные организации (НПО) – (nongovernmental organizations).</w:t>
      </w:r>
      <w:r w:rsidRPr="00780172">
        <w:rPr>
          <w:rFonts w:ascii="Times New Roman" w:eastAsia="Calibri" w:hAnsi="Times New Roman" w:cs="Times New Roman"/>
          <w:sz w:val="28"/>
        </w:rPr>
        <w:t xml:space="preserve"> Данное понятие появилось после Второй мировой войны при создании ООН. С 1947 года термин «НПО» прочно вошёл в политологический оборот [64, р. 13]. Первоначально такие организации назывались НПО для развития (nongovernmental development organizations), и их деятельность распространялась в основном на проблемы становления социальной, экономической, политической системы новых государств, появившихся после Второй мировой войны, распада Британской колониальной империи и процесса деколонизации. Постепенно терминология эволюционировала, и появились такие виды НПО, как частные добровольные организации (private voluntary organizations – PVO); добровольные организации для развития (voluntary development organizations – VDO); НКО; организации третьего сектора (third sector organizations – TSOs); организации гражданского общества (civil society organizations – CSOs) [65, р. 27]. Вместе с тем, как в сфере практической политики, так и в рамках научного анализа, указанная типология редко используется в строгом и последовательном виде. Все организации, не связанные напрямую с правительством, именуются НПО вне зависимости от рода деятельности и источников финансирования. Рассмотрим, как НПО определяются в отечественной литературе. НПО – это объединение единомышленников частного добровольного характера, которые осуществляют свою деятельность в общественных интересах и не преследуют своей целью извлечение коммерческой прибыли [66, с. 18]. Неправительственные организации способствуют усилению возможностей граждан участвовать в объединённой форме в решении вопросов, касающихся их интересов непосредственно [66, с. 18]. </w:t>
      </w:r>
    </w:p>
    <w:p w:rsidR="00780172" w:rsidRPr="00780172" w:rsidRDefault="00780172" w:rsidP="008465D6">
      <w:pPr>
        <w:numPr>
          <w:ilvl w:val="0"/>
          <w:numId w:val="27"/>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lang w:val="en-US"/>
        </w:rPr>
        <w:lastRenderedPageBreak/>
        <w:t>GONGO</w:t>
      </w:r>
      <w:r w:rsidRPr="00780172">
        <w:rPr>
          <w:rFonts w:ascii="Times New Roman" w:eastAsia="Calibri" w:hAnsi="Times New Roman" w:cs="Times New Roman"/>
          <w:i/>
          <w:sz w:val="28"/>
          <w:lang w:val="en-US"/>
        </w:rPr>
        <w:t xml:space="preserve"> </w:t>
      </w:r>
      <w:r w:rsidRPr="00780172">
        <w:rPr>
          <w:rFonts w:ascii="Times New Roman" w:eastAsia="Calibri" w:hAnsi="Times New Roman" w:cs="Times New Roman"/>
          <w:sz w:val="28"/>
        </w:rPr>
        <w:t>является</w:t>
      </w:r>
      <w:r w:rsidRPr="00780172">
        <w:rPr>
          <w:rFonts w:ascii="Times New Roman" w:eastAsia="Calibri" w:hAnsi="Times New Roman" w:cs="Times New Roman"/>
          <w:sz w:val="28"/>
          <w:lang w:val="en-US"/>
        </w:rPr>
        <w:t xml:space="preserve"> </w:t>
      </w:r>
      <w:r w:rsidRPr="00780172">
        <w:rPr>
          <w:rFonts w:ascii="Times New Roman" w:eastAsia="Calibri" w:hAnsi="Times New Roman" w:cs="Times New Roman"/>
          <w:sz w:val="28"/>
        </w:rPr>
        <w:t>акронимом</w:t>
      </w:r>
      <w:r w:rsidRPr="00780172">
        <w:rPr>
          <w:rFonts w:ascii="Times New Roman" w:eastAsia="Calibri" w:hAnsi="Times New Roman" w:cs="Times New Roman"/>
          <w:sz w:val="28"/>
          <w:lang w:val="en-US"/>
        </w:rPr>
        <w:t xml:space="preserve"> </w:t>
      </w:r>
      <w:r w:rsidRPr="00780172">
        <w:rPr>
          <w:rFonts w:ascii="Times New Roman" w:eastAsia="Calibri" w:hAnsi="Times New Roman" w:cs="Times New Roman"/>
          <w:sz w:val="28"/>
        </w:rPr>
        <w:t>от</w:t>
      </w:r>
      <w:r w:rsidRPr="00780172">
        <w:rPr>
          <w:rFonts w:ascii="Times New Roman" w:eastAsia="Calibri" w:hAnsi="Times New Roman" w:cs="Times New Roman"/>
          <w:sz w:val="28"/>
          <w:lang w:val="en-US"/>
        </w:rPr>
        <w:t xml:space="preserve"> </w:t>
      </w:r>
      <w:r w:rsidRPr="00780172">
        <w:rPr>
          <w:rFonts w:ascii="Times New Roman" w:eastAsia="Calibri" w:hAnsi="Times New Roman" w:cs="Times New Roman"/>
          <w:sz w:val="28"/>
        </w:rPr>
        <w:t>английского</w:t>
      </w:r>
      <w:r w:rsidRPr="00780172">
        <w:rPr>
          <w:rFonts w:ascii="Times New Roman" w:eastAsia="Calibri" w:hAnsi="Times New Roman" w:cs="Times New Roman"/>
          <w:sz w:val="28"/>
          <w:lang w:val="en-US"/>
        </w:rPr>
        <w:t xml:space="preserve"> </w:t>
      </w:r>
      <w:r w:rsidRPr="00780172">
        <w:rPr>
          <w:rFonts w:ascii="Times New Roman" w:eastAsia="Calibri" w:hAnsi="Times New Roman" w:cs="Times New Roman"/>
          <w:sz w:val="28"/>
        </w:rPr>
        <w:t>словосочетания</w:t>
      </w:r>
      <w:r w:rsidRPr="00780172">
        <w:rPr>
          <w:rFonts w:ascii="Times New Roman" w:eastAsia="Calibri" w:hAnsi="Times New Roman" w:cs="Times New Roman"/>
          <w:sz w:val="28"/>
          <w:lang w:val="en-US"/>
        </w:rPr>
        <w:t xml:space="preserve"> </w:t>
      </w:r>
      <w:r w:rsidRPr="00780172">
        <w:rPr>
          <w:rFonts w:ascii="Times New Roman" w:eastAsia="Calibri" w:hAnsi="Times New Roman" w:cs="Times New Roman"/>
          <w:bCs/>
          <w:sz w:val="28"/>
          <w:lang w:val="en-US"/>
        </w:rPr>
        <w:t>«Government-Organized Non-Governmental Organization»</w:t>
      </w:r>
      <w:r w:rsidRPr="00780172">
        <w:rPr>
          <w:rFonts w:ascii="Times New Roman" w:eastAsia="Calibri" w:hAnsi="Times New Roman" w:cs="Times New Roman"/>
          <w:sz w:val="28"/>
          <w:lang w:val="en-US"/>
        </w:rPr>
        <w:t xml:space="preserve"> [67, </w:t>
      </w:r>
      <w:r w:rsidRPr="00780172">
        <w:rPr>
          <w:rFonts w:ascii="Times New Roman" w:eastAsia="Calibri" w:hAnsi="Times New Roman" w:cs="Times New Roman"/>
          <w:sz w:val="28"/>
        </w:rPr>
        <w:t>р</w:t>
      </w:r>
      <w:r w:rsidRPr="00780172">
        <w:rPr>
          <w:rFonts w:ascii="Times New Roman" w:eastAsia="Calibri" w:hAnsi="Times New Roman" w:cs="Times New Roman"/>
          <w:sz w:val="28"/>
          <w:lang w:val="en-US"/>
        </w:rPr>
        <w:t xml:space="preserve">. 530]. </w:t>
      </w:r>
      <w:r w:rsidRPr="00780172">
        <w:rPr>
          <w:rFonts w:ascii="Times New Roman" w:eastAsia="Calibri" w:hAnsi="Times New Roman" w:cs="Times New Roman"/>
          <w:sz w:val="28"/>
        </w:rPr>
        <w:t xml:space="preserve">В русскоязычной научной литературе закрепилась прямая транслитерация –  </w:t>
      </w:r>
      <w:r w:rsidRPr="00780172">
        <w:rPr>
          <w:rFonts w:ascii="Times New Roman" w:eastAsia="Calibri" w:hAnsi="Times New Roman" w:cs="Times New Roman"/>
          <w:bCs/>
          <w:sz w:val="28"/>
        </w:rPr>
        <w:t>ГОНГО</w:t>
      </w:r>
      <w:r w:rsidRPr="00780172">
        <w:rPr>
          <w:rFonts w:ascii="Times New Roman" w:eastAsia="Calibri" w:hAnsi="Times New Roman" w:cs="Times New Roman"/>
          <w:sz w:val="28"/>
        </w:rPr>
        <w:t>, а также смысловой перевод – «организованные правительством неправительственные организации» [68, с. 138].</w:t>
      </w:r>
      <w:r w:rsidRPr="00780172">
        <w:rPr>
          <w:rFonts w:ascii="Calibri" w:eastAsia="Calibri" w:hAnsi="Calibri" w:cs="Times New Roman"/>
        </w:rPr>
        <w:t xml:space="preserve"> </w:t>
      </w:r>
      <w:r w:rsidRPr="00780172">
        <w:rPr>
          <w:rFonts w:ascii="Times New Roman" w:eastAsia="Calibri" w:hAnsi="Times New Roman" w:cs="Times New Roman"/>
          <w:sz w:val="28"/>
        </w:rPr>
        <w:t>Специфика GONGO заключается в их бинарной функциональности. С одной стороны, они обладают формальным статусом «независимых» или «неправительственных» структур, что позволяет им участвовать в грантовых программах, международных форумах и диалоговых площадках, недоступных для государственных чиновников. С другой стороны, их генезис напрямую связан с инициативой государства или правящих элит, которые определяют их ресурсную базу и латентную повестку. Как отмечает Д. Лушников, такие организации выступают инструментом политики, нацеленной на построение институтов гражданского общества в странах, осуществляющих «догоняющую» модернизацию, одновременно служа каналом «мягкой силы» и механизмом легитимации существующего режима [68, с. 142].</w:t>
      </w:r>
      <w:r w:rsidRPr="00780172">
        <w:rPr>
          <w:rFonts w:ascii="Calibri" w:eastAsia="Calibri" w:hAnsi="Calibri" w:cs="Times New Roman"/>
        </w:rPr>
        <w:t xml:space="preserve"> </w:t>
      </w:r>
      <w:r w:rsidRPr="00780172">
        <w:rPr>
          <w:rFonts w:ascii="Times New Roman" w:eastAsia="Calibri" w:hAnsi="Times New Roman" w:cs="Times New Roman"/>
          <w:sz w:val="28"/>
        </w:rPr>
        <w:t>В современном Казахстане сформировалась достаточно устойчивая экосистема GONGO, представленная как «зонтичными» структурами (Гражданский альянс, ARGO), так и сервисными госкорпорациями («Правительство для граждан», Astana Hub). Безусловно, организации такого рода участвуют в функционировании гражданского общества, однако, их эффективность достаточно сильно зависит от патрона, и востребованность у граждан может быть весьма невысокой по причине государственного давления и достаточно условной «добровольности» вовлечения.</w:t>
      </w:r>
    </w:p>
    <w:p w:rsidR="00780172" w:rsidRPr="00780172" w:rsidRDefault="00780172" w:rsidP="008465D6">
      <w:pPr>
        <w:numPr>
          <w:ilvl w:val="0"/>
          <w:numId w:val="27"/>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Добровольные общественные ассоциации или местные инициативные группы (grassroots associations).</w:t>
      </w:r>
      <w:r w:rsidRPr="00780172">
        <w:rPr>
          <w:rFonts w:ascii="Times New Roman" w:eastAsia="Calibri" w:hAnsi="Times New Roman" w:cs="Times New Roman"/>
          <w:sz w:val="28"/>
        </w:rPr>
        <w:t xml:space="preserve"> В западной политологии данные ассоциации являются синонимом гражданского общества. Они позволяют, с одной стороны, решать локальные проблемы (инфраструктура, экология, адресная помощь нуждающимся), с другой стороны, вовлекать граждан в инициативные группы и вырабатывать демократические ценности [69, р. 233]. Такие организации обычно небюрократизированы, неиерархичны, представляют собой скорее площадки для обсуждения насущных проблем достаточно ограниченного круга людей (как правило, соседей); они отличаются тем, что штата сотрудников с фиксированной заработной платой, стратегии, политических амбиций у таких объединений практически нет [70, p. 807]. Эти ассоциации можно назвать ad hoc – они существуют, пока есть какая-либо проблема, которую необходимо решать. Как только гражданам удаётся её решить, необходимость в существовании организации отпадает. В частности, в казахстанских реалиях это могут быть проблемы, связанные с коммунальной инфраструктурой жилого фонда, обустройством придомовой территории, различные клубы по интересам. Как утверждают исследователи </w:t>
      </w:r>
      <w:r w:rsidRPr="00780172">
        <w:rPr>
          <w:rFonts w:ascii="Times New Roman" w:eastAsia="Calibri" w:hAnsi="Times New Roman" w:cs="Times New Roman"/>
          <w:sz w:val="28"/>
          <w:szCs w:val="28"/>
        </w:rPr>
        <w:t>J. Kretzmann и J. McKnight</w:t>
      </w:r>
      <w:r w:rsidRPr="00780172">
        <w:rPr>
          <w:rFonts w:ascii="Times New Roman" w:eastAsia="Calibri" w:hAnsi="Times New Roman" w:cs="Times New Roman"/>
          <w:sz w:val="28"/>
        </w:rPr>
        <w:t xml:space="preserve">, такие объединения сложно изучать и даже подсчитать их примерное количество в силу их природы [71, р. 37]. Те ассоциации, что имеют длительную историю существования, обычно финансируются за счёт членских взносов. Наиболее известным примером таких объединений являются организации </w:t>
      </w:r>
      <w:r w:rsidRPr="00780172">
        <w:rPr>
          <w:rFonts w:ascii="Times New Roman" w:eastAsia="Calibri" w:hAnsi="Times New Roman" w:cs="Times New Roman"/>
          <w:sz w:val="28"/>
        </w:rPr>
        <w:lastRenderedPageBreak/>
        <w:t>скаутов [70, р. 805]. Отличительной чертой подобных ассоциаций является фактор добровольного участия, как правило безвозмездного, то есть, вопрос материального вознаграждения за участие отсутствует. Как считают исследователи, возникновение таких ассоциаций возможно лишь в социальных группах не ниже уровня среднего класса, поскольку основным мотивом является не материальное вознаграждение, но улучшение собственной окружающей среды и реализация своих интересов [70, р. 806].</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Некоторые исследователи выделяют в данной категории организации, чья деятельность направлена на достижение перемен эволюционными методами (social change organizations) [72, р. 958]. Подобные организации имеют более строгую структуру (иерархию), более чётко выраженное лидерство и контингент сотрудников, чем добровольные общественные ассоциации. Их деятельность направлена более в политическую и законотворческую плоскость, они стремятся не только решить текущие проблемы, но и предотвратить их в будущем. </w:t>
      </w:r>
    </w:p>
    <w:p w:rsidR="00780172" w:rsidRPr="00780172" w:rsidRDefault="00780172" w:rsidP="008465D6">
      <w:pPr>
        <w:numPr>
          <w:ilvl w:val="0"/>
          <w:numId w:val="27"/>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Социальные движения (social movements).</w:t>
      </w:r>
      <w:r w:rsidRPr="00780172">
        <w:rPr>
          <w:rFonts w:ascii="Times New Roman" w:eastAsia="Calibri" w:hAnsi="Times New Roman" w:cs="Times New Roman"/>
          <w:b/>
          <w:i/>
          <w:sz w:val="28"/>
        </w:rPr>
        <w:t xml:space="preserve"> </w:t>
      </w:r>
      <w:r w:rsidRPr="00780172">
        <w:rPr>
          <w:rFonts w:ascii="Times New Roman" w:eastAsia="Calibri" w:hAnsi="Times New Roman" w:cs="Times New Roman"/>
          <w:sz w:val="28"/>
        </w:rPr>
        <w:t>Зачастую социальными движениями в политическом и медиа дискурсе именуют любой вид гражданской активности. Однако, в социальных науках гражданское общество и социальные движения выделяются в два различных поля исследования [73, р. 814].</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Существует несколько определений социальных движений. С одной стороны, общественные движения – это составляющая гражданского общества, с другой стороны, процессы коллективного действия в гражданском обществе могут рассматриваться как предпосылки для развития социальных движений [31, р. 118]. Как полагает исследователь M. Diani, специализирующийся на изучении социальных движений, социальные движения – это совокупность неформальных сетей, включающих в себя индивидов, группы и организации, вовлечённых в политическое или культурное противостояние, разделяющих общую идентичность [74, р. 4]. Ввиду размытости и концептуальной неопределённости границ между такими категориями, как социальные движения, коллективное действие и гражданское общество, исследовательские вопросы и проблемные поля, формирующиеся в рамках анализа общественных движений, во многом коррелируют с теми, которые разрабатываются в исследованиях гражданского общества. </w:t>
      </w:r>
    </w:p>
    <w:p w:rsidR="00780172" w:rsidRPr="00780172" w:rsidRDefault="00780172" w:rsidP="008465D6">
      <w:pPr>
        <w:numPr>
          <w:ilvl w:val="0"/>
          <w:numId w:val="27"/>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sz w:val="28"/>
        </w:rPr>
        <w:t xml:space="preserve">Исследователи гражданского общества выделяют также такую форму объединений как </w:t>
      </w:r>
      <w:r w:rsidRPr="00780172">
        <w:rPr>
          <w:rFonts w:ascii="Times New Roman" w:eastAsia="Calibri" w:hAnsi="Times New Roman" w:cs="Times New Roman"/>
          <w:i/>
          <w:sz w:val="28"/>
        </w:rPr>
        <w:t>социальные предприятия (social enterprises)</w:t>
      </w:r>
      <w:r w:rsidRPr="00780172">
        <w:rPr>
          <w:rFonts w:ascii="Times New Roman" w:eastAsia="Calibri" w:hAnsi="Times New Roman" w:cs="Times New Roman"/>
          <w:sz w:val="28"/>
        </w:rPr>
        <w:t xml:space="preserve"> [75, р. 1442]</w:t>
      </w:r>
      <w:r w:rsidRPr="00780172">
        <w:rPr>
          <w:rFonts w:ascii="Times New Roman" w:eastAsia="Calibri" w:hAnsi="Times New Roman" w:cs="Times New Roman"/>
          <w:i/>
          <w:sz w:val="28"/>
        </w:rPr>
        <w:t>.</w:t>
      </w:r>
      <w:r w:rsidRPr="00780172">
        <w:rPr>
          <w:rFonts w:ascii="Times New Roman" w:eastAsia="Calibri" w:hAnsi="Times New Roman" w:cs="Times New Roman"/>
          <w:sz w:val="28"/>
        </w:rPr>
        <w:t xml:space="preserve"> Это форма отношений между гражданским обществом, государством и бизнесом, предусматривающая реализацию общественно-значимых проектов с привлечением государства и бизнеса, проводимых общественными организациями. Поскольку цель данного исследования не лежит в плоскости изучения данного вида взаимодействий, оно лишь упоминается для создания полной картины. В Казахстане на сегодняшний день существует такое явление как государственный социальный заказ, которое подразумевает привлечение НПО к решению задач социального характера при государственном финансировании на конкурсной основе. </w:t>
      </w:r>
    </w:p>
    <w:p w:rsidR="00780172" w:rsidRPr="00780172" w:rsidRDefault="00780172" w:rsidP="008465D6">
      <w:pPr>
        <w:numPr>
          <w:ilvl w:val="0"/>
          <w:numId w:val="27"/>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lastRenderedPageBreak/>
        <w:t>Глобальное гражданское общество</w:t>
      </w:r>
      <w:r w:rsidRPr="00780172">
        <w:rPr>
          <w:rFonts w:ascii="Times New Roman" w:eastAsia="Calibri" w:hAnsi="Times New Roman" w:cs="Times New Roman"/>
          <w:sz w:val="28"/>
        </w:rPr>
        <w:t xml:space="preserve"> – данное понятие включает идею распространения принципов гражданственности, ответственности, справедливости в мировом масштабе. Его можно интерпретировать как механизм развития общественных контактов и взаимодействий на наднациональном уровне по поводу общих проблем и приоритетов [76, р. 387]. Как предполагают исследователи данного направления, глобальное гражданское общество по формам своей деятельности может включать международные общественные движения, федерации различных видов спорта, религиозные объединения, профессиональные и бизнес ассоциации, НПО международного характера деятельности [31, р. 120]. Некоторые учёные относят электронную энциклопедию Wikipedia к специфической цифровой форме глобального гражданского общества [77, р. 186]. Наиболее известными НПО глобального характера являются Greenpeace, WWF, World Economic Forum. Среди исследователей идут споры относительно реальной эффективности подобного рода объединений, поскольку наднациональный характер не всегда может способствовать выработке идентичности, а также осуществлению последовательной деятельности в рамках организации [33, р. 431]. При этом исследователь </w:t>
      </w:r>
      <w:r w:rsidRPr="00780172">
        <w:rPr>
          <w:rFonts w:ascii="Times New Roman" w:eastAsia="Calibri" w:hAnsi="Times New Roman" w:cs="Times New Roman"/>
          <w:sz w:val="28"/>
          <w:szCs w:val="28"/>
        </w:rPr>
        <w:t>J. Scholte констатирует</w:t>
      </w:r>
      <w:r w:rsidRPr="00780172">
        <w:rPr>
          <w:rFonts w:ascii="Times New Roman" w:eastAsia="Calibri" w:hAnsi="Times New Roman" w:cs="Times New Roman"/>
          <w:sz w:val="28"/>
        </w:rPr>
        <w:t xml:space="preserve"> факт, что роль акторов глобального гражданского общества несомненна в сфере распространения демократических ценностей [33, р. 433]. Применительно к Казахстану, как представляется, данное утверждение справедливо. Глобальные НПО способствовали повышению экологической культуры населения, воспитанию ценностей ЗОЖ, приобщению к глобальным ценностям устойчивого развития.</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t>1.2.3 Операционализация понятий в рамках теоретической модели исследования</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Под гражданским обществом данное диссертационное исследование понимает следующее: гражданское общество</w:t>
      </w:r>
      <w:r w:rsidRPr="00780172">
        <w:rPr>
          <w:rFonts w:ascii="Times New Roman" w:eastAsia="Calibri" w:hAnsi="Times New Roman" w:cs="Times New Roman"/>
          <w:sz w:val="28"/>
        </w:rPr>
        <w:t xml:space="preserve"> – это такое состояние общественных, экономических, культурных, политических отношений, при котором законодательно оформлены и соблюдаются на практике права человека и гражданина, общественное политическое сознание сформировано под воздействием гражданской культуры и отвечает критериям персональной ответственности, справедливости, готовности к коллективному участию на безвозмездной основе для решения проблем локального характера, включающее в себя различного рода институты, которые являются практической площадкой для реализации интересов участников. При эмпирическом анализе данное понятие операционализируется через следующие индикаторы: </w:t>
      </w:r>
    </w:p>
    <w:p w:rsidR="00780172" w:rsidRPr="00780172" w:rsidRDefault="00780172" w:rsidP="008465D6">
      <w:pPr>
        <w:numPr>
          <w:ilvl w:val="0"/>
          <w:numId w:val="2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институциональный уровень</w:t>
      </w:r>
      <w:r w:rsidRPr="00780172">
        <w:rPr>
          <w:rFonts w:ascii="Times New Roman" w:eastAsia="Calibri" w:hAnsi="Times New Roman" w:cs="Times New Roman"/>
          <w:sz w:val="28"/>
        </w:rPr>
        <w:t>: наличие и степень развитости неправительственных организаций, инициативных групп и иных форм самоорганизации граждан;</w:t>
      </w:r>
    </w:p>
    <w:p w:rsidR="00780172" w:rsidRPr="00780172" w:rsidRDefault="00780172" w:rsidP="008465D6">
      <w:pPr>
        <w:numPr>
          <w:ilvl w:val="0"/>
          <w:numId w:val="2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правовой уровень</w:t>
      </w:r>
      <w:r w:rsidRPr="00780172">
        <w:rPr>
          <w:rFonts w:ascii="Times New Roman" w:eastAsia="Calibri" w:hAnsi="Times New Roman" w:cs="Times New Roman"/>
          <w:sz w:val="28"/>
        </w:rPr>
        <w:t>: субъективная оценка соблюдения прав и свобод, а также опыт их реализации или защиты;</w:t>
      </w:r>
    </w:p>
    <w:p w:rsidR="00780172" w:rsidRPr="00780172" w:rsidRDefault="00780172" w:rsidP="008465D6">
      <w:pPr>
        <w:numPr>
          <w:ilvl w:val="0"/>
          <w:numId w:val="2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культурно-ценностный уровень</w:t>
      </w:r>
      <w:r w:rsidRPr="00780172">
        <w:rPr>
          <w:rFonts w:ascii="Times New Roman" w:eastAsia="Calibri" w:hAnsi="Times New Roman" w:cs="Times New Roman"/>
          <w:sz w:val="28"/>
        </w:rPr>
        <w:t>: выраженность установок на гражданскую ответственность, солидарность, справедливость;</w:t>
      </w:r>
    </w:p>
    <w:p w:rsidR="00780172" w:rsidRPr="00780172" w:rsidRDefault="00780172" w:rsidP="008465D6">
      <w:pPr>
        <w:numPr>
          <w:ilvl w:val="0"/>
          <w:numId w:val="2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lastRenderedPageBreak/>
        <w:t>поведенческий уровень</w:t>
      </w:r>
      <w:r w:rsidRPr="00780172">
        <w:rPr>
          <w:rFonts w:ascii="Times New Roman" w:eastAsia="Calibri" w:hAnsi="Times New Roman" w:cs="Times New Roman"/>
          <w:sz w:val="28"/>
        </w:rPr>
        <w:t>: участие в волонтёрской деятельности, локальных инициативах, общественных проектах;</w:t>
      </w:r>
    </w:p>
    <w:p w:rsidR="00780172" w:rsidRPr="00780172" w:rsidRDefault="00780172" w:rsidP="008465D6">
      <w:pPr>
        <w:numPr>
          <w:ilvl w:val="0"/>
          <w:numId w:val="28"/>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уровень гражданского сознания</w:t>
      </w:r>
      <w:r w:rsidRPr="00780172">
        <w:rPr>
          <w:rFonts w:ascii="Times New Roman" w:eastAsia="Calibri" w:hAnsi="Times New Roman" w:cs="Times New Roman"/>
          <w:sz w:val="28"/>
        </w:rPr>
        <w:t>: готовность к безвозмездному участию в решении общественно значимых проблем, вовлечённость в коллективные действия.</w:t>
      </w:r>
    </w:p>
    <w:p w:rsidR="00780172" w:rsidRPr="00780172" w:rsidRDefault="00780172" w:rsidP="00780172">
      <w:pPr>
        <w:spacing w:after="0" w:line="240" w:lineRule="auto"/>
        <w:ind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Данные индикаторы используются при анализе факторов внутренней и внешней среды и их влияние на формирование гражданского общества в Казахстане.</w:t>
      </w:r>
    </w:p>
    <w:p w:rsidR="00780172" w:rsidRPr="00780172" w:rsidRDefault="00780172" w:rsidP="00780172">
      <w:pPr>
        <w:spacing w:after="0"/>
        <w:ind w:firstLine="709"/>
        <w:jc w:val="both"/>
        <w:rPr>
          <w:rFonts w:ascii="Times New Roman" w:eastAsia="Calibri" w:hAnsi="Times New Roman" w:cs="Times New Roman"/>
          <w:sz w:val="28"/>
          <w:szCs w:val="28"/>
        </w:rPr>
      </w:pPr>
      <w:r w:rsidRPr="00780172">
        <w:rPr>
          <w:rFonts w:ascii="Times New Roman" w:eastAsia="Calibri" w:hAnsi="Times New Roman" w:cs="Times New Roman"/>
          <w:i/>
          <w:sz w:val="28"/>
        </w:rPr>
        <w:t xml:space="preserve">Под термином «общественная организация» в данном исследовании понимается следующее: общественная организация (ассоциация, объединение) </w:t>
      </w:r>
      <w:r w:rsidRPr="00780172">
        <w:rPr>
          <w:rFonts w:ascii="Times New Roman" w:eastAsia="Calibri" w:hAnsi="Times New Roman" w:cs="Times New Roman"/>
          <w:sz w:val="28"/>
        </w:rPr>
        <w:t>– это формализованное объединение граждан, обладающее внутренней структурой и иерархией управления, основанное на принципах добровольного участия, предполагающих свободу входа и выхода членов. Общественная организация функционирует в различных сферах общественной жизни – как политической, так и неполитической – и направлена на реализацию коллективных интересов своих участников.</w:t>
      </w:r>
      <w:r w:rsidRPr="00780172">
        <w:rPr>
          <w:rFonts w:ascii="Times New Roman" w:eastAsia="Times New Roman" w:hAnsi="Times New Roman" w:cs="Times New Roman"/>
          <w:sz w:val="24"/>
          <w:szCs w:val="24"/>
          <w:lang w:eastAsia="ru-RU"/>
        </w:rPr>
        <w:t xml:space="preserve"> </w:t>
      </w:r>
      <w:r w:rsidRPr="00780172">
        <w:rPr>
          <w:rFonts w:ascii="Times New Roman" w:eastAsia="Times New Roman" w:hAnsi="Times New Roman" w:cs="Times New Roman"/>
          <w:sz w:val="28"/>
          <w:szCs w:val="28"/>
          <w:lang w:eastAsia="ru-RU"/>
        </w:rPr>
        <w:t>Д</w:t>
      </w:r>
      <w:r w:rsidRPr="00780172">
        <w:rPr>
          <w:rFonts w:ascii="Times New Roman" w:eastAsia="Calibri" w:hAnsi="Times New Roman" w:cs="Times New Roman"/>
          <w:sz w:val="28"/>
          <w:szCs w:val="28"/>
        </w:rPr>
        <w:t>анное понятие операционализируется через следующие индикаторы:</w:t>
      </w:r>
    </w:p>
    <w:p w:rsidR="00780172" w:rsidRPr="00780172" w:rsidRDefault="00780172" w:rsidP="008465D6">
      <w:pPr>
        <w:numPr>
          <w:ilvl w:val="0"/>
          <w:numId w:val="29"/>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организационная структура</w:t>
      </w:r>
      <w:r w:rsidRPr="00780172">
        <w:rPr>
          <w:rFonts w:ascii="Times New Roman" w:eastAsia="Calibri" w:hAnsi="Times New Roman" w:cs="Times New Roman"/>
          <w:sz w:val="28"/>
        </w:rPr>
        <w:t>: наличие формализованных органов управления, распределение ролей и уровней иерархии;</w:t>
      </w:r>
    </w:p>
    <w:p w:rsidR="00780172" w:rsidRPr="00780172" w:rsidRDefault="00780172" w:rsidP="008465D6">
      <w:pPr>
        <w:numPr>
          <w:ilvl w:val="0"/>
          <w:numId w:val="29"/>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принципы членства</w:t>
      </w:r>
      <w:r w:rsidRPr="00780172">
        <w:rPr>
          <w:rFonts w:ascii="Times New Roman" w:eastAsia="Calibri" w:hAnsi="Times New Roman" w:cs="Times New Roman"/>
          <w:sz w:val="28"/>
        </w:rPr>
        <w:t>: открытость организации, наличие процедур вступления и выхода;</w:t>
      </w:r>
    </w:p>
    <w:p w:rsidR="00780172" w:rsidRPr="00780172" w:rsidRDefault="00780172" w:rsidP="008465D6">
      <w:pPr>
        <w:numPr>
          <w:ilvl w:val="0"/>
          <w:numId w:val="29"/>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финансовая база</w:t>
      </w:r>
      <w:r w:rsidRPr="00780172">
        <w:rPr>
          <w:rFonts w:ascii="Times New Roman" w:eastAsia="Calibri" w:hAnsi="Times New Roman" w:cs="Times New Roman"/>
          <w:sz w:val="28"/>
        </w:rPr>
        <w:t>: источники финансирования (государственные средства, частные пожертвования, членские взносы);</w:t>
      </w:r>
    </w:p>
    <w:p w:rsidR="00780172" w:rsidRPr="00780172" w:rsidRDefault="00780172" w:rsidP="008465D6">
      <w:pPr>
        <w:numPr>
          <w:ilvl w:val="0"/>
          <w:numId w:val="29"/>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сфера деятельности</w:t>
      </w:r>
      <w:r w:rsidRPr="00780172">
        <w:rPr>
          <w:rFonts w:ascii="Times New Roman" w:eastAsia="Calibri" w:hAnsi="Times New Roman" w:cs="Times New Roman"/>
          <w:sz w:val="28"/>
        </w:rPr>
        <w:t>: направленность деятельности (политическая, социальная, культурная, образовательная и др.);</w:t>
      </w:r>
    </w:p>
    <w:p w:rsidR="00780172" w:rsidRPr="00780172" w:rsidRDefault="00780172" w:rsidP="008465D6">
      <w:pPr>
        <w:numPr>
          <w:ilvl w:val="0"/>
          <w:numId w:val="29"/>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характер участия</w:t>
      </w:r>
      <w:r w:rsidRPr="00780172">
        <w:rPr>
          <w:rFonts w:ascii="Times New Roman" w:eastAsia="Calibri" w:hAnsi="Times New Roman" w:cs="Times New Roman"/>
          <w:sz w:val="28"/>
        </w:rPr>
        <w:t>: степень вовлечённости членов в деятельность организации, включая регулярность участия и формы активности.</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Данные индикаторы использовались при проведении глубинного интервью с представителями молодёжных общественных объединений Казахстана, а также при интервьюировании казахстанских экспертов.</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Представляется необходимым определить категориальную принадлежность молодёжных общественных организаций современного Казахстана. Зачастую они именуются «НПО», хотя концептуально подобное обозначение неверно. Вероятнее всего большинство молодёжных общественных объединений уместно отнести к категории «GONGO», поскольку патронаж государства весьма существен в их деятельности. Некоторые молодёжные общественные ассоциации, имеющие чётко выраженное направление деятельности (помощь социально уязвимым категориям граждан, патронаж детских домов, приютов для животных, домов престарелых) можно включить в категорию «НКО».</w:t>
      </w:r>
    </w:p>
    <w:p w:rsidR="00780172" w:rsidRPr="00780172" w:rsidRDefault="00780172" w:rsidP="00780172">
      <w:pPr>
        <w:spacing w:after="0"/>
        <w:ind w:firstLine="709"/>
        <w:jc w:val="both"/>
        <w:rPr>
          <w:rFonts w:ascii="Calibri" w:eastAsia="Calibri" w:hAnsi="Calibri" w:cs="Times New Roman"/>
          <w:sz w:val="28"/>
        </w:rPr>
      </w:pPr>
      <w:r w:rsidRPr="00780172">
        <w:rPr>
          <w:rFonts w:ascii="Times New Roman" w:eastAsia="Calibri" w:hAnsi="Times New Roman" w:cs="Times New Roman"/>
          <w:sz w:val="28"/>
        </w:rPr>
        <w:t>Тем не менее, в целях устранения методологической неопределённости данное исследование категорирует молодёжные общественные объединения как</w:t>
      </w:r>
      <w:r w:rsidRPr="00780172">
        <w:rPr>
          <w:rFonts w:ascii="Times New Roman" w:eastAsia="Calibri" w:hAnsi="Times New Roman" w:cs="Times New Roman"/>
          <w:i/>
          <w:sz w:val="28"/>
        </w:rPr>
        <w:t xml:space="preserve"> «civil society organizations» или «организации гражданского общества»</w:t>
      </w:r>
      <w:r w:rsidRPr="00780172">
        <w:rPr>
          <w:rFonts w:ascii="Times New Roman" w:eastAsia="Calibri" w:hAnsi="Times New Roman" w:cs="Times New Roman"/>
          <w:sz w:val="28"/>
        </w:rPr>
        <w:t xml:space="preserve">. </w:t>
      </w:r>
      <w:r w:rsidRPr="00780172">
        <w:rPr>
          <w:rFonts w:ascii="Times New Roman" w:eastAsia="Calibri" w:hAnsi="Times New Roman" w:cs="Times New Roman"/>
          <w:i/>
          <w:sz w:val="28"/>
        </w:rPr>
        <w:lastRenderedPageBreak/>
        <w:t>Автором разработано оригинальное определение молодёжных общественных организаций, применяемое в данном исследовании: молодёжные общественные организации</w:t>
      </w:r>
      <w:r w:rsidRPr="00780172">
        <w:rPr>
          <w:rFonts w:ascii="Times New Roman" w:eastAsia="Calibri" w:hAnsi="Times New Roman" w:cs="Times New Roman"/>
          <w:sz w:val="28"/>
        </w:rPr>
        <w:t xml:space="preserve"> – это </w:t>
      </w:r>
      <w:r w:rsidRPr="00780172">
        <w:rPr>
          <w:rFonts w:ascii="Times New Roman" w:eastAsia="Calibri" w:hAnsi="Times New Roman" w:cs="Times New Roman"/>
          <w:sz w:val="28"/>
          <w:lang w:eastAsia="ru-RU"/>
        </w:rPr>
        <w:t>организации с фиксированной структурой и уставом, имеющие внешних спонсоров как государственного, так и частного характера, включающие неформальные практики взаимодействия и вовлечения участников от 18 до 35 лет с целью гражданской безвозмездной добровольной активности неполитического характера</w:t>
      </w:r>
      <w:r w:rsidRPr="00780172">
        <w:rPr>
          <w:rFonts w:ascii="Times New Roman" w:eastAsia="Calibri" w:hAnsi="Times New Roman" w:cs="Times New Roman"/>
          <w:sz w:val="28"/>
        </w:rPr>
        <w:t>.</w:t>
      </w:r>
      <w:r w:rsidRPr="00780172">
        <w:rPr>
          <w:rFonts w:ascii="Times New Roman" w:eastAsia="Times New Roman" w:hAnsi="Times New Roman" w:cs="Times New Roman"/>
          <w:sz w:val="24"/>
          <w:szCs w:val="24"/>
          <w:lang w:eastAsia="ru-RU"/>
        </w:rPr>
        <w:t xml:space="preserve"> </w:t>
      </w:r>
      <w:r w:rsidRPr="00780172">
        <w:rPr>
          <w:rFonts w:ascii="Times New Roman" w:eastAsia="Calibri" w:hAnsi="Times New Roman" w:cs="Times New Roman"/>
          <w:sz w:val="28"/>
        </w:rPr>
        <w:t>Данное понятие операционализируется через совокупность следующих индикаторов:</w:t>
      </w:r>
    </w:p>
    <w:p w:rsidR="00780172" w:rsidRPr="00780172" w:rsidRDefault="00780172" w:rsidP="008465D6">
      <w:pPr>
        <w:numPr>
          <w:ilvl w:val="0"/>
          <w:numId w:val="3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организационная оформленность</w:t>
      </w:r>
      <w:r w:rsidRPr="00780172">
        <w:rPr>
          <w:rFonts w:ascii="Times New Roman" w:eastAsia="Calibri" w:hAnsi="Times New Roman" w:cs="Times New Roman"/>
          <w:sz w:val="28"/>
        </w:rPr>
        <w:t>: наличие устава, формализованной структуры и органов управления;</w:t>
      </w:r>
    </w:p>
    <w:p w:rsidR="00780172" w:rsidRPr="00780172" w:rsidRDefault="00780172" w:rsidP="008465D6">
      <w:pPr>
        <w:numPr>
          <w:ilvl w:val="0"/>
          <w:numId w:val="3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возрастной состав участников</w:t>
      </w:r>
      <w:r w:rsidRPr="00780172">
        <w:rPr>
          <w:rFonts w:ascii="Times New Roman" w:eastAsia="Calibri" w:hAnsi="Times New Roman" w:cs="Times New Roman"/>
          <w:sz w:val="28"/>
        </w:rPr>
        <w:t>: преобладание членов в возрастной группе от 18 до 35 лет;</w:t>
      </w:r>
    </w:p>
    <w:p w:rsidR="00780172" w:rsidRPr="00780172" w:rsidRDefault="00780172" w:rsidP="008465D6">
      <w:pPr>
        <w:numPr>
          <w:ilvl w:val="0"/>
          <w:numId w:val="3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источники финансирования</w:t>
      </w:r>
      <w:r w:rsidRPr="00780172">
        <w:rPr>
          <w:rFonts w:ascii="Times New Roman" w:eastAsia="Calibri" w:hAnsi="Times New Roman" w:cs="Times New Roman"/>
          <w:sz w:val="28"/>
        </w:rPr>
        <w:t>: наличие внешней поддержки (государственной и/или частной), а также возможные внутренние ресурсы;</w:t>
      </w:r>
    </w:p>
    <w:p w:rsidR="00780172" w:rsidRPr="00780172" w:rsidRDefault="00780172" w:rsidP="008465D6">
      <w:pPr>
        <w:numPr>
          <w:ilvl w:val="0"/>
          <w:numId w:val="3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характер деятельности</w:t>
      </w:r>
      <w:r w:rsidRPr="00780172">
        <w:rPr>
          <w:rFonts w:ascii="Times New Roman" w:eastAsia="Calibri" w:hAnsi="Times New Roman" w:cs="Times New Roman"/>
          <w:sz w:val="28"/>
        </w:rPr>
        <w:t>: ориентация на неполитическую сферу (социальные, культурные, образовательные, волонтёрские проекты);</w:t>
      </w:r>
    </w:p>
    <w:p w:rsidR="00780172" w:rsidRPr="00780172" w:rsidRDefault="00780172" w:rsidP="008465D6">
      <w:pPr>
        <w:numPr>
          <w:ilvl w:val="0"/>
          <w:numId w:val="3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формы участия</w:t>
      </w:r>
      <w:r w:rsidRPr="00780172">
        <w:rPr>
          <w:rFonts w:ascii="Times New Roman" w:eastAsia="Calibri" w:hAnsi="Times New Roman" w:cs="Times New Roman"/>
          <w:sz w:val="28"/>
        </w:rPr>
        <w:t>: реализация добровольной и безвозмездной активности;</w:t>
      </w:r>
    </w:p>
    <w:p w:rsidR="00780172" w:rsidRPr="00780172" w:rsidRDefault="00780172" w:rsidP="008465D6">
      <w:pPr>
        <w:numPr>
          <w:ilvl w:val="0"/>
          <w:numId w:val="3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неформальные практики взаимодействия</w:t>
      </w:r>
      <w:r w:rsidRPr="00780172">
        <w:rPr>
          <w:rFonts w:ascii="Times New Roman" w:eastAsia="Calibri" w:hAnsi="Times New Roman" w:cs="Times New Roman"/>
          <w:sz w:val="28"/>
        </w:rPr>
        <w:t>: наличие горизонтальных связей, неформальной коммуникации, инициатив «снизу»;</w:t>
      </w:r>
    </w:p>
    <w:p w:rsidR="00780172" w:rsidRPr="00780172" w:rsidRDefault="00780172" w:rsidP="008465D6">
      <w:pPr>
        <w:numPr>
          <w:ilvl w:val="0"/>
          <w:numId w:val="30"/>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i/>
          <w:sz w:val="28"/>
        </w:rPr>
        <w:t>уровень вовлечённости</w:t>
      </w:r>
      <w:r w:rsidRPr="00780172">
        <w:rPr>
          <w:rFonts w:ascii="Times New Roman" w:eastAsia="Calibri" w:hAnsi="Times New Roman" w:cs="Times New Roman"/>
          <w:sz w:val="28"/>
        </w:rPr>
        <w:t>: регулярность участия членов в проектах и мероприятиях организации.</w:t>
      </w:r>
    </w:p>
    <w:p w:rsidR="00780172" w:rsidRPr="00780172" w:rsidRDefault="00780172" w:rsidP="00780172">
      <w:pPr>
        <w:spacing w:after="0" w:line="240" w:lineRule="auto"/>
        <w:ind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Данные индикаторы использовались при проведении оригинального социологического опроса 2019, 2023 и 2025 года, а также при проведении множественного корреляционно-регрессионного анализа его результатов.</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Выводы</w:t>
      </w:r>
      <w:r w:rsidRPr="00780172">
        <w:rPr>
          <w:rFonts w:ascii="Times New Roman" w:eastAsia="Calibri" w:hAnsi="Times New Roman" w:cs="Times New Roman"/>
          <w:sz w:val="28"/>
        </w:rPr>
        <w:t>:</w:t>
      </w:r>
    </w:p>
    <w:p w:rsidR="00780172" w:rsidRPr="00780172" w:rsidRDefault="00780172" w:rsidP="008465D6">
      <w:pPr>
        <w:numPr>
          <w:ilvl w:val="1"/>
          <w:numId w:val="21"/>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Разграничение институтов и организаций гражданского общества позволяет точнее зафиксировать роль последних как носителей идентичности и коллективного действия</w:t>
      </w:r>
      <w:r w:rsidRPr="00780172">
        <w:rPr>
          <w:rFonts w:ascii="Times New Roman" w:eastAsia="Calibri" w:hAnsi="Times New Roman" w:cs="Times New Roman"/>
          <w:sz w:val="28"/>
        </w:rPr>
        <w:t xml:space="preserve">, в то время как институты охватывают более широкий спектр формальных и неформальных практик. Организации </w:t>
      </w:r>
      <w:r w:rsidRPr="00780172">
        <w:rPr>
          <w:rFonts w:ascii="Times New Roman" w:eastAsia="Calibri" w:hAnsi="Times New Roman" w:cs="Times New Roman"/>
          <w:bCs/>
          <w:sz w:val="28"/>
        </w:rPr>
        <w:t>гражданского общества</w:t>
      </w:r>
      <w:r w:rsidRPr="00780172">
        <w:rPr>
          <w:rFonts w:ascii="Times New Roman" w:eastAsia="Calibri" w:hAnsi="Times New Roman" w:cs="Times New Roman"/>
          <w:sz w:val="28"/>
        </w:rPr>
        <w:t xml:space="preserve"> выступают ключевым механизмом воспроизводства участия, аккумулируя ресурсы (информационные, символические, организационные) и формируя устойчивое чувство принадлежности у своих членов.</w:t>
      </w:r>
    </w:p>
    <w:p w:rsidR="00780172" w:rsidRPr="00780172" w:rsidRDefault="00780172" w:rsidP="008465D6">
      <w:pPr>
        <w:numPr>
          <w:ilvl w:val="1"/>
          <w:numId w:val="21"/>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Организационная структура общественных объединений является производной от политической и социокультурной среды</w:t>
      </w:r>
      <w:r w:rsidRPr="00780172">
        <w:rPr>
          <w:rFonts w:ascii="Times New Roman" w:eastAsia="Calibri" w:hAnsi="Times New Roman" w:cs="Times New Roman"/>
          <w:sz w:val="28"/>
        </w:rPr>
        <w:t>, а не исключительно результатом рационального выбора акторов. В условиях ограниченной или враждебной политической среды преобладают иерархические и централизованные модели, повышающие выживаемость организаций, тогда как инклюзивная среда способствует распространению более горизонтальных и сетевых форм.</w:t>
      </w:r>
      <w:r w:rsidRPr="00780172">
        <w:rPr>
          <w:rFonts w:ascii="Times New Roman" w:eastAsia="Calibri" w:hAnsi="Times New Roman" w:cs="Times New Roman"/>
          <w:bCs/>
          <w:sz w:val="28"/>
        </w:rPr>
        <w:t xml:space="preserve"> Сетевая (гибридная) модель общественной организации демонстрирует высокую адаптивность и инновационный потенциал</w:t>
      </w:r>
      <w:r w:rsidRPr="00780172">
        <w:rPr>
          <w:rFonts w:ascii="Times New Roman" w:eastAsia="Calibri" w:hAnsi="Times New Roman" w:cs="Times New Roman"/>
          <w:sz w:val="28"/>
        </w:rPr>
        <w:t xml:space="preserve">, особенно в условиях ad hoc активности, однако её ограниченная способность к долгосрочному воспроизводству идентичности снижает её значение как устойчивого институционального основания политической культуры. Тем </w:t>
      </w:r>
      <w:r w:rsidRPr="00780172">
        <w:rPr>
          <w:rFonts w:ascii="Times New Roman" w:eastAsia="Calibri" w:hAnsi="Times New Roman" w:cs="Times New Roman"/>
          <w:sz w:val="28"/>
        </w:rPr>
        <w:lastRenderedPageBreak/>
        <w:t>самым эффективность организации оказывается связанной не только с её гибкостью, но и с возможностью институционализации.</w:t>
      </w:r>
    </w:p>
    <w:p w:rsidR="00780172" w:rsidRPr="00780172" w:rsidRDefault="00780172" w:rsidP="008465D6">
      <w:pPr>
        <w:numPr>
          <w:ilvl w:val="1"/>
          <w:numId w:val="21"/>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В общественно-политических условиях современного Казахстана среди общественных объединений преобладают иерархизированные формы</w:t>
      </w:r>
      <w:r w:rsidRPr="00780172">
        <w:rPr>
          <w:rFonts w:ascii="Times New Roman" w:eastAsia="Calibri" w:hAnsi="Times New Roman" w:cs="Times New Roman"/>
          <w:sz w:val="28"/>
        </w:rPr>
        <w:t xml:space="preserve">, что может быть объяснено давлением факторов внешней среды (государственное вмешательство), дефицитом ценностей персональной ответственности и инициативности участников (фактор внутренней среды), а также исторически сложившимися представлениями о «работоспособной» организационной форме. Многие общественные организации в Казахстане занимают промежуточное положение между НПО, НКО и GONGO, что делает целесообразным использование обобщающего термина </w:t>
      </w:r>
      <w:r w:rsidRPr="00780172">
        <w:rPr>
          <w:rFonts w:ascii="Times New Roman" w:eastAsia="Calibri" w:hAnsi="Times New Roman" w:cs="Times New Roman"/>
          <w:i/>
          <w:iCs/>
          <w:sz w:val="28"/>
        </w:rPr>
        <w:t>civil society organizations</w:t>
      </w:r>
      <w:r w:rsidRPr="00780172">
        <w:rPr>
          <w:rFonts w:ascii="Times New Roman" w:eastAsia="Calibri" w:hAnsi="Times New Roman" w:cs="Times New Roman"/>
          <w:sz w:val="28"/>
        </w:rPr>
        <w:t xml:space="preserve"> как аналитически более корректного. В целом, несмотря на то, что многие молодёжные общественные организации привлекают участников на безвозмездной основе (Лига Волонтёров), они, зачастую, получают государственное финансирование в рамках различных программ по продвижению идей добровольчества в РК. В условиях казахстанской политической системы, которая является достаточно неинклюзивной, забюрократизированной и недружелюбной для общественных организаций, подобный фактор необходим для существования организации. Кроме того, существенный государственный контроль за деятельностью институтов гражданского общества, ценностями, распространяемыми ими, сферами деятельности, также приводит к зависимости институтов гражданского общества от государства и низкой степени их самостоятельности. Позиция государства в данных обстоятельствах заключается в необходимости сохранения безопасности и стабильности политической системы, что ингибирует гражданскую институционализированную инициативу «снизу». Это может являться одной из причин перехода к неинституционализированным формам гражданской активности, как показали результаты авторского социологического опроса 2025 года, приведённые в Главе 3 настоящего исследования.</w:t>
      </w:r>
    </w:p>
    <w:p w:rsidR="00780172" w:rsidRPr="00780172" w:rsidRDefault="00780172" w:rsidP="00780172">
      <w:pPr>
        <w:spacing w:after="0" w:line="240" w:lineRule="auto"/>
        <w:ind w:left="709"/>
        <w:contextualSpacing/>
        <w:jc w:val="both"/>
        <w:rPr>
          <w:rFonts w:ascii="Times New Roman" w:eastAsia="Calibri" w:hAnsi="Times New Roman" w:cs="Times New Roman"/>
          <w:sz w:val="28"/>
        </w:rPr>
      </w:pPr>
    </w:p>
    <w:p w:rsidR="00780172" w:rsidRPr="00780172" w:rsidRDefault="00780172" w:rsidP="00780172">
      <w:pPr>
        <w:numPr>
          <w:ilvl w:val="1"/>
          <w:numId w:val="3"/>
        </w:numPr>
        <w:spacing w:after="0" w:line="240" w:lineRule="auto"/>
        <w:ind w:left="0" w:firstLine="709"/>
        <w:contextualSpacing/>
        <w:jc w:val="both"/>
        <w:rPr>
          <w:rFonts w:ascii="Times New Roman" w:eastAsia="Calibri" w:hAnsi="Times New Roman" w:cs="Times New Roman"/>
          <w:b/>
          <w:sz w:val="28"/>
        </w:rPr>
      </w:pPr>
      <w:r w:rsidRPr="00780172">
        <w:rPr>
          <w:rFonts w:ascii="Times New Roman" w:eastAsia="Calibri" w:hAnsi="Times New Roman" w:cs="Times New Roman"/>
          <w:b/>
          <w:sz w:val="28"/>
        </w:rPr>
        <w:t>Факторы внутренней среды в формировании институтов гражданского общества</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 качестве теоретико-методологической базы для изучения данного аспекта исследуются </w:t>
      </w:r>
      <w:r w:rsidRPr="00780172">
        <w:rPr>
          <w:rFonts w:ascii="Times New Roman" w:eastAsia="Calibri" w:hAnsi="Times New Roman" w:cs="Times New Roman"/>
          <w:i/>
          <w:sz w:val="28"/>
        </w:rPr>
        <w:t>два противостоящих друг другу подхода – 1) теория рационального выбора; 2) сетевой институционализм</w:t>
      </w:r>
      <w:r w:rsidRPr="00780172">
        <w:rPr>
          <w:rFonts w:ascii="Times New Roman" w:eastAsia="Calibri" w:hAnsi="Times New Roman" w:cs="Times New Roman"/>
          <w:sz w:val="28"/>
        </w:rPr>
        <w:t xml:space="preserve">. Теория рационального выбора утверждает, что в решении участвовать в деятельности общественной организации основную роль играют материальные факторы, то есть, выгода, которую индивид может получить. Эмоции, привязанности, иррациональные чувства не имеют значения при принятии такого решения [78, р. 36]. Данная теория приемлема при описании одномоментного несистематического действия. В современных казахстанских реалиях данная теория не представляется релевантной базой для теоретического анализа, так как по результатам оригинального социологического исследования, значительное количество молодых людей в Казахстане выбирает неучастие (см. Главу 3 настоящего </w:t>
      </w:r>
      <w:r w:rsidRPr="00780172">
        <w:rPr>
          <w:rFonts w:ascii="Times New Roman" w:eastAsia="Calibri" w:hAnsi="Times New Roman" w:cs="Times New Roman"/>
          <w:sz w:val="28"/>
        </w:rPr>
        <w:lastRenderedPageBreak/>
        <w:t>исследования). Сетевой институционализм критикует теорию рационального выбора за игнорирование иррациональных факторов, мотивирующих участие. Согласно ей, индивиды действуют и принимают решения в зависимости от социально-политического контекста. Решение участвовать в деятельности того или иного института зависит от ожиданий индивида и предполагаемого итога его участия. Зачастую у новичков опыт этого общения определяет дальнейшее решение участвовать [79, р. 331]. Эмпирические данные, полученные в ходе оригинального социологического исследования, подтверждающие этот тезис, рассматриваются в главе 3 диссертационного исследования.</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На данный момент в политических науках отсутствует единый консенсус относительно предпочтительности того или иного теоретического подхода. Исходя из предположения, что функционирование эффективного гражданского общества опирается на добровольное и безвозмездное участие, в рамках настоящего исследования наиболее оправданным представляется использование теории идентичности. Данный подход позволяет выявить существующие проблемы формирования гражданской институциональной идентичности молодёжи в современном Казахстане, а также сложности, связанные с эффективностью деятельности молодёжных общественных объединений.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Рассматривается определение термина «идентичность» в контексте </w:t>
      </w:r>
      <w:r w:rsidRPr="00780172">
        <w:rPr>
          <w:rFonts w:ascii="Times New Roman" w:eastAsia="Calibri" w:hAnsi="Times New Roman" w:cs="Times New Roman"/>
          <w:i/>
          <w:sz w:val="28"/>
        </w:rPr>
        <w:t>сетевого институционализма</w:t>
      </w:r>
      <w:r w:rsidRPr="00780172">
        <w:rPr>
          <w:rFonts w:ascii="Times New Roman" w:eastAsia="Calibri" w:hAnsi="Times New Roman" w:cs="Times New Roman"/>
          <w:sz w:val="28"/>
        </w:rPr>
        <w:t>. Это процесс, при котором участники осознают себя и признаются другими как часть общей группы, имея эмоциональную связь с последней [79, р. 332]. Формирование идентичности включает в себя стремление с одной стороны, отделить себя от остальных, с другой стороны, быть их частью [80, р. 104]. Группы, объединяющие индивидов, нельзя сводить к какому-либо единственному связующему признаку (класс, пол, этничность, возраст). Институциональная идентичность может быть основана на разделяемых ориентациях, ценностях, отношении, мировоззрении, равно как и на предыдущем опыте участия. Зачастую ценности, установки, предпочтения индивидов переплетены столь тесно, что реализовать их способны лишь несколько институтов. Кроме идентичности участников, общественная организация сама должна обладать идентичностью, заявляя о себе миру посредством определённых действий [79, р. 333]. Нельзя сводить формирование идентичности лишь к персональному отношению индивида к определённому институту [80, р. 104]. Таким образом, идентичность – это процесс, при котором индивид, взаимодействуя с другими, осознаёт и определяет собственные цели и задачи в рамках общественной организации, результаты своей деятельности, цели и задачи общественной организации как коллективного актора, а также систему общественно-политических отношений, в рамках которых функционируют эти организации.</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Знания</w:t>
      </w:r>
      <w:r w:rsidRPr="00780172">
        <w:rPr>
          <w:rFonts w:ascii="Times New Roman" w:eastAsia="Calibri" w:hAnsi="Times New Roman" w:cs="Times New Roman"/>
          <w:sz w:val="28"/>
        </w:rPr>
        <w:t xml:space="preserve"> или информация, имеющаяся у индивидов, формирует их мировоззрение относительно институтов гражданского общества. Согласно </w:t>
      </w:r>
      <w:proofErr w:type="gramStart"/>
      <w:r w:rsidRPr="00780172">
        <w:rPr>
          <w:rFonts w:ascii="Times New Roman" w:eastAsia="Calibri" w:hAnsi="Times New Roman" w:cs="Times New Roman"/>
          <w:sz w:val="28"/>
        </w:rPr>
        <w:t>теории</w:t>
      </w:r>
      <w:proofErr w:type="gramEnd"/>
      <w:r w:rsidRPr="00780172">
        <w:rPr>
          <w:rFonts w:ascii="Times New Roman" w:eastAsia="Calibri" w:hAnsi="Times New Roman" w:cs="Times New Roman"/>
          <w:sz w:val="28"/>
        </w:rPr>
        <w:t xml:space="preserve"> сетевого институционализма, институты гражданского общества способны формировать массив знаний у участников, касающиеся политических, общественных, экономических проблем общества и государства. Особенность </w:t>
      </w:r>
      <w:r w:rsidRPr="00780172">
        <w:rPr>
          <w:rFonts w:ascii="Times New Roman" w:eastAsia="Calibri" w:hAnsi="Times New Roman" w:cs="Times New Roman"/>
          <w:sz w:val="28"/>
        </w:rPr>
        <w:lastRenderedPageBreak/>
        <w:t xml:space="preserve">этого вида знания в том, что их едва ли можно получить в учреждениях образования. Это знания, показывающие возможности гражданского общества на практике, а также способности граждан решить свои проблемы и отстоять интересы, исходя из состояния политической системы [17, с. 362]. Важность данных знаний заключается в том, что, с одной стороны, участвуя, граждане интересуются правовой, политической, экономической информацией по рассматриваемому вопросу. Они читают газеты, заявления чиновников, интервью бизнесменов, так или иначе связанных с вопросом, смотрят новости. С другой стороны, приступая к практической реализации, граждане проходят определённый путь к достижению своей цели и овладевают эмпирическими знаниями. Как представляется, если граждане участвуют в деятельности уже состоявшейся общественной организации, процесс приобретения знаний и навыков гражданского участия происходит быстрее. В дальнейшем, социально активные граждане, скорее всего, лучше информированы о политической системе, более социально и политически активны. Наиболее важным в данном контексте представляется осознание гражданами общего блага, его совместимость с личным благом, возможности их сочетания [17, с. 365].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Сетевой институционализм предполагает, что общественные организации способны </w:t>
      </w:r>
      <w:r w:rsidRPr="00780172">
        <w:rPr>
          <w:rFonts w:ascii="Times New Roman" w:eastAsia="Calibri" w:hAnsi="Times New Roman" w:cs="Times New Roman"/>
          <w:i/>
          <w:sz w:val="28"/>
        </w:rPr>
        <w:t>научить людей быть гражданами, воспитать у них гражданскую культуру и гражданское поведение</w:t>
      </w:r>
      <w:r w:rsidRPr="00780172">
        <w:rPr>
          <w:rFonts w:ascii="Times New Roman" w:eastAsia="Calibri" w:hAnsi="Times New Roman" w:cs="Times New Roman"/>
          <w:sz w:val="28"/>
        </w:rPr>
        <w:t xml:space="preserve">. Участвуя, люди учатся слушать альтернативную точку зрения, искать компромисс для решения общей проблемы. В данном контексте под </w:t>
      </w:r>
      <w:r w:rsidRPr="00780172">
        <w:rPr>
          <w:rFonts w:ascii="Times New Roman" w:eastAsia="Calibri" w:hAnsi="Times New Roman" w:cs="Times New Roman"/>
          <w:i/>
          <w:sz w:val="28"/>
        </w:rPr>
        <w:t>гражданской культурой (civicness)</w:t>
      </w:r>
      <w:r w:rsidRPr="00780172">
        <w:rPr>
          <w:rFonts w:ascii="Times New Roman" w:eastAsia="Calibri" w:hAnsi="Times New Roman" w:cs="Times New Roman"/>
          <w:sz w:val="28"/>
        </w:rPr>
        <w:t xml:space="preserve"> подразумеваются стойкие намерения активно участвовать в преобразовании социальной и политической системы; под </w:t>
      </w:r>
      <w:r w:rsidRPr="00780172">
        <w:rPr>
          <w:rFonts w:ascii="Times New Roman" w:eastAsia="Calibri" w:hAnsi="Times New Roman" w:cs="Times New Roman"/>
          <w:i/>
          <w:sz w:val="28"/>
        </w:rPr>
        <w:t>гражданским поведением (civility)</w:t>
      </w:r>
      <w:r w:rsidRPr="00780172">
        <w:rPr>
          <w:rFonts w:ascii="Times New Roman" w:eastAsia="Calibri" w:hAnsi="Times New Roman" w:cs="Times New Roman"/>
          <w:sz w:val="28"/>
        </w:rPr>
        <w:t xml:space="preserve"> – цивилизованные контакты лицом к лицу с представителями общественных организаций и государственных институтов, имеющих отношение к проблеме и способных её решить [81, р. 608]. Предполагается, что в процессе деятельности в рамках институтов гражданского общества, индивид учится быть гражданином именно с точки зрения гражданского общества, но не государства. Каковы специфические черты гражданина с позиции гражданского общества?  Во-первых, регулярная политическая активность не только в периоды электорального цикла. Во-вторых, гражданский долг, выражающийся в подчинении законам. В-третьих, социальная ответственность, проявляющаяся в заботе об окружающей среде, толерантности, добровольной помощи нуждающимся в кризисных ситуациях (природные и техногенные катастрофы) [82, р. 766]. В РК понятие «гражданин» рассматривается преимущественно с позиции государства, но не гражданского общества, хотя, в последнее время, данный подход стал меняться. С точки зрения первого Президента РК Н. Назарбаева:</w:t>
      </w:r>
      <w:r w:rsidRPr="00780172">
        <w:rPr>
          <w:rFonts w:ascii="Calibri" w:eastAsia="Calibri" w:hAnsi="Calibri" w:cs="Times New Roman"/>
        </w:rPr>
        <w:t xml:space="preserve"> </w:t>
      </w:r>
      <w:r w:rsidRPr="00780172">
        <w:rPr>
          <w:rFonts w:ascii="Times New Roman" w:eastAsia="Calibri" w:hAnsi="Times New Roman" w:cs="Times New Roman"/>
          <w:sz w:val="28"/>
        </w:rPr>
        <w:t xml:space="preserve">«Идеалом нашего общества должен стать казахстанец, знающий свои историю, язык, культуру, при этом современный, владеющий иностранными языками, имеющий передовые и глобальные взгляды» [83]. По мнению Президента РК К-Ж. Токаева, активная гражданская позиция, наряду с трудолюбием, ответственностью, дисциплиной, патриотизмом, образованностью и единством, являются чертами современного гражданина РК </w:t>
      </w:r>
      <w:r w:rsidRPr="00780172">
        <w:rPr>
          <w:rFonts w:ascii="Times New Roman" w:eastAsia="Calibri" w:hAnsi="Times New Roman" w:cs="Times New Roman"/>
          <w:sz w:val="28"/>
        </w:rPr>
        <w:lastRenderedPageBreak/>
        <w:t>[84]. Таким образом, подход государства в Казахстане эволюционирует в сторону усиления роли гражданского общества в формировании идентичности граждан через активную гражданскую позицию, что может подразумевать участие в общественных организациях. В ходе зарубежных социологических исследований выяснилось, что респонденты с высшим образованием считают, что гражданин, в первую очередь, должен быть политически активен и проявлять социальную ответственность. В то время как респонденты без высшего образования считали законопослушание наиболее выраженным качеством гражданина [82, р. 776]. Подобной статистики в Казахстане пока нет. Проведя анализ блогосферы Казахстана, автор данного исследования выяснила, что гражданин Казахстана глазами блогеров представляет собой человека, любящего и уважающего свою родину, знающего историю, чтобы иметь возможность понять происходящее сегодня, почитающего законы государства и готового защищать его в случае необходимости [85, с. 119].  Таким образом, идея, высказанная К-Ж. Токаевым ближе первой группе респондентов зарубежных исследований, в то время, как позиция блогеров ближе к второй группе.</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Весьма интересен тот факт, что </w:t>
      </w:r>
      <w:r w:rsidRPr="00780172">
        <w:rPr>
          <w:rFonts w:ascii="Times New Roman" w:eastAsia="Calibri" w:hAnsi="Times New Roman" w:cs="Times New Roman"/>
          <w:i/>
          <w:sz w:val="28"/>
        </w:rPr>
        <w:t>идентичность</w:t>
      </w:r>
      <w:r w:rsidRPr="00780172">
        <w:rPr>
          <w:rFonts w:ascii="Times New Roman" w:eastAsia="Calibri" w:hAnsi="Times New Roman" w:cs="Times New Roman"/>
          <w:sz w:val="28"/>
        </w:rPr>
        <w:t xml:space="preserve"> участника с какой-либо общественной организацией одновременно </w:t>
      </w:r>
      <w:r w:rsidRPr="00780172">
        <w:rPr>
          <w:rFonts w:ascii="Times New Roman" w:eastAsia="Calibri" w:hAnsi="Times New Roman" w:cs="Times New Roman"/>
          <w:i/>
          <w:sz w:val="28"/>
        </w:rPr>
        <w:t>статична и динамична</w:t>
      </w:r>
      <w:r w:rsidRPr="00780172">
        <w:rPr>
          <w:rFonts w:ascii="Times New Roman" w:eastAsia="Calibri" w:hAnsi="Times New Roman" w:cs="Times New Roman"/>
          <w:sz w:val="28"/>
        </w:rPr>
        <w:t xml:space="preserve">. С одной стороны, идентичность, будучи однажды выработанной, достаточно устойчива. С другой стороны, она подвержена влиянию внешней среды, как со стороны института, организации, других участников, так и со стороны общественно-политического пространства. Идентификация с институтом гражданского общества вовсе не означает системного и глубинного принятия индивидом всех ценностей института. Она не способна отвратить его от других институтов и участия в них. Следовательно, идентичность полицентрична [17, с. 98]. Сформированная институциональная и гражданская идентичность способна снизить сложности и потенциальные издержки участия – материальные, физические, временные и душевные [17, с. 102]. Институциональная идентичность не возникает в случае, если участники не называют организацию «мы» и себя как её членов. Соответственно, наличия лишь общих целей недостаточно. Необходим сформированный кластер солидарности индивида с группой [17, с. 94], хотя, постоянное существование коллективного «мы» едва ли возможно [86, р. 109].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С точки зрения сетевого институционализма, проблема казахстанских институтов гражданского общества</w:t>
      </w:r>
      <w:r w:rsidRPr="00780172">
        <w:rPr>
          <w:rFonts w:ascii="Times New Roman" w:eastAsia="Calibri" w:hAnsi="Times New Roman" w:cs="Times New Roman"/>
          <w:sz w:val="28"/>
        </w:rPr>
        <w:t xml:space="preserve"> заключается в том, что деятельность общественных организаций зачастую не носит системного характера. Поскольку идентичность участников института формируется в процессе участия, которое должно быть длительным и насыщенным событиями, несистемное функционирование общественных организаций вообще, и молодёжных общественных организаций в частности, препятствует созданию достаточно прочной базы для эффективного формирования идентичности участников. Как представляется, именно по этой причине, в молодёжной среде гражданская культура развита достаточно слабо, что, в свою очередь, порождает недостаточное развитие молодёжных добровольных ассоциаций «снизу». </w:t>
      </w:r>
      <w:r w:rsidRPr="00780172">
        <w:rPr>
          <w:rFonts w:ascii="Times New Roman" w:eastAsia="Calibri" w:hAnsi="Times New Roman" w:cs="Times New Roman"/>
          <w:sz w:val="28"/>
        </w:rPr>
        <w:lastRenderedPageBreak/>
        <w:t xml:space="preserve">Результаты оригинального социологического опроса 2025 года (см. Главу 3) показывают, что существует тенденция на формирование гражданской культуры молодёжи в результате неинституционализированного гражданского участия, то есть институты гражданского общества не играют значимой роли в воспитании гражданской политической культуры в молодёжной социальной группе. Это может говорить о том, что в молодёжной среде молодёжные общественные организации воспринимаются как </w:t>
      </w:r>
      <w:r w:rsidRPr="00780172">
        <w:rPr>
          <w:rFonts w:ascii="Times New Roman" w:eastAsia="Calibri" w:hAnsi="Times New Roman" w:cs="Times New Roman"/>
          <w:sz w:val="28"/>
          <w:lang w:val="en-US"/>
        </w:rPr>
        <w:t>GONGO</w:t>
      </w:r>
      <w:r w:rsidRPr="00780172">
        <w:rPr>
          <w:rFonts w:ascii="Times New Roman" w:eastAsia="Calibri" w:hAnsi="Times New Roman" w:cs="Times New Roman"/>
          <w:sz w:val="28"/>
        </w:rPr>
        <w:t xml:space="preserve"> и транслируют интересы государства «сверху-вниз», но не является НПО, созданными с целью общественного контроля и решения проблем «снизу-вверх». Соответственно, у определённой части молодёжной группы есть запрос на участие, однако, она стремится реализовать его самостоятельно, минуя институты гражданского общества (см. Главу 3).</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В данном контексте сетевой институционализм критикуется его оппонентами, которые полагают, что в практической плоскости так называемое «негражданское» или массовое общество, состоящее из хаотичных индивидов, более многочисленно, чем гражданское общество. Часто участники институтов гражданского общества пассивны, инертны, эмоционально отдалены от общественной организации, поскольку участвуют либо от безысходности, либо по принуждению (авторитарные государства) [87, р. 24]. Наиболее успешные общественные объединения, как правило, очень большие (национального уровня), они управляются профессионалами. Их основная цель – сохранить живучесть организации. В силу своего размера она поглощает индивидуального участника и не уделяет ему достаточно внимания, и, в конечном счёте, не способствует развитию у него навыков гражданского поведения [88, р. 71]. Плюрализм институтов гражданского общества и децентрализованный характер их взаимодействия, обусловленные высокой степенью институциональной фрагментарности, не способствуют формированию устойчивых норм поведения, а, следовательно, не обеспечивают консолидацию идентичности участников и развитие их гражданской культуры [89, р. 458]. Наконец, наблюдается пробел в данных и отсутствие доказанной прямой зависимости между гражданским поведением в рамках институтов гражданского общества и вне его, перестав быть частью института, индивид не обязательно сохранит желание активно действовать самостоятельно [17, с. 291].</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Подытоживая, исследователи делают акцент на том, что воспитание гражданской культуры населения должно идти параллельно с развитием демократических институтов и правового государства. В случае преобладания GONGO, созданных с целью формирования гражданской культуры, гражданского поведения и идентичности участников, государство оказывает давление на сферу деятельности гражданского общества, нарушая саму идею существования гражданского общества [90, р. 32]. В авторитарных политических контекстах доминирование GONGO способно положительно повлиять на формирование гражданкой идентичности участников, однако, долгосрочный эффект поддержания гражданской идентичности в условиях низкой развитости </w:t>
      </w:r>
      <w:r w:rsidRPr="00780172">
        <w:rPr>
          <w:rFonts w:ascii="Times New Roman" w:eastAsia="Calibri" w:hAnsi="Times New Roman" w:cs="Times New Roman"/>
          <w:sz w:val="28"/>
        </w:rPr>
        <w:lastRenderedPageBreak/>
        <w:t>правового государства, хаотичной и несистемной работы организаций является дискуссионным [91, р. 533].</w:t>
      </w:r>
    </w:p>
    <w:p w:rsidR="00780172" w:rsidRPr="00780172" w:rsidRDefault="00780172" w:rsidP="00780172">
      <w:pPr>
        <w:spacing w:after="0" w:line="240" w:lineRule="auto"/>
        <w:ind w:firstLine="709"/>
        <w:jc w:val="both"/>
        <w:rPr>
          <w:rFonts w:ascii="Times New Roman" w:eastAsia="Calibri" w:hAnsi="Times New Roman" w:cs="Times New Roman"/>
          <w:i/>
          <w:sz w:val="28"/>
        </w:rPr>
      </w:pPr>
      <w:r w:rsidRPr="00780172">
        <w:rPr>
          <w:rFonts w:ascii="Times New Roman" w:eastAsia="Calibri" w:hAnsi="Times New Roman" w:cs="Times New Roman"/>
          <w:i/>
          <w:sz w:val="28"/>
        </w:rPr>
        <w:t>Выводы:</w:t>
      </w:r>
    </w:p>
    <w:p w:rsidR="00780172" w:rsidRPr="00780172" w:rsidRDefault="00780172" w:rsidP="008465D6">
      <w:pPr>
        <w:numPr>
          <w:ilvl w:val="0"/>
          <w:numId w:val="22"/>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Формирование гражданской идентичности в рамках институтов гражданского общества не может быть адекватно объяснено исключительно через логику рационального выбора</w:t>
      </w:r>
      <w:r w:rsidRPr="00780172">
        <w:rPr>
          <w:rFonts w:ascii="Times New Roman" w:eastAsia="Calibri" w:hAnsi="Times New Roman" w:cs="Times New Roman"/>
          <w:sz w:val="28"/>
        </w:rPr>
        <w:t xml:space="preserve">, поскольку устойчивое участие и вовлечённость индивидов выходят за пределы материальной выгоды и инструментальной рациональности. Теория сетевого институционализма обладает более высоким объяснительным потенциалом применительно к добровольному и безвозмездному участию, так как позволяет учитывать эмоциональные связи, ценностные ориентации, опыт взаимодействия и социально-политический контекст, в рамках которого индивид принимает решение о включённости в деятельность </w:t>
      </w:r>
      <w:r w:rsidRPr="00780172">
        <w:rPr>
          <w:rFonts w:ascii="Times New Roman" w:eastAsia="Calibri" w:hAnsi="Times New Roman" w:cs="Times New Roman"/>
          <w:bCs/>
          <w:sz w:val="28"/>
        </w:rPr>
        <w:t>институтов гражданского общества</w:t>
      </w:r>
      <w:r w:rsidRPr="00780172">
        <w:rPr>
          <w:rFonts w:ascii="Times New Roman" w:eastAsia="Calibri" w:hAnsi="Times New Roman" w:cs="Times New Roman"/>
          <w:sz w:val="28"/>
        </w:rPr>
        <w:t>.</w:t>
      </w:r>
    </w:p>
    <w:p w:rsidR="00780172" w:rsidRPr="00780172" w:rsidRDefault="00780172" w:rsidP="008465D6">
      <w:pPr>
        <w:numPr>
          <w:ilvl w:val="0"/>
          <w:numId w:val="22"/>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Институциональная идентичность носит полицентричный характер</w:t>
      </w:r>
      <w:r w:rsidRPr="00780172">
        <w:rPr>
          <w:rFonts w:ascii="Times New Roman" w:eastAsia="Calibri" w:hAnsi="Times New Roman" w:cs="Times New Roman"/>
          <w:sz w:val="28"/>
        </w:rPr>
        <w:t>, формируясь не как простая сумма индивидуальных установок, а как результат длительного взаимодействия между участниками, общественной организацией и внешней средой. Она предполагает одновременное существование устойчивости и изменчивости, а также возможность множественной идентификации индивида с различными институтами. Ключевым условием её формирования выступает наличие коллективного «мы», основанного не только на общих целях, но и на солидарных связях и совместно переживаемом опыте.</w:t>
      </w:r>
    </w:p>
    <w:p w:rsidR="00780172" w:rsidRPr="00780172" w:rsidRDefault="00780172" w:rsidP="008465D6">
      <w:pPr>
        <w:numPr>
          <w:ilvl w:val="0"/>
          <w:numId w:val="22"/>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Институты гражданского общества выполняют уникальную образовательную и социализирующую функцию</w:t>
      </w:r>
      <w:r w:rsidRPr="00780172">
        <w:rPr>
          <w:rFonts w:ascii="Times New Roman" w:eastAsia="Calibri" w:hAnsi="Times New Roman" w:cs="Times New Roman"/>
          <w:sz w:val="28"/>
        </w:rPr>
        <w:t xml:space="preserve">, формируя у участников специфические знания и навыки гражданского участия. Через сочетание информационного и эмпирического опыта участия </w:t>
      </w:r>
      <w:r w:rsidRPr="00780172">
        <w:rPr>
          <w:rFonts w:ascii="Times New Roman" w:eastAsia="Calibri" w:hAnsi="Times New Roman" w:cs="Times New Roman"/>
          <w:bCs/>
          <w:sz w:val="28"/>
        </w:rPr>
        <w:t>институты гражданского общества</w:t>
      </w:r>
      <w:r w:rsidRPr="00780172">
        <w:rPr>
          <w:rFonts w:ascii="Times New Roman" w:eastAsia="Calibri" w:hAnsi="Times New Roman" w:cs="Times New Roman"/>
          <w:sz w:val="28"/>
        </w:rPr>
        <w:t xml:space="preserve"> способствуют развитию гражданской культуры и гражданского поведения участников, включая способность к диалогу, поиску компромиссов и осмыслению соотношения личного и общественного блага.</w:t>
      </w:r>
    </w:p>
    <w:p w:rsidR="00780172" w:rsidRPr="00780172" w:rsidRDefault="00780172" w:rsidP="008465D6">
      <w:pPr>
        <w:numPr>
          <w:ilvl w:val="0"/>
          <w:numId w:val="22"/>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bCs/>
          <w:sz w:val="28"/>
        </w:rPr>
        <w:t>Специфика казахстанских институтов гражданского общества, особенно молодёжных общественных организаций, заключается в несистемности и эпизодичности деятельности</w:t>
      </w:r>
      <w:r w:rsidRPr="00780172">
        <w:rPr>
          <w:rFonts w:ascii="Times New Roman" w:eastAsia="Calibri" w:hAnsi="Times New Roman" w:cs="Times New Roman"/>
          <w:sz w:val="28"/>
        </w:rPr>
        <w:t xml:space="preserve">, что препятствует формированию устойчивой институциональной и гражданской идентичности участников. Доминирование государственных инициатив в сфере создания и поддержки </w:t>
      </w:r>
      <w:r w:rsidRPr="00780172">
        <w:rPr>
          <w:rFonts w:ascii="Times New Roman" w:eastAsia="Calibri" w:hAnsi="Times New Roman" w:cs="Times New Roman"/>
          <w:bCs/>
          <w:sz w:val="28"/>
        </w:rPr>
        <w:t>институтов гражданского общества</w:t>
      </w:r>
      <w:r w:rsidRPr="00780172">
        <w:rPr>
          <w:rFonts w:ascii="Times New Roman" w:eastAsia="Calibri" w:hAnsi="Times New Roman" w:cs="Times New Roman"/>
          <w:sz w:val="28"/>
        </w:rPr>
        <w:t xml:space="preserve"> отражает стремление государства к управляемой гражданской социализации молодёжи, однако одновременно порождает структурное противоречие между логикой гражданского общества и практиками государственного вмешательства, способного подрывать автономию </w:t>
      </w:r>
      <w:r w:rsidRPr="00780172">
        <w:rPr>
          <w:rFonts w:ascii="Times New Roman" w:eastAsia="Calibri" w:hAnsi="Times New Roman" w:cs="Times New Roman"/>
          <w:bCs/>
          <w:sz w:val="28"/>
        </w:rPr>
        <w:t>институтов гражданского общества</w:t>
      </w:r>
      <w:r w:rsidRPr="00780172">
        <w:rPr>
          <w:rFonts w:ascii="Times New Roman" w:eastAsia="Calibri" w:hAnsi="Times New Roman" w:cs="Times New Roman"/>
          <w:sz w:val="28"/>
        </w:rPr>
        <w:t xml:space="preserve"> и саму основу формирования подлинной гражданской культуры.</w:t>
      </w:r>
    </w:p>
    <w:p w:rsidR="00780172" w:rsidRPr="00780172" w:rsidRDefault="00780172" w:rsidP="008465D6">
      <w:pPr>
        <w:numPr>
          <w:ilvl w:val="0"/>
          <w:numId w:val="22"/>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sz w:val="28"/>
        </w:rPr>
        <w:t xml:space="preserve">Множественные государственные инициативы, направленные на активизацию добровольчества, улучшение функционирования институтов гражданского общества, повышение политической и гражданской грамотности и активности молодёжи (Закон «Об общественном контроле 2023-2024 года», обновлённая Концепция развития гражданского общества (2023-2025 год), </w:t>
      </w:r>
      <w:r w:rsidRPr="00780172">
        <w:rPr>
          <w:rFonts w:ascii="Times New Roman" w:eastAsia="Calibri" w:hAnsi="Times New Roman" w:cs="Times New Roman"/>
          <w:sz w:val="28"/>
        </w:rPr>
        <w:lastRenderedPageBreak/>
        <w:t xml:space="preserve">гранты для НПО в рамках ЦПГИ) и существующие в рамках концепции «Закон и порядок», на данный момент, не стимулировали рост интереса к гражданскому вовлечению у молодёжи. По-видимому, индивидуальный опыт участия является более значимым в формировании гражданской идентичности и политической культуры, соответственно, большей склонности к участию. </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t>1.4 Факторы внешней среды как детерминанты формирования гражданского общества в Казахстане: критический анализ</w:t>
      </w: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t>1.4.1 Исторические факторы</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b/>
          <w:sz w:val="28"/>
        </w:rPr>
        <w:t xml:space="preserve">        </w:t>
      </w:r>
      <w:r w:rsidRPr="00780172">
        <w:rPr>
          <w:rFonts w:ascii="Times New Roman" w:eastAsia="Calibri" w:hAnsi="Times New Roman" w:cs="Times New Roman"/>
          <w:sz w:val="28"/>
        </w:rPr>
        <w:t xml:space="preserve">Поскольку Казахстан является постсоветским государством, рассмотрим влияние коммунистической </w:t>
      </w:r>
      <w:r w:rsidRPr="00780172">
        <w:rPr>
          <w:rFonts w:ascii="Times New Roman" w:eastAsia="Calibri" w:hAnsi="Times New Roman" w:cs="Times New Roman"/>
          <w:i/>
          <w:sz w:val="28"/>
        </w:rPr>
        <w:t>идеологии</w:t>
      </w:r>
      <w:r w:rsidRPr="00780172">
        <w:rPr>
          <w:rFonts w:ascii="Times New Roman" w:eastAsia="Calibri" w:hAnsi="Times New Roman" w:cs="Times New Roman"/>
          <w:sz w:val="28"/>
        </w:rPr>
        <w:t xml:space="preserve"> и </w:t>
      </w:r>
      <w:r w:rsidRPr="00780172">
        <w:rPr>
          <w:rFonts w:ascii="Times New Roman" w:eastAsia="Calibri" w:hAnsi="Times New Roman" w:cs="Times New Roman"/>
          <w:i/>
          <w:sz w:val="28"/>
        </w:rPr>
        <w:t>советской политической системы</w:t>
      </w:r>
      <w:r w:rsidRPr="00780172">
        <w:rPr>
          <w:rFonts w:ascii="Times New Roman" w:eastAsia="Calibri" w:hAnsi="Times New Roman" w:cs="Times New Roman"/>
          <w:sz w:val="28"/>
        </w:rPr>
        <w:t>, так как используемый в диссертации подход Path Dependence указывает на значимость пройденного исторического пути развития государства и его институтов при характеристике и анализе их современного состояния.</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Согласно</w:t>
      </w:r>
      <w:r w:rsidRPr="00780172">
        <w:rPr>
          <w:rFonts w:ascii="Calibri" w:eastAsia="Calibri" w:hAnsi="Calibri" w:cs="Times New Roman"/>
        </w:rPr>
        <w:t xml:space="preserve"> </w:t>
      </w:r>
      <w:r w:rsidRPr="00780172">
        <w:rPr>
          <w:rFonts w:ascii="Times New Roman" w:eastAsia="Calibri" w:hAnsi="Times New Roman" w:cs="Times New Roman"/>
          <w:sz w:val="28"/>
        </w:rPr>
        <w:t>исследованиям, проведённым в странах Восточной Европы (бывших членах социалистического блока), выяснилось, что среди множества факторов экономического, политического и культурного характера, наиболее существенную роль в определении степени развитости гражданского общества и гражданской активности в целом играет тип политического режима, существовавший в государстве ранее [92, р. 81-90]. Данное исследование было посвящено бывшим социалистическим странам Европы и постсоветской России. В рамках настоящего диссертационного исследования используются те его результаты, что обладают релевантностью.</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Во-первых</w:t>
      </w:r>
      <w:r w:rsidRPr="00780172">
        <w:rPr>
          <w:rFonts w:ascii="Times New Roman" w:eastAsia="Calibri" w:hAnsi="Times New Roman" w:cs="Times New Roman"/>
          <w:sz w:val="28"/>
        </w:rPr>
        <w:t xml:space="preserve">, в силу тоталитарного характера политического режима, государство в лице Коммунистической партии СССР контролировало все сферы жизнедеятельности граждан, включая их гражданскую активность. Существовала достаточно разветвлённая сеть профсоюзов, клубов спортивного характера, клубов по интересам и молодёжных общественных объединений. Однако, все они создавались по распоряжению и под контролем КПСС, и участие граждан в них было обязательно-принудительным. Отказ от участия мог повлечь неприятности на работе и сложности в карьере [93, р. 76]. Как полагают авторы исследования, это вынуждало людей приспосабливаться и участвовать в объединениях против своей воли, чтобы избегать проблем. Естественно, их активность была крайне низкой, ограничивалась лишь выплатой членских взносов, которые иногда отчислялись от заработной платы вне зависимости от желания человека [17, с. 140]. Соответственно, после исчезновения политической системы социалистического типа, государственной идеологии и становления демократической системы, предусматривающей выбор, у граждан появилась возможность, наряду с гражданским участием, выбрать неучастие. Неучастие казалось более привлекательным, так как предыдущий опыт был скорее негативным. По-видимому, этим можно объяснить невысокий уровень активности казахстанцев в целом, их низкий уровень доверия различным общественно-политическим объединениям. В массовом сознании граждан институты гражданского общества продолжают восприниматься </w:t>
      </w:r>
      <w:r w:rsidRPr="00780172">
        <w:rPr>
          <w:rFonts w:ascii="Times New Roman" w:eastAsia="Calibri" w:hAnsi="Times New Roman" w:cs="Times New Roman"/>
          <w:sz w:val="28"/>
        </w:rPr>
        <w:lastRenderedPageBreak/>
        <w:t xml:space="preserve">преимущественно как формальные и обязательные элементы общественно-политической системы, ассоциируемые с механизмами государственного контроля над частной сферой жизни. При этом их функциональное назначение как инструментов оптимизации социальных взаимодействий и повышения качества жизни нередко игнорируется, а участие в их деятельности интерпретируется как инициированное и навязанное государством. Данная точка зрения подтверждается разработками отечественных учёных. В частности, согласно мнению Ю. Булуктаева: «Пока для значительной части населения республики характерен отчуждённый (пассивно-отстранённый) тип отношения к институтам гражданского общества. Для этого типа характерна осознанная враждебно-отстранённая позиция по отношению к любым видам общественной деятельности, к участию в любой совокупности личностей, объединяемой общностью интересов или ставящих перед собой некие общие цели, а, следовательно, и по отношению к обществу в целом. Можно предположить, что по мере повышения эффективности гражданских институтов всё больший удельный вес приобретает включённо-пассивный тип, который отличается более или менее устойчивым участием в группах и организациях, объединяемых совпадением конкретных интересов или очевидной необходимости коллективных действий в их защиту. При этом будет преобладать относительно низкая степень включённости, не выходящая за рамки формальной принадлежности к общественным организациям» [48, с. 196].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В современных постсоветских государствах наиболее эффективными являются общественные объединения, созданные «сверху» при непосредственном участии государства. Несмотря на то что действующие конституции указанных государств (включая Казахстан) закрепляют их демократический характер и, следовательно, предполагают наличие у граждан соответствующего комплекса прав и свобод, на практике наблюдается тенденция к их реализации преимущественно в формах, не связанных с гражданским участием, коллективным действием и вовлечённостью в деятельность институтов гражданского общества. Вместо этого граждане демонстрируют склонность к индивидуализированным стратегиям поведения, ориентированным на опору на собственные ресурсы.</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Во-вторых</w:t>
      </w:r>
      <w:r w:rsidRPr="00780172">
        <w:rPr>
          <w:rFonts w:ascii="Times New Roman" w:eastAsia="Calibri" w:hAnsi="Times New Roman" w:cs="Times New Roman"/>
          <w:sz w:val="28"/>
        </w:rPr>
        <w:t>, плановая экономика коммунистических государств Восточной Европы и СССР способствовала появлению дефицита некоторых товаров широкого потребления, что открывало возможности различного рода спекуляциям. Соответственно, ценились дружеские контакты с теми людьми, кто в силу занимаемой должности, либо высокой мобильности мог иметь доступ к дефицитным товарам. Именно такие неформальные, неофициальные связи являлись ценностью, и люди стремились ими обзавестись [17, с. 140].</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В-третьих</w:t>
      </w:r>
      <w:r w:rsidRPr="00780172">
        <w:rPr>
          <w:rFonts w:ascii="Times New Roman" w:eastAsia="Calibri" w:hAnsi="Times New Roman" w:cs="Times New Roman"/>
          <w:sz w:val="28"/>
        </w:rPr>
        <w:t xml:space="preserve">, в силу тотального контроля за общественной жизнью, люди могли относительно свободно высказывать свои мысли, которые, к примеру, шли вразрез с официальной пропагандой, лишь в кругу семьи [94, р. 79]. Следовательно, семья играла роль той формы объединения, где существовала почва для политических и общественных дискуссий. Тем не менее, практически </w:t>
      </w:r>
      <w:r w:rsidRPr="00780172">
        <w:rPr>
          <w:rFonts w:ascii="Times New Roman" w:eastAsia="Calibri" w:hAnsi="Times New Roman" w:cs="Times New Roman"/>
          <w:sz w:val="28"/>
        </w:rPr>
        <w:lastRenderedPageBreak/>
        <w:t>никаких прикладных шагов в общественно-политической сфере граждане не стремились осуществить из опасения за свою карьеру, свободу, жизнь и благополучие своих близких.</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В-четвёртых</w:t>
      </w:r>
      <w:r w:rsidRPr="00780172">
        <w:rPr>
          <w:rFonts w:ascii="Times New Roman" w:eastAsia="Calibri" w:hAnsi="Times New Roman" w:cs="Times New Roman"/>
          <w:sz w:val="28"/>
        </w:rPr>
        <w:t xml:space="preserve">, некоторый всплеск гражданской активности в Казахстане после 1991 года (см. Рисунок 1) можно объяснить разочарованием в социалистической политической системе, демократизацией общественно-политической жизни и появившимися возможностями создавать объединения, способные оказывать влияние на текущие политические процессы. Однако, в 1993-1995 годы наблюдается спад активности, который, по-видимому, коренится в том, что люди не увидели практического долговременного эффекта от деятельности новых, созданных при их участии, институтов гражданского общества [17, с. 141].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Таким образом</w:t>
      </w:r>
      <w:r w:rsidRPr="00780172">
        <w:rPr>
          <w:rFonts w:ascii="Times New Roman" w:eastAsia="Calibri" w:hAnsi="Times New Roman" w:cs="Times New Roman"/>
          <w:sz w:val="28"/>
        </w:rPr>
        <w:t xml:space="preserve">, вывод заключается в том, что у граждан бывших социалистических государств сформировалось стойкое недоверие к различным общественным и иным объединениям и сохранилось доверие к родственникам и близким друзьям. Благодаря именно этим связям, люди чувствуют, что смогут решить свои проблемы, обеспечить себя какими-либо благами (вещами, информацией, положением) [17, с. 141]. Такие связи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Putnam</w:t>
      </w:r>
      <w:r w:rsidRPr="00780172">
        <w:rPr>
          <w:rFonts w:ascii="Times New Roman" w:eastAsia="Calibri" w:hAnsi="Times New Roman" w:cs="Times New Roman"/>
          <w:sz w:val="28"/>
        </w:rPr>
        <w:t xml:space="preserve"> называет сильными горизонтальными связями [7, р. 52]; он полагает, что они слабо способствуют развитию независимого, автономного и справедливого гражданского общества. В силу традиционных этнических особенностей казахов, семья и клан играли ключевую роль для индивида, так как от них зависело физическое выживание отдельного члена рода. Соответственно, до настоящего времени сильные связи, основанные на личном близком знакомстве и родственных узах, достаточно влиятельны в Казахстане.</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 западной политической науке существует множество точек зрения относительно того, что стратегии деятельности общественных объединений подвержены влиянию исторического этапа развития государства, а также воздействию национальной политической культуры [95, р. 279]. Согласно гипотезе </w:t>
      </w:r>
      <w:r w:rsidRPr="00780172">
        <w:rPr>
          <w:rFonts w:ascii="Times New Roman" w:eastAsia="Calibri" w:hAnsi="Times New Roman" w:cs="Times New Roman"/>
          <w:sz w:val="28"/>
          <w:szCs w:val="28"/>
          <w:lang w:val="en-US"/>
        </w:rPr>
        <w:t>H</w:t>
      </w:r>
      <w:r w:rsidRPr="00780172">
        <w:rPr>
          <w:rFonts w:ascii="Times New Roman" w:eastAsia="Calibri" w:hAnsi="Times New Roman" w:cs="Times New Roman"/>
          <w:sz w:val="28"/>
          <w:szCs w:val="28"/>
        </w:rPr>
        <w:t xml:space="preserve">. </w:t>
      </w:r>
      <w:r w:rsidRPr="00780172">
        <w:rPr>
          <w:rFonts w:ascii="Times New Roman" w:eastAsia="Calibri" w:hAnsi="Times New Roman" w:cs="Times New Roman"/>
          <w:sz w:val="28"/>
          <w:szCs w:val="28"/>
          <w:lang w:val="en-US"/>
        </w:rPr>
        <w:t>Kriesi</w:t>
      </w:r>
      <w:r w:rsidRPr="00780172">
        <w:rPr>
          <w:rFonts w:ascii="Times New Roman" w:eastAsia="Calibri" w:hAnsi="Times New Roman" w:cs="Times New Roman"/>
          <w:sz w:val="28"/>
        </w:rPr>
        <w:t xml:space="preserve">, государства, ориентированные на политическую эксклюзивность (преимущественно с закрытым типом политической системы), имеют идеологически гомогенное правительство и состояние конфликта с оппонентами [96, р. 300]. В системе подобного рода гражданское общество воспринимается как оппозиция и антагонист государству, соответственно, возможен конфликт между властью и институтами гражданского общества.  В противоположность этому, в условиях ориентации политической системы на инклюзивность и идеологическую гетерогенность правительства, гражданское общество выступает лишь одним из акторов политического процесса, даже в тех случаях, когда его институты придерживаются альтернативных позиций по ряду общественно значимых вопросов. Поскольку молодые демократические государства, к которым относится современный Казахстан, встают на путь инклюзивности, они неохотно воспринимают нарождающиеся институты гражданского общества, особенно созданные «снизу», возможно, рассматривая их как дестабилизирующий фактор, который не способствует развитию </w:t>
      </w:r>
      <w:r w:rsidRPr="00780172">
        <w:rPr>
          <w:rFonts w:ascii="Times New Roman" w:eastAsia="Calibri" w:hAnsi="Times New Roman" w:cs="Times New Roman"/>
          <w:sz w:val="28"/>
        </w:rPr>
        <w:lastRenderedPageBreak/>
        <w:t>демократии, но, напротив, препятствует этому процессу [9, р. 207]. Будучи весьма молодой по историческим меркам демократией, Казахстан на сегодняшний день, можно охарактеризовать как переходный этап от неинклюзивного типа к инклюзивному. Определённая настороженность власти по отношению к гражданскому обществу всё ещё присутствует, однако, её уровень постепенно снижается.</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t>1.4.2 Социально-экономические факторы</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Далее диссертационное исследование рассматривает </w:t>
      </w:r>
      <w:r w:rsidRPr="00780172">
        <w:rPr>
          <w:rFonts w:ascii="Times New Roman" w:eastAsia="Calibri" w:hAnsi="Times New Roman" w:cs="Times New Roman"/>
          <w:i/>
          <w:sz w:val="28"/>
        </w:rPr>
        <w:t>общественные и</w:t>
      </w:r>
      <w:r w:rsidRPr="00780172">
        <w:rPr>
          <w:rFonts w:ascii="Times New Roman" w:eastAsia="Calibri" w:hAnsi="Times New Roman" w:cs="Times New Roman"/>
          <w:i/>
          <w:sz w:val="28"/>
          <w:highlight w:val="yellow"/>
        </w:rPr>
        <w:t xml:space="preserve"> </w:t>
      </w:r>
      <w:r w:rsidRPr="00780172">
        <w:rPr>
          <w:rFonts w:ascii="Times New Roman" w:eastAsia="Calibri" w:hAnsi="Times New Roman" w:cs="Times New Roman"/>
          <w:i/>
          <w:sz w:val="28"/>
        </w:rPr>
        <w:t>экономические условия развития постсоветского Казахстана</w:t>
      </w:r>
      <w:r w:rsidRPr="00780172">
        <w:rPr>
          <w:rFonts w:ascii="Times New Roman" w:eastAsia="Calibri" w:hAnsi="Times New Roman" w:cs="Times New Roman"/>
          <w:sz w:val="28"/>
        </w:rPr>
        <w:t xml:space="preserve"> с целью проследить возможные предпосылки для формирования институтов гражданского общества.</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После обретения независимости в обществе Казахстана можно проследить несколько направлений в общественной и экономической сфере. Во-первых, с распадом СССР закончилась эпоха экономического и товарного дефицита. Казахстан перешёл к рыночной экономике, однако, по причине экономического кризиса 1990-х годов, изобилия (а, зачастую, и необходимой достаточности товаров широкого потребления) не наблюдалось. Следовательно, потребность в связях с людьми, имеющими возможность достать необходимые вещи, сохранялась в сознании граждан молодой республики и в первые годы независимости. Во-вторых, в силу экономических проблем, заработная плата работников бюджетной сферы была невысока (см. Рисунок 3). Люди вынуждены были либо набирать дополнительную рабочую нагрузку, либо открывать свой бизнес (что было достаточно сложно сделать в силу отсутствия необходимых навыков капиталистической и рыночной культуры, бюрократичности процедуры), дабы улучшить своё благосостояние.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Данная ситуация не способствовала высвобождению большого количества свободного времени. Почему это может быть значимо в рамках данного аспекта анализа? Существует подход, берущий начало в западной интеллектуальной традиции и восходящий к античной Греции, когда работа рассматривалась как удел животных и рабов, в то время как свободные граждане имели досуг, чтобы заниматься делами полиса, соответственно, быть акторами гражданского общества. Современная западная политологическая традиция как наследница этого подхода чётко разделяет работу и гражданскую деятельность, в том числе в рамках институтов гражданского общества [20, р. 44]. Гражданская активность не воспринимается как работа. Гражданин может собираться вместе с другими гражданами в общественных местах (библиотеках, парках, кафе) и обсуждать волнующие их проблемы, а также возможные пути решения, наряду с организацией общественных объединений с целью институционализации гражданского участия [17, с. 25-26].</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После преодоления острой фазы экономического кризиса (ориентировочно к началу 2000-х гг.) в Казахстане начинает формироваться культура общества потребления, характеризующаяся ориентацией на краткосрочные жизненные стратегии, снижением значимости долгосрочного планирования и </w:t>
      </w:r>
      <w:r w:rsidRPr="00780172">
        <w:rPr>
          <w:rFonts w:ascii="Times New Roman" w:eastAsia="Calibri" w:hAnsi="Times New Roman" w:cs="Times New Roman"/>
          <w:sz w:val="28"/>
        </w:rPr>
        <w:lastRenderedPageBreak/>
        <w:t>переориентацией досуговых практик на потребление товаров, услуг и индустрии развлечений. Причина в том, что экономический кризис начала 1990-х годов не позволял большинству населения потреблять то, что хочется в необходимом объёме. Кроме того, периодические экономические сложности, возникающие в Казахстане по причине мировых экономических проблем, не формируют у граждан ощущения долговременной стабильности. Политика в глазах граждан остаётся сферой действия государства, работа – бизнеса и экономики, а социальная и гражданская сфера принадлежит гражданскому обществу. Гражданам нет необходимости вмешиваться в какую-либо из этих сфер.</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С точки зрения социальных условий, образованные в 1990-е годы общественные объединения граждан оказались неспособны поддержать и канализировать интересы граждан в преодолении социальной разобщённости, социального отчуждения, а также решения экономических проблем граждан [52, с. 127].</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                        </w:t>
      </w:r>
      <w:r w:rsidRPr="00780172">
        <w:rPr>
          <w:rFonts w:ascii="Times New Roman" w:eastAsia="Calibri" w:hAnsi="Times New Roman" w:cs="Times New Roman"/>
          <w:noProof/>
          <w:sz w:val="28"/>
          <w:lang w:eastAsia="ru-RU"/>
        </w:rPr>
        <w:drawing>
          <wp:inline distT="0" distB="0" distL="0" distR="0" wp14:anchorId="6993F20C" wp14:editId="6BB9A3E7">
            <wp:extent cx="2009775" cy="2316264"/>
            <wp:effectExtent l="0" t="0" r="0" b="8255"/>
            <wp:docPr id="3" name="Рисунок 3" descr="Источник: Комитет по статис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точник: Комитет по статистик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6971" cy="2336082"/>
                    </a:xfrm>
                    <a:prstGeom prst="rect">
                      <a:avLst/>
                    </a:prstGeom>
                    <a:noFill/>
                    <a:ln>
                      <a:noFill/>
                    </a:ln>
                  </pic:spPr>
                </pic:pic>
              </a:graphicData>
            </a:graphic>
          </wp:inline>
        </w:drawing>
      </w:r>
    </w:p>
    <w:p w:rsidR="00780172" w:rsidRPr="00780172" w:rsidRDefault="00780172" w:rsidP="00780172">
      <w:pPr>
        <w:spacing w:after="0" w:line="240" w:lineRule="auto"/>
        <w:ind w:firstLine="709"/>
        <w:jc w:val="center"/>
        <w:rPr>
          <w:rFonts w:ascii="Times New Roman" w:eastAsia="Calibri" w:hAnsi="Times New Roman" w:cs="Times New Roman"/>
          <w:sz w:val="28"/>
          <w:szCs w:val="28"/>
        </w:rPr>
      </w:pPr>
      <w:r w:rsidRPr="00780172">
        <w:rPr>
          <w:rFonts w:ascii="Times New Roman" w:eastAsia="Calibri" w:hAnsi="Times New Roman" w:cs="Times New Roman"/>
          <w:sz w:val="28"/>
        </w:rPr>
        <w:t xml:space="preserve">Рисунок 3 – Среднемесячная номинальная заработная плата на одного работника в Казахстане в 1993-2017 гг. Источник: официальный сайт </w:t>
      </w:r>
      <w:r w:rsidRPr="00780172">
        <w:rPr>
          <w:rFonts w:ascii="Times New Roman" w:eastAsia="Calibri" w:hAnsi="Times New Roman" w:cs="Times New Roman"/>
          <w:sz w:val="28"/>
          <w:szCs w:val="28"/>
        </w:rPr>
        <w:t>БНС АСПиР РК</w:t>
      </w:r>
    </w:p>
    <w:p w:rsidR="00780172" w:rsidRPr="00780172" w:rsidRDefault="00780172" w:rsidP="00780172">
      <w:pPr>
        <w:spacing w:after="0" w:line="240" w:lineRule="auto"/>
        <w:ind w:firstLine="709"/>
        <w:jc w:val="center"/>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t>1.4.3 Аксиологические факторы</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 западной политологической литературе значительное внимание уделяется </w:t>
      </w:r>
      <w:r w:rsidRPr="00780172">
        <w:rPr>
          <w:rFonts w:ascii="Times New Roman" w:eastAsia="Calibri" w:hAnsi="Times New Roman" w:cs="Times New Roman"/>
          <w:i/>
          <w:sz w:val="28"/>
        </w:rPr>
        <w:t>аксиологическим факторам социальной среды</w:t>
      </w:r>
      <w:r w:rsidRPr="00780172">
        <w:rPr>
          <w:rFonts w:ascii="Times New Roman" w:eastAsia="Calibri" w:hAnsi="Times New Roman" w:cs="Times New Roman"/>
          <w:sz w:val="28"/>
        </w:rPr>
        <w:t xml:space="preserve">. Ценности являются тем фундаментом, который позволяет преодолеть кризисные ситуации (прежде всего, состояние социальной аномии), определить ориентиры для индивида, группы, организации, государства и общества, и направление их развития.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Весьма интересно разграничение ценностей на две категории: материалистические и постматериалистические. Первые характеризуют удовлетворение, прежде всего, экономических (материальных) потребностей. Это означает, что для среднестатистического гражданина самой главной ценностью являются деньги, их необходимое количество для приобретения продуктов питания, одежды, крова. Деятельность, не дающая материальной выгоды, но несущая личностное развитие, не рассматривается как ценность. В эпоху глобализации и быстрого технологического развития, голод и немедленная смерть уже не угрожают подавляющему большинству населения планеты. </w:t>
      </w:r>
      <w:r w:rsidRPr="00780172">
        <w:rPr>
          <w:rFonts w:ascii="Times New Roman" w:eastAsia="Calibri" w:hAnsi="Times New Roman" w:cs="Times New Roman"/>
          <w:sz w:val="28"/>
        </w:rPr>
        <w:lastRenderedPageBreak/>
        <w:t xml:space="preserve">Материальные блага становятся всё доступнее. Следовательно, в развитых, и в значительной степени, в развивающихся странах, всё большее значение начинают приобретать постматериалистические ценности. Они нацелены на удовлетворение потребности самовыражения посредством вовлечения и активного участия в общественно-политической жизни [12, с. 68]. Как представляется, в современном Казахстане, в основном, постматериалистические ценности распространены в среде городской молодёжи, материалистические – в среде сельской. Однако, проблема в том, что постматериалистические ценности трудно выделить в особую категорию, поскольку, они, зачастую, слабо выражены.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Согласно </w:t>
      </w:r>
      <w:proofErr w:type="gramStart"/>
      <w:r w:rsidRPr="00780172">
        <w:rPr>
          <w:rFonts w:ascii="Times New Roman" w:eastAsia="Calibri" w:hAnsi="Times New Roman" w:cs="Times New Roman"/>
          <w:sz w:val="28"/>
        </w:rPr>
        <w:t>исследованию</w:t>
      </w:r>
      <w:proofErr w:type="gramEnd"/>
      <w:r w:rsidRPr="00780172">
        <w:rPr>
          <w:rFonts w:ascii="Times New Roman" w:eastAsia="Calibri" w:hAnsi="Times New Roman" w:cs="Times New Roman"/>
          <w:sz w:val="28"/>
        </w:rPr>
        <w:t xml:space="preserve"> немецких учёных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Inglehart</w:t>
      </w:r>
      <w:r w:rsidRPr="00780172">
        <w:rPr>
          <w:rFonts w:ascii="Times New Roman" w:eastAsia="Calibri" w:hAnsi="Times New Roman" w:cs="Times New Roman"/>
          <w:sz w:val="28"/>
          <w:szCs w:val="28"/>
        </w:rPr>
        <w:t xml:space="preserve"> </w:t>
      </w:r>
      <w:r w:rsidRPr="00780172">
        <w:rPr>
          <w:rFonts w:ascii="Times New Roman" w:eastAsia="Calibri" w:hAnsi="Times New Roman" w:cs="Times New Roman"/>
          <w:sz w:val="28"/>
        </w:rPr>
        <w:t xml:space="preserve">и </w:t>
      </w:r>
      <w:r w:rsidRPr="00780172">
        <w:rPr>
          <w:rFonts w:ascii="Times New Roman" w:eastAsia="Calibri" w:hAnsi="Times New Roman" w:cs="Times New Roman"/>
          <w:sz w:val="28"/>
          <w:lang w:val="en-US"/>
        </w:rPr>
        <w:t>C</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Welzel</w:t>
      </w:r>
      <w:r w:rsidRPr="00780172">
        <w:rPr>
          <w:rFonts w:ascii="Times New Roman" w:eastAsia="Calibri" w:hAnsi="Times New Roman" w:cs="Times New Roman"/>
          <w:sz w:val="28"/>
        </w:rPr>
        <w:t xml:space="preserve">, в 2019 году 93,5% казахстанцев поставили семью на первое место в списке ценностей. Работа занимает второе место, она имеет ценность для 49,2% опрошенных. Досуг занял третье место (35,5%), политика же оказалась на последнем месте по значимости для казахстанцев. Лишь 13,5% респондентов указали её как имеющую для них важность [97]. Согласно культурной карте мира, составленной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Inglehart</w:t>
      </w:r>
      <w:r w:rsidRPr="00780172">
        <w:rPr>
          <w:rFonts w:ascii="Times New Roman" w:eastAsia="Calibri" w:hAnsi="Times New Roman" w:cs="Times New Roman"/>
          <w:sz w:val="28"/>
          <w:szCs w:val="28"/>
        </w:rPr>
        <w:t xml:space="preserve"> </w:t>
      </w:r>
      <w:r w:rsidRPr="00780172">
        <w:rPr>
          <w:rFonts w:ascii="Times New Roman" w:eastAsia="Calibri" w:hAnsi="Times New Roman" w:cs="Times New Roman"/>
          <w:sz w:val="28"/>
        </w:rPr>
        <w:t xml:space="preserve">и </w:t>
      </w:r>
      <w:r w:rsidRPr="00780172">
        <w:rPr>
          <w:rFonts w:ascii="Times New Roman" w:eastAsia="Calibri" w:hAnsi="Times New Roman" w:cs="Times New Roman"/>
          <w:sz w:val="28"/>
          <w:lang w:val="en-US"/>
        </w:rPr>
        <w:t>C</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Welzel</w:t>
      </w:r>
      <w:r w:rsidRPr="00780172">
        <w:rPr>
          <w:rFonts w:ascii="Times New Roman" w:eastAsia="Calibri" w:hAnsi="Times New Roman" w:cs="Times New Roman"/>
          <w:sz w:val="28"/>
        </w:rPr>
        <w:t>, Казахстан медленно движется от традиционных ценностей к секулярно-рациональным (см. Рисунок 4) [97]. В 2010-2014 году традиционные ценности находились на уровне -0.3, в 2017-2020 годах – -0.2 (см. Рисунок 5). Чем ближе показатель к нулю, тем выше ценятся секулярные ориентации в обществе. Однако, ценности самовыражения менее значимы для казахстанцев, чем ценности выживания. В 2010-2014 году показатель самовыражения был -0.6, и в 2017-2020 году он не изменился [97]. Следовательно, экономическая и физическая безопасность сохраняет свою значимость для казахстанцев. Граждане республики не стремятся участвовать в политике и социальной жизни. Данные этого исследования совпадают с результатами оригинального социологического исследования и глубинных интервью представителей молодёжных общественных организаций (см. Главу 3).</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Будучи открытым государством, Казахстан с момента обретения независимости оказался под влиянием глобализации. В данном контексте диссертационное исследование интересует информационная составляющая, способствующая формированию глобального унифицированного информационного и интеллектуального пространства на базе информационных технологий [98, с. 356]. Учёный </w:t>
      </w:r>
      <w:r w:rsidRPr="00780172">
        <w:rPr>
          <w:rFonts w:ascii="Times New Roman" w:eastAsia="Calibri" w:hAnsi="Times New Roman" w:cs="Times New Roman"/>
          <w:sz w:val="28"/>
          <w:lang w:val="en-US"/>
        </w:rPr>
        <w:t>F</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Webster</w:t>
      </w:r>
      <w:r w:rsidRPr="00780172">
        <w:rPr>
          <w:rFonts w:ascii="Times New Roman" w:eastAsia="Calibri" w:hAnsi="Times New Roman" w:cs="Times New Roman"/>
          <w:sz w:val="28"/>
        </w:rPr>
        <w:t xml:space="preserve"> в книге «Теория информационного общества» определяет глобализацию как процесс роста взаимозависимости и взаимопроникновения человеческих отношений параллельно с ростом интеграции социо-экономической жизни [99, с. 227]. Исследователь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Robertson</w:t>
      </w:r>
      <w:r w:rsidRPr="00780172">
        <w:rPr>
          <w:rFonts w:ascii="Times New Roman" w:eastAsia="Calibri" w:hAnsi="Times New Roman" w:cs="Times New Roman"/>
          <w:sz w:val="28"/>
        </w:rPr>
        <w:t xml:space="preserve"> считал, что западные ценности самовыражения и либеральной демократии, распространяясь, проходят через фильтр локальных социальных и культурных условий нелиберальных стран [100]. Следовательно, они приобретают различную окраску в разных государствах. Согласно этой точке зрения, либерально-демократические ценности, пройдя форматирование местной </w:t>
      </w:r>
      <w:r w:rsidRPr="00780172">
        <w:rPr>
          <w:rFonts w:ascii="Times New Roman" w:eastAsia="Calibri" w:hAnsi="Times New Roman" w:cs="Times New Roman"/>
          <w:sz w:val="28"/>
        </w:rPr>
        <w:lastRenderedPageBreak/>
        <w:t xml:space="preserve">культурной спецификой, становятся более приемлемыми для локальных условий [7, р. 52].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В сферу анализа аксиологических факторов входит также теория социального капитала</w:t>
      </w:r>
      <w:r w:rsidRPr="00780172">
        <w:rPr>
          <w:rFonts w:ascii="Times New Roman" w:eastAsia="Calibri" w:hAnsi="Times New Roman" w:cs="Times New Roman"/>
          <w:sz w:val="28"/>
        </w:rPr>
        <w:t>. Он рассматривается как один из столпов действенного гражданского общества. Социальный капитал определяется как совокупность норм и сетевых отношений между индивидами, которые позволяют им действовать коллективно [101, р. 327]. Учёные выделают также «физический капитал» - уровень развития различной инфраструктуры и «человеческий капитал» - уровень развитости и доступности образования и здравоохранения [17, с. 199]. Согласно Отчёту о развитии человечества в рамках Программы развития ООН, Казахстан по Индексу человеческого развития занимает 56 место в мире. Среднее образование имеет 100% населения страны, высшее – 46% [102].</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noProof/>
          <w:sz w:val="28"/>
          <w:lang w:eastAsia="ru-RU"/>
        </w:rPr>
        <mc:AlternateContent>
          <mc:Choice Requires="wps">
            <w:drawing>
              <wp:anchor distT="0" distB="0" distL="114300" distR="114300" simplePos="0" relativeHeight="251662336" behindDoc="0" locked="0" layoutInCell="1" allowOverlap="1" wp14:anchorId="4BD1C430" wp14:editId="4960353C">
                <wp:simplePos x="0" y="0"/>
                <wp:positionH relativeFrom="column">
                  <wp:posOffset>2253615</wp:posOffset>
                </wp:positionH>
                <wp:positionV relativeFrom="paragraph">
                  <wp:posOffset>1659890</wp:posOffset>
                </wp:positionV>
                <wp:extent cx="622300" cy="12700"/>
                <wp:effectExtent l="19050" t="19050" r="25400" b="2540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22300" cy="12700"/>
                        </a:xfrm>
                        <a:prstGeom prst="line">
                          <a:avLst/>
                        </a:prstGeom>
                        <a:noFill/>
                        <a:ln w="28575" cap="flat" cmpd="sng" algn="ctr">
                          <a:solidFill>
                            <a:srgbClr val="FF0000"/>
                          </a:solidFill>
                          <a:prstDash val="solid"/>
                          <a:miter lim="800000"/>
                        </a:ln>
                        <a:effectLst/>
                      </wps:spPr>
                      <wps:bodyPr/>
                    </wps:wsp>
                  </a:graphicData>
                </a:graphic>
              </wp:anchor>
            </w:drawing>
          </mc:Choice>
          <mc:Fallback>
            <w:pict>
              <v:line w14:anchorId="4F93A12A" id="Прямая соединительная линия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7.45pt,130.7pt" to="226.45pt,1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" strokecolor="red" strokeweight="2.25pt">
                <v:stroke joinstyle="miter"/>
              </v:line>
            </w:pict>
          </mc:Fallback>
        </mc:AlternateContent>
      </w:r>
      <w:r w:rsidRPr="00780172">
        <w:rPr>
          <w:rFonts w:ascii="Times New Roman" w:eastAsia="Calibri" w:hAnsi="Times New Roman" w:cs="Times New Roman"/>
          <w:sz w:val="28"/>
        </w:rPr>
        <w:t xml:space="preserve">             </w:t>
      </w:r>
      <w:r w:rsidRPr="00780172">
        <w:rPr>
          <w:rFonts w:ascii="Times New Roman" w:eastAsia="Calibri" w:hAnsi="Times New Roman" w:cs="Times New Roman"/>
          <w:noProof/>
          <w:sz w:val="28"/>
          <w:lang w:eastAsia="ru-RU"/>
        </w:rPr>
        <w:drawing>
          <wp:inline distT="0" distB="0" distL="0" distR="0" wp14:anchorId="0AE729CC" wp14:editId="613B3945">
            <wp:extent cx="4329948" cy="33083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9346" cy="3338452"/>
                    </a:xfrm>
                    <a:prstGeom prst="rect">
                      <a:avLst/>
                    </a:prstGeom>
                    <a:noFill/>
                  </pic:spPr>
                </pic:pic>
              </a:graphicData>
            </a:graphic>
          </wp:inline>
        </w:drawing>
      </w:r>
    </w:p>
    <w:p w:rsidR="00780172" w:rsidRPr="00780172" w:rsidRDefault="00780172" w:rsidP="00780172">
      <w:pPr>
        <w:spacing w:after="0" w:line="240" w:lineRule="auto"/>
        <w:ind w:firstLine="709"/>
        <w:jc w:val="center"/>
        <w:rPr>
          <w:rFonts w:ascii="Times New Roman" w:eastAsia="Calibri" w:hAnsi="Times New Roman" w:cs="Times New Roman"/>
          <w:sz w:val="28"/>
        </w:rPr>
      </w:pPr>
      <w:r w:rsidRPr="00780172">
        <w:rPr>
          <w:rFonts w:ascii="Times New Roman" w:eastAsia="Calibri" w:hAnsi="Times New Roman" w:cs="Times New Roman"/>
          <w:sz w:val="28"/>
        </w:rPr>
        <w:t xml:space="preserve">Рисунок 4 – Карта мировых культурных ценностей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Inglehart</w:t>
      </w:r>
      <w:r w:rsidRPr="00780172">
        <w:rPr>
          <w:rFonts w:ascii="Times New Roman" w:eastAsia="Calibri" w:hAnsi="Times New Roman" w:cs="Times New Roman"/>
          <w:sz w:val="28"/>
          <w:szCs w:val="28"/>
        </w:rPr>
        <w:t xml:space="preserve"> </w:t>
      </w:r>
      <w:r w:rsidRPr="00780172">
        <w:rPr>
          <w:rFonts w:ascii="Times New Roman" w:eastAsia="Calibri" w:hAnsi="Times New Roman" w:cs="Times New Roman"/>
          <w:sz w:val="28"/>
        </w:rPr>
        <w:t xml:space="preserve">и </w:t>
      </w:r>
      <w:r w:rsidRPr="00780172">
        <w:rPr>
          <w:rFonts w:ascii="Times New Roman" w:eastAsia="Calibri" w:hAnsi="Times New Roman" w:cs="Times New Roman"/>
          <w:sz w:val="28"/>
          <w:lang w:val="en-US"/>
        </w:rPr>
        <w:t>C</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Welzel</w:t>
      </w:r>
      <w:r w:rsidRPr="00780172">
        <w:rPr>
          <w:rFonts w:ascii="Times New Roman" w:eastAsia="Calibri" w:hAnsi="Times New Roman" w:cs="Times New Roman"/>
          <w:sz w:val="28"/>
        </w:rPr>
        <w:t xml:space="preserve"> (2010–2014 гг.). Источник: официальный сайт World Values Survey</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Влияние социального контекста на ценности, ориентации и выбор индивида (и, в конечном счёте, на гражданское общество) описывали различные учёные, такие как Аристотель, </w:t>
      </w:r>
      <w:r w:rsidRPr="00780172">
        <w:rPr>
          <w:rFonts w:ascii="Times New Roman" w:eastAsia="Calibri" w:hAnsi="Times New Roman" w:cs="Times New Roman"/>
          <w:iCs/>
          <w:sz w:val="28"/>
          <w:lang w:val="en"/>
        </w:rPr>
        <w:t>David</w:t>
      </w:r>
      <w:r w:rsidRPr="00780172">
        <w:rPr>
          <w:rFonts w:ascii="Times New Roman" w:eastAsia="Calibri" w:hAnsi="Times New Roman" w:cs="Times New Roman"/>
          <w:iCs/>
          <w:sz w:val="28"/>
        </w:rPr>
        <w:t xml:space="preserve"> </w:t>
      </w:r>
      <w:r w:rsidRPr="00780172">
        <w:rPr>
          <w:rFonts w:ascii="Times New Roman" w:eastAsia="Calibri" w:hAnsi="Times New Roman" w:cs="Times New Roman"/>
          <w:iCs/>
          <w:sz w:val="28"/>
          <w:lang w:val="en"/>
        </w:rPr>
        <w:t>Hume</w:t>
      </w:r>
      <w:r w:rsidRPr="00780172">
        <w:rPr>
          <w:rFonts w:ascii="Times New Roman" w:eastAsia="Calibri" w:hAnsi="Times New Roman" w:cs="Times New Roman"/>
          <w:sz w:val="28"/>
        </w:rPr>
        <w:t xml:space="preserve">, Alexis de Tocqueville. Наиболее полно концепцию социального капитала развил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Putnam</w:t>
      </w:r>
      <w:r w:rsidRPr="00780172">
        <w:rPr>
          <w:rFonts w:ascii="Times New Roman" w:eastAsia="Calibri" w:hAnsi="Times New Roman" w:cs="Times New Roman"/>
          <w:sz w:val="28"/>
        </w:rPr>
        <w:t xml:space="preserve">. Он, в частности, утверждает, что социальный капитал стимулирует создание местных гражданских, общественно-политических институтов, которые продвигают модернизацию «снизу» и делают демократию работоспособной [7, р. 32]. Социальный капитал, основанный на доверии, слабых и (иногда) сильных горизонтальных связях, способствует созданию относительно равных возможностей для участия всех граждан, безотносительно от их экономического, социального, профессионального статуса [7, р. 36]. Он позволяет индивидам осознать собственную ответственность за свои действия и укрепляет их в </w:t>
      </w:r>
      <w:r w:rsidRPr="00780172">
        <w:rPr>
          <w:rFonts w:ascii="Times New Roman" w:eastAsia="Calibri" w:hAnsi="Times New Roman" w:cs="Times New Roman"/>
          <w:sz w:val="28"/>
        </w:rPr>
        <w:lastRenderedPageBreak/>
        <w:t>осознании значимости и эффективности собственных усилий в решении локальных проблем. Помимо этого, социальный капитал способен распространять идеи культуры гражданского участия в обществе, способствуя его модернизации [101, р. 329]. Социальный капитал стимулирует снижение разделительных линий в обществе, преодолевает его атомизацию.</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Почему социальный капитал так важен? Исследования выявляют тесную связь между доверием (социальным доверием в терминологии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lang w:val="en-US"/>
        </w:rPr>
        <w:t>Putnam</w:t>
      </w:r>
      <w:r w:rsidRPr="00780172">
        <w:rPr>
          <w:rFonts w:ascii="Times New Roman" w:eastAsia="Calibri" w:hAnsi="Times New Roman" w:cs="Times New Roman"/>
          <w:sz w:val="28"/>
        </w:rPr>
        <w:t xml:space="preserve">) и гражданским участием – чем более тесная и густая сеть гражданских ассоциаций в государстве, тем более граждане склонны доверять друг другу [103, с. 145]. Помимо этого, социальный капитал способствует формированию норм и ценностей гражданского общества, и, в конечном счёте, гражданской культуры. </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noProof/>
          <w:sz w:val="28"/>
          <w:lang w:eastAsia="ru-RU"/>
        </w:rPr>
        <mc:AlternateContent>
          <mc:Choice Requires="wps">
            <w:drawing>
              <wp:anchor distT="0" distB="0" distL="114300" distR="114300" simplePos="0" relativeHeight="251663360" behindDoc="0" locked="0" layoutInCell="1" allowOverlap="1" wp14:anchorId="3810F4D1" wp14:editId="7D8CCD37">
                <wp:simplePos x="0" y="0"/>
                <wp:positionH relativeFrom="column">
                  <wp:posOffset>2539365</wp:posOffset>
                </wp:positionH>
                <wp:positionV relativeFrom="paragraph">
                  <wp:posOffset>1554480</wp:posOffset>
                </wp:positionV>
                <wp:extent cx="247650" cy="0"/>
                <wp:effectExtent l="0" t="1905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247650" cy="0"/>
                        </a:xfrm>
                        <a:prstGeom prst="line">
                          <a:avLst/>
                        </a:prstGeom>
                        <a:noFill/>
                        <a:ln w="3810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7C66AE" id="Прямая соединительная линия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95pt,122.4pt" to="219.45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" strokecolor="#00b0f0" strokeweight="3pt">
                <v:stroke joinstyle="miter"/>
              </v:line>
            </w:pict>
          </mc:Fallback>
        </mc:AlternateContent>
      </w:r>
      <w:r w:rsidRPr="00780172">
        <w:rPr>
          <w:rFonts w:ascii="Times New Roman" w:eastAsia="Calibri" w:hAnsi="Times New Roman" w:cs="Times New Roman"/>
          <w:sz w:val="28"/>
        </w:rPr>
        <w:t xml:space="preserve">                 </w:t>
      </w:r>
      <w:r w:rsidRPr="00780172">
        <w:rPr>
          <w:rFonts w:ascii="Times New Roman" w:eastAsia="Calibri" w:hAnsi="Times New Roman" w:cs="Times New Roman"/>
          <w:noProof/>
          <w:sz w:val="28"/>
          <w:lang w:eastAsia="ru-RU"/>
        </w:rPr>
        <w:drawing>
          <wp:inline distT="0" distB="0" distL="0" distR="0" wp14:anchorId="1DA9A846" wp14:editId="10A9517C">
            <wp:extent cx="4111644" cy="2997200"/>
            <wp:effectExtent l="0" t="0" r="3175" b="0"/>
            <wp:docPr id="7" name="Рисунок 7" descr="C:\Users\админ\Pictures\Screenshots\Снимок экрана 2026-01-10 1909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Pictures\Screenshots\Снимок экрана 2026-01-10 19094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21308" cy="3004245"/>
                    </a:xfrm>
                    <a:prstGeom prst="rect">
                      <a:avLst/>
                    </a:prstGeom>
                    <a:noFill/>
                    <a:ln>
                      <a:noFill/>
                    </a:ln>
                  </pic:spPr>
                </pic:pic>
              </a:graphicData>
            </a:graphic>
          </wp:inline>
        </w:drawing>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center"/>
        <w:rPr>
          <w:rFonts w:ascii="Times New Roman" w:eastAsia="Calibri" w:hAnsi="Times New Roman" w:cs="Times New Roman"/>
          <w:sz w:val="28"/>
        </w:rPr>
      </w:pPr>
      <w:r w:rsidRPr="00780172">
        <w:rPr>
          <w:rFonts w:ascii="Times New Roman" w:eastAsia="Calibri" w:hAnsi="Times New Roman" w:cs="Times New Roman"/>
          <w:sz w:val="28"/>
        </w:rPr>
        <w:t xml:space="preserve">Рисунок 5 – Карта мировых культурных ценностей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Inglehart</w:t>
      </w:r>
      <w:r w:rsidRPr="00780172">
        <w:rPr>
          <w:rFonts w:ascii="Times New Roman" w:eastAsia="Calibri" w:hAnsi="Times New Roman" w:cs="Times New Roman"/>
          <w:sz w:val="28"/>
          <w:szCs w:val="28"/>
        </w:rPr>
        <w:t xml:space="preserve"> </w:t>
      </w:r>
      <w:r w:rsidRPr="00780172">
        <w:rPr>
          <w:rFonts w:ascii="Times New Roman" w:eastAsia="Calibri" w:hAnsi="Times New Roman" w:cs="Times New Roman"/>
          <w:sz w:val="28"/>
        </w:rPr>
        <w:t xml:space="preserve">и </w:t>
      </w:r>
      <w:r w:rsidRPr="00780172">
        <w:rPr>
          <w:rFonts w:ascii="Times New Roman" w:eastAsia="Calibri" w:hAnsi="Times New Roman" w:cs="Times New Roman"/>
          <w:sz w:val="28"/>
          <w:lang w:val="en-US"/>
        </w:rPr>
        <w:t>C</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Welzel</w:t>
      </w:r>
      <w:r w:rsidRPr="00780172">
        <w:rPr>
          <w:rFonts w:ascii="Times New Roman" w:eastAsia="Calibri" w:hAnsi="Times New Roman" w:cs="Times New Roman"/>
          <w:sz w:val="28"/>
        </w:rPr>
        <w:t xml:space="preserve"> (2017–2020 гг.). Источник: официальный сайт World Values Survey</w:t>
      </w:r>
    </w:p>
    <w:p w:rsidR="00780172" w:rsidRPr="00780172" w:rsidRDefault="00780172" w:rsidP="00780172">
      <w:pPr>
        <w:spacing w:after="0" w:line="240" w:lineRule="auto"/>
        <w:ind w:firstLine="709"/>
        <w:jc w:val="both"/>
        <w:rPr>
          <w:rFonts w:ascii="Times New Roman" w:eastAsia="Calibri" w:hAnsi="Times New Roman" w:cs="Times New Roman"/>
          <w:sz w:val="28"/>
        </w:rPr>
      </w:pP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Проблема казахстанских институтов гражданского общества в контексте социального капитала, горизонтальных связей и ценностей гражданской политической культуры и поведения</w:t>
      </w:r>
      <w:r w:rsidRPr="00780172">
        <w:rPr>
          <w:rFonts w:ascii="Times New Roman" w:eastAsia="Calibri" w:hAnsi="Times New Roman" w:cs="Times New Roman"/>
          <w:sz w:val="28"/>
        </w:rPr>
        <w:t xml:space="preserve"> заключается в том, что вертикальные связи и отношения (патрон-клиентские) доминируют над горизонтальными (в особенности, слабыми горизонтальными). Тогда как мировой теоретический и прикладной опыт свидетельствует о том, что действенное гражданское общество возникает там, где горизонтальные отношения преобладают над вертикальными [36, с. 153].</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По мнению К. Габдуллиной, в Казахстане недостаточно оформились социальные группы частных интересов [104, с. 99-103]. Соответственно, данный факт не способствует созданию прочной платформы для развития гражданского общества. Частные социальные интересы зачастую неопределённы, аморфны, узки. С этим связан низкий уровень культуры социального взаимодействия, отсутствие осознания частных интересов как составной части целостной </w:t>
      </w:r>
      <w:r w:rsidRPr="00780172">
        <w:rPr>
          <w:rFonts w:ascii="Times New Roman" w:eastAsia="Calibri" w:hAnsi="Times New Roman" w:cs="Times New Roman"/>
          <w:sz w:val="28"/>
        </w:rPr>
        <w:lastRenderedPageBreak/>
        <w:t>системы интересов, направленных на общее благо и достижение его посредством зрелого гражданского общества. Прогноз социолога говорит о том, что при таких условиях, формирование эффективного гражданского общества займёт несколько десятилетий [104, с. 99-103].</w:t>
      </w:r>
    </w:p>
    <w:p w:rsidR="00780172" w:rsidRPr="00780172" w:rsidRDefault="00780172" w:rsidP="00780172">
      <w:pPr>
        <w:spacing w:after="0" w:line="240" w:lineRule="auto"/>
        <w:ind w:firstLine="709"/>
        <w:jc w:val="both"/>
        <w:rPr>
          <w:rFonts w:ascii="Times New Roman" w:eastAsia="Calibri" w:hAnsi="Times New Roman" w:cs="Times New Roman"/>
          <w:sz w:val="28"/>
          <w:highlight w:val="yellow"/>
        </w:rPr>
      </w:pPr>
    </w:p>
    <w:p w:rsidR="00780172" w:rsidRPr="00780172" w:rsidRDefault="00780172" w:rsidP="00780172">
      <w:pPr>
        <w:spacing w:after="0" w:line="240" w:lineRule="auto"/>
        <w:ind w:firstLine="709"/>
        <w:jc w:val="both"/>
        <w:rPr>
          <w:rFonts w:ascii="Times New Roman" w:eastAsia="Calibri" w:hAnsi="Times New Roman" w:cs="Times New Roman"/>
          <w:b/>
          <w:sz w:val="28"/>
        </w:rPr>
      </w:pPr>
      <w:r w:rsidRPr="00780172">
        <w:rPr>
          <w:rFonts w:ascii="Times New Roman" w:eastAsia="Calibri" w:hAnsi="Times New Roman" w:cs="Times New Roman"/>
          <w:b/>
          <w:sz w:val="28"/>
        </w:rPr>
        <w:t>1.4.4 Политические и правовые факторы</w:t>
      </w:r>
    </w:p>
    <w:p w:rsidR="00780172" w:rsidRPr="00780172" w:rsidRDefault="00780172" w:rsidP="00780172">
      <w:pPr>
        <w:spacing w:after="0" w:line="240" w:lineRule="auto"/>
        <w:ind w:firstLine="709"/>
        <w:jc w:val="both"/>
        <w:rPr>
          <w:rFonts w:ascii="Times New Roman" w:eastAsia="Calibri" w:hAnsi="Times New Roman" w:cs="Times New Roman"/>
          <w:i/>
          <w:sz w:val="28"/>
        </w:rPr>
      </w:pPr>
      <w:r w:rsidRPr="00780172">
        <w:rPr>
          <w:rFonts w:ascii="Times New Roman" w:eastAsia="Calibri" w:hAnsi="Times New Roman" w:cs="Times New Roman"/>
          <w:i/>
          <w:sz w:val="28"/>
        </w:rPr>
        <w:t>Далее рассматриваются политические и правовые условия для образования и функционирования институтов гражданского общества</w:t>
      </w:r>
      <w:r w:rsidRPr="00780172">
        <w:rPr>
          <w:rFonts w:ascii="Times New Roman" w:eastAsia="Calibri" w:hAnsi="Times New Roman" w:cs="Times New Roman"/>
          <w:b/>
          <w:i/>
          <w:sz w:val="28"/>
        </w:rPr>
        <w:t xml:space="preserve"> </w:t>
      </w:r>
      <w:r w:rsidRPr="00780172">
        <w:rPr>
          <w:rFonts w:ascii="Times New Roman" w:eastAsia="Calibri" w:hAnsi="Times New Roman" w:cs="Times New Roman"/>
          <w:i/>
          <w:sz w:val="28"/>
        </w:rPr>
        <w:t>(общественных организаций).</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В рамках данного раздела диссертационного исследования приоритетное внимание уделяется анализу факторов политической и правовой среды. Политическая среда рассматривается через призму характеристик политической системы и политического режима, тогда как правовая среда –  посредством оценки нормативно-правовой базы республики, регулирующей деятельность общественных организаций и функционирование институтов гражданского общества в целом.</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Известный французский исследователь Alexis de Tocqueville высказывал предположение о том, что при «слабой» государственной власти возможно существование «сильного» гражданского общества (например, в США) и, наоборот, при «сильной» государственной власти – «слабое» гражданское общество (например, во Франции) [105, р. 202]. Что это означает? «Слабая» государственная власть, в данной трактовке, предполагает разделение полномочий между многими участниками. Соответственно, система имеет достаточно слабую иерархизированность, ответственность в ней множественна, контроль за исполнением принятых решений в значительной степени возложен на гражданское общество. Поэтому оно называется «сильным», то есть обладающим широким объёмом полномочий, хотя и более узким, чем государственная власть. В её руках сохраняется важнейшая функция принятия решения и осуществления наказания за его неисполнение. В случае с «сильной» государственной властью, гражданское общество имеет крайне ограниченный круг обязанностей и полномочий. Власть слабо стремится к сотрудничеству с ним и неохотно идёт на него, как правило, лишь в случае острой необходимости. Данный подход критиковался в XX веке [106, р. 170-173]. Тем не менее, в литературе сформировалось направление «a Tocquevillian», при котором «открытость» политической системы определяется количеством точек доступа к ней. Основная идея в том, что чем больше участников разделяют власть, и, соответственно, ответственность, тем больше шансов у общественных организаций получить доступ к системе. Эта гипотеза рассматривает три основных кластера: 1) территориальную децентрализацию власти; 2) функциональное рассредоточение власти; 3) объём власти в руках государства [107, р. 468]. </w:t>
      </w:r>
      <w:r w:rsidRPr="00780172">
        <w:rPr>
          <w:rFonts w:ascii="Times New Roman" w:eastAsia="Calibri" w:hAnsi="Times New Roman" w:cs="Times New Roman"/>
          <w:i/>
          <w:sz w:val="28"/>
        </w:rPr>
        <w:t>Первый кластер</w:t>
      </w:r>
      <w:r w:rsidRPr="00780172">
        <w:rPr>
          <w:rFonts w:ascii="Times New Roman" w:eastAsia="Calibri" w:hAnsi="Times New Roman" w:cs="Times New Roman"/>
          <w:sz w:val="28"/>
        </w:rPr>
        <w:t xml:space="preserve"> заявляет, что чем больше власть рассредоточена по регионам, тем больше у общественных организаций возможности получить доступ к процессу принятия решения. Чем более открыта власть, чем больше полномочий передаётся от центра к периферии, тем более система открыта для </w:t>
      </w:r>
      <w:r w:rsidRPr="00780172">
        <w:rPr>
          <w:rFonts w:ascii="Times New Roman" w:eastAsia="Calibri" w:hAnsi="Times New Roman" w:cs="Times New Roman"/>
          <w:sz w:val="28"/>
        </w:rPr>
        <w:lastRenderedPageBreak/>
        <w:t xml:space="preserve">давления на неё «снизу». Под давлением понимается возможность гражданского общества эффективно воздействовать на политическую систему. Следуя этой логике, федеративные государства представляют собой более открытые системы, чем централизованные (унитарные) [107, р. 470]. Соответственно, поскольку Казахстан – унитарное государство с достаточно жёсткой централизацией, подобную систему, согласно данной концепции, нельзя отнести к открытому типу. </w:t>
      </w:r>
      <w:r w:rsidRPr="00780172">
        <w:rPr>
          <w:rFonts w:ascii="Times New Roman" w:eastAsia="Calibri" w:hAnsi="Times New Roman" w:cs="Times New Roman"/>
          <w:i/>
          <w:sz w:val="28"/>
        </w:rPr>
        <w:t>Второй кластер</w:t>
      </w:r>
      <w:r w:rsidRPr="00780172">
        <w:rPr>
          <w:rFonts w:ascii="Times New Roman" w:eastAsia="Calibri" w:hAnsi="Times New Roman" w:cs="Times New Roman"/>
          <w:sz w:val="28"/>
        </w:rPr>
        <w:t xml:space="preserve"> утверждает, что чем более независимыми являются ветви власти, чем более независимы в них отдельные акторы, тем больше открывается каналов для доступа к процессу принятия решения [107, р. 471]. Соответственно, уровень доступа к системе выше в парламентских республиках, где представительный орган имеет больше полномочий, чем президент; в президентских республиках этот уровень ниже. Согласно Конституции, Казахстан является республикой с президентской формой правления [108, с. 2]. Следуя данному подходу, в республике меньше возможностей для доступа к процессу принятия решения. Затем политическая культура (традиции политического лидерства, превалирование индивидуалистического или коллективистского) воздействует, в свою очередь, на структуру власти и отношения внутри структуры [107, р. 473]. В Казахстане в силу особенностей исторического развития, культурных и поведенческих моделей, достаточно сильны позиции активного политического лидерства (то есть доминирующего решения и ответственности одного человека, стоящего на вершине политической иерархии) и достаточно слабы традиции диверсификации власти, то есть её распределения (а наравне с нею и ответственности) по политической системе, прежде всего, в рамках представительного органа, каковым является парламент. </w:t>
      </w:r>
      <w:r w:rsidRPr="00780172">
        <w:rPr>
          <w:rFonts w:ascii="Times New Roman" w:eastAsia="Calibri" w:hAnsi="Times New Roman" w:cs="Times New Roman"/>
          <w:i/>
          <w:sz w:val="28"/>
        </w:rPr>
        <w:t>Третий кластер</w:t>
      </w:r>
      <w:r w:rsidRPr="00780172">
        <w:rPr>
          <w:rFonts w:ascii="Times New Roman" w:eastAsia="Calibri" w:hAnsi="Times New Roman" w:cs="Times New Roman"/>
          <w:sz w:val="28"/>
        </w:rPr>
        <w:t xml:space="preserve"> касается объёма власти, сосредоточенного в руках государства по сравнению с группами давления, политическими партиями, СМИ и институтами гражданского общества. Здесь существуют возможности для формирования групп сторонников и противников общественных организаций, включающих в себя политические партии и группы интересов. Сторонники поддерживают организации ресурсами, политическими возможностями; противники стремятся не допустить к ним организации [107, р. 480]. Государство, являясь тем актором, в руках которого сосредоточена сила и возможность её легального применения, так или иначе воздействует на институты гражданского общества, поддерживая одни и ограничивая другие [17, с. 299]. Ограничения усиливаются в периоды нестабильности, когда деятельность гражданского общества способна более навредить обществу и государству, чем способствовать их развитию. Сторонники подхода «a Tocquevillian» замечают, что этот кластер сильно варьирует от государства к государству, что обусловлено особенностями общественно-политического развития, а также типом и уровнем развитости политической культуры [17, с. 204]. Как уже упоминалось нами выше, специфика Казахстана в том, что как постсоветское государство, он не располагает сформировавшейся либеральной политической культурой. В силу особенностей историко-политического </w:t>
      </w:r>
      <w:r w:rsidRPr="00780172">
        <w:rPr>
          <w:rFonts w:ascii="Times New Roman" w:eastAsia="Calibri" w:hAnsi="Times New Roman" w:cs="Times New Roman"/>
          <w:sz w:val="28"/>
        </w:rPr>
        <w:lastRenderedPageBreak/>
        <w:t>развития можно наблюдать достаточно большой объём власти, сосредоточенной в руках государства.</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Данная модель взята для анализа в рамках диссертационного исследования с целью продемонстрировать возможные проблемные точки в политической системе Казахстана. Мы не имели целью показать, что унитарные государства с президентской формой правления проигрывают федеративным и парламентским республикам. Унитарная организация в случае Казахстана способствует дополнительной интеграции и унификации весьма пёстрого в этническом и конфессиональном плане населения республики. С той же целью после распада СССР и обретения независимости, была избрана президентская форма правления, чтобы не допустить дезинтеграции и разобщения граждан страны. Население Казахстана на тот момент исторического времени не было готово к парламентской республике с точки зрения политического сознания и политической культуры, поскольку в парламентской республике большую роль играют политические партии, формируемые в результате выбора граждан. Будучи длительное время в составе тоталитарного государства, граждане Казахстана не имели условий для формирования либерально-демократического политического сознания, которое является основой успешной парламентской республики.</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Рассматриваемый подход «a Tocquevillian» критикуется его противниками в связи с некоторой однонаправленностью. В частности, критики обращали внимание на то, что множественность точек доступа одновременно означает множественность точек вето [109, р. 61]. То есть, отбор акторов, их деятельность регулируется путём наложения запрета со стороны власти, поскольку государственная власть остаётся единственным актором, имеющим легитимность и право на применение силы. Кроме того, общественные организации в подобной модели могут не выдержать конкуренции с группами давления, к примеру, в силу наличия у последних большего объёма ресурсов. К группам давления, в данном контексте, относят крупные финансовые и бизнес-структуры, различные компании и корпорации, как местного, так и международного уровня.</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Критики подхода полагают, что институциональная среда и историко-политические факторы способны повлиять гораздо больше на стратегическое поведение общественных организаций [109, р. 64]. Чем сложнее общественным организациям попасть в политическую систему, тем более продуманной, долгосрочной и выверенной будет их стратегия. Общественные объединения будут много внимания уделять рекрутированию, мероприятиям, формулированию целей и задач. Следовательно, их качество будет расти.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Заметим, что Alexis de Tocqueville был сторонником парадигмы политического либерализма, что не могло не наложить отпечаток на его теоретические разработки. Тем не менее, подход «a Tocquevillian» показывает особенности казахстанской политической системы в отношении институтов гражданского общества.</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lastRenderedPageBreak/>
        <w:t>Далее диссертационное исследование рассматривает специфику демократического политического режима Казахстана с целью определить проблемы и предпосылки для развития гражданского общества.</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Рассмотрим теоретическую концепцию, изучающую взаимосвязь между развитием гражданского общества и демократизацией (модернизацией) политической системы государства. Согласно ей, институты гражданского общества способствуют развитию совещательной демократии (сочетающей в себе прямую и представительную), вместо представительной (репрезентативной) [110, р. 93]. Совещательная демократия больше отвечает интересам групп, которых представляют гражданские ассоциации. Репрезентативная демократия нехороша тем, что контролировать своих представителей избиратели имеют возможность только во время выборов, посредством осуществления выбора. Затем контроль за эффективностью деятельности депутатов снижается [110, р. 93]. Они могут попасть под влияние лобби, групп интересов и отойти от задачи реализовывать интересы своих избирателей. Кроме того, объём первостепенных задач и тех, которые могут подождать, зависит от решения депутатов, в то время как в случае совещательной демократии процесс решения проблем происходит по мере их возникновения и степень важности определяется самими организациями и их участниками [110, р. 94]. С точки зрения данной концепции, активисты и члены общественных организаций являются людьми, действительно интересующимися политикой. Соответственно, они, отстаивая интересы социальных групп, несут ту ответственность, которая в представительной демократии возлагается на избранных представителей.</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Помимо всего прочего, сторонники данного подхода рассматривают качество коммуникации между властью и обществом. Они полагают, что совещательная демократия способна обеспечить её достойное качество. Репрезентативная демократия в чистом виде не способствует эффективной деятельности институтов гражданского общества, поскольку основные акторы в ней – политические партии, в то время как в совещательной демократии возможность воздействовать на политический процесс есть как у партий, так и у иных институтов гражданского общества. Соответственно, качество коммуникации в такой системе повышается. Сторонники теории совещательной демократии полагают, что институты гражданского общества способны, с одной стороны, создавать почву для плодотворных дискуссий на институциональном уровне, с другой стороны, выступают в качестве так называемого «контролирующего органа» по отношению к ответственному институту, будь то политическая партия, парламент или иной орган, на предмет эффективности решаемого вопроса, беспрерывности и качества коммуникации [111, р. 69]. Кроме того, построение отношений институтов гражданского общества и власти именно по данной модели способствует тому, что общественные объединения являются платформой для воспитания политической культуры участия у своих членов [111, р. 70]. Сторонники данного подхода полагают, что эта модель демократии представляет собой альтернативу иерархической модели управления (сверху-вниз), пусть даже демократического характера, поскольку они считают, </w:t>
      </w:r>
      <w:r w:rsidRPr="00780172">
        <w:rPr>
          <w:rFonts w:ascii="Times New Roman" w:eastAsia="Calibri" w:hAnsi="Times New Roman" w:cs="Times New Roman"/>
          <w:sz w:val="28"/>
        </w:rPr>
        <w:lastRenderedPageBreak/>
        <w:t>что в эпоху глобализации и появления сетевой организации управления, легитимности в ней всё меньше и управлять при помощи иерархии всё сложнее [110, р. 98].  Модель совещательной демократии способствует не только повышению политической культуры граждан, но и уровня доверия граждан к власти, то есть создаёт основу для развития социального капитала [107, р. 464].</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Сторонники данного подхода утверждают, что возможности репрезентативной демократии увеличиваются, когда на условиях равенства, инклюзивности и прозрачности взаимодействие различных акторов (включая институты гражданского общества) способно трансформировать индивидуальные проблемы в общественный запрос и решить их успешно [112, р. 240]. Предполагается, что, поскольку в данной модели отношений все участники равны, следовательно, не может быть перевеса ни в одну из сторон [107, р. 242]. Фактически, таким образом формируется горизонтальный тип отношений в политической сфере, основанный на диалоге. При этом, поскольку, многое зависит от уровня политической культуры акторов (возможности убеждения, донесения и разъяснения определённой точки зрения), необходимо воспитание и поддержание её на должном уровне [107, р. 242]. В Казахстане на сегодняшний день, по-видимому, преобладает репрезентативная демократия.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Как представляется, модель совещательной демократии могла бы послужить рекомендацией для Казахстана по развитию независимого, активно действующего и эффективного гражданского общества. Она позволила бы преодолеть существующие недостатки политической системы Казахстана. Сторонники данного подхода видят в нём средство для преодоления кризиса демократии в случае снижения гражданской активности и падения уровня политического участия граждан. В западных «старых» демократиях такая ситуация наблюдается в связи с разочарованием граждан во многих её институтах и в самой идее демократического режима управления. В Казахстане несколько иная ситуация. Республика является молодой демократией, в отличие от западных государств, граждане Казахстана ещё не испытывают в ней разочарования. Вместе с тем, уровень политического участия в Казахстане невысок, как представляется, несколько по иным причинам. Возможно, эти причины кроются в относительно невысоком уровне политической культуры участия среди граждан Казахстана. Следовательно, реализуя описанную нами выше модель совещательной демократии на практике, возможно формирование политической культуры участия у граждан, с одной стороны, и с другой – развитие и совершенствование деятельности институтов гражданского общества.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За годы независимого существования в Казахстане образовалось, по разным оценкам, около пяти тысяч различных общественно-политических объединений. С самого начала их деятельности как негосударственных институтов их роль постепенно усиливалась в связи с повышением их статуса, а также формированием первых, хотя не до конца эффективных, каналов коммуникации и обратной связи между властью и гражданским обществом [66, с. 18].</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lastRenderedPageBreak/>
        <w:t xml:space="preserve">Далее рассмотрим ещё одну концепцию, затрагивающую процессы демократизации политической системы и возможности гражданского общества в этом процессе. Существуют две различающиеся концепции относительно роли общественных объединений в процессе демократизации [113, р. 127]. </w:t>
      </w:r>
    </w:p>
    <w:p w:rsidR="00780172" w:rsidRPr="00780172" w:rsidRDefault="00780172" w:rsidP="008465D6">
      <w:pPr>
        <w:numPr>
          <w:ilvl w:val="0"/>
          <w:numId w:val="15"/>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Популистский подход к демократии</w:t>
      </w:r>
      <w:r w:rsidRPr="00780172">
        <w:rPr>
          <w:rFonts w:ascii="Times New Roman" w:eastAsia="Calibri" w:hAnsi="Times New Roman" w:cs="Times New Roman"/>
          <w:sz w:val="28"/>
        </w:rPr>
        <w:t xml:space="preserve"> – его сторонники настаивают, что участие «снизу» крайне важно, и общественные объединения своим существованием и активной деятельностью вносят значительный вклад в создание автономного общественно-политического пространства, достаточно независимого от государства и экономической сферы. С этой точки зрения, институты гражданского общества должны непременно образовываться «снизу» и быть некоммерческой ориентации [113, р. 128]. Именно в создаваемой ассоциациями автономной неправительственной сфере возникают условия для развития демократии. Мы можем предположить, что политическая культура гражданского участия, ответственность и активизм также являются продуктом именно данной сферы.</w:t>
      </w:r>
    </w:p>
    <w:p w:rsidR="00780172" w:rsidRPr="00780172" w:rsidRDefault="00780172" w:rsidP="008465D6">
      <w:pPr>
        <w:numPr>
          <w:ilvl w:val="0"/>
          <w:numId w:val="15"/>
        </w:numPr>
        <w:spacing w:after="0" w:line="240" w:lineRule="auto"/>
        <w:ind w:left="0" w:firstLine="709"/>
        <w:contextualSpacing/>
        <w:jc w:val="both"/>
        <w:rPr>
          <w:rFonts w:ascii="Times New Roman" w:eastAsia="Calibri" w:hAnsi="Times New Roman" w:cs="Times New Roman"/>
          <w:sz w:val="28"/>
        </w:rPr>
      </w:pPr>
      <w:r w:rsidRPr="00780172">
        <w:rPr>
          <w:rFonts w:ascii="Times New Roman" w:eastAsia="Calibri" w:hAnsi="Times New Roman" w:cs="Times New Roman"/>
          <w:i/>
          <w:sz w:val="28"/>
        </w:rPr>
        <w:t>Элитистский подход</w:t>
      </w:r>
      <w:r w:rsidRPr="00780172">
        <w:rPr>
          <w:rFonts w:ascii="Times New Roman" w:eastAsia="Calibri" w:hAnsi="Times New Roman" w:cs="Times New Roman"/>
          <w:sz w:val="28"/>
        </w:rPr>
        <w:t xml:space="preserve">, согласно которому демократизация и процесс формирования институтов гражданского общества – это процессы, направленные «сверху-вниз». Политическая элита таким образом контролирует деятельность институтов гражданского общества и направляет её по определённому каналу. Институты гражданского общества, исходя из данного подхода, формируются преимущественно «сверху», с целью создания определённой гражданской среды, внешне не связанной напрямую с государством, которая даёт возможность избежать слишком быстрых перемен в политической системе [113, р. 129].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Казахстан, по всей видимости, следует отнести к элитистскому подходу, что обусловлено совокупностью исторически детерминированных факторов, включая продолжительный период функционирования в рамках тоталитарной государственной системы, ускоренный переход к демократической модели политического устройства в 1991 году, а также значительную этноконфессиональную неоднородность населения. В этих условиях наиболее эффективно функционирующие институты гражданского общества, по крайней мере в сегменте, связанном с молодёжной проблематикой, формировались при непосредственном участии государства. В силу достаточно неразвитой культуры гражданского участия в настоящее время едва ли можно утверждать, что молодёжные общественные объединения, созданные «снизу», могут составить конкуренцию в эффективности молодёжным ассоциациям, созданным при участии государства.</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Таким образом, можно сделать вывод, что общественные организации способны внести вклад в демократизацию. Однако, если демократия молодая, неокрепшая и находящаяся в процессе укрепления, большое количество институтов гражданского общества способно не только не стимулировать её развитие, но, напротив, способно спровоцировать серьёзный кризис политической системы [113, р. 117]. Следовательно, поскольку Казахстан является молодой демократией с небольшой историей развития </w:t>
      </w:r>
      <w:r w:rsidRPr="00780172">
        <w:rPr>
          <w:rFonts w:ascii="Times New Roman" w:eastAsia="Calibri" w:hAnsi="Times New Roman" w:cs="Times New Roman"/>
          <w:sz w:val="28"/>
        </w:rPr>
        <w:lastRenderedPageBreak/>
        <w:t>демократических институтов, ценностей и политической культуры, существующая ситуация, при которой наиболее действенные общественные объединения создаются «сверху» при участии государства, является приемлемой. Данные ассоциации служат культурно-политической основой для воспитания политического сознания и культуры участия у молодёжи Казахстана. Впоследствии, возможно, будут сформированы молодёжные добровольные ассоциации, возникшие «снизу», и Казахстан начнёт движение к первой из упомянутых выше моделей.</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i/>
          <w:sz w:val="28"/>
        </w:rPr>
        <w:t>Рассматривается нормативно-правовая основа функционирования институтов гражданского общества в Казахстане</w:t>
      </w:r>
      <w:r w:rsidRPr="00780172">
        <w:rPr>
          <w:rFonts w:ascii="Times New Roman" w:eastAsia="Calibri" w:hAnsi="Times New Roman" w:cs="Times New Roman"/>
          <w:sz w:val="28"/>
        </w:rPr>
        <w:t>.</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Начиная с 1991 года деятельность общественных организаций в Казахстане регулировалась Законом «Об общественных объединениях Казахской ССР». Основополагающими документами в сфере функционирования гражданского общества являются Конституция Республики Казахстан 1995 года, Закон Республики Казахстан «Об общественных объединениях» 1996 года [38, с. 178]. Согласно статье 5 Конституции: 1) В Республике Казахстан признается идеологическое и политическое многообразие. Не допускается слияние общественных и государственных институтов». 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государственное финансирование общественных объединений» [108, с. 3]. Таким образом, в данный период была создана общая организационно-правовая основа для общественных объединений и легализована возможность участия в них граждан на добровольной основе.</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 xml:space="preserve">В 1994 году был принят Гражданский кодекс, который законодательно закрепил понятие «Некоммерческая организация». В 2001 году появляется Закон РК «О некоммерческих организациях». В 2002 году Правительство Республики Казахстан одобряет Концепцию государственной поддержки некоммерческих организаций. Данный документ предусматривает разработку Программы государственной поддержки НКО и Закон «О государственном социальном заказе», который позднее был принят в 2005 году [39, с. 189]. В 2006 году была принята Концепция развития гражданского общества в Республике Казахстан на 2006-2011 годы. В августе 2020 года была утверждена новая Концепция развития гражданского общества в Республике Казахстан, включающая два этапа: 1) 2020-2025 – внедрение инструментов «Слышащего государства» и развитие волонтёрства; 2) 2026-2030 – разработка плана действий с привлечением общественности [114]. После 2022 года в РК был принят ряд законов и программ, направленных на развитие гражданского общества, усиление роли НПО и обеспечение прозрачности государственного управления через систему общественного контроля. В частности, 2 октября 2023 года принят Закон РК «Об общественном контроле», дающий право гражданам и НПО проводить общественный мониторинг, экспертизу, слушания и запрашивать информацию у государственных органов [115]. Закон РК «О внесении изменений и дополнений в некоторые законодательные акты Республики Казахстан по вопросам </w:t>
      </w:r>
      <w:r w:rsidRPr="00780172">
        <w:rPr>
          <w:rFonts w:ascii="Times New Roman" w:eastAsia="Calibri" w:hAnsi="Times New Roman" w:cs="Times New Roman"/>
          <w:sz w:val="28"/>
        </w:rPr>
        <w:lastRenderedPageBreak/>
        <w:t xml:space="preserve">общественных объединений», принятый в декабре 2023 года, направлен на демократизацию процесса создания общественных объединений, в том числе снижение требований к количеству учредителей [116]. В июле 2022 года внесены поправки в законодательство по вопросам волонтёрской деятельности и благотворительности, в которых предусмотрены меры по поддержке благотворительных организаций, включая передачу им государственного имущества по льготным условиям. В новом Налоговом кодексе (2024 год) расширены льготы для НКО, включая освобождение от ИПН за счёт грантов и благотворительной помощи [117]. </w:t>
      </w:r>
    </w:p>
    <w:p w:rsidR="00780172" w:rsidRPr="00780172" w:rsidRDefault="00780172" w:rsidP="00780172">
      <w:pPr>
        <w:spacing w:after="0" w:line="240" w:lineRule="auto"/>
        <w:ind w:firstLine="709"/>
        <w:jc w:val="both"/>
        <w:rPr>
          <w:rFonts w:ascii="Times New Roman" w:eastAsia="Calibri" w:hAnsi="Times New Roman" w:cs="Times New Roman"/>
          <w:sz w:val="28"/>
        </w:rPr>
      </w:pPr>
      <w:r w:rsidRPr="00780172">
        <w:rPr>
          <w:rFonts w:ascii="Times New Roman" w:eastAsia="Calibri" w:hAnsi="Times New Roman" w:cs="Times New Roman"/>
          <w:sz w:val="28"/>
        </w:rPr>
        <w:t>Как видно из данного анализа, нормативно-правовая основа в Казахстане для функционирования и развития гражданского общества существует. Тем не менее, по-видимому, есть определённые проблемы, не позволяющие институтам гражданского общества развиваться и работать энергичнее. В частности, в законодательстве существует запрет на деятельность незарегистрированных общественных объединений, что приводит к невозможности создания неформальных общественных объединений (grassroots organizations) локального и ad hoc характера [63, с. 192]. При этом процедура регистрации достаточно проста, если общественное объединение не связано с религиозной деятельностью [63, с. 194]. Существует территориально разграничение деятельности общественных организаций на местные, региональные и республиканские, что усложняет их взаимодействие и может послужить причиной закрытия со стороны контролирующих органов [63, с. 192]. Зарубежные эксперты уточняют, что для того, чтобы получить статус республиканской, общественная организация должна открыть филиалы как минимум в восьми областях республики [57, р. 10]. К сожалению, небольшим по объёму ресурсов и штату организациям осуществить данную операцию весьма затруднительно. Помимо всего прочего, отечественные эксперты отмечают высокую стоимость государственной регистрации общественных организаций [63, с. 192], а зарубежные – недостаточную свободу общественных объединений от налоговых сборов [57, р. 11].</w:t>
      </w:r>
    </w:p>
    <w:p w:rsidR="00780172" w:rsidRPr="00780172" w:rsidRDefault="00780172" w:rsidP="00780172">
      <w:pPr>
        <w:spacing w:after="0" w:line="240" w:lineRule="auto"/>
        <w:ind w:firstLine="709"/>
        <w:jc w:val="both"/>
        <w:rPr>
          <w:rFonts w:ascii="Times New Roman" w:eastAsia="Calibri" w:hAnsi="Times New Roman" w:cs="Times New Roman"/>
          <w:i/>
          <w:sz w:val="28"/>
        </w:rPr>
      </w:pPr>
      <w:r w:rsidRPr="00780172">
        <w:rPr>
          <w:rFonts w:ascii="Times New Roman" w:eastAsia="Calibri" w:hAnsi="Times New Roman" w:cs="Times New Roman"/>
          <w:i/>
          <w:sz w:val="28"/>
        </w:rPr>
        <w:t>Выводы:</w:t>
      </w:r>
    </w:p>
    <w:p w:rsidR="00780172" w:rsidRPr="00780172" w:rsidRDefault="00780172" w:rsidP="008465D6">
      <w:pPr>
        <w:numPr>
          <w:ilvl w:val="0"/>
          <w:numId w:val="23"/>
        </w:numPr>
        <w:spacing w:after="0" w:line="240" w:lineRule="auto"/>
        <w:ind w:left="0" w:firstLine="709"/>
        <w:contextualSpacing/>
        <w:jc w:val="both"/>
        <w:outlineLvl w:val="2"/>
        <w:rPr>
          <w:rFonts w:ascii="Times New Roman" w:eastAsia="Times New Roman" w:hAnsi="Times New Roman" w:cs="Times New Roman"/>
          <w:bCs/>
          <w:sz w:val="28"/>
          <w:szCs w:val="28"/>
          <w:lang w:eastAsia="ru-RU"/>
        </w:rPr>
      </w:pPr>
      <w:r w:rsidRPr="00780172">
        <w:rPr>
          <w:rFonts w:ascii="Times New Roman" w:eastAsia="Times New Roman" w:hAnsi="Times New Roman" w:cs="Times New Roman"/>
          <w:bCs/>
          <w:sz w:val="28"/>
          <w:szCs w:val="28"/>
          <w:lang w:eastAsia="ru-RU"/>
        </w:rPr>
        <w:t>Историческое наследие советского прошлого сформировало устойчивый паттерн «отчуждённого участия», который оказывает воздействие на институты гражданского общества и гражданское вовлечение граждан Казахстана.</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Опыт обязательного, контролируемого государством «участия» в советских общественных организациях привёл не к увеличению гражданской активности, а к формированию адаптивно-пассивной стратегии поведения. В постсоветский период свобода ассоциаций была воспринята не как ресурс участия, а как возможность отказа от него. Это объясняет структурно низкий уровень доверия к институтам гражданского общества и их восприятие как инструментов внешнего контроля, а не как механизмов коллективного действия. Таким образом, проблема слабости гражданского общества в Казахстане носит </w:t>
      </w:r>
      <w:r w:rsidRPr="00780172">
        <w:rPr>
          <w:rFonts w:ascii="Times New Roman" w:eastAsia="Times New Roman" w:hAnsi="Times New Roman" w:cs="Times New Roman"/>
          <w:bCs/>
          <w:sz w:val="28"/>
          <w:szCs w:val="28"/>
          <w:lang w:eastAsia="ru-RU"/>
        </w:rPr>
        <w:t>не институциональный, а глубинно историко-культурный характер</w:t>
      </w:r>
      <w:r w:rsidRPr="00780172">
        <w:rPr>
          <w:rFonts w:ascii="Times New Roman" w:eastAsia="Times New Roman" w:hAnsi="Times New Roman" w:cs="Times New Roman"/>
          <w:sz w:val="28"/>
          <w:szCs w:val="28"/>
          <w:lang w:eastAsia="ru-RU"/>
        </w:rPr>
        <w:t xml:space="preserve">. Несмотря на то, что молодёжь современной РК появилась уже после распада СССР, инерция </w:t>
      </w:r>
      <w:r w:rsidRPr="00780172">
        <w:rPr>
          <w:rFonts w:ascii="Times New Roman" w:eastAsia="Times New Roman" w:hAnsi="Times New Roman" w:cs="Times New Roman"/>
          <w:sz w:val="28"/>
          <w:szCs w:val="28"/>
          <w:lang w:eastAsia="ru-RU"/>
        </w:rPr>
        <w:lastRenderedPageBreak/>
        <w:t xml:space="preserve">общественно-политического сознания и доминирование пассивной гражданской культуры, распространила данные тенденции на неё. Более того, согласно результатам авторского социологического опроса 2025 года, приведённым в Главе 3, молодёжь поколения </w:t>
      </w:r>
      <w:r w:rsidRPr="00780172">
        <w:rPr>
          <w:rFonts w:ascii="Times New Roman" w:eastAsia="Times New Roman" w:hAnsi="Times New Roman" w:cs="Times New Roman"/>
          <w:sz w:val="28"/>
          <w:szCs w:val="28"/>
          <w:lang w:val="en-US" w:eastAsia="ru-RU"/>
        </w:rPr>
        <w:t>Z</w:t>
      </w:r>
      <w:r w:rsidRPr="00780172">
        <w:rPr>
          <w:rFonts w:ascii="Times New Roman" w:eastAsia="Times New Roman" w:hAnsi="Times New Roman" w:cs="Times New Roman"/>
          <w:sz w:val="28"/>
          <w:szCs w:val="28"/>
          <w:lang w:eastAsia="ru-RU"/>
        </w:rPr>
        <w:t xml:space="preserve"> сохраняет настороженное отношение к институтам гражданского общества, предпочитая или не участвовать вовсе, или участвовать несистемно или вне рамок института. </w:t>
      </w:r>
    </w:p>
    <w:p w:rsidR="00780172" w:rsidRPr="00780172" w:rsidRDefault="00780172" w:rsidP="008465D6">
      <w:pPr>
        <w:numPr>
          <w:ilvl w:val="0"/>
          <w:numId w:val="23"/>
        </w:numPr>
        <w:spacing w:after="0" w:line="240" w:lineRule="auto"/>
        <w:ind w:left="0" w:firstLine="709"/>
        <w:contextualSpacing/>
        <w:jc w:val="both"/>
        <w:outlineLvl w:val="2"/>
        <w:rPr>
          <w:rFonts w:ascii="Times New Roman" w:eastAsia="Times New Roman" w:hAnsi="Times New Roman" w:cs="Times New Roman"/>
          <w:b/>
          <w:bCs/>
          <w:sz w:val="28"/>
          <w:szCs w:val="28"/>
          <w:lang w:eastAsia="ru-RU"/>
        </w:rPr>
      </w:pPr>
      <w:r w:rsidRPr="00780172">
        <w:rPr>
          <w:rFonts w:ascii="Times New Roman" w:eastAsia="Times New Roman" w:hAnsi="Times New Roman" w:cs="Times New Roman"/>
          <w:bCs/>
          <w:sz w:val="28"/>
          <w:szCs w:val="28"/>
          <w:lang w:eastAsia="ru-RU"/>
        </w:rPr>
        <w:t xml:space="preserve">Доминирование сильных родственных связей над слабыми горизонтальными ограничивает потенциал формирования автономного и инклюзивного </w:t>
      </w:r>
      <w:r w:rsidRPr="00780172">
        <w:rPr>
          <w:rFonts w:ascii="Times New Roman" w:eastAsia="Times New Roman" w:hAnsi="Times New Roman" w:cs="Times New Roman"/>
          <w:sz w:val="28"/>
          <w:szCs w:val="28"/>
          <w:lang w:eastAsia="ru-RU"/>
        </w:rPr>
        <w:t>гражданского общества</w:t>
      </w:r>
      <w:r w:rsidRPr="00780172">
        <w:rPr>
          <w:rFonts w:ascii="Times New Roman" w:eastAsia="Times New Roman" w:hAnsi="Times New Roman" w:cs="Times New Roman"/>
          <w:bCs/>
          <w:sz w:val="28"/>
          <w:szCs w:val="28"/>
          <w:lang w:eastAsia="ru-RU"/>
        </w:rPr>
        <w:t>.</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Сочетание советского опыта дефицита и традиционных кланово-семейных структур привело к закреплению приоритета неформальных, персонализированных сетей доверия. Эти сети эффективны на микроуровне выживания, но плохо масштабируются и не производят публичные блага. В терминах </w:t>
      </w:r>
      <w:r w:rsidRPr="00780172">
        <w:rPr>
          <w:rFonts w:ascii="Times New Roman" w:eastAsia="Times New Roman" w:hAnsi="Times New Roman" w:cs="Times New Roman"/>
          <w:sz w:val="28"/>
          <w:szCs w:val="28"/>
          <w:lang w:val="en-US" w:eastAsia="ru-RU"/>
        </w:rPr>
        <w:t>R</w:t>
      </w:r>
      <w:r w:rsidRPr="00780172">
        <w:rPr>
          <w:rFonts w:ascii="Times New Roman" w:eastAsia="Times New Roman" w:hAnsi="Times New Roman" w:cs="Times New Roman"/>
          <w:sz w:val="28"/>
          <w:szCs w:val="28"/>
          <w:lang w:eastAsia="ru-RU"/>
        </w:rPr>
        <w:t xml:space="preserve">. </w:t>
      </w:r>
      <w:r w:rsidRPr="00780172">
        <w:rPr>
          <w:rFonts w:ascii="Times New Roman" w:eastAsia="Times New Roman" w:hAnsi="Times New Roman" w:cs="Times New Roman"/>
          <w:sz w:val="28"/>
          <w:szCs w:val="28"/>
          <w:lang w:val="en-US" w:eastAsia="ru-RU"/>
        </w:rPr>
        <w:t>Putnam</w:t>
      </w:r>
      <w:r w:rsidRPr="00780172">
        <w:rPr>
          <w:rFonts w:ascii="Times New Roman" w:eastAsia="Times New Roman" w:hAnsi="Times New Roman" w:cs="Times New Roman"/>
          <w:sz w:val="28"/>
          <w:szCs w:val="28"/>
          <w:lang w:eastAsia="ru-RU"/>
        </w:rPr>
        <w:t xml:space="preserve">, социальный капитал в Казахстане носит преимущественно закрытый характер, что препятствует развитию горизонтальной солидарности, универсалистских норм и устойчивых гражданских институтов. Несмотря на то, что молодёжь традиционно стремится к сепарации от семьи и клана, сильные горизонтальные связи по-прежнему крайне важны для неё, как показали результаты авторского социологического опроса, приведённые в Главе 3. Зачастую семью заменяют друзья и однокурсники, однако, они по-прежнему служат поддержанию ценностей выживания (в терминологии </w:t>
      </w:r>
      <w:r w:rsidRPr="00780172">
        <w:rPr>
          <w:rFonts w:ascii="Times New Roman" w:eastAsia="Calibri" w:hAnsi="Times New Roman" w:cs="Times New Roman"/>
          <w:sz w:val="28"/>
          <w:szCs w:val="28"/>
          <w:lang w:val="en-US"/>
        </w:rPr>
        <w:t>Inglehart</w:t>
      </w:r>
      <w:r w:rsidRPr="00780172">
        <w:rPr>
          <w:rFonts w:ascii="Times New Roman" w:eastAsia="Calibri" w:hAnsi="Times New Roman" w:cs="Times New Roman"/>
          <w:sz w:val="28"/>
          <w:szCs w:val="28"/>
        </w:rPr>
        <w:t>-</w:t>
      </w:r>
      <w:r w:rsidRPr="00780172">
        <w:rPr>
          <w:rFonts w:ascii="Times New Roman" w:eastAsia="Calibri" w:hAnsi="Times New Roman" w:cs="Times New Roman"/>
          <w:sz w:val="28"/>
          <w:szCs w:val="28"/>
          <w:lang w:val="en-US"/>
        </w:rPr>
        <w:t>Welzel</w:t>
      </w:r>
      <w:r w:rsidRPr="00780172">
        <w:rPr>
          <w:rFonts w:ascii="Times New Roman" w:eastAsia="Calibri" w:hAnsi="Times New Roman" w:cs="Times New Roman"/>
          <w:sz w:val="28"/>
          <w:szCs w:val="28"/>
        </w:rPr>
        <w:t xml:space="preserve">), но не самовыражения. Молодёжь современного Казахстана, в целом, не демонстрирует тенденцию к осознанному формированию сетей отношений горизонтального характера, направленных на решение проблем общего блага (согласно результатам оригинального социологического опроса и множественного корреляционно-регрессионного анализа, приведённым в Главе 3). </w:t>
      </w:r>
    </w:p>
    <w:p w:rsidR="00780172" w:rsidRPr="00780172" w:rsidRDefault="00780172" w:rsidP="008465D6">
      <w:pPr>
        <w:numPr>
          <w:ilvl w:val="0"/>
          <w:numId w:val="23"/>
        </w:numPr>
        <w:spacing w:after="0" w:line="240" w:lineRule="auto"/>
        <w:ind w:left="0" w:firstLine="709"/>
        <w:contextualSpacing/>
        <w:jc w:val="both"/>
        <w:outlineLvl w:val="2"/>
        <w:rPr>
          <w:rFonts w:ascii="Times New Roman" w:eastAsia="Times New Roman" w:hAnsi="Times New Roman" w:cs="Times New Roman"/>
          <w:b/>
          <w:bCs/>
          <w:sz w:val="28"/>
          <w:szCs w:val="28"/>
          <w:lang w:eastAsia="ru-RU"/>
        </w:rPr>
      </w:pPr>
      <w:r w:rsidRPr="00780172">
        <w:rPr>
          <w:rFonts w:ascii="Times New Roman" w:eastAsia="Times New Roman" w:hAnsi="Times New Roman" w:cs="Times New Roman"/>
          <w:bCs/>
          <w:sz w:val="28"/>
          <w:szCs w:val="28"/>
          <w:lang w:eastAsia="ru-RU"/>
        </w:rPr>
        <w:t>Социально-экономические условия постсоветского периода не создали необходимого ресурса досуга и стабильности, без которых гражданская активность не может стать массовой практикой.</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Экономический кризис 1990-х годов, низкий уровень доходов и необходимость множественной занятости вытеснили гражданскую активность за пределы жизненных приоритетов. В отличие от западной традиции, где гражданская деятельность концептуально отделена от труда, в Казахстане она не получила культурной легитимации как значимая и ценная форма социальной практики. Это структурно воспроизвело модель «гражданства без участия».</w:t>
      </w:r>
    </w:p>
    <w:p w:rsidR="00780172" w:rsidRPr="00780172" w:rsidRDefault="00780172" w:rsidP="008465D6">
      <w:pPr>
        <w:numPr>
          <w:ilvl w:val="0"/>
          <w:numId w:val="23"/>
        </w:numPr>
        <w:spacing w:after="0" w:line="240" w:lineRule="auto"/>
        <w:ind w:left="0" w:firstLine="709"/>
        <w:contextualSpacing/>
        <w:jc w:val="both"/>
        <w:outlineLvl w:val="2"/>
        <w:rPr>
          <w:rFonts w:ascii="Times New Roman" w:eastAsia="Times New Roman" w:hAnsi="Times New Roman" w:cs="Times New Roman"/>
          <w:b/>
          <w:bCs/>
          <w:sz w:val="28"/>
          <w:szCs w:val="28"/>
          <w:lang w:eastAsia="ru-RU"/>
        </w:rPr>
      </w:pPr>
      <w:r w:rsidRPr="00780172">
        <w:rPr>
          <w:rFonts w:ascii="Times New Roman" w:eastAsia="Times New Roman" w:hAnsi="Times New Roman" w:cs="Times New Roman"/>
          <w:bCs/>
          <w:sz w:val="28"/>
          <w:szCs w:val="28"/>
          <w:lang w:eastAsia="ru-RU"/>
        </w:rPr>
        <w:t xml:space="preserve">Аксиологический профиль казахстанского общества указывает на преобладание ценностей выживания над ценностями самовыражения, что объективно сдерживает развитие активного </w:t>
      </w:r>
      <w:r w:rsidRPr="00780172">
        <w:rPr>
          <w:rFonts w:ascii="Times New Roman" w:eastAsia="Times New Roman" w:hAnsi="Times New Roman" w:cs="Times New Roman"/>
          <w:sz w:val="28"/>
          <w:szCs w:val="28"/>
          <w:lang w:eastAsia="ru-RU"/>
        </w:rPr>
        <w:t>гражданского общества</w:t>
      </w:r>
      <w:r w:rsidRPr="00780172">
        <w:rPr>
          <w:rFonts w:ascii="Times New Roman" w:eastAsia="Times New Roman" w:hAnsi="Times New Roman" w:cs="Times New Roman"/>
          <w:bCs/>
          <w:sz w:val="28"/>
          <w:szCs w:val="28"/>
          <w:lang w:eastAsia="ru-RU"/>
        </w:rPr>
        <w:t>.</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Данные </w:t>
      </w:r>
      <w:r w:rsidRPr="00780172">
        <w:rPr>
          <w:rFonts w:ascii="Times New Roman" w:eastAsia="Calibri" w:hAnsi="Times New Roman" w:cs="Times New Roman"/>
          <w:sz w:val="28"/>
          <w:lang w:val="en-US"/>
        </w:rPr>
        <w:t>R</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Inglehart</w:t>
      </w:r>
      <w:r w:rsidRPr="00780172">
        <w:rPr>
          <w:rFonts w:ascii="Times New Roman" w:eastAsia="Calibri" w:hAnsi="Times New Roman" w:cs="Times New Roman"/>
          <w:sz w:val="28"/>
          <w:szCs w:val="28"/>
        </w:rPr>
        <w:t xml:space="preserve"> </w:t>
      </w:r>
      <w:r w:rsidRPr="00780172">
        <w:rPr>
          <w:rFonts w:ascii="Times New Roman" w:eastAsia="Calibri" w:hAnsi="Times New Roman" w:cs="Times New Roman"/>
          <w:sz w:val="28"/>
        </w:rPr>
        <w:t xml:space="preserve">и </w:t>
      </w:r>
      <w:r w:rsidRPr="00780172">
        <w:rPr>
          <w:rFonts w:ascii="Times New Roman" w:eastAsia="Calibri" w:hAnsi="Times New Roman" w:cs="Times New Roman"/>
          <w:sz w:val="28"/>
          <w:lang w:val="en-US"/>
        </w:rPr>
        <w:t>C</w:t>
      </w:r>
      <w:r w:rsidRPr="00780172">
        <w:rPr>
          <w:rFonts w:ascii="Times New Roman" w:eastAsia="Calibri" w:hAnsi="Times New Roman" w:cs="Times New Roman"/>
          <w:sz w:val="28"/>
        </w:rPr>
        <w:t xml:space="preserve">. </w:t>
      </w:r>
      <w:r w:rsidRPr="00780172">
        <w:rPr>
          <w:rFonts w:ascii="Times New Roman" w:eastAsia="Calibri" w:hAnsi="Times New Roman" w:cs="Times New Roman"/>
          <w:sz w:val="28"/>
          <w:szCs w:val="28"/>
          <w:lang w:val="en-US"/>
        </w:rPr>
        <w:t>Welzel</w:t>
      </w:r>
      <w:r w:rsidRPr="00780172">
        <w:rPr>
          <w:rFonts w:ascii="Times New Roman" w:eastAsia="Times New Roman" w:hAnsi="Times New Roman" w:cs="Times New Roman"/>
          <w:sz w:val="28"/>
          <w:szCs w:val="28"/>
          <w:lang w:eastAsia="ru-RU"/>
        </w:rPr>
        <w:t xml:space="preserve"> демонстрируют, что, несмотря на медленный сдвиг к секулярно-рациональным ориентациям, ценности самовыражения остаются слабо выраженными. Политика и общественная активность не воспринимаются как значимая сфера самореализации. Это означает, что институциональные реформы в сфере гражданского общества без параллельной трансформации ценностных установок будут иметь ограниченный эффект.</w:t>
      </w:r>
    </w:p>
    <w:p w:rsidR="00780172" w:rsidRPr="00780172" w:rsidRDefault="00780172" w:rsidP="008465D6">
      <w:pPr>
        <w:numPr>
          <w:ilvl w:val="0"/>
          <w:numId w:val="23"/>
        </w:numPr>
        <w:spacing w:after="0" w:line="240" w:lineRule="auto"/>
        <w:ind w:left="0" w:firstLine="709"/>
        <w:contextualSpacing/>
        <w:jc w:val="both"/>
        <w:outlineLvl w:val="2"/>
        <w:rPr>
          <w:rFonts w:ascii="Times New Roman" w:eastAsia="Times New Roman" w:hAnsi="Times New Roman" w:cs="Times New Roman"/>
          <w:sz w:val="28"/>
          <w:szCs w:val="28"/>
          <w:lang w:eastAsia="ru-RU"/>
        </w:rPr>
      </w:pPr>
      <w:r w:rsidRPr="00780172">
        <w:rPr>
          <w:rFonts w:ascii="Times New Roman" w:eastAsia="Times New Roman" w:hAnsi="Times New Roman" w:cs="Times New Roman"/>
          <w:bCs/>
          <w:sz w:val="28"/>
          <w:szCs w:val="28"/>
          <w:lang w:eastAsia="ru-RU"/>
        </w:rPr>
        <w:lastRenderedPageBreak/>
        <w:t xml:space="preserve">Политико-институциональная конфигурация Казахстана структурно благоприятствует развитию «управляемого» </w:t>
      </w:r>
      <w:r w:rsidRPr="00780172">
        <w:rPr>
          <w:rFonts w:ascii="Times New Roman" w:eastAsia="Times New Roman" w:hAnsi="Times New Roman" w:cs="Times New Roman"/>
          <w:sz w:val="28"/>
          <w:szCs w:val="28"/>
          <w:lang w:eastAsia="ru-RU"/>
        </w:rPr>
        <w:t>гражданского общества</w:t>
      </w:r>
      <w:r w:rsidRPr="00780172">
        <w:rPr>
          <w:rFonts w:ascii="Times New Roman" w:eastAsia="Times New Roman" w:hAnsi="Times New Roman" w:cs="Times New Roman"/>
          <w:bCs/>
          <w:sz w:val="28"/>
          <w:szCs w:val="28"/>
          <w:lang w:eastAsia="ru-RU"/>
        </w:rPr>
        <w:t>, а не автономного grassroots-сектора.</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Унитарное государственное устройство, президентская форма правления и высокая концентрация власти ограничивают число точек доступа институтов гражданского общества к процессу принятия решений. В этих условиях наиболее жизнеспособными оказываются </w:t>
      </w:r>
      <w:r w:rsidRPr="00780172">
        <w:rPr>
          <w:rFonts w:ascii="Times New Roman" w:eastAsia="Times New Roman" w:hAnsi="Times New Roman" w:cs="Times New Roman"/>
          <w:sz w:val="28"/>
          <w:szCs w:val="28"/>
          <w:lang w:val="en-US" w:eastAsia="ru-RU"/>
        </w:rPr>
        <w:t>GONGO</w:t>
      </w:r>
      <w:r w:rsidRPr="00780172">
        <w:rPr>
          <w:rFonts w:ascii="Times New Roman" w:eastAsia="Times New Roman" w:hAnsi="Times New Roman" w:cs="Times New Roman"/>
          <w:sz w:val="28"/>
          <w:szCs w:val="28"/>
          <w:lang w:eastAsia="ru-RU"/>
        </w:rPr>
        <w:t>, созданные или поддержанные «сверху». Это подтверждает применимость элитистской модели демократизации к казахстанскому контексту и объясняет, почему ассоциации, возникающие «снизу», остаются фрагментарными и малоресурсными.</w:t>
      </w:r>
    </w:p>
    <w:p w:rsidR="00780172" w:rsidRPr="00780172" w:rsidRDefault="00780172" w:rsidP="008465D6">
      <w:pPr>
        <w:numPr>
          <w:ilvl w:val="0"/>
          <w:numId w:val="23"/>
        </w:numPr>
        <w:spacing w:after="0" w:line="240" w:lineRule="auto"/>
        <w:ind w:left="0" w:firstLine="709"/>
        <w:contextualSpacing/>
        <w:jc w:val="both"/>
        <w:outlineLvl w:val="2"/>
        <w:rPr>
          <w:rFonts w:ascii="Times New Roman" w:eastAsia="Times New Roman" w:hAnsi="Times New Roman" w:cs="Times New Roman"/>
          <w:sz w:val="28"/>
          <w:szCs w:val="28"/>
          <w:lang w:eastAsia="ru-RU"/>
        </w:rPr>
      </w:pPr>
      <w:r w:rsidRPr="00780172">
        <w:rPr>
          <w:rFonts w:ascii="Times New Roman" w:eastAsia="Times New Roman" w:hAnsi="Times New Roman" w:cs="Times New Roman"/>
          <w:bCs/>
          <w:sz w:val="28"/>
          <w:szCs w:val="28"/>
          <w:lang w:eastAsia="ru-RU"/>
        </w:rPr>
        <w:t>Нормативно-правовая база Казахстана формально соответствует демократическим стандартам, однако фактически институционализирует барьеры для спонтанного и локального гражданского участия.</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Запрет на деятельность незарегистрированных объединений, территориальная фрагментация статусов общественных объединений, финансовые и налоговые ограничения препятствуют развитию гибких, низовых и ad hoc форм самоорганизации. Это приводит к институциональному смещению в пользу крупных, формализованных и часто аффилированных с государством структур, что снижает разнообразие и инновационный потенциал гражданского общества.</w:t>
      </w:r>
    </w:p>
    <w:p w:rsidR="00780172" w:rsidRPr="00780172" w:rsidRDefault="00780172" w:rsidP="00780172">
      <w:pPr>
        <w:spacing w:after="0" w:line="240" w:lineRule="auto"/>
        <w:ind w:firstLine="709"/>
        <w:jc w:val="both"/>
        <w:rPr>
          <w:rFonts w:ascii="Times New Roman" w:eastAsia="Calibri" w:hAnsi="Times New Roman" w:cs="Times New Roman"/>
          <w:sz w:val="28"/>
          <w:szCs w:val="28"/>
        </w:rPr>
      </w:pPr>
      <w:r w:rsidRPr="00780172">
        <w:rPr>
          <w:rFonts w:ascii="Times New Roman" w:eastAsia="Calibri" w:hAnsi="Times New Roman" w:cs="Times New Roman"/>
          <w:i/>
          <w:sz w:val="28"/>
          <w:szCs w:val="28"/>
        </w:rPr>
        <w:t>Общие выводы по главе 1</w:t>
      </w:r>
      <w:r w:rsidRPr="00780172">
        <w:rPr>
          <w:rFonts w:ascii="Times New Roman" w:eastAsia="Calibri" w:hAnsi="Times New Roman" w:cs="Times New Roman"/>
          <w:sz w:val="28"/>
          <w:szCs w:val="28"/>
        </w:rPr>
        <w:t>:</w:t>
      </w:r>
    </w:p>
    <w:p w:rsidR="00780172" w:rsidRPr="00780172" w:rsidRDefault="00780172" w:rsidP="008465D6">
      <w:pPr>
        <w:numPr>
          <w:ilvl w:val="0"/>
          <w:numId w:val="24"/>
        </w:numPr>
        <w:spacing w:after="0" w:line="240" w:lineRule="auto"/>
        <w:ind w:left="0" w:firstLine="709"/>
        <w:contextualSpacing/>
        <w:jc w:val="both"/>
        <w:outlineLvl w:val="2"/>
        <w:rPr>
          <w:rFonts w:ascii="Times New Roman" w:eastAsia="Times New Roman" w:hAnsi="Times New Roman" w:cs="Times New Roman"/>
          <w:b/>
          <w:bCs/>
          <w:sz w:val="28"/>
          <w:szCs w:val="28"/>
          <w:lang w:eastAsia="ru-RU"/>
        </w:rPr>
      </w:pPr>
      <w:r w:rsidRPr="00780172">
        <w:rPr>
          <w:rFonts w:ascii="Times New Roman" w:eastAsia="Times New Roman" w:hAnsi="Times New Roman" w:cs="Times New Roman"/>
          <w:bCs/>
          <w:sz w:val="28"/>
          <w:szCs w:val="28"/>
          <w:lang w:eastAsia="ru-RU"/>
        </w:rPr>
        <w:t>Понятие «гражданское общество» в диссертационном исследовании обоснованно трактуется как динамическая, исторически и культурно обусловленная система, а не как универсальная нормативная модель.</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Проведённый анализ классических, неоклассических и современных подходов (от </w:t>
      </w:r>
      <w:r w:rsidRPr="00780172">
        <w:rPr>
          <w:rFonts w:ascii="Times New Roman" w:eastAsia="Times New Roman" w:hAnsi="Times New Roman" w:cs="Times New Roman"/>
          <w:iCs/>
          <w:sz w:val="28"/>
          <w:lang w:val="de-DE" w:eastAsia="ru-RU"/>
        </w:rPr>
        <w:t>G. Hegel</w:t>
      </w:r>
      <w:r w:rsidRPr="00780172">
        <w:rPr>
          <w:rFonts w:ascii="Times New Roman" w:eastAsia="Times New Roman" w:hAnsi="Times New Roman" w:cs="Times New Roman"/>
          <w:sz w:val="28"/>
          <w:lang w:eastAsia="ru-RU"/>
        </w:rPr>
        <w:t xml:space="preserve"> до A. de Tocqueville</w:t>
      </w:r>
      <w:r w:rsidRPr="00780172">
        <w:rPr>
          <w:rFonts w:ascii="Times New Roman" w:eastAsia="Times New Roman" w:hAnsi="Times New Roman" w:cs="Times New Roman"/>
          <w:sz w:val="28"/>
          <w:szCs w:val="28"/>
          <w:lang w:eastAsia="ru-RU"/>
        </w:rPr>
        <w:t xml:space="preserve">, </w:t>
      </w:r>
      <w:r w:rsidRPr="00780172">
        <w:rPr>
          <w:rFonts w:ascii="Times New Roman" w:eastAsia="Times New Roman" w:hAnsi="Times New Roman" w:cs="Times New Roman"/>
          <w:sz w:val="28"/>
          <w:lang w:val="en-US" w:eastAsia="ru-RU"/>
        </w:rPr>
        <w:t>R</w:t>
      </w:r>
      <w:r w:rsidRPr="00780172">
        <w:rPr>
          <w:rFonts w:ascii="Times New Roman" w:eastAsia="Times New Roman" w:hAnsi="Times New Roman" w:cs="Times New Roman"/>
          <w:sz w:val="28"/>
          <w:lang w:eastAsia="ru-RU"/>
        </w:rPr>
        <w:t xml:space="preserve">. </w:t>
      </w:r>
      <w:r w:rsidRPr="00780172">
        <w:rPr>
          <w:rFonts w:ascii="Times New Roman" w:eastAsia="Times New Roman" w:hAnsi="Times New Roman" w:cs="Times New Roman"/>
          <w:sz w:val="28"/>
          <w:lang w:val="en-US" w:eastAsia="ru-RU"/>
        </w:rPr>
        <w:t>Putnam</w:t>
      </w:r>
      <w:r w:rsidRPr="00780172">
        <w:rPr>
          <w:rFonts w:ascii="Times New Roman" w:eastAsia="Times New Roman" w:hAnsi="Times New Roman" w:cs="Times New Roman"/>
          <w:sz w:val="28"/>
          <w:lang w:eastAsia="ru-RU"/>
        </w:rPr>
        <w:t xml:space="preserve"> и </w:t>
      </w:r>
      <w:r w:rsidRPr="00780172">
        <w:rPr>
          <w:rFonts w:ascii="Times New Roman" w:eastAsia="Times New Roman" w:hAnsi="Times New Roman" w:cs="Times New Roman"/>
          <w:iCs/>
          <w:sz w:val="28"/>
          <w:lang w:val="de-DE" w:eastAsia="ru-RU"/>
        </w:rPr>
        <w:t>J. Habermas</w:t>
      </w:r>
      <w:r w:rsidRPr="00780172">
        <w:rPr>
          <w:rFonts w:ascii="Times New Roman" w:eastAsia="Times New Roman" w:hAnsi="Times New Roman" w:cs="Times New Roman"/>
          <w:sz w:val="28"/>
          <w:szCs w:val="28"/>
          <w:lang w:eastAsia="ru-RU"/>
        </w:rPr>
        <w:t>) демонстрирует, что гражданское общество не может быть адекватно описано в статических или универсалистских терминах. Его содержание, функции и формы институционализации зависят от исторического контекста, политического режима и социокультурных характеристик общества. Это методологически оправдывает отказ от прямого заимствования западных моделей при анализе гражданского общества в Казахстане и задаёт рамку контекстуального, а не нормативного анализа.</w:t>
      </w:r>
    </w:p>
    <w:p w:rsidR="00780172" w:rsidRPr="00780172" w:rsidRDefault="00780172" w:rsidP="008465D6">
      <w:pPr>
        <w:numPr>
          <w:ilvl w:val="0"/>
          <w:numId w:val="24"/>
        </w:numPr>
        <w:spacing w:after="0" w:line="240" w:lineRule="auto"/>
        <w:ind w:left="0" w:firstLine="709"/>
        <w:contextualSpacing/>
        <w:jc w:val="both"/>
        <w:outlineLvl w:val="2"/>
        <w:rPr>
          <w:rFonts w:ascii="Times New Roman" w:eastAsia="Times New Roman" w:hAnsi="Times New Roman" w:cs="Times New Roman"/>
          <w:b/>
          <w:bCs/>
          <w:sz w:val="28"/>
          <w:szCs w:val="28"/>
          <w:lang w:eastAsia="ru-RU"/>
        </w:rPr>
      </w:pPr>
      <w:r w:rsidRPr="00780172">
        <w:rPr>
          <w:rFonts w:ascii="Times New Roman" w:eastAsia="Times New Roman" w:hAnsi="Times New Roman" w:cs="Times New Roman"/>
          <w:bCs/>
          <w:sz w:val="28"/>
          <w:szCs w:val="28"/>
          <w:lang w:eastAsia="ru-RU"/>
        </w:rPr>
        <w:t>Институты гражданского общества выступают не только институциональной базой, но и механизмом производства социальной идентичности и доверия, без которых невозможно устойчивое гражданское участие.</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Глава 1 диссертационного исследования убедительно показывает, что значение общественных организаций заключается не столько в их формальной структуре, сколько в способности конструировать коллективную идентичность, формировать нормы солидарности и воспроизводить социальный капитал. В этом смысле слабость </w:t>
      </w:r>
      <w:r w:rsidRPr="00780172">
        <w:rPr>
          <w:rFonts w:ascii="Times New Roman" w:eastAsia="Times New Roman" w:hAnsi="Times New Roman" w:cs="Times New Roman"/>
          <w:bCs/>
          <w:sz w:val="28"/>
          <w:szCs w:val="28"/>
          <w:lang w:eastAsia="ru-RU"/>
        </w:rPr>
        <w:t xml:space="preserve">гражданского общества </w:t>
      </w:r>
      <w:r w:rsidRPr="00780172">
        <w:rPr>
          <w:rFonts w:ascii="Times New Roman" w:eastAsia="Times New Roman" w:hAnsi="Times New Roman" w:cs="Times New Roman"/>
          <w:sz w:val="28"/>
          <w:szCs w:val="28"/>
          <w:lang w:eastAsia="ru-RU"/>
        </w:rPr>
        <w:t>в Казахстане обусловлена не количеством организаций, а ограниченной глубиной вовлечённости и низким уровнем институционального доверия, что подтверждает применимость теории социального капитала к анализу постсоветского казахстанского контекста.</w:t>
      </w:r>
    </w:p>
    <w:p w:rsidR="00780172" w:rsidRPr="00780172" w:rsidRDefault="00780172" w:rsidP="008465D6">
      <w:pPr>
        <w:numPr>
          <w:ilvl w:val="0"/>
          <w:numId w:val="24"/>
        </w:numPr>
        <w:spacing w:after="0" w:line="240" w:lineRule="auto"/>
        <w:ind w:left="0" w:firstLine="709"/>
        <w:contextualSpacing/>
        <w:jc w:val="both"/>
        <w:outlineLvl w:val="2"/>
        <w:rPr>
          <w:rFonts w:ascii="Times New Roman" w:eastAsia="Times New Roman" w:hAnsi="Times New Roman" w:cs="Times New Roman"/>
          <w:bCs/>
          <w:sz w:val="28"/>
          <w:szCs w:val="28"/>
          <w:lang w:eastAsia="ru-RU"/>
        </w:rPr>
      </w:pPr>
      <w:r w:rsidRPr="00780172">
        <w:rPr>
          <w:rFonts w:ascii="Times New Roman" w:eastAsia="Times New Roman" w:hAnsi="Times New Roman" w:cs="Times New Roman"/>
          <w:bCs/>
          <w:sz w:val="28"/>
          <w:szCs w:val="28"/>
          <w:lang w:eastAsia="ru-RU"/>
        </w:rPr>
        <w:lastRenderedPageBreak/>
        <w:t xml:space="preserve">До Январских событий 2022 года государство рассматривало институты гражданского общества преимущественно как формально необходимый элемент демократического государства, фактически ограничивая их свободу и зону ответственности. Существовала модель государственного контроля за их деятельностью, но не общественного контроля, осуществляемого НПО за работой государства. В силу эксклюзивности политической системы современного Казахстана, авторитарного характера политического режима, элитистского подхода к демократизации, институты гражданского общества не рассматривались как самостоятельный элемент политической системы, призванный выступать посредником между властью и обществом, осуществляющий общественный контроль. После 2022 года в отношении государства к гражданскому обществу наметились изменения. Государство законодательно пытается стимулировать институты гражданского общества через упрощение бюрократических процедур, снижение финансовой нагрузки. В новой Конституции 2026 года НПО признаны субъектом политики, а не её объектом. Наряду с этим, государство пытается патронировать активизацию гражданского участия через </w:t>
      </w:r>
      <w:r w:rsidRPr="00780172">
        <w:rPr>
          <w:rFonts w:ascii="Times New Roman" w:eastAsia="Times New Roman" w:hAnsi="Times New Roman" w:cs="Times New Roman"/>
          <w:bCs/>
          <w:sz w:val="28"/>
          <w:szCs w:val="28"/>
          <w:lang w:val="en-US" w:eastAsia="ru-RU"/>
        </w:rPr>
        <w:t>GONGO</w:t>
      </w:r>
      <w:r w:rsidRPr="00780172">
        <w:rPr>
          <w:rFonts w:ascii="Times New Roman" w:eastAsia="Times New Roman" w:hAnsi="Times New Roman" w:cs="Times New Roman"/>
          <w:bCs/>
          <w:sz w:val="28"/>
          <w:szCs w:val="28"/>
          <w:lang w:eastAsia="ru-RU"/>
        </w:rPr>
        <w:t>. Однако, результаты оригинальных социологических опросов и множественного корреляционно-регрессионного анализа, приведённые в Главе 3, показывают невысокий уровень успеха на данном направлении.</w:t>
      </w:r>
    </w:p>
    <w:p w:rsidR="00780172" w:rsidRPr="00780172" w:rsidRDefault="00780172" w:rsidP="008465D6">
      <w:pPr>
        <w:numPr>
          <w:ilvl w:val="0"/>
          <w:numId w:val="24"/>
        </w:numPr>
        <w:spacing w:after="0" w:line="240" w:lineRule="auto"/>
        <w:ind w:left="0" w:firstLine="709"/>
        <w:contextualSpacing/>
        <w:jc w:val="both"/>
        <w:outlineLvl w:val="2"/>
        <w:rPr>
          <w:rFonts w:ascii="Times New Roman" w:eastAsia="Times New Roman" w:hAnsi="Times New Roman" w:cs="Times New Roman"/>
          <w:b/>
          <w:bCs/>
          <w:sz w:val="28"/>
          <w:szCs w:val="28"/>
          <w:lang w:eastAsia="ru-RU"/>
        </w:rPr>
      </w:pPr>
      <w:r w:rsidRPr="00780172">
        <w:rPr>
          <w:rFonts w:ascii="Times New Roman" w:eastAsia="Times New Roman" w:hAnsi="Times New Roman" w:cs="Times New Roman"/>
          <w:bCs/>
          <w:sz w:val="28"/>
          <w:szCs w:val="28"/>
          <w:lang w:eastAsia="ru-RU"/>
        </w:rPr>
        <w:t>Типология институтов гражданского общества (общественных организаций) выявляет структурный дисбаланс между формализованными, институционально встроенными и низовыми, спонтанными формами самоорганизации.</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В Главе 1 диссертации показано, что наибольшую устойчивость в казахстанских условиях демонстрируют формально зарегистрированные, ресурсно обеспеченные и часто аффилированные с государством общественные организации (</w:t>
      </w:r>
      <w:r w:rsidRPr="00780172">
        <w:rPr>
          <w:rFonts w:ascii="Times New Roman" w:eastAsia="Times New Roman" w:hAnsi="Times New Roman" w:cs="Times New Roman"/>
          <w:sz w:val="28"/>
          <w:szCs w:val="28"/>
          <w:lang w:val="en-US" w:eastAsia="ru-RU"/>
        </w:rPr>
        <w:t>GONGO</w:t>
      </w:r>
      <w:r w:rsidRPr="00780172">
        <w:rPr>
          <w:rFonts w:ascii="Times New Roman" w:eastAsia="Times New Roman" w:hAnsi="Times New Roman" w:cs="Times New Roman"/>
          <w:sz w:val="28"/>
          <w:szCs w:val="28"/>
          <w:lang w:eastAsia="ru-RU"/>
        </w:rPr>
        <w:t xml:space="preserve">). Напротив, низовые добровольные инициативы и неформальные объединения остаются фрагментарными и уязвимыми. Это указывает на институционально закреплённую асимметрию в развитии </w:t>
      </w:r>
      <w:r w:rsidRPr="00780172">
        <w:rPr>
          <w:rFonts w:ascii="Times New Roman" w:eastAsia="Times New Roman" w:hAnsi="Times New Roman" w:cs="Times New Roman"/>
          <w:bCs/>
          <w:sz w:val="28"/>
          <w:szCs w:val="28"/>
          <w:lang w:eastAsia="ru-RU"/>
        </w:rPr>
        <w:t xml:space="preserve">гражданского общества </w:t>
      </w:r>
      <w:r w:rsidRPr="00780172">
        <w:rPr>
          <w:rFonts w:ascii="Times New Roman" w:eastAsia="Times New Roman" w:hAnsi="Times New Roman" w:cs="Times New Roman"/>
          <w:sz w:val="28"/>
          <w:szCs w:val="28"/>
          <w:lang w:eastAsia="ru-RU"/>
        </w:rPr>
        <w:t>и объясняет ограниченность его критического и представительного потенциала.</w:t>
      </w:r>
    </w:p>
    <w:p w:rsidR="00780172" w:rsidRPr="00780172" w:rsidRDefault="00780172" w:rsidP="008465D6">
      <w:pPr>
        <w:numPr>
          <w:ilvl w:val="0"/>
          <w:numId w:val="24"/>
        </w:numPr>
        <w:spacing w:after="0" w:line="240" w:lineRule="auto"/>
        <w:ind w:left="0" w:firstLine="709"/>
        <w:contextualSpacing/>
        <w:jc w:val="both"/>
        <w:outlineLvl w:val="2"/>
        <w:rPr>
          <w:rFonts w:ascii="Times New Roman" w:eastAsia="Times New Roman" w:hAnsi="Times New Roman" w:cs="Times New Roman"/>
          <w:bCs/>
          <w:sz w:val="28"/>
          <w:szCs w:val="28"/>
          <w:lang w:eastAsia="ru-RU"/>
        </w:rPr>
      </w:pPr>
      <w:r w:rsidRPr="00780172">
        <w:rPr>
          <w:rFonts w:ascii="Times New Roman" w:eastAsia="Times New Roman" w:hAnsi="Times New Roman" w:cs="Times New Roman"/>
          <w:bCs/>
          <w:sz w:val="28"/>
          <w:szCs w:val="28"/>
          <w:lang w:eastAsia="ru-RU"/>
        </w:rPr>
        <w:t>Теоретико-методологический анализ подтверждает, что ключевым ограничителем развития гражданского общества в Казахстане является не отсутствие правовых норм, а специфика институциональной и ценностной среды.</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Формально нормативно-правовая база соответствует базовым демократическим стандартам, однако институциональная практика, административные барьеры и доминирование патерналистских установок существенно сужают пространство автономного гражданского действия. Это позволяет сделать вывод о расхождении между </w:t>
      </w:r>
      <w:r w:rsidRPr="00780172">
        <w:rPr>
          <w:rFonts w:ascii="Times New Roman" w:eastAsia="Times New Roman" w:hAnsi="Times New Roman" w:cs="Times New Roman"/>
          <w:bCs/>
          <w:sz w:val="28"/>
          <w:szCs w:val="28"/>
          <w:lang w:eastAsia="ru-RU"/>
        </w:rPr>
        <w:t>декларируемой институциональной моделью</w:t>
      </w:r>
      <w:r w:rsidRPr="00780172">
        <w:rPr>
          <w:rFonts w:ascii="Times New Roman" w:eastAsia="Times New Roman" w:hAnsi="Times New Roman" w:cs="Times New Roman"/>
          <w:sz w:val="28"/>
          <w:szCs w:val="28"/>
          <w:lang w:eastAsia="ru-RU"/>
        </w:rPr>
        <w:t xml:space="preserve"> и </w:t>
      </w:r>
      <w:r w:rsidRPr="00780172">
        <w:rPr>
          <w:rFonts w:ascii="Times New Roman" w:eastAsia="Times New Roman" w:hAnsi="Times New Roman" w:cs="Times New Roman"/>
          <w:bCs/>
          <w:sz w:val="28"/>
          <w:szCs w:val="28"/>
          <w:lang w:eastAsia="ru-RU"/>
        </w:rPr>
        <w:t>реально функционирующими механизмами гражданского участия</w:t>
      </w:r>
      <w:r w:rsidRPr="00780172">
        <w:rPr>
          <w:rFonts w:ascii="Times New Roman" w:eastAsia="Times New Roman" w:hAnsi="Times New Roman" w:cs="Times New Roman"/>
          <w:sz w:val="28"/>
          <w:szCs w:val="28"/>
          <w:lang w:eastAsia="ru-RU"/>
        </w:rPr>
        <w:t>.</w:t>
      </w:r>
    </w:p>
    <w:p w:rsidR="00780172" w:rsidRPr="00780172" w:rsidRDefault="00780172" w:rsidP="008465D6">
      <w:pPr>
        <w:numPr>
          <w:ilvl w:val="0"/>
          <w:numId w:val="24"/>
        </w:numPr>
        <w:spacing w:after="0" w:line="240" w:lineRule="auto"/>
        <w:ind w:left="0" w:firstLine="709"/>
        <w:contextualSpacing/>
        <w:jc w:val="both"/>
        <w:outlineLvl w:val="2"/>
        <w:rPr>
          <w:rFonts w:ascii="Times New Roman" w:eastAsia="Times New Roman" w:hAnsi="Times New Roman" w:cs="Times New Roman"/>
          <w:b/>
          <w:bCs/>
          <w:sz w:val="28"/>
          <w:szCs w:val="28"/>
          <w:lang w:eastAsia="ru-RU"/>
        </w:rPr>
      </w:pPr>
      <w:r w:rsidRPr="00780172">
        <w:rPr>
          <w:rFonts w:ascii="Times New Roman" w:eastAsia="Times New Roman" w:hAnsi="Times New Roman" w:cs="Times New Roman"/>
          <w:bCs/>
          <w:sz w:val="28"/>
          <w:szCs w:val="28"/>
          <w:lang w:eastAsia="ru-RU"/>
        </w:rPr>
        <w:t xml:space="preserve">Постсоветская специфика гражданского общества бывшей социалистической страны, какой является современный Казахстан, выражается в сочетании формальной институционализации и низкого уровня субъектности, </w:t>
      </w:r>
      <w:r w:rsidRPr="00780172">
        <w:rPr>
          <w:rFonts w:ascii="Times New Roman" w:eastAsia="Times New Roman" w:hAnsi="Times New Roman" w:cs="Times New Roman"/>
          <w:bCs/>
          <w:sz w:val="28"/>
          <w:szCs w:val="28"/>
          <w:lang w:eastAsia="ru-RU"/>
        </w:rPr>
        <w:lastRenderedPageBreak/>
        <w:t>что воспроизводит модель «ограниченного участия».</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Анализ советского и постсоветского опыта показывает, что историческая травма принудительной коллективности трансформировалась в устойчивое недоверие к публичной активности. В результате </w:t>
      </w:r>
      <w:r w:rsidRPr="00780172">
        <w:rPr>
          <w:rFonts w:ascii="Times New Roman" w:eastAsia="Times New Roman" w:hAnsi="Times New Roman" w:cs="Times New Roman"/>
          <w:bCs/>
          <w:sz w:val="28"/>
          <w:szCs w:val="28"/>
          <w:lang w:eastAsia="ru-RU"/>
        </w:rPr>
        <w:t xml:space="preserve">гражданское общество </w:t>
      </w:r>
      <w:r w:rsidRPr="00780172">
        <w:rPr>
          <w:rFonts w:ascii="Times New Roman" w:eastAsia="Times New Roman" w:hAnsi="Times New Roman" w:cs="Times New Roman"/>
          <w:sz w:val="28"/>
          <w:szCs w:val="28"/>
          <w:lang w:eastAsia="ru-RU"/>
        </w:rPr>
        <w:t xml:space="preserve">функционирует преимущественно в адаптивном, а не трансформационном режиме, ориентируясь на выживание и лояльность, а не на артикуляцию интересов и общественный контроль. Молодёжь современного Казахстана сохранила тенденцию к модели «ограниченного участия», несмотря на отсутствие прямого воздействия на неё коммунистической идеологии и социалистической политической системы. Это говорит о политической пассивности, инертности и негибкости как молодёжи, так и </w:t>
      </w:r>
      <w:proofErr w:type="gramStart"/>
      <w:r w:rsidRPr="00780172">
        <w:rPr>
          <w:rFonts w:ascii="Times New Roman" w:eastAsia="Times New Roman" w:hAnsi="Times New Roman" w:cs="Times New Roman"/>
          <w:sz w:val="28"/>
          <w:szCs w:val="28"/>
          <w:lang w:eastAsia="ru-RU"/>
        </w:rPr>
        <w:t>государства</w:t>
      </w:r>
      <w:proofErr w:type="gramEnd"/>
      <w:r w:rsidRPr="00780172">
        <w:rPr>
          <w:rFonts w:ascii="Times New Roman" w:eastAsia="Times New Roman" w:hAnsi="Times New Roman" w:cs="Times New Roman"/>
          <w:sz w:val="28"/>
          <w:szCs w:val="28"/>
          <w:lang w:eastAsia="ru-RU"/>
        </w:rPr>
        <w:t xml:space="preserve"> и гражданского общества, поскольку они оказываются неспособны преодолеть инерционность и трансформировать «отказ от участия» в эффективное гражданское вовлечение.</w:t>
      </w:r>
    </w:p>
    <w:p w:rsidR="00780172" w:rsidRPr="00780172" w:rsidRDefault="00780172" w:rsidP="008465D6">
      <w:pPr>
        <w:numPr>
          <w:ilvl w:val="0"/>
          <w:numId w:val="24"/>
        </w:numPr>
        <w:spacing w:after="0" w:line="240" w:lineRule="auto"/>
        <w:ind w:left="0" w:firstLine="709"/>
        <w:contextualSpacing/>
        <w:jc w:val="both"/>
        <w:outlineLvl w:val="2"/>
        <w:rPr>
          <w:rFonts w:ascii="Times New Roman" w:eastAsia="Times New Roman" w:hAnsi="Times New Roman" w:cs="Times New Roman"/>
          <w:sz w:val="28"/>
          <w:szCs w:val="28"/>
          <w:lang w:eastAsia="ru-RU"/>
        </w:rPr>
      </w:pPr>
      <w:r w:rsidRPr="00780172">
        <w:rPr>
          <w:rFonts w:ascii="Times New Roman" w:eastAsia="Times New Roman" w:hAnsi="Times New Roman" w:cs="Times New Roman"/>
          <w:bCs/>
          <w:sz w:val="28"/>
          <w:szCs w:val="28"/>
          <w:lang w:eastAsia="ru-RU"/>
        </w:rPr>
        <w:t>Выбор теоретико-методологического подхода в Главе 1 обоснован и продуктивен для дальнейшего эмпирического анализа.</w:t>
      </w:r>
      <w:r w:rsidRPr="00780172">
        <w:rPr>
          <w:rFonts w:ascii="Times New Roman" w:eastAsia="Times New Roman" w:hAnsi="Times New Roman" w:cs="Times New Roman"/>
          <w:b/>
          <w:bCs/>
          <w:sz w:val="28"/>
          <w:szCs w:val="28"/>
          <w:lang w:eastAsia="ru-RU"/>
        </w:rPr>
        <w:t xml:space="preserve"> </w:t>
      </w:r>
      <w:r w:rsidRPr="00780172">
        <w:rPr>
          <w:rFonts w:ascii="Times New Roman" w:eastAsia="Times New Roman" w:hAnsi="Times New Roman" w:cs="Times New Roman"/>
          <w:sz w:val="28"/>
          <w:szCs w:val="28"/>
          <w:lang w:eastAsia="ru-RU"/>
        </w:rPr>
        <w:t xml:space="preserve">Комбинация неоинституционализма, исторического и сетевого институционализма позволяет избежать редукционизма и создать аналитическую рамку, способную объяснить противоречивый характер развития </w:t>
      </w:r>
      <w:r w:rsidRPr="00780172">
        <w:rPr>
          <w:rFonts w:ascii="Times New Roman" w:eastAsia="Times New Roman" w:hAnsi="Times New Roman" w:cs="Times New Roman"/>
          <w:bCs/>
          <w:sz w:val="28"/>
          <w:szCs w:val="28"/>
          <w:lang w:eastAsia="ru-RU"/>
        </w:rPr>
        <w:t xml:space="preserve">гражданского общества </w:t>
      </w:r>
      <w:r w:rsidRPr="00780172">
        <w:rPr>
          <w:rFonts w:ascii="Times New Roman" w:eastAsia="Times New Roman" w:hAnsi="Times New Roman" w:cs="Times New Roman"/>
          <w:sz w:val="28"/>
          <w:szCs w:val="28"/>
          <w:lang w:eastAsia="ru-RU"/>
        </w:rPr>
        <w:t>в Казахстане. Это создаёт прочный фундамент для последующих частей исследования, в которых эмпирические данные могут быть интерпретированы не как отклонение от «нормы», а как закономерный результат структурных условий.</w:t>
      </w:r>
    </w:p>
    <w:p w:rsidR="00780172" w:rsidRPr="00780172" w:rsidRDefault="00780172" w:rsidP="00780172">
      <w:pPr>
        <w:spacing w:after="0" w:line="240" w:lineRule="auto"/>
        <w:ind w:firstLine="709"/>
        <w:jc w:val="both"/>
        <w:rPr>
          <w:rFonts w:ascii="Times New Roman" w:eastAsia="Times New Roman" w:hAnsi="Times New Roman" w:cs="Times New Roman"/>
          <w:sz w:val="28"/>
          <w:szCs w:val="28"/>
          <w:lang w:eastAsia="ru-RU"/>
        </w:rPr>
      </w:pPr>
      <w:r w:rsidRPr="00780172">
        <w:rPr>
          <w:rFonts w:ascii="Times New Roman" w:eastAsia="Times New Roman" w:hAnsi="Times New Roman" w:cs="Times New Roman"/>
          <w:sz w:val="28"/>
          <w:szCs w:val="28"/>
          <w:lang w:eastAsia="ru-RU"/>
        </w:rPr>
        <w:t xml:space="preserve">Теоретический анализ показывает, что дальнейшее развитие </w:t>
      </w:r>
      <w:r w:rsidRPr="00780172">
        <w:rPr>
          <w:rFonts w:ascii="Times New Roman" w:eastAsia="Times New Roman" w:hAnsi="Times New Roman" w:cs="Times New Roman"/>
          <w:bCs/>
          <w:sz w:val="28"/>
          <w:szCs w:val="28"/>
          <w:lang w:eastAsia="ru-RU"/>
        </w:rPr>
        <w:t xml:space="preserve">гражданского общества </w:t>
      </w:r>
      <w:r w:rsidRPr="00780172">
        <w:rPr>
          <w:rFonts w:ascii="Times New Roman" w:eastAsia="Times New Roman" w:hAnsi="Times New Roman" w:cs="Times New Roman"/>
          <w:sz w:val="28"/>
          <w:szCs w:val="28"/>
          <w:lang w:eastAsia="ru-RU"/>
        </w:rPr>
        <w:t>невозможно без изменения отношения государства к институтам гражданского общества с эксклюзивного на инклюзивный, развития доверия между государством и институтами гражданского общества, повышения ответственности как институтов гражданского общества, так и граждан при участии в общественно-политической жизни, делегирования части властных функции гражданскому обществу, трансформации ценностных установок молодёжи, институтов гражданского общества и государства, расширения пространства автономного действия и переосмысления роли организаций как производителей доверия и коллективной идентичности, а не исключительно как формальных акторов.</w:t>
      </w:r>
    </w:p>
    <w:p w:rsidR="00787AF6" w:rsidRDefault="00787AF6"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263A2A" w:rsidRDefault="00263A2A" w:rsidP="00C4083E">
      <w:pPr>
        <w:spacing w:after="0" w:line="240" w:lineRule="auto"/>
        <w:ind w:firstLine="709"/>
        <w:jc w:val="both"/>
        <w:rPr>
          <w:rFonts w:ascii="Times New Roman" w:hAnsi="Times New Roman" w:cs="Times New Roman"/>
          <w:sz w:val="28"/>
        </w:rPr>
      </w:pPr>
    </w:p>
    <w:p w:rsidR="00263A2A" w:rsidRDefault="00263A2A" w:rsidP="00C4083E">
      <w:pPr>
        <w:spacing w:after="0" w:line="240" w:lineRule="auto"/>
        <w:ind w:firstLine="709"/>
        <w:jc w:val="both"/>
        <w:rPr>
          <w:rFonts w:ascii="Times New Roman" w:hAnsi="Times New Roman" w:cs="Times New Roman"/>
          <w:sz w:val="28"/>
        </w:rPr>
      </w:pPr>
    </w:p>
    <w:p w:rsidR="00263A2A" w:rsidRDefault="00263A2A" w:rsidP="00C4083E">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b/>
          <w:sz w:val="28"/>
        </w:rPr>
      </w:pPr>
      <w:r w:rsidRPr="00263A2A">
        <w:rPr>
          <w:rFonts w:ascii="Times New Roman" w:hAnsi="Times New Roman" w:cs="Times New Roman"/>
          <w:b/>
          <w:sz w:val="28"/>
        </w:rPr>
        <w:lastRenderedPageBreak/>
        <w:t>2 ФАКТОР ИНФОРМАЦИОННЫХ ТЕХНОЛОГИЙ И ЕГО ВЛИЯНИЕ НА ИНСТИТУТЫ ГРАЖДАНСКОГО ОБЩЕСТВА В КАЗАХСТАНЕ</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b/>
          <w:sz w:val="28"/>
        </w:rPr>
      </w:pPr>
      <w:r w:rsidRPr="00263A2A">
        <w:rPr>
          <w:rFonts w:ascii="Times New Roman" w:hAnsi="Times New Roman" w:cs="Times New Roman"/>
          <w:b/>
          <w:sz w:val="28"/>
        </w:rPr>
        <w:t>2.1 История развития интернета и информационных технологий</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В рамках настоящего диссертационного исследования информационные технологии, прежде всего социальные медиа, рассматриваются в качестве значимого фактора, способного оказывать влияние на деятельность молодёжных общественных организаций в современном Казахстане. Особое внимание уделяется анализу их потенциала в контексте формирования эффективных институтов гражданского общества в республике.</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Значимость этого фактора заключается в том, что информационные технологии являются продуктом информационной революции и глобализации. Поскольку глобализация, интернет и социальные медиа являются порождением западной цивилизации, они способны распространять её ценности, в частности, ценности демократии, гражданского активизма и норм гражданского общества, что особенно актуально для бывших социалистических государств, таких как Казахстан. Глобализационные процессы стимулировали открытость государств и обществ во всём мире, способствовали мобильности идей, информационных потоков и людей. Молодёжь, как наиболее активная в интернете социальная группа, улавливает эти тенденции очень чутко и немедленно на них реагирует. В отличие от стран Европы и США, бывшие социалистические государства, в частности, Казахстан, ещё не испытали разочарования и усталости от глобализации. Для нашей страны глобализация открыла и продолжает открывать новые возможности.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Глобализация медиа имеет два компонента: 1) нивелирование роли физического местоположения пользователя. Сегодня местонахождение, наряду с другими параметрами, такими как пол, возраст, социальный статус, - уже не имеют решающего значения для коммуникации. Значимо лишь наличие технологий, возможностей для их использования и соответствующие навыки пользователя. 2) содержание коммуникации (контент) – с помощью цифровых технологий стало возможным взаимопроникновение культур [118, р. 335].  Благодаря распространению технологий, стиранию географических, лингвистических и социальных барьеров, идеи о нормах гражданского общества и гражданского участия проникают в Казахстан.</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История развития информационных технологий берёт своё начало в 1950-х годах ХХ века в США с появлением первых электронно-вычислительных машин – компьютеров. Новый виток развития они переживают в 1970-1980-е годы ХХ века после появления интернета. В начале 1960-х годов профессор Массачусетского технологического института </w:t>
      </w:r>
      <w:r w:rsidRPr="00263A2A">
        <w:rPr>
          <w:rFonts w:ascii="Times New Roman" w:hAnsi="Times New Roman" w:cs="Times New Roman"/>
          <w:iCs/>
          <w:sz w:val="28"/>
          <w:lang w:val="en-US"/>
        </w:rPr>
        <w:t>J</w:t>
      </w:r>
      <w:r w:rsidRPr="00263A2A">
        <w:rPr>
          <w:rFonts w:ascii="Times New Roman" w:hAnsi="Times New Roman" w:cs="Times New Roman"/>
          <w:iCs/>
          <w:sz w:val="28"/>
        </w:rPr>
        <w:t xml:space="preserve">. </w:t>
      </w:r>
      <w:r w:rsidRPr="00263A2A">
        <w:rPr>
          <w:rFonts w:ascii="Times New Roman" w:hAnsi="Times New Roman" w:cs="Times New Roman"/>
          <w:iCs/>
          <w:sz w:val="28"/>
          <w:lang w:val="en-US"/>
        </w:rPr>
        <w:t>Licklider</w:t>
      </w:r>
      <w:r w:rsidRPr="00263A2A">
        <w:rPr>
          <w:rFonts w:ascii="Times New Roman" w:hAnsi="Times New Roman" w:cs="Times New Roman"/>
          <w:iCs/>
          <w:sz w:val="28"/>
        </w:rPr>
        <w:t xml:space="preserve"> </w:t>
      </w:r>
      <w:r w:rsidRPr="00263A2A">
        <w:rPr>
          <w:rFonts w:ascii="Times New Roman" w:hAnsi="Times New Roman" w:cs="Times New Roman"/>
          <w:sz w:val="28"/>
        </w:rPr>
        <w:t xml:space="preserve">предложил идею создания сети компьютеров для обмена информацией [119, р. 31]. Проект финансировался Управлением перспективных исследовательских проектов Министерства обороны США (DARPA), так как подобная сеть могла служить </w:t>
      </w:r>
      <w:r w:rsidRPr="00263A2A">
        <w:rPr>
          <w:rFonts w:ascii="Times New Roman" w:hAnsi="Times New Roman" w:cs="Times New Roman"/>
          <w:sz w:val="28"/>
        </w:rPr>
        <w:lastRenderedPageBreak/>
        <w:t>для коммуникации между ключевыми военными ведомствами США в чрезвычайных ситуациях [118, р. 305].</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Затем сеть стала распространяться среди университетов и исследовательских центров для упрощения обмена данными. Вплоть до 1991 года зарождающийся интернет был недоступен для гражданских лиц и коммерческого использования. В 1991 году Конгресс США принял The High Performance Computing and Communication Act (Акт о вычислительной технике и коммуникации), позволяющий распространять сетевые технологии. Это дало толчок к быстрому появлению и распространению технологических усовершенствований, направленных на упрощение использования новых технологий. В 1993 году появляется первый интернет браузер – Mosaic [118, р. 306].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С появлением WWW (WorldWideWeb) в 1991 году формируется новый тип сетевой коммуникации. Появляются веб блоги, сервисы электронной почты [118, р. 309]. Они помогают образовывать онлайн сообщества и дополнять общение и деятельность офлайн групп. Этот тип позволял обмениваться информацией между уже существующими группами, но не позволял автоматически связывать нового члена со всеми остальными. Например, блог может функционировать как платформа для распространения контента, обеспечивая возможность его восприятия и комментирования со стороны аудитории, однако при этом не предполагает механизмов совместного производства контента блогером и подписчиками в онлайн-пространстве.</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Первой электронной социальной сетью считается сайт SixDegrees.com, созданный в 1997 году [120, с. 223]. Целью создания сайта заявлялась проверка эмпирическим путём теории «шести рукопожатий» (“Six degrees separation” как и название сайта). SixDegrees.com закрылась в 2001 году. После этого появляются первые массовые онлайн социальные сети Friendster.com и Reunion.com. В 2003-2004 годах появились такие социальные сети как Netlog.com, Hi5.com, Tagged и существующие до настоящего времени LinkedIn.com, MySpace.com (появилась в 2003 году), Facebook (появился в 2004 году) [120, с. 223].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В 2000-х интернет прочно вошёл в общественную жизнь, по-прежнему имея целью ускоренный и облегчённый процесс передачи информации. Появляется новая технология Web 2.0, позволяющая создание сайтов сетевого типа (социальные сети), специализированных контент-платформ (YouTube), платформ для совместного создания и редактирования информации (Wikipedia) [119, р. 306]. С появлением Web 2.0 на пороге 2000-х сервисы стали предоставлять не просто канал для коммуникации, пусть и сетевой, но возможность для интерактивного взаимодействия участников [121, р. 134].</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Согласно определению Тима О’Рейли, Web 2.0 – это методика проектирования систем, которые путём учёта сетевых взаимодействий становятся тем лучше, чем больше людей ими пользуются [122, с. 304]. Большинство платформ Web 2.0 начинались как сервисы для обмена сообщениями с друзьями, однокурсниками, коллегами по работе. Однако, </w:t>
      </w:r>
      <w:r w:rsidRPr="00263A2A">
        <w:rPr>
          <w:rFonts w:ascii="Times New Roman" w:hAnsi="Times New Roman" w:cs="Times New Roman"/>
          <w:sz w:val="28"/>
        </w:rPr>
        <w:lastRenderedPageBreak/>
        <w:t xml:space="preserve">воспринимать их лишь как способ облегчения общения – ошибочно. Многие коммуникативные привычки, особенно в молодёжной среде, сегодня уже переместились в онлайн – общение с друзьями, совместный просмотр видео, показ фото, групповое обсуждение просмотренного. Это значит, что всё, что раньше было личным, теперь становится публичным, так как проходит через определённую технологическую платформу и становится достоянием общественности в сети [123, р. 6]. Значительная часть повседневных действий людей (вплоть до выражения текущего эмоционального состояния человека) перешла в область социальных сетей.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В 2011 году 1.2 миллиарда пользователей по всему миру были зарегистрированы в социальных сетях – это 82% от общего количества пользователей интернета старше 15 лет. Для сравнения в 2007 году их было 6% [123, р. 4]. В чем причина столь быстрого расширения числа пользователей? Предполагается, что потребность во включенности в скоростной информационный обмен, упрощённый способ коммуникации, который доступен практически каждому, движет людьми заходить и подключаться к социальным сетям. В начале 2000-х Web 2.0 воспринималась как линейный, несложный, доступный способ выстраивания связей, построение сообществ и продвижения демократии. Сегодня социальные медиа представляют собой экосистему (то есть, значительно более сложную структуру, нежели вначале) связанных и связующих медиа, имеющих очень немного больших игроков (в лице виртуальных социальных сетей) и очень много маленьких (обычные пользователи). Происходит трансформация от сетевой коммуникации к социальности «на платформе» и от культуры участия к культуре подключённости [123, р. 4]. Это подводит нас к выводу о том, что информационные технологии порождают ситуацию необходимости подключения (что не означает автоматического участия в группе, к которой (ым) присоединяется пользователь). </w:t>
      </w:r>
      <w:r w:rsidRPr="00263A2A">
        <w:rPr>
          <w:rFonts w:ascii="Times New Roman" w:hAnsi="Times New Roman" w:cs="Times New Roman"/>
          <w:i/>
          <w:sz w:val="28"/>
        </w:rPr>
        <w:t>Подключённость не может быть приравнена к участию. Подключаясь, пользователь открывает для себя возможность участия, что подтверждается результатом оригинального социологического опроса 2019, 2023 и 2025 года и множественного корреляционно-регрессионного анализа, приведённым в Главе 3.</w:t>
      </w:r>
      <w:r w:rsidRPr="00263A2A">
        <w:rPr>
          <w:rFonts w:ascii="Times New Roman" w:hAnsi="Times New Roman" w:cs="Times New Roman"/>
          <w:sz w:val="28"/>
        </w:rPr>
        <w:t xml:space="preserve"> Однако, степень участия будет зависеть, по-видимому, от иных факторов, которые рассматриваются ниже.</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В связи с вышеизложенным, научное сообщество задалось вопросом: способны ли информационные технологии стимулировать общественно-политическую активность людей, в частности в рамках гражданского общества? Если способны, то до какой степени? Если не способны, то каковы могут быть пути их вовлечения в деятельность гражданского общества? В ходе диссертационного исследования мы попытаемся ответить на них.</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История Казнета</w:t>
      </w:r>
      <w:r w:rsidRPr="00263A2A">
        <w:rPr>
          <w:rFonts w:ascii="Times New Roman" w:hAnsi="Times New Roman" w:cs="Times New Roman"/>
          <w:b/>
          <w:i/>
          <w:sz w:val="28"/>
        </w:rPr>
        <w:t xml:space="preserve"> </w:t>
      </w:r>
      <w:r w:rsidRPr="00263A2A">
        <w:rPr>
          <w:rFonts w:ascii="Times New Roman" w:hAnsi="Times New Roman" w:cs="Times New Roman"/>
          <w:sz w:val="28"/>
        </w:rPr>
        <w:t xml:space="preserve">(интернет, использующий казахстанский домен .KZ) берёт начало в 1994 году. В 1998 году появляется первый интернет-сайт на казахском языке. В том же году появляется первое в республике онлайн-радио. Количество пользователей на тот момент было крайне низким – менее 70 тысяч человек, что составляло 0,5% населения страны [124]. По состоянию на 2015 год, </w:t>
      </w:r>
      <w:r w:rsidRPr="00263A2A">
        <w:rPr>
          <w:rFonts w:ascii="Times New Roman" w:hAnsi="Times New Roman" w:cs="Times New Roman"/>
          <w:sz w:val="28"/>
        </w:rPr>
        <w:lastRenderedPageBreak/>
        <w:t xml:space="preserve">интернет — единственный растущий медиаканал в Казахстане, охват которого почти в 2 раза превышает охват прессы. В июле 2015 года количество интернет-пользователей в РК достигло 3,47 млн., то есть 71% населения страны в возрасте от 12 до 54 лет заходят в сеть минимум не реже одного раза в месяц [125]. По состоянию на 2017 год, 77% населения Казахстана имеют доступ к интернету [125]. Можно проследить изменения в государственной политике цифровизации до и после 2022 года. Веб-портал электронного правительства был запущен в РК в 2006 году, с 2012 года он стал предоставлять государственные услуги в электронном виде [126]. Несмотря на это, интерфейс и экосистема была сложной и недружелюбной для пользователя и воспринималась как дополнение, а не основной способ взаимодействия с государством. Онлайн-банкинг также были достаточно ограничен. Цифровизация до 2022 года была менее мобильной, так как многие операции требовали наличие ноутбука, </w:t>
      </w:r>
      <w:r w:rsidRPr="00263A2A">
        <w:rPr>
          <w:rFonts w:ascii="Times New Roman" w:hAnsi="Times New Roman" w:cs="Times New Roman"/>
          <w:sz w:val="28"/>
          <w:lang w:val="en-US"/>
        </w:rPr>
        <w:t>QR</w:t>
      </w:r>
      <w:r w:rsidRPr="00263A2A">
        <w:rPr>
          <w:rFonts w:ascii="Times New Roman" w:hAnsi="Times New Roman" w:cs="Times New Roman"/>
          <w:sz w:val="28"/>
        </w:rPr>
        <w:t xml:space="preserve"> подпись и цифровые документы почти не использовались. После 2022 года появилась концепция «</w:t>
      </w:r>
      <w:r w:rsidRPr="00263A2A">
        <w:rPr>
          <w:rFonts w:ascii="Times New Roman" w:hAnsi="Times New Roman" w:cs="Times New Roman"/>
          <w:sz w:val="28"/>
          <w:lang w:val="en-US"/>
        </w:rPr>
        <w:t>mobile</w:t>
      </w:r>
      <w:r w:rsidRPr="00263A2A">
        <w:rPr>
          <w:rFonts w:ascii="Times New Roman" w:hAnsi="Times New Roman" w:cs="Times New Roman"/>
          <w:sz w:val="28"/>
        </w:rPr>
        <w:t>-</w:t>
      </w:r>
      <w:r w:rsidRPr="00263A2A">
        <w:rPr>
          <w:rFonts w:ascii="Times New Roman" w:hAnsi="Times New Roman" w:cs="Times New Roman"/>
          <w:sz w:val="28"/>
          <w:lang w:val="en-US"/>
        </w:rPr>
        <w:t>first</w:t>
      </w:r>
      <w:r w:rsidRPr="00263A2A">
        <w:rPr>
          <w:rFonts w:ascii="Times New Roman" w:hAnsi="Times New Roman" w:cs="Times New Roman"/>
          <w:sz w:val="28"/>
        </w:rPr>
        <w:t xml:space="preserve">», при которой большинство операций стало возможным осуществлять через смартфон. </w:t>
      </w:r>
      <w:r w:rsidRPr="00263A2A">
        <w:rPr>
          <w:rFonts w:ascii="Times New Roman" w:hAnsi="Times New Roman" w:cs="Times New Roman"/>
          <w:sz w:val="28"/>
          <w:lang w:val="en-US"/>
        </w:rPr>
        <w:t>Egov</w:t>
      </w:r>
      <w:r w:rsidRPr="00263A2A">
        <w:rPr>
          <w:rFonts w:ascii="Times New Roman" w:hAnsi="Times New Roman" w:cs="Times New Roman"/>
          <w:sz w:val="28"/>
        </w:rPr>
        <w:t xml:space="preserve"> </w:t>
      </w:r>
      <w:r w:rsidRPr="00263A2A">
        <w:rPr>
          <w:rFonts w:ascii="Times New Roman" w:hAnsi="Times New Roman" w:cs="Times New Roman"/>
          <w:sz w:val="28"/>
          <w:lang w:val="en-US"/>
        </w:rPr>
        <w:t>mobile</w:t>
      </w:r>
      <w:r w:rsidRPr="00263A2A">
        <w:rPr>
          <w:rFonts w:ascii="Times New Roman" w:hAnsi="Times New Roman" w:cs="Times New Roman"/>
          <w:sz w:val="28"/>
        </w:rPr>
        <w:t xml:space="preserve"> стало универсальной площадкой для цифровой бюрократии, большинство финансовых операций проходят через цифровые платформы и отсутствуют в бумажном формате. После 2023 года в Казахстане появляется концепция отечественной ИИ-стратегии, заключающаяся во внедрении ИИ в различные сферы жизнедеятельности [127]. На государственном уровне формируется стратегия перехода от цифрового государства к интеллектуальному государству.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Выводы</w:t>
      </w:r>
      <w:r w:rsidRPr="00263A2A">
        <w:rPr>
          <w:rFonts w:ascii="Times New Roman" w:hAnsi="Times New Roman" w:cs="Times New Roman"/>
          <w:sz w:val="28"/>
        </w:rPr>
        <w:t>:</w:t>
      </w:r>
    </w:p>
    <w:p w:rsidR="00263A2A" w:rsidRPr="00263A2A" w:rsidRDefault="00263A2A" w:rsidP="008465D6">
      <w:pPr>
        <w:numPr>
          <w:ilvl w:val="0"/>
          <w:numId w:val="37"/>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 xml:space="preserve">Информационные технологии способны выступать системным каналом трансляции норм и ценностей гражданского общества в постсоветском контексте Казахстана, поскольку являются продуктом глобализации и информационной революции, исторически связанной с западной цивилизацией. Через интернет и социальные медиа в казахстанское общество проникают идеи демократического участия, гражданского активизма и общественной самоорганизации, что особенно значимо в условиях текущей незавершённой институционализации гражданского общества в стране. Безусловно, информационные технологии способны упрощать коммуникацию между всеми участниками политического процесса: государством, институтами гражданского общества и обществом. Проблема заключается в том, что зачастую каналы коммуникации власти не направлены на необходимую целевую аудиторию в силу её осознанного исключения их из своей сферы общения (как показывают результаты авторского социологического исследования и корреляционно-регрессионного анализа, приведённые в Главе 3), а также в силу низкого уровня обратной связи от общества к государству. </w:t>
      </w:r>
    </w:p>
    <w:p w:rsidR="00263A2A" w:rsidRPr="00263A2A" w:rsidRDefault="00263A2A" w:rsidP="008465D6">
      <w:pPr>
        <w:numPr>
          <w:ilvl w:val="0"/>
          <w:numId w:val="37"/>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 xml:space="preserve">Ключевым эффектом развития информационных технологий является трансформация коммуникации от локальной и иерархической к сетевой и платформенной, что нивелирует значение географических, социальных и демографических границ. Это расширяет потенциальную социальную базу институтов гражданского общества, но одновременно делает решающими не </w:t>
      </w:r>
      <w:r w:rsidRPr="00263A2A">
        <w:rPr>
          <w:rFonts w:ascii="Times New Roman" w:hAnsi="Times New Roman" w:cs="Times New Roman"/>
          <w:sz w:val="28"/>
        </w:rPr>
        <w:lastRenderedPageBreak/>
        <w:t>формальные характеристики акторов, а уровень цифровых компетенций и доступ к технологиям.</w:t>
      </w:r>
    </w:p>
    <w:p w:rsidR="00263A2A" w:rsidRPr="00263A2A" w:rsidRDefault="00263A2A" w:rsidP="008465D6">
      <w:pPr>
        <w:numPr>
          <w:ilvl w:val="0"/>
          <w:numId w:val="37"/>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Эволюция интернета от Web 1.0 к Web 2.0 привела к качественному изменению форм общественного взаимодействия, сместив акцент с обмена информацией на интерактивность, совместное производство контента и формирование онлайн-сообществ. Однако, данная трансформация не означает автоматического роста гражданского участия: «подключённость» к цифровым платформам лишь создаёт возможность участия, но не гарантирует его реального воплощения в деятельности гражданского общества.</w:t>
      </w:r>
    </w:p>
    <w:p w:rsidR="00263A2A" w:rsidRDefault="00263A2A" w:rsidP="008465D6">
      <w:pPr>
        <w:numPr>
          <w:ilvl w:val="0"/>
          <w:numId w:val="37"/>
        </w:numPr>
        <w:ind w:left="0" w:firstLine="709"/>
        <w:contextualSpacing/>
        <w:jc w:val="both"/>
        <w:rPr>
          <w:rFonts w:ascii="Times New Roman" w:hAnsi="Times New Roman" w:cs="Times New Roman"/>
          <w:sz w:val="28"/>
        </w:rPr>
      </w:pPr>
      <w:r w:rsidRPr="00263A2A">
        <w:rPr>
          <w:rFonts w:ascii="Times New Roman" w:hAnsi="Times New Roman" w:cs="Times New Roman"/>
          <w:sz w:val="28"/>
        </w:rPr>
        <w:t>Казахстанский сегмент интернета (Казнет) развивался с временным лагом по сравнению с глобальными тенденциями, но демонстрирует ускоренную диффузию информационных технологий, что делает интернет наиболее динамичным медиаканалом в стране. Рост интернет-проникновения, особенно среди молодёжи, формирует структурные предпосылки для расширения цифровых форм гражданской активности, при этом их реальное влияние на институты гражданского общества зависит от сочетания технологических, социально-политических и институциональных факторов.</w:t>
      </w:r>
    </w:p>
    <w:p w:rsidR="00681FDE" w:rsidRPr="00263A2A" w:rsidRDefault="00681FDE" w:rsidP="00681FDE">
      <w:pPr>
        <w:ind w:left="709"/>
        <w:contextualSpacing/>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b/>
          <w:sz w:val="28"/>
        </w:rPr>
        <w:t>2.2 Теоретические направления изучения влияния информационных технологий на гражданское общество: аналитический обзор</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Диссертационное исследование далее посвящено анализу теоретических подходов к оценке способности и потенциала информационных технологий (социальных медиа) оказывать самостоятельное влияние на процессы трансформации гражданского общества, а также их воздействия в сочетании с нецифровыми факторами.</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 развитием информационных технологий, их роль в развитии институтов гражданского общества, построении идентичности в рамках общественных организаций и коллективном общественно-политическом участии стала активно обсуждаться и изучаться. </w:t>
      </w:r>
      <w:r w:rsidRPr="00263A2A">
        <w:rPr>
          <w:rFonts w:ascii="Times New Roman" w:hAnsi="Times New Roman" w:cs="Times New Roman"/>
          <w:sz w:val="28"/>
          <w:lang w:val="en-US"/>
        </w:rPr>
        <w:t>W</w:t>
      </w:r>
      <w:r w:rsidRPr="00263A2A">
        <w:rPr>
          <w:rFonts w:ascii="Times New Roman" w:hAnsi="Times New Roman" w:cs="Times New Roman"/>
          <w:sz w:val="28"/>
        </w:rPr>
        <w:t xml:space="preserve">. </w:t>
      </w:r>
      <w:r w:rsidRPr="00263A2A">
        <w:rPr>
          <w:rFonts w:ascii="Times New Roman" w:hAnsi="Times New Roman" w:cs="Times New Roman"/>
          <w:sz w:val="28"/>
          <w:lang w:val="en-US"/>
        </w:rPr>
        <w:t>Bennett</w:t>
      </w:r>
      <w:r w:rsidRPr="00263A2A">
        <w:rPr>
          <w:rFonts w:ascii="Times New Roman" w:hAnsi="Times New Roman" w:cs="Times New Roman"/>
          <w:sz w:val="28"/>
        </w:rPr>
        <w:t xml:space="preserve"> [128, р. 46] полагает, что, поскольку, информационные технологии способствуют резкому бесконтрольному и безграничному распространению идей, представлений, эмоций по виртуальным сетям, общественно-политическая сфера непременно окажется под их влиянием. M. Hilbert утверждает, что применительно к вопросу об общественных организациях, информационные технологии способны сработать в качестве ускорителя, облегчающего контакт представителей организации как внутри ассоциации, так и за её пределами, предоставить возможность создавать социокультурные «анклавы» и служить технической поддержкой деятельности общественных организаций [129, р. 193]. Бесспорна роль интернета в установлении связующего канала коммуникации между различными индивидами, группами, сообществами, которые географически могут быть удалены друг от друга [130, р. 349].</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Существует противоположная точка зрения. Её сторонники задаются вопросом: могут ли информационные технологии сформировать институциональную идентичность в рамках гражданского общества без помощи </w:t>
      </w:r>
      <w:r w:rsidRPr="00263A2A">
        <w:rPr>
          <w:rFonts w:ascii="Times New Roman" w:hAnsi="Times New Roman" w:cs="Times New Roman"/>
          <w:sz w:val="28"/>
        </w:rPr>
        <w:lastRenderedPageBreak/>
        <w:t xml:space="preserve">офлайн взаимодействия? Их ответ: скорее нет. Исследования </w:t>
      </w:r>
      <w:r w:rsidRPr="00263A2A">
        <w:rPr>
          <w:rFonts w:ascii="Times New Roman" w:hAnsi="Times New Roman" w:cs="Times New Roman"/>
          <w:bCs/>
          <w:sz w:val="28"/>
          <w:lang w:val="en-US"/>
        </w:rPr>
        <w:t>M</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Diani</w:t>
      </w:r>
      <w:r w:rsidRPr="00263A2A">
        <w:rPr>
          <w:rFonts w:ascii="Times New Roman" w:hAnsi="Times New Roman" w:cs="Times New Roman"/>
          <w:bCs/>
          <w:sz w:val="28"/>
        </w:rPr>
        <w:t xml:space="preserve"> </w:t>
      </w:r>
      <w:r w:rsidRPr="00263A2A">
        <w:rPr>
          <w:rFonts w:ascii="Times New Roman" w:hAnsi="Times New Roman" w:cs="Times New Roman"/>
          <w:sz w:val="28"/>
        </w:rPr>
        <w:t xml:space="preserve">показывают, что участники виртуального взаимодействия нередко неохотно идентифицируют себя (скрываются за никами, аватарками, придумывают ложные сведения о себе или вовсе ничего не сообщают) [131, р. 390]. Они участвуют в практической деятельности общественной организации лишь время от времени, не стремясь установить прочные связи с другими членами. </w:t>
      </w:r>
      <w:r w:rsidRPr="00263A2A">
        <w:rPr>
          <w:rFonts w:ascii="Times New Roman" w:hAnsi="Times New Roman" w:cs="Times New Roman"/>
          <w:bCs/>
          <w:sz w:val="28"/>
          <w:lang w:val="en-US"/>
        </w:rPr>
        <w:t>P</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Van</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Aelst</w:t>
      </w:r>
      <w:r w:rsidRPr="00263A2A">
        <w:rPr>
          <w:rFonts w:ascii="Times New Roman" w:hAnsi="Times New Roman" w:cs="Times New Roman"/>
          <w:bCs/>
          <w:sz w:val="28"/>
        </w:rPr>
        <w:t xml:space="preserve"> и </w:t>
      </w:r>
      <w:r w:rsidRPr="00263A2A">
        <w:rPr>
          <w:rFonts w:ascii="Times New Roman" w:hAnsi="Times New Roman" w:cs="Times New Roman"/>
          <w:bCs/>
          <w:sz w:val="28"/>
          <w:lang w:val="en-US"/>
        </w:rPr>
        <w:t>S</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Walgrave</w:t>
      </w:r>
      <w:r w:rsidRPr="00263A2A">
        <w:rPr>
          <w:rFonts w:ascii="Times New Roman" w:hAnsi="Times New Roman" w:cs="Times New Roman"/>
          <w:bCs/>
          <w:sz w:val="28"/>
        </w:rPr>
        <w:t xml:space="preserve"> </w:t>
      </w:r>
      <w:r w:rsidRPr="00263A2A">
        <w:rPr>
          <w:rFonts w:ascii="Times New Roman" w:hAnsi="Times New Roman" w:cs="Times New Roman"/>
          <w:sz w:val="28"/>
        </w:rPr>
        <w:t xml:space="preserve">полагают, что виртуальные сети не способны генерировать доверие и взаимное расположение участников общения, так как отсутствует общение лицом к лицу [132, р. 100]. Они считают, что интернет-контакты создают специфическую сеть взаимодействия, которая лишь дополняет и связывает уже существующие в реальном мире контакты.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Эмпирические данные на этот счёт разнятся. С одной стороны, есть массив научной информации, свидетельствующий о возможности выстраивания отношений доверия, солидарности и взаимного расположения посредством виртуальных сетей [133, р. 236]. С другой стороны, виртуальные сети способны сработать лишь в том случае, когда они подкреплены связями в реальном мире в достаточно географически ограниченных сообществах. Инициирование новых связей «с нуля» для них не представляется возможным. [134, р. 284]. Таким образом, </w:t>
      </w:r>
      <w:r w:rsidRPr="00263A2A">
        <w:rPr>
          <w:rFonts w:ascii="Times New Roman" w:hAnsi="Times New Roman" w:cs="Times New Roman"/>
          <w:i/>
          <w:sz w:val="28"/>
        </w:rPr>
        <w:t>вопрос остаётся открытым: являются ли социальные медиа лишь дополнительным каналом передачи информации или площадкой для формирования институтов гражданского общества?</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В попытках найти ответы на обозначенный выше вопрос, мировое научное политологическое сообщество разделилось на два больших теоретических направления. </w:t>
      </w:r>
      <w:r w:rsidRPr="00263A2A">
        <w:rPr>
          <w:rFonts w:ascii="Times New Roman" w:hAnsi="Times New Roman" w:cs="Times New Roman"/>
          <w:i/>
          <w:sz w:val="28"/>
        </w:rPr>
        <w:t>Первое направление представлено теорией технологического детерминизма.</w:t>
      </w:r>
      <w:r w:rsidRPr="00263A2A">
        <w:rPr>
          <w:rFonts w:ascii="Times New Roman" w:hAnsi="Times New Roman" w:cs="Times New Roman"/>
          <w:sz w:val="28"/>
        </w:rPr>
        <w:t xml:space="preserve"> Его сторонники полагают, что, именно благодаря информационным технологиям, гражданское общество выходит на качественно новый уровень развития. При помощи интернета и социальных медиа институты гражданского общества распространяют информацию о себе, получают дополнительные возможности в рекрутировании членов, привлечении внимания спонсоров и так далее [135, р. 71]. Сторонники технологического детерминизма полагают, что использование информационных технологий способно изменить не только образ </w:t>
      </w:r>
      <w:proofErr w:type="gramStart"/>
      <w:r w:rsidRPr="00263A2A">
        <w:rPr>
          <w:rFonts w:ascii="Times New Roman" w:hAnsi="Times New Roman" w:cs="Times New Roman"/>
          <w:sz w:val="28"/>
        </w:rPr>
        <w:t>действий</w:t>
      </w:r>
      <w:proofErr w:type="gramEnd"/>
      <w:r w:rsidRPr="00263A2A">
        <w:rPr>
          <w:rFonts w:ascii="Times New Roman" w:hAnsi="Times New Roman" w:cs="Times New Roman"/>
          <w:sz w:val="28"/>
        </w:rPr>
        <w:t xml:space="preserve"> использующих их акторов, но и самый контекст их деятельности [135, р. 74]. Они утверждают, что каждая последующая инновация в технологиях улучшает общество и государство. Соответственно – компьютер в 1960-е, интернет в 1990-е, социальные медиа в 2000-е годы – всё это способствовало продвижению общественного и политического контекста на следующую ступень развития [135, р. 83]. Появляется цифровая экономика, электронное правительство, онлайн обучение. Это дало толчок к развитию общественных наук и появлению новых понятий, таких как «киберпространство», «киберобщество», «виртуальная общественная сфера», «сетевое общество», «блогосфера». Сторонники технологического детерминизма полагают, что интернет и социальные медиа позволяют преодолевать ограничения, начиная с географии и заканчивая идентичностью, временем и государством [136, р. 58].</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lastRenderedPageBreak/>
        <w:t xml:space="preserve">В западной политологии объём литературы по технологическому детерминизму весьма значителен. В частности, </w:t>
      </w:r>
      <w:r w:rsidRPr="00263A2A">
        <w:rPr>
          <w:rFonts w:ascii="Times New Roman" w:hAnsi="Times New Roman" w:cs="Times New Roman"/>
          <w:bCs/>
          <w:sz w:val="28"/>
          <w:lang w:val="en-US"/>
        </w:rPr>
        <w:t>C</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Shirky</w:t>
      </w:r>
      <w:r w:rsidRPr="00263A2A">
        <w:rPr>
          <w:rFonts w:ascii="Times New Roman" w:hAnsi="Times New Roman" w:cs="Times New Roman"/>
          <w:bCs/>
          <w:sz w:val="28"/>
        </w:rPr>
        <w:t xml:space="preserve"> </w:t>
      </w:r>
      <w:r w:rsidRPr="00263A2A">
        <w:rPr>
          <w:rFonts w:ascii="Times New Roman" w:hAnsi="Times New Roman" w:cs="Times New Roman"/>
          <w:sz w:val="28"/>
        </w:rPr>
        <w:t xml:space="preserve">полагает, что программное обеспечение, находящееся в открытом доступе, сетевая экономика, управление посредством информационных технологий трансформируют социальные отношения и, следовательно, природу институтов гражданского общества [137, р. 117]. </w:t>
      </w:r>
      <w:r w:rsidRPr="00263A2A">
        <w:rPr>
          <w:rFonts w:ascii="Times New Roman" w:hAnsi="Times New Roman" w:cs="Times New Roman"/>
          <w:bCs/>
          <w:sz w:val="28"/>
          <w:lang w:val="en-US"/>
        </w:rPr>
        <w:t>C</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Li</w:t>
      </w:r>
      <w:r w:rsidRPr="00263A2A">
        <w:rPr>
          <w:rFonts w:ascii="Times New Roman" w:hAnsi="Times New Roman" w:cs="Times New Roman"/>
          <w:bCs/>
          <w:sz w:val="28"/>
        </w:rPr>
        <w:t xml:space="preserve"> и </w:t>
      </w:r>
      <w:r w:rsidRPr="00263A2A">
        <w:rPr>
          <w:rFonts w:ascii="Times New Roman" w:hAnsi="Times New Roman" w:cs="Times New Roman"/>
          <w:bCs/>
          <w:sz w:val="28"/>
          <w:lang w:val="en-US"/>
        </w:rPr>
        <w:t>J</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Bernoff</w:t>
      </w:r>
      <w:r w:rsidRPr="00263A2A">
        <w:rPr>
          <w:rFonts w:ascii="Times New Roman" w:hAnsi="Times New Roman" w:cs="Times New Roman"/>
          <w:bCs/>
          <w:sz w:val="28"/>
        </w:rPr>
        <w:t xml:space="preserve"> </w:t>
      </w:r>
      <w:r w:rsidRPr="00263A2A">
        <w:rPr>
          <w:rFonts w:ascii="Times New Roman" w:hAnsi="Times New Roman" w:cs="Times New Roman"/>
          <w:sz w:val="28"/>
        </w:rPr>
        <w:t>полагают, что данный учёный настроен чрезмерно оптимистично [138, р. 35]. В рамках технологического детерминизма существует точка зрения о том, что интернет и социальные медиа способствуют формированию «сетевого гражданского общества», которое обеспечивает виртуальное общение онлайн с целью решения реальных социальных проблем. Согласно мнению Ю. Хабермаса, главными характеристиками сетевого гражданского общества являются «открытость», то есть установление широких, многомерных связей коммуникации и «спонтанность» - свободное формирование, текучесть, постоянное изменение структуры [139, с. 21]. Таким образом, социальные медиа формируют так называемую “open space” – пространство, где образуются новые возможности для развития гражданского общества, преодоления фрагментации массового общества, усиление личностной вовлечённости граждан в общественно-политические дела.</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bCs/>
          <w:sz w:val="28"/>
          <w:lang w:val="en-US"/>
        </w:rPr>
        <w:t>Y</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Benkler</w:t>
      </w:r>
      <w:r w:rsidRPr="00263A2A">
        <w:rPr>
          <w:rFonts w:ascii="Times New Roman" w:hAnsi="Times New Roman" w:cs="Times New Roman"/>
          <w:bCs/>
          <w:sz w:val="28"/>
        </w:rPr>
        <w:t xml:space="preserve"> </w:t>
      </w:r>
      <w:r w:rsidRPr="00263A2A">
        <w:rPr>
          <w:rFonts w:ascii="Times New Roman" w:hAnsi="Times New Roman" w:cs="Times New Roman"/>
          <w:sz w:val="28"/>
        </w:rPr>
        <w:t>утверждает, что социальные медиа способны стимулировать экономические отношения нового типа. Будучи очень дешёвыми, онлайн ресурсы позволяют покупать, продавать, работать, не выходя из дома [140, р. 29]. Соответственно, у граждан дополнительно высвобождается свободное время, которое они могли бы посвятить гражданскому участию и активизму и осуществлять его частично за счёт информационных технологий, создавая группы в Facebook, каналы в YouTube и другое. Кроме того, ресурсы, подобные Wikipedia, как считают сторонники технологического детерминизма, способны стимулировать совместное участие индивидов в создании общественно полезного бесплатного продукта, что, в сущности, является сутью гражданского общества [141, р. 433].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Далее диссертационное исследование изучает массив вторичных статистических данных, показывающих уровень развития информационных технологий в современном Казахстане с целью выявления достаточности условий воздействия информационных технологий на общественно-политические процессы. Рассмотрим уровень доступа к стационарному широкополосному интернету (на 100 человек населения) (см. Рисунок 6) [142]. Согласно Рисунку 6, после 2010 года наблюдается резкий рост количества подключений к стационарному интернету в Казахстане. Далее рассматривается уровень доступа к мобильному широкополосному интернету в Казахстане (см. Рисунок 7) [143]. Исходя из приведённых данных, можно заметить, что граждане пользуются более, чем одной точкой доступа.</w:t>
      </w:r>
      <w:r w:rsidRPr="00263A2A">
        <w:rPr>
          <w:rFonts w:ascii="Times New Roman" w:hAnsi="Times New Roman" w:cs="Times New Roman"/>
          <w:sz w:val="28"/>
          <w:szCs w:val="28"/>
        </w:rPr>
        <w:t xml:space="preserve"> </w:t>
      </w:r>
      <w:r w:rsidRPr="00263A2A">
        <w:rPr>
          <w:rFonts w:ascii="Times New Roman" w:hAnsi="Times New Roman" w:cs="Times New Roman"/>
          <w:sz w:val="28"/>
        </w:rPr>
        <w:t>Затем мы рассматриваем количество интернет-пользователей в Казахстане (см. Рисунок 8) [144]. Как видно из приведённых данных, количество интернет-пользователей в Казахстане неуклонно растёт.</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line="240" w:lineRule="auto"/>
        <w:ind w:firstLine="709"/>
        <w:jc w:val="both"/>
        <w:rPr>
          <w:rFonts w:ascii="Arial" w:hAnsi="Arial" w:cs="Arial"/>
          <w:sz w:val="24"/>
        </w:rPr>
      </w:pPr>
      <w:r w:rsidRPr="00263A2A">
        <w:rPr>
          <w:rFonts w:ascii="Arial" w:hAnsi="Arial" w:cs="Arial"/>
          <w:noProof/>
          <w:sz w:val="24"/>
          <w:lang w:eastAsia="ru-RU"/>
        </w:rPr>
        <w:drawing>
          <wp:inline distT="0" distB="0" distL="0" distR="0" wp14:anchorId="7FA96D2D" wp14:editId="21CE5142">
            <wp:extent cx="5149850" cy="2885377"/>
            <wp:effectExtent l="0" t="0" r="0" b="0"/>
            <wp:docPr id="10" name="Рисунок 10" descr="C:\Мои документы\PhD thesis\Диссертация Роль инф техн в станов и разв институтов ГО\К-во стац широк Инт на 100 чел-к ОБР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Мои документы\PhD thesis\Диссертация Роль инф техн в станов и разв институтов ГО\К-во стац широк Инт на 100 чел-к ОБРЕЗ.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59065" cy="2890540"/>
                    </a:xfrm>
                    <a:prstGeom prst="rect">
                      <a:avLst/>
                    </a:prstGeom>
                    <a:noFill/>
                    <a:ln>
                      <a:noFill/>
                    </a:ln>
                  </pic:spPr>
                </pic:pic>
              </a:graphicData>
            </a:graphic>
          </wp:inline>
        </w:drawing>
      </w:r>
    </w:p>
    <w:p w:rsidR="00263A2A" w:rsidRPr="00263A2A" w:rsidRDefault="00263A2A" w:rsidP="00263A2A">
      <w:pPr>
        <w:spacing w:after="0" w:line="240" w:lineRule="auto"/>
        <w:ind w:firstLine="709"/>
        <w:jc w:val="center"/>
        <w:rPr>
          <w:rFonts w:ascii="Times New Roman" w:hAnsi="Times New Roman" w:cs="Times New Roman"/>
          <w:sz w:val="28"/>
        </w:rPr>
      </w:pPr>
      <w:r w:rsidRPr="00263A2A">
        <w:rPr>
          <w:rFonts w:ascii="Times New Roman" w:hAnsi="Times New Roman" w:cs="Times New Roman"/>
          <w:sz w:val="28"/>
        </w:rPr>
        <w:t>Рисунок 6 – Уровень доступа к стационарному широкополосному интернету в Казахстане (на 100 человек населения). Источник: [142]</w:t>
      </w:r>
    </w:p>
    <w:p w:rsidR="00263A2A" w:rsidRPr="00263A2A" w:rsidRDefault="00263A2A" w:rsidP="00263A2A">
      <w:pPr>
        <w:spacing w:line="240" w:lineRule="auto"/>
        <w:ind w:firstLine="709"/>
        <w:jc w:val="both"/>
        <w:rPr>
          <w:rFonts w:ascii="Times New Roman" w:hAnsi="Times New Roman" w:cs="Times New Roman"/>
          <w:sz w:val="28"/>
        </w:rPr>
      </w:pPr>
    </w:p>
    <w:p w:rsidR="00263A2A" w:rsidRPr="00263A2A" w:rsidRDefault="00263A2A" w:rsidP="00263A2A">
      <w:pPr>
        <w:spacing w:line="240" w:lineRule="auto"/>
        <w:ind w:firstLine="709"/>
        <w:jc w:val="both"/>
        <w:rPr>
          <w:rFonts w:ascii="Times New Roman" w:hAnsi="Times New Roman" w:cs="Times New Roman"/>
          <w:sz w:val="28"/>
          <w:szCs w:val="28"/>
        </w:rPr>
      </w:pPr>
      <w:r w:rsidRPr="00263A2A">
        <w:rPr>
          <w:rFonts w:ascii="Times New Roman" w:hAnsi="Times New Roman" w:cs="Times New Roman"/>
          <w:noProof/>
          <w:sz w:val="28"/>
          <w:szCs w:val="28"/>
          <w:lang w:eastAsia="ru-RU"/>
        </w:rPr>
        <w:drawing>
          <wp:inline distT="0" distB="0" distL="0" distR="0" wp14:anchorId="031018D6" wp14:editId="1B9584A3">
            <wp:extent cx="5105711" cy="2481943"/>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63A2A" w:rsidRPr="00263A2A" w:rsidRDefault="00263A2A" w:rsidP="00263A2A">
      <w:pPr>
        <w:spacing w:line="240" w:lineRule="auto"/>
        <w:ind w:firstLine="709"/>
        <w:jc w:val="center"/>
        <w:rPr>
          <w:rFonts w:ascii="Times New Roman" w:hAnsi="Times New Roman" w:cs="Times New Roman"/>
          <w:sz w:val="28"/>
          <w:szCs w:val="28"/>
        </w:rPr>
      </w:pPr>
      <w:r w:rsidRPr="00263A2A">
        <w:rPr>
          <w:rFonts w:ascii="Times New Roman" w:hAnsi="Times New Roman" w:cs="Times New Roman"/>
          <w:sz w:val="28"/>
          <w:szCs w:val="28"/>
        </w:rPr>
        <w:t>Рисунок 7 – Уровень доступа к мобильному широкополосному интернету в Казахстане. Источник: [143].</w:t>
      </w:r>
    </w:p>
    <w:p w:rsidR="00263A2A" w:rsidRPr="00263A2A" w:rsidRDefault="00263A2A" w:rsidP="00263A2A">
      <w:pPr>
        <w:spacing w:line="240" w:lineRule="auto"/>
        <w:ind w:firstLine="709"/>
        <w:jc w:val="center"/>
        <w:rPr>
          <w:rFonts w:ascii="Times New Roman" w:hAnsi="Times New Roman" w:cs="Times New Roman"/>
          <w:sz w:val="28"/>
          <w:szCs w:val="28"/>
        </w:rPr>
      </w:pPr>
    </w:p>
    <w:p w:rsidR="00263A2A" w:rsidRPr="00263A2A" w:rsidRDefault="00263A2A" w:rsidP="00263A2A">
      <w:pPr>
        <w:spacing w:line="240" w:lineRule="auto"/>
        <w:ind w:firstLine="709"/>
        <w:jc w:val="both"/>
        <w:rPr>
          <w:rFonts w:ascii="Times New Roman" w:hAnsi="Times New Roman" w:cs="Times New Roman"/>
          <w:sz w:val="28"/>
          <w:szCs w:val="28"/>
        </w:rPr>
      </w:pPr>
      <w:r w:rsidRPr="00263A2A">
        <w:rPr>
          <w:rFonts w:ascii="Times New Roman" w:hAnsi="Times New Roman" w:cs="Times New Roman"/>
          <w:noProof/>
          <w:sz w:val="28"/>
          <w:szCs w:val="28"/>
          <w:lang w:eastAsia="ru-RU"/>
        </w:rPr>
        <w:lastRenderedPageBreak/>
        <w:drawing>
          <wp:inline distT="0" distB="0" distL="0" distR="0" wp14:anchorId="520E3237" wp14:editId="05A94006">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63A2A" w:rsidRPr="00263A2A" w:rsidRDefault="00263A2A" w:rsidP="00263A2A">
      <w:pPr>
        <w:spacing w:line="240" w:lineRule="auto"/>
        <w:ind w:firstLine="709"/>
        <w:jc w:val="center"/>
        <w:rPr>
          <w:rFonts w:ascii="Times New Roman" w:hAnsi="Times New Roman" w:cs="Times New Roman"/>
          <w:sz w:val="28"/>
          <w:szCs w:val="28"/>
        </w:rPr>
      </w:pPr>
      <w:r w:rsidRPr="00263A2A">
        <w:rPr>
          <w:rFonts w:ascii="Times New Roman" w:hAnsi="Times New Roman" w:cs="Times New Roman"/>
          <w:sz w:val="28"/>
          <w:szCs w:val="28"/>
        </w:rPr>
        <w:t>Рисунок 8 – Количество интернет-пользователей в Казахстане. Источник: [144]</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Таким образом, согласно вышеобозначенным статистическим данным, информационно-технологические возможности современного Казахстана достаточны для применения их в качестве инструмента использования в деятельности институтов гражданского общества.</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Нужно учитывать, что степень общественно-политической активности как граждан, так и институтов гражданского общества, по-видимому, не соответствует уровню развития информационных технологий в республике. Согласно теории технологического детерминизма, информационные технологии могли бы ускорить эволюцию общественно-политических институтов в Казахстане, упростив коммуникацию, вовлекая всё большее число заинтересованных людей в работу общественных объединений.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Второе теоретическое направление называется теорией социальных сил и рассматривает фактор информационных технологий более сдержанно.</w:t>
      </w:r>
      <w:r w:rsidRPr="00263A2A">
        <w:rPr>
          <w:rFonts w:ascii="Times New Roman" w:hAnsi="Times New Roman" w:cs="Times New Roman"/>
          <w:sz w:val="28"/>
        </w:rPr>
        <w:t xml:space="preserve"> Его сторонники полагают, что гражданское общество радикально не меняется под воздействием информационных технологий, но эволюционирует и подстраивается под изменяющуюся цифровую среду [145, р. 85]. Несмотря на бурный информационно-технологический рост, институты, нормы, ценности, установки и особенности политической системы того или иного государства происходят из истории его развития. В данном случае, как представляется, работает принцип «Path dependence» - если институты гражданского общества в ходе всего исторического пути не применяли информационные технологии активно, ситуация не может положительно измениться за очень короткий срок, и в этом случае, информационные технологии не способны оказать радикальное воздействие на институты гражданского общества. Толчком может послужить лишь кризисная ситуация, которая продемонстрирует важность и полезность информационных технологий. Однако, даже в этом случае, моментального </w:t>
      </w:r>
      <w:r w:rsidRPr="00263A2A">
        <w:rPr>
          <w:rFonts w:ascii="Times New Roman" w:hAnsi="Times New Roman" w:cs="Times New Roman"/>
          <w:sz w:val="28"/>
        </w:rPr>
        <w:lastRenderedPageBreak/>
        <w:t xml:space="preserve">эффекта социальные медиа не окажут. Информационные технологии не решают многих проблем, например, не уничтожают дискриминации и неравенства [145, р. 92]. Сторонники теории социальных сил считают, что информационные технологии вовсе не оказывают какого-либо существенного трансформирующего влияния на гражданское общество [145, р. 94].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Теория социальных сил утверждает, что культурные нормы, экономические условия, правовые нормы задают пути для развития информационных технологий, но не наоборот. Поэтому учёные, разрабатывающие это направление, считают, что исследовательский вопрос при изучении темы воздействия информационных технологий на гражданское общество должен звучать не «Что новая технология сделала для людей?», но «Как люди используют новую технологию?» [120, с. 223].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Сторонники теории социальных сил полагают, что термин «новые технологии» вводит в заблуждение и уводит исследователей в сторону от «старых» проблем, порождённых политической системой конкретного государства. По их мнению, представители технологического детерминизма склонны к избыточной абсолютизации потенциала цифровых технологий в контексте решения обозначенных проблем [146, р. 51]. </w:t>
      </w:r>
      <w:r w:rsidRPr="00263A2A">
        <w:rPr>
          <w:rFonts w:ascii="Times New Roman" w:hAnsi="Times New Roman" w:cs="Times New Roman"/>
          <w:i/>
          <w:sz w:val="28"/>
        </w:rPr>
        <w:t>Сторонники теории социальных сил приводят четыре наиболее весомых аргумента, указывающие, по их мнению, на неверную позицию сторонников технологического детерминизма</w:t>
      </w:r>
      <w:r w:rsidRPr="00263A2A">
        <w:rPr>
          <w:rFonts w:ascii="Times New Roman" w:hAnsi="Times New Roman" w:cs="Times New Roman"/>
          <w:sz w:val="28"/>
        </w:rPr>
        <w:t>.</w:t>
      </w:r>
    </w:p>
    <w:p w:rsidR="00263A2A" w:rsidRPr="00263A2A" w:rsidRDefault="00263A2A" w:rsidP="008465D6">
      <w:pPr>
        <w:numPr>
          <w:ilvl w:val="0"/>
          <w:numId w:val="3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Критика технологического детерминизма в целом</w:t>
      </w:r>
      <w:r w:rsidRPr="00263A2A">
        <w:rPr>
          <w:rFonts w:ascii="Times New Roman" w:hAnsi="Times New Roman" w:cs="Times New Roman"/>
          <w:sz w:val="28"/>
        </w:rPr>
        <w:t xml:space="preserve">. </w:t>
      </w:r>
      <w:r w:rsidRPr="00263A2A">
        <w:rPr>
          <w:rFonts w:ascii="Times New Roman" w:hAnsi="Times New Roman" w:cs="Times New Roman"/>
          <w:bCs/>
          <w:sz w:val="28"/>
          <w:lang w:val="en-US"/>
        </w:rPr>
        <w:t>L</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Winner</w:t>
      </w:r>
      <w:r w:rsidRPr="00263A2A">
        <w:rPr>
          <w:rFonts w:ascii="Times New Roman" w:hAnsi="Times New Roman" w:cs="Times New Roman"/>
          <w:bCs/>
          <w:sz w:val="28"/>
        </w:rPr>
        <w:t xml:space="preserve"> </w:t>
      </w:r>
      <w:r w:rsidRPr="00263A2A">
        <w:rPr>
          <w:rFonts w:ascii="Times New Roman" w:hAnsi="Times New Roman" w:cs="Times New Roman"/>
          <w:sz w:val="28"/>
        </w:rPr>
        <w:t>[147, р. 33] считает, то технологический детерминизм – это уверенность, что технологии – основное и единственное средство, которое определяет уровень развитости культуры, общества и государства. Он полагает, что данное утверждение слишком однозначно и считает, что на самом деле значение имеет социальная и экономическая система, в рамках которой развиваются технологии [147, р. 38]. Таким образом, не технологии задают развитие общественных институтов, но социальный контекст, состояние экономики, политики, науки и культуры в целом.</w:t>
      </w:r>
    </w:p>
    <w:p w:rsidR="00263A2A" w:rsidRPr="00263A2A" w:rsidRDefault="00263A2A" w:rsidP="008465D6">
      <w:pPr>
        <w:numPr>
          <w:ilvl w:val="0"/>
          <w:numId w:val="3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Иллюзия контроля информации в Сети</w:t>
      </w:r>
      <w:r w:rsidRPr="00263A2A">
        <w:rPr>
          <w:rFonts w:ascii="Times New Roman" w:hAnsi="Times New Roman" w:cs="Times New Roman"/>
          <w:sz w:val="28"/>
        </w:rPr>
        <w:t>. Пользователи интернета, социальных медиа ошибочно полагают, что способны контролировать информацию, поступающую к ним посредством подписки на определённые каналы, наличию функции подбора контента, исходя из предпочтений пользователя. На самом деле, ситуация обратна – социальные медиа способны манипулировать пользователями [148, р. 392]. Фактически, большинство людей становится участниками сетевого взаимодействия в интернете, чтобы сохранить свои офлайн контакты и не выпасть из общества. Не имея аккаунта в социальных сетях, не пользуясь мессенджерами, индивид может чувствовать отчуждение, соответственно, возможности его информированности (а также вовлечённости в общественно-политическую жизнь) снижаются [149, р. 65]. Кроме того, возникают вопросы, насколько информационные технологии способны создавать прочные онлайн альянсы, связи и ассоциации, которые впоследствии могут создать основу институтов гражданского общества [150, р. 78].</w:t>
      </w:r>
    </w:p>
    <w:p w:rsidR="00263A2A" w:rsidRPr="00263A2A" w:rsidRDefault="00263A2A" w:rsidP="008465D6">
      <w:pPr>
        <w:numPr>
          <w:ilvl w:val="0"/>
          <w:numId w:val="3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lastRenderedPageBreak/>
        <w:t>Критика возможностей информационных технологий в демократизации и модернизации обществ</w:t>
      </w:r>
      <w:r w:rsidRPr="00263A2A">
        <w:rPr>
          <w:rFonts w:ascii="Times New Roman" w:hAnsi="Times New Roman" w:cs="Times New Roman"/>
          <w:sz w:val="28"/>
        </w:rPr>
        <w:t xml:space="preserve">. Сторонники технологического детерминизма утверждают, что государство постепенно теряет свою власть, и гражданское общество получает больше шансов на увеличение автономности от государства при развитых информационных технологиях. Гражданское общество способно с их помощью усилить влияние на массовое общество. В этом случае, как полагает </w:t>
      </w:r>
      <w:r w:rsidRPr="00263A2A">
        <w:rPr>
          <w:rFonts w:ascii="Times New Roman" w:hAnsi="Times New Roman" w:cs="Times New Roman"/>
          <w:bCs/>
          <w:sz w:val="28"/>
          <w:lang w:val="en-US"/>
        </w:rPr>
        <w:t>C</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May</w:t>
      </w:r>
      <w:r w:rsidRPr="00263A2A">
        <w:rPr>
          <w:rFonts w:ascii="Times New Roman" w:hAnsi="Times New Roman" w:cs="Times New Roman"/>
          <w:bCs/>
          <w:sz w:val="28"/>
        </w:rPr>
        <w:t xml:space="preserve"> (сторонник теории социальных сил), представители </w:t>
      </w:r>
      <w:r w:rsidRPr="00263A2A">
        <w:rPr>
          <w:rFonts w:ascii="Times New Roman" w:hAnsi="Times New Roman" w:cs="Times New Roman"/>
          <w:sz w:val="28"/>
        </w:rPr>
        <w:t>технологического детерминизма упускают из виду тот факт, что государство по-прежнему остаётся единственным институтом, обладающим легитимной властью и способным воздействовать на развитие и распространение технологий, регулировать информационные потоки [151, р. 13] и, при необходимости, ограничивать доступ к ним как граждан, так и институтов.</w:t>
      </w:r>
    </w:p>
    <w:p w:rsidR="00263A2A" w:rsidRPr="00263A2A" w:rsidRDefault="00263A2A" w:rsidP="008465D6">
      <w:pPr>
        <w:numPr>
          <w:ilvl w:val="0"/>
          <w:numId w:val="3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Цифровая инфраструктура находится преимущественно в руках государства, соответственно, зависит от него</w:t>
      </w:r>
      <w:r w:rsidRPr="00263A2A">
        <w:rPr>
          <w:rFonts w:ascii="Times New Roman" w:hAnsi="Times New Roman" w:cs="Times New Roman"/>
          <w:sz w:val="28"/>
        </w:rPr>
        <w:t>.  Доступ к инфраструктуре может быть неодинаков среди граждан и институтов гражданского общества. Соответственно, цифровой разрыв в обществе сохраняется, поскольку, к примеру, в городах доступ к инфраструктуре, а также качество услуг выше, нежели в сельской местности. Следовательно, в городской среде возможностей для привлечения информационных технологий к деятельности институтов гражданского общества больше, чем в сельской местности [152, р. 34].</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Выводы</w:t>
      </w:r>
      <w:r w:rsidRPr="00263A2A">
        <w:rPr>
          <w:rFonts w:ascii="Times New Roman" w:hAnsi="Times New Roman" w:cs="Times New Roman"/>
          <w:sz w:val="28"/>
        </w:rPr>
        <w:t xml:space="preserve">: </w:t>
      </w:r>
    </w:p>
    <w:p w:rsidR="00263A2A" w:rsidRPr="00263A2A" w:rsidRDefault="00263A2A" w:rsidP="008465D6">
      <w:pPr>
        <w:numPr>
          <w:ilvl w:val="0"/>
          <w:numId w:val="47"/>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Дихотомия технологического детерминизма и теории социальных сил отражает не только теоретическое противостояние, но и различие аналитических уровней рассмотрения влияния информационных технологий на гражданское общество. Первый фиксирует микро- и мезоуровневые эффекты информационных технологий (ускорение коммуникаций, снижение транзакционных издержек, расширение каналов участия), тогда как вторая актуализирует макроуровневые структурные ограничения (политический режим, государственный контроль инфраструктуры, социальное неравенство). Их синтез возможен через многоуровневый анализ, учитывающий цифровую грамотность, доступ к информационным технологиям и степень институциональной автономии институтов гражданского общества.</w:t>
      </w:r>
    </w:p>
    <w:p w:rsidR="00263A2A" w:rsidRPr="00263A2A" w:rsidRDefault="00263A2A" w:rsidP="008465D6">
      <w:pPr>
        <w:numPr>
          <w:ilvl w:val="0"/>
          <w:numId w:val="47"/>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 xml:space="preserve">Несмотря на значительный рост цифровой инфраструктуры и уровня интернет-проникновения в современном Казахстане, данные говорят о разрыве между технологическим потенциалом и фактической общественно-политической активностью институтов гражданского общества. Это указывает на методологическую ограниченность технологического детерминизма и необходимость учёта исторических, институциональных и культурных факторов при анализе развития гражданского общества. Информационные технологии выступают преимущественно как вспомогательный, а не автономный механизм формирования устойчивых общественных объединений. Виртуальные информационные сети эффективны главным образом в тех случаях, когда они опираются на уже существующие офлайн-сообщества и социальные связи. Интернет и социальные медиа усиливают коммуникацию и мобилизацию, но в </w:t>
      </w:r>
      <w:r w:rsidRPr="00263A2A">
        <w:rPr>
          <w:rFonts w:ascii="Times New Roman" w:hAnsi="Times New Roman" w:cs="Times New Roman"/>
          <w:sz w:val="28"/>
        </w:rPr>
        <w:lastRenderedPageBreak/>
        <w:t>большинстве случаев не способны самостоятельно генерировать устойчивое доверие, коллективную идентичность и институциональную вовлечённость «с нуля».</w:t>
      </w:r>
    </w:p>
    <w:p w:rsidR="00263A2A" w:rsidRPr="00263A2A" w:rsidRDefault="00263A2A" w:rsidP="008465D6">
      <w:pPr>
        <w:numPr>
          <w:ilvl w:val="0"/>
          <w:numId w:val="47"/>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Опыт Казахстана демонстрирует несоответствие между уровнем цифровизации общества и способностью гражданского общества к самоорганизации «снизу». Это подтверждает тезис теории социальных сил и подход исторического институционализма «</w:t>
      </w:r>
      <w:r w:rsidRPr="00263A2A">
        <w:rPr>
          <w:rFonts w:ascii="Times New Roman" w:hAnsi="Times New Roman" w:cs="Times New Roman"/>
          <w:sz w:val="28"/>
          <w:lang w:val="en-US"/>
        </w:rPr>
        <w:t>P</w:t>
      </w:r>
      <w:r w:rsidRPr="00263A2A">
        <w:rPr>
          <w:rFonts w:ascii="Times New Roman" w:hAnsi="Times New Roman" w:cs="Times New Roman"/>
          <w:sz w:val="28"/>
        </w:rPr>
        <w:t>ath dependence» о том, что технологии не инициируют институциональные изменения автоматически, а лишь отражают и усиливают уже существующие социально-политические практики.</w:t>
      </w:r>
    </w:p>
    <w:p w:rsidR="00263A2A" w:rsidRPr="00263A2A" w:rsidRDefault="00263A2A" w:rsidP="008465D6">
      <w:pPr>
        <w:numPr>
          <w:ilvl w:val="0"/>
          <w:numId w:val="47"/>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Информационные технологии не устраняют структурные асимметрии власти и неравенства, а в ряде случаев воспроизводят их в новой форме. Государственный контроль над цифровой инфраструктурой, манипулятивный потенциал социальных медиа, а также сохраняющийся цифровой разрыв между городскими и сельскими территориями ограничивают демократизирующий потенциал информационных технологий. В этом контексте интернет и социальные сети не столько ослабляют роль государства, сколько становятся объектом его регулирования и инструментом селективного допуска к общественно-политическому участию. Несмотря на усиленную политику цифровизации, проводимую государством как до, так и после Январских событий 2022 года, существует проблема цензурирования материалов, создание «эхо-камер» путём манипулирования контентом, что говорит о точечном и фрагментарном воздействии информационных технологий на политическую сферу.</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b/>
          <w:sz w:val="28"/>
        </w:rPr>
        <w:t>2.3 Определение понятий «социальная сеть» и «социальные медиа»</w:t>
      </w:r>
    </w:p>
    <w:p w:rsidR="00263A2A" w:rsidRPr="00263A2A" w:rsidRDefault="00263A2A" w:rsidP="00263A2A">
      <w:pPr>
        <w:spacing w:after="0" w:line="240" w:lineRule="auto"/>
        <w:ind w:firstLine="709"/>
        <w:jc w:val="both"/>
        <w:rPr>
          <w:rFonts w:ascii="Times New Roman" w:hAnsi="Times New Roman" w:cs="Times New Roman"/>
          <w:b/>
          <w:sz w:val="28"/>
        </w:rPr>
      </w:pPr>
      <w:r w:rsidRPr="00263A2A">
        <w:rPr>
          <w:rFonts w:ascii="Times New Roman" w:hAnsi="Times New Roman" w:cs="Times New Roman"/>
          <w:sz w:val="28"/>
        </w:rPr>
        <w:t xml:space="preserve">Рассматриваются определения терминов, необходимых в дальнейшем исследовании.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Социальная сеть</w:t>
      </w:r>
      <w:r w:rsidRPr="00263A2A">
        <w:rPr>
          <w:rFonts w:ascii="Times New Roman" w:hAnsi="Times New Roman" w:cs="Times New Roman"/>
          <w:sz w:val="28"/>
        </w:rPr>
        <w:t>: 1) это интерактивный сайт, объединяющий множество пользователей, контент которого создаётся ими самими; 2) это социальная офлайн структура, включающая в себя людей, организации, группы, которые связаны между собой общими интересами и виртуальными взаимоотношениями [153, с. 17]. Соответственно, социальной сетью можно именовать как определённый тип взаимоотношений, осуществляемых в офлайн режиме, так и специализированные сайты в интернете. Связи между участниками в социальной сети развиваются лавинообразно, однако, не бесконтрольно.</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В целом, в исследованиях виртуальных социальных сетей можно выделить два подхода. Сторонники первого акцентируют внимание на технической стороне. Социальные сети характеризуются как веб-платформы, которые позволяют пользователям: 1) создавать профили; 2) формировать список пользователей, разделяющих интересы определённого пользователя; 3) просматривать связи других пользователей [154, р. 49]. Другой подход ставит на первое место социальное взаимодействие пользователей, пусть и имеющее место в виртуальном пространстве. Социальные сети – это виртуальные сообщества, </w:t>
      </w:r>
      <w:r w:rsidRPr="00263A2A">
        <w:rPr>
          <w:rFonts w:ascii="Times New Roman" w:hAnsi="Times New Roman" w:cs="Times New Roman"/>
          <w:sz w:val="28"/>
        </w:rPr>
        <w:lastRenderedPageBreak/>
        <w:t>позволяющие устанавливать связи и взаимодействовать друг с другом с определёнными целями или для совместного времяпрепровождения [155,</w:t>
      </w:r>
      <w:r w:rsidRPr="00263A2A">
        <w:rPr>
          <w:rFonts w:ascii="Times New Roman" w:eastAsiaTheme="minorEastAsia" w:hAnsi="Times New Roman" w:cs="Times New Roman"/>
          <w:sz w:val="24"/>
          <w:szCs w:val="28"/>
          <w:lang w:eastAsia="ru-RU"/>
        </w:rPr>
        <w:t xml:space="preserve"> </w:t>
      </w:r>
      <w:r w:rsidRPr="00263A2A">
        <w:rPr>
          <w:rFonts w:ascii="Times New Roman" w:hAnsi="Times New Roman" w:cs="Times New Roman"/>
          <w:sz w:val="28"/>
        </w:rPr>
        <w:t>р. 57].</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Далее рассмотрим </w:t>
      </w:r>
      <w:r w:rsidRPr="00263A2A">
        <w:rPr>
          <w:rFonts w:ascii="Times New Roman" w:hAnsi="Times New Roman" w:cs="Times New Roman"/>
          <w:i/>
          <w:sz w:val="28"/>
        </w:rPr>
        <w:t>теорию социального капитала</w:t>
      </w:r>
      <w:r w:rsidRPr="00263A2A">
        <w:rPr>
          <w:rFonts w:ascii="Times New Roman" w:hAnsi="Times New Roman" w:cs="Times New Roman"/>
          <w:sz w:val="28"/>
        </w:rPr>
        <w:t>, разделяемую некоторыми неоинституционалистами (</w:t>
      </w:r>
      <w:r w:rsidRPr="00263A2A">
        <w:rPr>
          <w:rFonts w:ascii="Times New Roman" w:hAnsi="Times New Roman" w:cs="Times New Roman"/>
          <w:sz w:val="28"/>
          <w:lang w:val="en-US"/>
        </w:rPr>
        <w:t>R</w:t>
      </w:r>
      <w:r w:rsidRPr="00263A2A">
        <w:rPr>
          <w:rFonts w:ascii="Times New Roman" w:hAnsi="Times New Roman" w:cs="Times New Roman"/>
          <w:sz w:val="28"/>
        </w:rPr>
        <w:t xml:space="preserve">. </w:t>
      </w:r>
      <w:r w:rsidRPr="00263A2A">
        <w:rPr>
          <w:rFonts w:ascii="Times New Roman" w:hAnsi="Times New Roman" w:cs="Times New Roman"/>
          <w:sz w:val="28"/>
          <w:lang w:val="en-US"/>
        </w:rPr>
        <w:t>Putnam</w:t>
      </w:r>
      <w:r w:rsidRPr="00263A2A">
        <w:rPr>
          <w:rFonts w:ascii="Times New Roman" w:hAnsi="Times New Roman" w:cs="Times New Roman"/>
          <w:sz w:val="28"/>
        </w:rPr>
        <w:t xml:space="preserve">), которая поможет уточнить определение термина «социальная сеть». Существует точка зрения, что офлайн социальные сети, выстроенные по горизонтальному принципу и лишённые иерархизированности, способны повлиять на решения индивида участвовать в деятельности какой-либо общественной организации. Участники сети имеют возможность усилить уже существующие отношения и установить новые. </w:t>
      </w:r>
      <w:r w:rsidRPr="00263A2A">
        <w:rPr>
          <w:rFonts w:ascii="Times New Roman" w:hAnsi="Times New Roman" w:cs="Times New Roman"/>
          <w:i/>
          <w:sz w:val="28"/>
        </w:rPr>
        <w:t>В рамках теории социального капитала под социальными сетями следует понимать отношения горизонтального типа, существующие в реальном мире, основанные на личном контакте</w:t>
      </w:r>
      <w:r w:rsidRPr="00263A2A">
        <w:rPr>
          <w:rFonts w:ascii="Times New Roman" w:hAnsi="Times New Roman" w:cs="Times New Roman"/>
          <w:sz w:val="28"/>
        </w:rPr>
        <w:t>. Идентичность с социальной сетью и группами внутри неё способна сформировать новые сети отношений, выстроенные на доверии между членами. Отношения такого рода являются основой для неформальной коммуникации и последующей поддержки членами друг друга. Развитая сеть таких отношений внутри институтов гражданского общества лежит в основе формирования социального капитала [156, р.13].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Социальные сетевые отношения являются не только средством упрощения участия индивида в деятельности общественных объединений, но и продуктом участия. В процессе участия в мероприятиях организации индивид устанавливает отношения с другими участниками, что, впоследствии, может оказать воздействие на его желание участвовать [156, р. 14].</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Сторонники теории социального капитала полагают, что социальные сети являются своеобразной гарантией того, что индивид не покинет организацию внезапно и продолжит своё участие в ней [157, р. 160]. Социальные сети имеют возможность оказывать влияние на формирование коллективного «мы» в процессе самоидентификации индивидов в рамках института гражданского общества [158, р. 483]. Поскольку, как утверждали сторонники теории идентичности, решение участвовать зависит от социального контекста, социальные сети могут играть его роль. Социальные сети являются очень важным инструментом мобилизации участников в общественные организации, деятельность которых слабо освещена в СМИ и мало известна широкой общественности. Напротив, очень известные организации менее нуждаются в социальных сетях как в способе рекрутирования новых членов [159, р. 26]. Исследователи роли социальных сетей [159, р. 28] заметили, что их значимость в мобилизации к участию индивидов в деятельности институтов гражданского общества весьма значительна. Лишь крайне закрытые организации религиозного характера не подвержены воздействию социальных сетей. Однако, существует противоположная точка зрения [160, р. 366] о том, что социальные сети не способны играть решающей стимулирующей роли. В частности, вовлечённость в ассоциации культурного или спортивного направления не требует наличия серьёзных социальных сетевых отношений для участия [161, р. 1383]. </w:t>
      </w:r>
      <w:r w:rsidRPr="00263A2A">
        <w:rPr>
          <w:rFonts w:ascii="Times New Roman" w:hAnsi="Times New Roman" w:cs="Times New Roman"/>
          <w:bCs/>
          <w:sz w:val="28"/>
          <w:lang w:val="en-US"/>
        </w:rPr>
        <w:t>R</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Stark</w:t>
      </w:r>
      <w:r w:rsidRPr="00263A2A">
        <w:rPr>
          <w:rFonts w:ascii="Times New Roman" w:hAnsi="Times New Roman" w:cs="Times New Roman"/>
          <w:bCs/>
          <w:sz w:val="28"/>
        </w:rPr>
        <w:t xml:space="preserve"> и </w:t>
      </w:r>
      <w:r w:rsidRPr="00263A2A">
        <w:rPr>
          <w:rFonts w:ascii="Times New Roman" w:hAnsi="Times New Roman" w:cs="Times New Roman"/>
          <w:bCs/>
          <w:sz w:val="28"/>
          <w:lang w:val="en-US"/>
        </w:rPr>
        <w:t>W</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Bainbridge</w:t>
      </w:r>
      <w:r w:rsidRPr="00263A2A">
        <w:rPr>
          <w:rFonts w:ascii="Times New Roman" w:hAnsi="Times New Roman" w:cs="Times New Roman"/>
          <w:bCs/>
          <w:sz w:val="28"/>
        </w:rPr>
        <w:t xml:space="preserve"> </w:t>
      </w:r>
      <w:r w:rsidRPr="00263A2A">
        <w:rPr>
          <w:rFonts w:ascii="Times New Roman" w:hAnsi="Times New Roman" w:cs="Times New Roman"/>
          <w:sz w:val="28"/>
        </w:rPr>
        <w:t xml:space="preserve">утверждают, что этот тезис касается всех организаций, чья деятельность связана с получением материального вознаграждения (то есть, тех, </w:t>
      </w:r>
      <w:r w:rsidRPr="00263A2A">
        <w:rPr>
          <w:rFonts w:ascii="Times New Roman" w:hAnsi="Times New Roman" w:cs="Times New Roman"/>
          <w:sz w:val="28"/>
        </w:rPr>
        <w:lastRenderedPageBreak/>
        <w:t>где членство предполагает определённые материальные выплаты, организация получает финансовую компенсацию, покинуть её легко, она заинтересована не столько в самих участниках, сколько во взносах, выплачиваемых ими) [161, р. 1386]. Выход участника из организации не приносит практически никаких негативных проявлений. Однако, применительно к общественно-политическим организациям, занимающимся безвозмездной деятельностью, ситуация несколько иная. Решение об участии принимается на основе нематериального интереса индивида к деятельности организации [161, р. 1388]. Оставление индивидом организации, как правило, является индикатором её неэффективности, что несёт негативные последствия как для индивида – возможное снижение активности и желания участвовать, так и для самой организации – сложности в рекрутировании потенциальных участников.</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Тем не менее, мы должны иметь в виду, что даже при условии, что социальные сети не являются серьёзным стимулом для участия, они способны распространять идеи, представления, отношения к тому или иному институту гражданского общества. Следовательно, они могут служить проводником идентичности как членов какой-либо организации, выступая в роли социального контекста и своеобразного «отражателя», так и выступать проводником идентичности самой организации, распространяя информацию о ней.</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Тезис о том, что социальные сети способны облегчить процесс рекрутирования в общественные объединения справедлив ещё и потому, что специфика казахстанской социально-политической реальности такова, что индивид более склонен принять участие в деятельности такой организации, если его близкие друзья или родственники уже участвуют там. Он полагает, что они откровенно расскажут ему о специфике организации и он получит информацию, которую едва ли удастся получить через СМИ и незнакомых ему представителей организации. Данный тезис подтверждается результатами нашего оригинального социологического исследования, а также результатами глубинного интервью представителей молодёжных общественных организаций Казахстана.</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Как представляется, (и это не только проблема казахстанских общественных объединений) институтам с чётко выраженной политической линией достаточно сложно привлечь участников, в том числе, и на основе социальных сетей [162, р. 209]. Идеология, деятельность в политической среде может отпугнуть потенциальных участников как рискованная, непредсказуемая, что может послужить ингибирующим фактором в процессе рекрутирования членов. Этот тезис находит подтверждение как в результатах авторского социологического опроса, так и в результатах регрессионного анализа его данных, приведённых в Главе 3.</w:t>
      </w:r>
    </w:p>
    <w:p w:rsidR="00263A2A" w:rsidRPr="00263A2A" w:rsidRDefault="00263A2A" w:rsidP="00263A2A">
      <w:pPr>
        <w:spacing w:after="0" w:line="240" w:lineRule="auto"/>
        <w:ind w:firstLine="709"/>
        <w:jc w:val="both"/>
        <w:rPr>
          <w:rFonts w:ascii="Times New Roman" w:hAnsi="Times New Roman" w:cs="Times New Roman"/>
          <w:i/>
          <w:sz w:val="28"/>
        </w:rPr>
      </w:pPr>
      <w:r w:rsidRPr="00263A2A">
        <w:rPr>
          <w:rFonts w:ascii="Times New Roman" w:hAnsi="Times New Roman" w:cs="Times New Roman"/>
          <w:sz w:val="28"/>
        </w:rPr>
        <w:t xml:space="preserve">Подведём промежуточный итог и обозначим, </w:t>
      </w:r>
      <w:r w:rsidRPr="00263A2A">
        <w:rPr>
          <w:rFonts w:ascii="Times New Roman" w:hAnsi="Times New Roman" w:cs="Times New Roman"/>
          <w:i/>
          <w:sz w:val="28"/>
        </w:rPr>
        <w:t>какова роль офлайн социальных сетей в: 1) формировании идентичности участников; 2) в рекрутировании новых членов в институты гражданского общества:</w:t>
      </w:r>
    </w:p>
    <w:p w:rsidR="00263A2A" w:rsidRPr="00263A2A" w:rsidRDefault="00263A2A" w:rsidP="008465D6">
      <w:pPr>
        <w:numPr>
          <w:ilvl w:val="0"/>
          <w:numId w:val="33"/>
        </w:numPr>
        <w:spacing w:after="0" w:line="240" w:lineRule="auto"/>
        <w:ind w:left="0" w:firstLine="709"/>
        <w:jc w:val="both"/>
        <w:rPr>
          <w:rFonts w:ascii="Times New Roman" w:hAnsi="Times New Roman" w:cs="Times New Roman"/>
          <w:sz w:val="28"/>
        </w:rPr>
      </w:pPr>
      <w:r w:rsidRPr="00263A2A">
        <w:rPr>
          <w:rFonts w:ascii="Times New Roman" w:hAnsi="Times New Roman" w:cs="Times New Roman"/>
          <w:sz w:val="28"/>
        </w:rPr>
        <w:t>Роль социальных сетей варьируется в зависимости от направления деятельности организации, а также потенциальных издержек, которые может понести индивид как материального, так и нематериального характера.</w:t>
      </w:r>
    </w:p>
    <w:p w:rsidR="00263A2A" w:rsidRPr="00263A2A" w:rsidRDefault="00263A2A" w:rsidP="008465D6">
      <w:pPr>
        <w:numPr>
          <w:ilvl w:val="0"/>
          <w:numId w:val="33"/>
        </w:numPr>
        <w:spacing w:after="0" w:line="240" w:lineRule="auto"/>
        <w:ind w:left="0" w:firstLine="709"/>
        <w:jc w:val="both"/>
        <w:rPr>
          <w:rFonts w:ascii="Times New Roman" w:hAnsi="Times New Roman" w:cs="Times New Roman"/>
          <w:sz w:val="28"/>
        </w:rPr>
      </w:pPr>
      <w:r w:rsidRPr="00263A2A">
        <w:rPr>
          <w:rFonts w:ascii="Times New Roman" w:hAnsi="Times New Roman" w:cs="Times New Roman"/>
          <w:sz w:val="28"/>
        </w:rPr>
        <w:lastRenderedPageBreak/>
        <w:t>Роль социальных сетей заметна в формировании идентичности как участников института, так и самого института, поскольку они служат проводником культуры участия.</w:t>
      </w:r>
    </w:p>
    <w:p w:rsidR="00263A2A" w:rsidRPr="00263A2A" w:rsidRDefault="00263A2A" w:rsidP="008465D6">
      <w:pPr>
        <w:numPr>
          <w:ilvl w:val="0"/>
          <w:numId w:val="33"/>
        </w:numPr>
        <w:spacing w:after="0" w:line="240" w:lineRule="auto"/>
        <w:ind w:left="0" w:firstLine="709"/>
        <w:jc w:val="both"/>
        <w:rPr>
          <w:rFonts w:ascii="Times New Roman" w:hAnsi="Times New Roman" w:cs="Times New Roman"/>
          <w:sz w:val="28"/>
        </w:rPr>
      </w:pPr>
      <w:r w:rsidRPr="00263A2A">
        <w:rPr>
          <w:rFonts w:ascii="Times New Roman" w:hAnsi="Times New Roman" w:cs="Times New Roman"/>
          <w:sz w:val="28"/>
        </w:rPr>
        <w:t xml:space="preserve">Социальные сети, особенно объединяющие различные инклюзивные организации, способны стать основой для формирования доверия между участниками. Доверие участников друг к другу в рамках институтов является основой социального капитала, что служит фундаментом для развития гражданской культуры [7, р. 156]. Доверие в данном контексте рассматривается как отношения между знакомыми людьми, которых объединяют не просто рамки института, но и совместное участие в его деятельности. Специфика данного тезиса в том, что участие формирует доверие между посторонними людьми, которые не являются близкими родственниками. </w:t>
      </w:r>
    </w:p>
    <w:p w:rsidR="00263A2A" w:rsidRPr="00263A2A" w:rsidRDefault="00263A2A" w:rsidP="00263A2A">
      <w:pPr>
        <w:spacing w:after="0" w:line="240" w:lineRule="auto"/>
        <w:ind w:firstLine="709"/>
        <w:jc w:val="both"/>
        <w:rPr>
          <w:rFonts w:ascii="Times New Roman" w:hAnsi="Times New Roman" w:cs="Times New Roman"/>
          <w:b/>
          <w:i/>
          <w:sz w:val="28"/>
          <w:u w:val="single"/>
        </w:rPr>
      </w:pPr>
      <w:r w:rsidRPr="00263A2A">
        <w:rPr>
          <w:rFonts w:ascii="Times New Roman" w:hAnsi="Times New Roman" w:cs="Times New Roman"/>
          <w:i/>
          <w:sz w:val="28"/>
        </w:rPr>
        <w:t>Социальные медиа и молодёжные общественные организации: специфика взаимосвязи.</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Социальные медиа привлекают молодёжь по причинам наличия определённых опций, таких как: возможность указать информацию о себе; демонстрация информации о том, кто в данный момент находится на сайте и с кем, соответственно, можно вступать в диалог; формировать группы по интересам, привлекая как друзей, так и малознакомых и незнакомых людей; возможность отслеживать поведение конкретного участника внутри сети, возможность совместного творчества, участия в создании видео, текстов, иной информации [163, р. 15].</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Социальные медиа имеют уникальную в сравнении с другими информационными технологиями функцию – возможность делиться материалами с другими участниками сетевого взаимодействия. Следовательно, это расширяет возможности по организации процесса отношений. Социальные медиа можно разделить на общедоступные, для которых не важны особенности участников, будь то гендерные, профессиональные, финансовые характеристики, и специальные, создаваемые для участников, объединённых общими признаками и направленные на решение общей задачи [164, р. 105]. Особенность интернета и современных устройств в том, что они позволяют уместить разношёрстный контент в одном месте. Раньше информация распространялась при помощи различных носителей – книги, радио, телевидение. Сейчас всё можно найти в одной ленте новостей в виртуальной социальной сети [145, р. 15]. Ещё одна особенность интернета в том, что пользователи могут сами создавать оригинальный контент, одновременно являясь и производителями, и потребителями информации. Помимо этого, современные электронные устройства очень мобильны (такие, например, как смартфоны), следовательно, это облегчает и ускоряет доступ к контенту, так как можно зайти в интернет, находясь где угодно [145, р. 15]. </w:t>
      </w:r>
    </w:p>
    <w:p w:rsidR="00263A2A" w:rsidRPr="00263A2A" w:rsidRDefault="00263A2A" w:rsidP="00263A2A">
      <w:pPr>
        <w:spacing w:after="0" w:line="240" w:lineRule="auto"/>
        <w:ind w:firstLine="709"/>
        <w:jc w:val="both"/>
        <w:rPr>
          <w:rFonts w:ascii="Times New Roman" w:hAnsi="Times New Roman" w:cs="Times New Roman"/>
          <w:b/>
          <w:i/>
          <w:sz w:val="28"/>
          <w:u w:val="single"/>
        </w:rPr>
      </w:pPr>
      <w:r w:rsidRPr="00263A2A">
        <w:rPr>
          <w:rFonts w:ascii="Times New Roman" w:hAnsi="Times New Roman" w:cs="Times New Roman"/>
          <w:sz w:val="28"/>
        </w:rPr>
        <w:t xml:space="preserve">Далее рассмотрим понятия </w:t>
      </w:r>
      <w:r w:rsidRPr="00263A2A">
        <w:rPr>
          <w:rFonts w:ascii="Times New Roman" w:hAnsi="Times New Roman" w:cs="Times New Roman"/>
          <w:i/>
          <w:sz w:val="28"/>
        </w:rPr>
        <w:t>«традиционные медиа», «новые медиа», «социальные медиа».</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Слово «медиа» произошло от латинского слова «медиус», что означало «середина». </w:t>
      </w:r>
      <w:r w:rsidRPr="00263A2A">
        <w:rPr>
          <w:rFonts w:ascii="Times New Roman" w:hAnsi="Times New Roman" w:cs="Times New Roman"/>
          <w:i/>
          <w:sz w:val="28"/>
        </w:rPr>
        <w:t>Коммуникационные медиа</w:t>
      </w:r>
      <w:r w:rsidRPr="00263A2A">
        <w:rPr>
          <w:rFonts w:ascii="Times New Roman" w:hAnsi="Times New Roman" w:cs="Times New Roman"/>
          <w:sz w:val="28"/>
        </w:rPr>
        <w:t xml:space="preserve"> – это различные технологические </w:t>
      </w:r>
      <w:r w:rsidRPr="00263A2A">
        <w:rPr>
          <w:rFonts w:ascii="Times New Roman" w:hAnsi="Times New Roman" w:cs="Times New Roman"/>
          <w:sz w:val="28"/>
        </w:rPr>
        <w:lastRenderedPageBreak/>
        <w:t xml:space="preserve">инструменты, которые облегчают коммуникацию, то есть находятся посередине, между отправителем сообщения и его получателем [140, р. 8]. </w:t>
      </w:r>
      <w:r w:rsidRPr="00263A2A">
        <w:rPr>
          <w:rFonts w:ascii="Times New Roman" w:hAnsi="Times New Roman" w:cs="Times New Roman"/>
          <w:i/>
          <w:sz w:val="28"/>
        </w:rPr>
        <w:t>Масс медиа</w:t>
      </w:r>
      <w:r w:rsidRPr="00263A2A">
        <w:rPr>
          <w:rFonts w:ascii="Times New Roman" w:hAnsi="Times New Roman" w:cs="Times New Roman"/>
          <w:sz w:val="28"/>
        </w:rPr>
        <w:t xml:space="preserve"> – это медиа, имеющие относительно большую аудиторию обычно анонимных пользователей [140, р. 13].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Дадим определение традиционных медиа и «новых» медиа. </w:t>
      </w:r>
      <w:r w:rsidRPr="00263A2A">
        <w:rPr>
          <w:rFonts w:ascii="Times New Roman" w:hAnsi="Times New Roman" w:cs="Times New Roman"/>
          <w:i/>
          <w:sz w:val="28"/>
        </w:rPr>
        <w:t>Традиционные медиа характеризуются наличием следующих признаков</w:t>
      </w:r>
      <w:r w:rsidRPr="00263A2A">
        <w:rPr>
          <w:rFonts w:ascii="Times New Roman" w:hAnsi="Times New Roman" w:cs="Times New Roman"/>
          <w:sz w:val="28"/>
        </w:rPr>
        <w:t xml:space="preserve">: 1) отправитель сообщения известен (фамилия редактора газеты, ведущего телепередачи), получатель – нет (неизвестно, кто читает и смотрит полученную информацию); 2) неинтерактивные – нет обратной связи от получателя информации; 3) производители информации – специально обученные люди, получающие за работу материальное вознаграждение (журналисты). Обычные люди – только получатели. Обратная связь возможна лишь в случае, когда они могут послать письмо в газету, позвонить в студию во время прямого эфира, но будет ли принято письмо и их звонок – наверняка не известно [153].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Цифровизация и интернет стёрли границы между разными видами медиа. Исследователи полагают, что термин «новые» медиа не вполне подходит для характеристики явления. Однако, иного варианта термина пока не было предложено. Эти медиа далеко не новые – в 2018 году интернету исполнилось 30 лет. Но за неимением другого учёные используют этот термин [165, р. 95].  </w:t>
      </w:r>
    </w:p>
    <w:p w:rsidR="00263A2A" w:rsidRPr="00263A2A" w:rsidRDefault="00263A2A" w:rsidP="00263A2A">
      <w:pPr>
        <w:spacing w:after="0" w:line="240" w:lineRule="auto"/>
        <w:ind w:firstLine="709"/>
        <w:jc w:val="both"/>
        <w:rPr>
          <w:rFonts w:ascii="Times New Roman" w:hAnsi="Times New Roman" w:cs="Times New Roman"/>
          <w:i/>
          <w:sz w:val="28"/>
        </w:rPr>
      </w:pPr>
      <w:r w:rsidRPr="00263A2A">
        <w:rPr>
          <w:rFonts w:ascii="Times New Roman" w:hAnsi="Times New Roman" w:cs="Times New Roman"/>
          <w:i/>
          <w:sz w:val="28"/>
        </w:rPr>
        <w:t>В чем особенности «новых» медиа?</w:t>
      </w:r>
    </w:p>
    <w:p w:rsidR="00263A2A" w:rsidRPr="00263A2A" w:rsidRDefault="00263A2A" w:rsidP="008465D6">
      <w:pPr>
        <w:numPr>
          <w:ilvl w:val="0"/>
          <w:numId w:val="3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Интернет стирает различия в потребителях и производителях информации, то есть заменяет связь одного с многими на связь многих с многими по принципу сети. Возможны варианты распространения цифрового контента целенаправленно, когда известен получатель (и) сообщения (e-mail, мессенджер); когда идёт групповая коммуникация и число получателей ограничено (группа в социальных медиа, блог, паблик); и неограниченное число неизвестных получателей (вебсайты, форумы, каналы).</w:t>
      </w:r>
    </w:p>
    <w:p w:rsidR="00263A2A" w:rsidRPr="00263A2A" w:rsidRDefault="00263A2A" w:rsidP="008465D6">
      <w:pPr>
        <w:numPr>
          <w:ilvl w:val="0"/>
          <w:numId w:val="3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Проблема анонимности и её отсутствия у отправителей и получателей. С одной стороны, блогер или пользователь, подающий информацию, может использовать ник (псевдоним), поэтому идентифицировать его сложно, но возможно, благодаря IP адресу. Существуют анонимные сайты, где пользователи не идентифицируются вовсе. С другой стороны, некоторые сайты требуют регистрацию, чтобы посещать их, оставлять комментарии, присоединяться к группам.</w:t>
      </w:r>
    </w:p>
    <w:p w:rsidR="00263A2A" w:rsidRPr="00263A2A" w:rsidRDefault="00263A2A" w:rsidP="008465D6">
      <w:pPr>
        <w:numPr>
          <w:ilvl w:val="0"/>
          <w:numId w:val="3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Интерактивность присутствует, в том числе в обратной связи, выражаемая через комментарии, функции “like” («нравится») или “</w:t>
      </w:r>
      <w:r w:rsidRPr="00263A2A">
        <w:rPr>
          <w:rFonts w:ascii="Times New Roman" w:hAnsi="Times New Roman" w:cs="Times New Roman"/>
          <w:sz w:val="28"/>
          <w:lang w:val="en-US"/>
        </w:rPr>
        <w:t>dislike</w:t>
      </w:r>
      <w:r w:rsidRPr="00263A2A">
        <w:rPr>
          <w:rFonts w:ascii="Times New Roman" w:hAnsi="Times New Roman" w:cs="Times New Roman"/>
          <w:sz w:val="28"/>
        </w:rPr>
        <w:t>” («не нравится») и аналогичные, возможности прямого участия в формировании контента.</w:t>
      </w:r>
    </w:p>
    <w:p w:rsidR="00263A2A" w:rsidRPr="00263A2A" w:rsidRDefault="00263A2A" w:rsidP="008465D6">
      <w:pPr>
        <w:numPr>
          <w:ilvl w:val="0"/>
          <w:numId w:val="3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Как уже говорилось, потребитель информации может сам стать автором при наличии определённых технологий (интернет, смартфон) и элементарной цифровой грамотности [153].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Таким образом, новые медиа объединяют социальные медиа различного рода, такие как онлайн социальные сети, веб-сайты, онлайн радио, телетрансляции.</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lastRenderedPageBreak/>
        <w:t>Социальные медиа</w:t>
      </w:r>
      <w:r w:rsidRPr="00263A2A">
        <w:rPr>
          <w:rFonts w:ascii="Times New Roman" w:hAnsi="Times New Roman" w:cs="Times New Roman"/>
          <w:sz w:val="28"/>
        </w:rPr>
        <w:t xml:space="preserve"> можно определить, как группу интернет-платформ, которые основаны на идеологии и технологии Web 2.0 и позволяют создавать и обмениваться контентом, сгенерированным пользователями [166, р. 62]. Американский исследователь </w:t>
      </w:r>
      <w:r w:rsidRPr="00263A2A">
        <w:rPr>
          <w:rFonts w:ascii="Times New Roman" w:hAnsi="Times New Roman" w:cs="Times New Roman"/>
          <w:sz w:val="28"/>
          <w:lang w:val="en-US"/>
        </w:rPr>
        <w:t>Sean</w:t>
      </w:r>
      <w:r w:rsidRPr="00263A2A">
        <w:rPr>
          <w:rFonts w:ascii="Times New Roman" w:hAnsi="Times New Roman" w:cs="Times New Roman"/>
          <w:sz w:val="28"/>
        </w:rPr>
        <w:t xml:space="preserve"> </w:t>
      </w:r>
      <w:r w:rsidRPr="00263A2A">
        <w:rPr>
          <w:rFonts w:ascii="Times New Roman" w:hAnsi="Times New Roman" w:cs="Times New Roman"/>
          <w:sz w:val="28"/>
          <w:lang w:val="en-US"/>
        </w:rPr>
        <w:t>Cartone</w:t>
      </w:r>
      <w:r w:rsidRPr="00263A2A">
        <w:rPr>
          <w:rFonts w:ascii="Times New Roman" w:hAnsi="Times New Roman" w:cs="Times New Roman"/>
          <w:sz w:val="28"/>
        </w:rPr>
        <w:t xml:space="preserve"> так определил социальные сетевые медиа: «социальные» значит коммуникативные, с их помощью люди общаются друг с другом, «медиа» - это техники, которые являются средством передачи информации (находятся в середине этого общения) [167]. Исходя из этой логики, изобретение радио, телефона, телеграфа положило начало существованию социальных сетевых медиа. Интернет лишь придал новый вид этому типу коммуникации [167].</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bCs/>
          <w:sz w:val="28"/>
          <w:lang w:val="en-US"/>
        </w:rPr>
        <w:t>D</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Boyd</w:t>
      </w:r>
      <w:r w:rsidRPr="00263A2A">
        <w:rPr>
          <w:rFonts w:ascii="Times New Roman" w:hAnsi="Times New Roman" w:cs="Times New Roman"/>
          <w:bCs/>
          <w:sz w:val="28"/>
        </w:rPr>
        <w:t xml:space="preserve"> и </w:t>
      </w:r>
      <w:r w:rsidRPr="00263A2A">
        <w:rPr>
          <w:rFonts w:ascii="Times New Roman" w:hAnsi="Times New Roman" w:cs="Times New Roman"/>
          <w:bCs/>
          <w:sz w:val="28"/>
          <w:lang w:val="en-US"/>
        </w:rPr>
        <w:t>N</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Ellison</w:t>
      </w:r>
      <w:r w:rsidRPr="00263A2A">
        <w:rPr>
          <w:rFonts w:ascii="Times New Roman" w:hAnsi="Times New Roman" w:cs="Times New Roman"/>
          <w:bCs/>
          <w:sz w:val="28"/>
        </w:rPr>
        <w:t xml:space="preserve"> [168, р. 219] </w:t>
      </w:r>
      <w:r w:rsidRPr="00263A2A">
        <w:rPr>
          <w:rFonts w:ascii="Times New Roman" w:hAnsi="Times New Roman" w:cs="Times New Roman"/>
          <w:sz w:val="28"/>
        </w:rPr>
        <w:t xml:space="preserve">полагают, что </w:t>
      </w:r>
      <w:r w:rsidRPr="00263A2A">
        <w:rPr>
          <w:rFonts w:ascii="Times New Roman" w:hAnsi="Times New Roman" w:cs="Times New Roman"/>
          <w:i/>
          <w:sz w:val="28"/>
        </w:rPr>
        <w:t>историю развития социальных сетей можно разделить на четыре этапа</w:t>
      </w:r>
      <w:r w:rsidRPr="00263A2A">
        <w:rPr>
          <w:rFonts w:ascii="Times New Roman" w:hAnsi="Times New Roman" w:cs="Times New Roman"/>
          <w:sz w:val="28"/>
        </w:rPr>
        <w:t>:</w:t>
      </w:r>
    </w:p>
    <w:p w:rsidR="00263A2A" w:rsidRPr="00263A2A" w:rsidRDefault="00263A2A" w:rsidP="008465D6">
      <w:pPr>
        <w:numPr>
          <w:ilvl w:val="0"/>
          <w:numId w:val="35"/>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Этап офлайн</w:t>
      </w:r>
      <w:r w:rsidRPr="00263A2A">
        <w:rPr>
          <w:rFonts w:ascii="Times New Roman" w:hAnsi="Times New Roman" w:cs="Times New Roman"/>
          <w:sz w:val="28"/>
        </w:rPr>
        <w:t xml:space="preserve"> </w:t>
      </w:r>
      <w:r w:rsidRPr="00263A2A">
        <w:rPr>
          <w:rFonts w:ascii="Times New Roman" w:hAnsi="Times New Roman" w:cs="Times New Roman"/>
          <w:i/>
          <w:sz w:val="28"/>
        </w:rPr>
        <w:t>социальных сетей</w:t>
      </w:r>
      <w:r w:rsidRPr="00263A2A">
        <w:rPr>
          <w:rFonts w:ascii="Times New Roman" w:hAnsi="Times New Roman" w:cs="Times New Roman"/>
          <w:sz w:val="28"/>
        </w:rPr>
        <w:t>– различные объединения людей, напрямую относящиеся к гражданскому обществу (клубы по интересам, гильдии, политические партии, позднее НПО, НКО и иные институты гражданского общества) – самый исторически продолжительный на сегодняшний день.</w:t>
      </w:r>
    </w:p>
    <w:p w:rsidR="00263A2A" w:rsidRPr="00263A2A" w:rsidRDefault="00263A2A" w:rsidP="008465D6">
      <w:pPr>
        <w:numPr>
          <w:ilvl w:val="0"/>
          <w:numId w:val="35"/>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Этап системы мгновенного обмена сообщениями</w:t>
      </w:r>
      <w:r w:rsidRPr="00263A2A">
        <w:rPr>
          <w:rFonts w:ascii="Times New Roman" w:hAnsi="Times New Roman" w:cs="Times New Roman"/>
          <w:sz w:val="28"/>
        </w:rPr>
        <w:t xml:space="preserve">. На данном этапе социальная сеть уже имела электронный вид (пейджеры, </w:t>
      </w:r>
      <w:r w:rsidRPr="00263A2A">
        <w:rPr>
          <w:rFonts w:ascii="Times New Roman" w:hAnsi="Times New Roman" w:cs="Times New Roman"/>
          <w:sz w:val="28"/>
          <w:lang w:val="en-US"/>
        </w:rPr>
        <w:t>SMS</w:t>
      </w:r>
      <w:r w:rsidRPr="00263A2A">
        <w:rPr>
          <w:rFonts w:ascii="Times New Roman" w:hAnsi="Times New Roman" w:cs="Times New Roman"/>
          <w:sz w:val="28"/>
        </w:rPr>
        <w:t>-сообщения).</w:t>
      </w:r>
    </w:p>
    <w:p w:rsidR="00263A2A" w:rsidRPr="00263A2A" w:rsidRDefault="00263A2A" w:rsidP="008465D6">
      <w:pPr>
        <w:numPr>
          <w:ilvl w:val="0"/>
          <w:numId w:val="35"/>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Этап ранних онлайн социальных медиа</w:t>
      </w:r>
      <w:r w:rsidRPr="00263A2A">
        <w:rPr>
          <w:rFonts w:ascii="Times New Roman" w:hAnsi="Times New Roman" w:cs="Times New Roman"/>
          <w:sz w:val="28"/>
        </w:rPr>
        <w:t>. На данном этапе появляются блоги, форумы. Например, classmate.com, появившаяся в 1995 году, а также LiveJournal, возникший в 1999 году.</w:t>
      </w:r>
    </w:p>
    <w:p w:rsidR="00263A2A" w:rsidRPr="00263A2A" w:rsidRDefault="00263A2A" w:rsidP="008465D6">
      <w:pPr>
        <w:numPr>
          <w:ilvl w:val="0"/>
          <w:numId w:val="35"/>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Этап социальных медиа на основе технологии Web 2.0</w:t>
      </w:r>
      <w:r w:rsidRPr="00263A2A">
        <w:rPr>
          <w:rFonts w:ascii="Times New Roman" w:hAnsi="Times New Roman" w:cs="Times New Roman"/>
          <w:sz w:val="28"/>
        </w:rPr>
        <w:t xml:space="preserve">. На данном этапе возникают интерактивные онлайн социальные медиа </w:t>
      </w:r>
      <w:r w:rsidRPr="00263A2A">
        <w:rPr>
          <w:rFonts w:ascii="Times New Roman" w:hAnsi="Times New Roman" w:cs="Times New Roman"/>
          <w:sz w:val="28"/>
          <w:lang w:val="en-US"/>
        </w:rPr>
        <w:t>Meta</w:t>
      </w:r>
      <w:r w:rsidRPr="00263A2A">
        <w:rPr>
          <w:rFonts w:ascii="Times New Roman" w:hAnsi="Times New Roman" w:cs="Times New Roman"/>
          <w:sz w:val="28"/>
        </w:rPr>
        <w:t xml:space="preserve"> (</w:t>
      </w:r>
      <w:r w:rsidRPr="00263A2A">
        <w:rPr>
          <w:rFonts w:ascii="Times New Roman" w:hAnsi="Times New Roman" w:cs="Times New Roman"/>
          <w:sz w:val="28"/>
          <w:lang w:val="en-US"/>
        </w:rPr>
        <w:t>Facebook</w:t>
      </w:r>
      <w:r w:rsidRPr="00263A2A">
        <w:rPr>
          <w:rFonts w:ascii="Times New Roman" w:hAnsi="Times New Roman" w:cs="Times New Roman"/>
          <w:sz w:val="28"/>
        </w:rPr>
        <w:t xml:space="preserve">, </w:t>
      </w:r>
      <w:r w:rsidRPr="00263A2A">
        <w:rPr>
          <w:rFonts w:ascii="Times New Roman" w:hAnsi="Times New Roman" w:cs="Times New Roman"/>
          <w:sz w:val="28"/>
          <w:lang w:val="en-US"/>
        </w:rPr>
        <w:t>Instagram</w:t>
      </w:r>
      <w:r w:rsidRPr="00263A2A">
        <w:rPr>
          <w:rFonts w:ascii="Times New Roman" w:hAnsi="Times New Roman" w:cs="Times New Roman"/>
          <w:sz w:val="28"/>
        </w:rPr>
        <w:t xml:space="preserve">, </w:t>
      </w:r>
      <w:r w:rsidRPr="00263A2A">
        <w:rPr>
          <w:rFonts w:ascii="Times New Roman" w:hAnsi="Times New Roman" w:cs="Times New Roman"/>
          <w:sz w:val="28"/>
          <w:lang w:val="en-US"/>
        </w:rPr>
        <w:t>What</w:t>
      </w:r>
      <w:r w:rsidRPr="00263A2A">
        <w:rPr>
          <w:rFonts w:ascii="Times New Roman" w:hAnsi="Times New Roman" w:cs="Times New Roman"/>
          <w:sz w:val="28"/>
        </w:rPr>
        <w:t>’</w:t>
      </w:r>
      <w:r w:rsidRPr="00263A2A">
        <w:rPr>
          <w:rFonts w:ascii="Times New Roman" w:hAnsi="Times New Roman" w:cs="Times New Roman"/>
          <w:sz w:val="28"/>
          <w:lang w:val="en-US"/>
        </w:rPr>
        <w:t>s</w:t>
      </w:r>
      <w:r w:rsidRPr="00263A2A">
        <w:rPr>
          <w:rFonts w:ascii="Times New Roman" w:hAnsi="Times New Roman" w:cs="Times New Roman"/>
          <w:sz w:val="28"/>
        </w:rPr>
        <w:t xml:space="preserve"> </w:t>
      </w:r>
      <w:r w:rsidRPr="00263A2A">
        <w:rPr>
          <w:rFonts w:ascii="Times New Roman" w:hAnsi="Times New Roman" w:cs="Times New Roman"/>
          <w:sz w:val="28"/>
          <w:lang w:val="en-US"/>
        </w:rPr>
        <w:t>App</w:t>
      </w:r>
      <w:r w:rsidRPr="00263A2A">
        <w:rPr>
          <w:rFonts w:ascii="Times New Roman" w:hAnsi="Times New Roman" w:cs="Times New Roman"/>
          <w:sz w:val="28"/>
        </w:rPr>
        <w:t xml:space="preserve">), </w:t>
      </w:r>
      <w:r w:rsidRPr="00263A2A">
        <w:rPr>
          <w:rFonts w:ascii="Times New Roman" w:hAnsi="Times New Roman" w:cs="Times New Roman"/>
          <w:sz w:val="28"/>
          <w:lang w:val="en-US"/>
        </w:rPr>
        <w:t>X</w:t>
      </w:r>
      <w:r w:rsidRPr="00263A2A">
        <w:rPr>
          <w:rFonts w:ascii="Times New Roman" w:hAnsi="Times New Roman" w:cs="Times New Roman"/>
          <w:sz w:val="28"/>
        </w:rPr>
        <w:t xml:space="preserve"> (</w:t>
      </w:r>
      <w:r w:rsidRPr="00263A2A">
        <w:rPr>
          <w:rFonts w:ascii="Times New Roman" w:hAnsi="Times New Roman" w:cs="Times New Roman"/>
          <w:sz w:val="28"/>
          <w:lang w:val="en-US"/>
        </w:rPr>
        <w:t>Twitter</w:t>
      </w:r>
      <w:r w:rsidRPr="00263A2A">
        <w:rPr>
          <w:rFonts w:ascii="Times New Roman" w:hAnsi="Times New Roman" w:cs="Times New Roman"/>
          <w:sz w:val="28"/>
        </w:rPr>
        <w:t>), YouTube, VKontakte и другие.</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Как уже упоминалось, в момент появления технологии Web 2.0 она вызвала энтузиазм в научной среде от тех возможностей участия, которые предоставляла. Отныне любой пользователь мог вносить вклад в обмен информацией на равных условиях с остальными участниками сети. Однако, контент в новых платформах по-прежнему формировался относительно ограниченным кругом людей. Подавляющее большинство пользователей по-прежнему просто поглощали его, ничего не вкладывая. Это явление называется participation inequality (неравенство участия). Появилось правило 1%, утверждающее, что на каждого человека, создающего контент, приходится 99% пользователей, которые не создают ничего [169, р. 130]. Вариация этого правила – это принцип 90-9-1 – 90% пользователей не участвуют в создании контента, лишь потребляют, 9% пользователей делают это от случая к случаю, 1% - постоянно [170, с. 62]. Впоследствии была разработана </w:t>
      </w:r>
      <w:r w:rsidRPr="00263A2A">
        <w:rPr>
          <w:rFonts w:ascii="Times New Roman" w:hAnsi="Times New Roman" w:cs="Times New Roman"/>
          <w:i/>
          <w:sz w:val="28"/>
        </w:rPr>
        <w:t>классификация пользователей социальных медиа по степени участия в создании контента</w:t>
      </w:r>
      <w:r w:rsidRPr="00263A2A">
        <w:rPr>
          <w:rFonts w:ascii="Times New Roman" w:hAnsi="Times New Roman" w:cs="Times New Roman"/>
          <w:sz w:val="28"/>
        </w:rPr>
        <w:t>:</w:t>
      </w:r>
    </w:p>
    <w:p w:rsidR="00263A2A" w:rsidRPr="00263A2A" w:rsidRDefault="00263A2A" w:rsidP="008465D6">
      <w:pPr>
        <w:numPr>
          <w:ilvl w:val="0"/>
          <w:numId w:val="38"/>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Creators (создающие)</w:t>
      </w:r>
      <w:r w:rsidRPr="00263A2A">
        <w:rPr>
          <w:rFonts w:ascii="Times New Roman" w:hAnsi="Times New Roman" w:cs="Times New Roman"/>
          <w:sz w:val="28"/>
        </w:rPr>
        <w:t xml:space="preserve"> – блогеры, журналисты и обычные пользователи, кто загружает видео, музыку, тексты, которые потом потребляют остальные.</w:t>
      </w:r>
    </w:p>
    <w:p w:rsidR="00263A2A" w:rsidRPr="00263A2A" w:rsidRDefault="00263A2A" w:rsidP="008465D6">
      <w:pPr>
        <w:numPr>
          <w:ilvl w:val="0"/>
          <w:numId w:val="38"/>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Conversationalists (беседующие)</w:t>
      </w:r>
      <w:r w:rsidRPr="00263A2A">
        <w:rPr>
          <w:rFonts w:ascii="Times New Roman" w:hAnsi="Times New Roman" w:cs="Times New Roman"/>
          <w:sz w:val="28"/>
        </w:rPr>
        <w:t xml:space="preserve"> – те, кто делится своим мнением по поводу какого-то продукта, услуги, компании и тому подобного через </w:t>
      </w:r>
      <w:r w:rsidRPr="00263A2A">
        <w:rPr>
          <w:rFonts w:ascii="Times New Roman" w:hAnsi="Times New Roman" w:cs="Times New Roman"/>
          <w:sz w:val="28"/>
        </w:rPr>
        <w:lastRenderedPageBreak/>
        <w:t>социальные медиа, оказывая влияние на мнение других пользователей по конкретным вопросам.</w:t>
      </w:r>
    </w:p>
    <w:p w:rsidR="00263A2A" w:rsidRPr="00263A2A" w:rsidRDefault="00263A2A" w:rsidP="008465D6">
      <w:pPr>
        <w:numPr>
          <w:ilvl w:val="0"/>
          <w:numId w:val="38"/>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Critics (критики)</w:t>
      </w:r>
      <w:r w:rsidRPr="00263A2A">
        <w:rPr>
          <w:rFonts w:ascii="Times New Roman" w:hAnsi="Times New Roman" w:cs="Times New Roman"/>
          <w:sz w:val="28"/>
        </w:rPr>
        <w:t xml:space="preserve"> – реагируют на контент в комментариях, редактируют статьи в Википедии.</w:t>
      </w:r>
    </w:p>
    <w:p w:rsidR="00263A2A" w:rsidRPr="00263A2A" w:rsidRDefault="00263A2A" w:rsidP="008465D6">
      <w:pPr>
        <w:numPr>
          <w:ilvl w:val="0"/>
          <w:numId w:val="38"/>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Collectors (собиратели)</w:t>
      </w:r>
      <w:r w:rsidRPr="00263A2A">
        <w:rPr>
          <w:rFonts w:ascii="Times New Roman" w:hAnsi="Times New Roman" w:cs="Times New Roman"/>
          <w:sz w:val="28"/>
        </w:rPr>
        <w:t xml:space="preserve"> – используя теги, собирают в одном месте информацию, касающуюся одной конкретной темы.</w:t>
      </w:r>
    </w:p>
    <w:p w:rsidR="00263A2A" w:rsidRPr="00263A2A" w:rsidRDefault="00263A2A" w:rsidP="008465D6">
      <w:pPr>
        <w:numPr>
          <w:ilvl w:val="0"/>
          <w:numId w:val="38"/>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Joiners (присоединившиеся)</w:t>
      </w:r>
      <w:r w:rsidRPr="00263A2A">
        <w:rPr>
          <w:rFonts w:ascii="Times New Roman" w:hAnsi="Times New Roman" w:cs="Times New Roman"/>
          <w:sz w:val="28"/>
        </w:rPr>
        <w:t xml:space="preserve"> – поддерживают свой профайл в социальных медиа, периодически посещая его, выставляют фото, видео и другое.</w:t>
      </w:r>
    </w:p>
    <w:p w:rsidR="00263A2A" w:rsidRPr="00263A2A" w:rsidRDefault="00263A2A" w:rsidP="008465D6">
      <w:pPr>
        <w:numPr>
          <w:ilvl w:val="0"/>
          <w:numId w:val="38"/>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Spectators (зрители)</w:t>
      </w:r>
      <w:r w:rsidRPr="00263A2A">
        <w:rPr>
          <w:rFonts w:ascii="Times New Roman" w:hAnsi="Times New Roman" w:cs="Times New Roman"/>
          <w:sz w:val="28"/>
        </w:rPr>
        <w:t xml:space="preserve"> – просто потребляют информацию, созданную другими, собственный профайл используют как точку входа в социальные медиа.</w:t>
      </w:r>
    </w:p>
    <w:p w:rsidR="00263A2A" w:rsidRPr="00263A2A" w:rsidRDefault="00263A2A" w:rsidP="008465D6">
      <w:pPr>
        <w:numPr>
          <w:ilvl w:val="0"/>
          <w:numId w:val="38"/>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Inactives (неактивные)</w:t>
      </w:r>
      <w:r w:rsidRPr="00263A2A">
        <w:rPr>
          <w:rFonts w:ascii="Times New Roman" w:hAnsi="Times New Roman" w:cs="Times New Roman"/>
          <w:sz w:val="28"/>
        </w:rPr>
        <w:t xml:space="preserve"> – не создают, не потребляют контент, зачастую не имеют профайла в социальных медиа [171].</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Исследователи выявили характерные особенности общения пользователей, возникшие за счёт интернета, но не способствующие разрешению проблем коммуникации [153], а именно:</w:t>
      </w:r>
    </w:p>
    <w:p w:rsidR="00263A2A" w:rsidRPr="00263A2A" w:rsidRDefault="00263A2A" w:rsidP="008465D6">
      <w:pPr>
        <w:numPr>
          <w:ilvl w:val="0"/>
          <w:numId w:val="39"/>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 xml:space="preserve">большинство пользователей виртуальных социальных сетей (или социальных медиа) по-прежнему </w:t>
      </w:r>
      <w:r w:rsidRPr="00263A2A">
        <w:rPr>
          <w:rFonts w:ascii="Times New Roman" w:hAnsi="Times New Roman" w:cs="Times New Roman"/>
          <w:i/>
          <w:sz w:val="28"/>
        </w:rPr>
        <w:t>spectators</w:t>
      </w:r>
      <w:r w:rsidRPr="00263A2A">
        <w:rPr>
          <w:rFonts w:ascii="Times New Roman" w:hAnsi="Times New Roman" w:cs="Times New Roman"/>
          <w:sz w:val="28"/>
        </w:rPr>
        <w:t>, как было и с традиционными медиа;</w:t>
      </w:r>
    </w:p>
    <w:p w:rsidR="00263A2A" w:rsidRPr="00263A2A" w:rsidRDefault="00263A2A" w:rsidP="008465D6">
      <w:pPr>
        <w:numPr>
          <w:ilvl w:val="0"/>
          <w:numId w:val="39"/>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создание контента требует времени и определённых знаний;</w:t>
      </w:r>
    </w:p>
    <w:p w:rsidR="00263A2A" w:rsidRPr="00263A2A" w:rsidRDefault="00263A2A" w:rsidP="008465D6">
      <w:pPr>
        <w:numPr>
          <w:ilvl w:val="0"/>
          <w:numId w:val="39"/>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использование интернета варьируется не только в разных странах, но и в регионах одной страны.</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Вывод учёных</w:t>
      </w:r>
      <w:r w:rsidRPr="00263A2A">
        <w:rPr>
          <w:rFonts w:ascii="Times New Roman" w:hAnsi="Times New Roman" w:cs="Times New Roman"/>
          <w:sz w:val="28"/>
        </w:rPr>
        <w:t>: несмотря на то, что цифровые технологии развиваются, вклад и участие пользователей даже в создании серьёзного развлекательного контента, пополняемого систематически и способного привлечь как можно больше интересующихся, значительно не увеличивается.</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Существует ещё одна классификация пользователей социальных медиа, предложенная американскими исследователями Б. МакКонелл и Дж. Хуба [172, с. 19-43]. Они сформулировали </w:t>
      </w:r>
      <w:r w:rsidRPr="00263A2A">
        <w:rPr>
          <w:rFonts w:ascii="Times New Roman" w:hAnsi="Times New Roman" w:cs="Times New Roman"/>
          <w:i/>
          <w:sz w:val="28"/>
        </w:rPr>
        <w:t>типологию 4Ф политически активных пользователей социальных медиа: «фильтры», «фанатики», «функционеры» и «фейерверки».</w:t>
      </w:r>
      <w:r w:rsidRPr="00263A2A">
        <w:rPr>
          <w:rFonts w:ascii="Times New Roman" w:hAnsi="Times New Roman" w:cs="Times New Roman"/>
          <w:sz w:val="28"/>
        </w:rPr>
        <w:t xml:space="preserve"> Рассмотрим каждый тип отдельно.</w:t>
      </w:r>
    </w:p>
    <w:p w:rsidR="00263A2A" w:rsidRPr="00263A2A" w:rsidRDefault="00263A2A" w:rsidP="008465D6">
      <w:pPr>
        <w:numPr>
          <w:ilvl w:val="0"/>
          <w:numId w:val="40"/>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«Фильтры»</w:t>
      </w:r>
      <w:r w:rsidRPr="00263A2A">
        <w:rPr>
          <w:rFonts w:ascii="Times New Roman" w:hAnsi="Times New Roman" w:cs="Times New Roman"/>
          <w:sz w:val="28"/>
        </w:rPr>
        <w:t xml:space="preserve"> - пользователи (преимущественно блогеры), которые собирают информацию, касающуюся какой-либо проблемы, в чатах, форумах, блогах и выпускают её на своих страничках, в пабликах или блогах.</w:t>
      </w:r>
    </w:p>
    <w:p w:rsidR="00263A2A" w:rsidRPr="00263A2A" w:rsidRDefault="00263A2A" w:rsidP="008465D6">
      <w:pPr>
        <w:numPr>
          <w:ilvl w:val="0"/>
          <w:numId w:val="40"/>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«Фанатики»</w:t>
      </w:r>
      <w:r w:rsidRPr="00263A2A">
        <w:rPr>
          <w:rFonts w:ascii="Times New Roman" w:hAnsi="Times New Roman" w:cs="Times New Roman"/>
          <w:sz w:val="28"/>
        </w:rPr>
        <w:t xml:space="preserve"> - сторонники или противники какой-либо политической партии или общественного движения, которые активно обсуждают его деятельность с положительной или критической точки зрения. Продвигаемый ими контент содержит только такую информацию.</w:t>
      </w:r>
    </w:p>
    <w:p w:rsidR="00263A2A" w:rsidRPr="00263A2A" w:rsidRDefault="00263A2A" w:rsidP="008465D6">
      <w:pPr>
        <w:numPr>
          <w:ilvl w:val="0"/>
          <w:numId w:val="40"/>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«Фейерверки»</w:t>
      </w:r>
      <w:r w:rsidRPr="00263A2A">
        <w:rPr>
          <w:rFonts w:ascii="Times New Roman" w:hAnsi="Times New Roman" w:cs="Times New Roman"/>
          <w:sz w:val="28"/>
        </w:rPr>
        <w:t xml:space="preserve"> - пользователи, которые создают интернет-мемы (иронически поданная информация в графическом или ином виде) на резонансные события и рассылают их по Сети, ставя таким образом в известность многих пользователей о произошедшем.</w:t>
      </w:r>
    </w:p>
    <w:p w:rsidR="00263A2A" w:rsidRPr="00263A2A" w:rsidRDefault="00263A2A" w:rsidP="008465D6">
      <w:pPr>
        <w:numPr>
          <w:ilvl w:val="0"/>
          <w:numId w:val="40"/>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«Функционеры»</w:t>
      </w:r>
      <w:r w:rsidRPr="00263A2A">
        <w:rPr>
          <w:rFonts w:ascii="Times New Roman" w:hAnsi="Times New Roman" w:cs="Times New Roman"/>
          <w:sz w:val="28"/>
        </w:rPr>
        <w:t xml:space="preserve"> - создатели сообществ, которые моделируют контент и составляют повестку для конкретного сообщества. Именно последние, как представляется, являются наиболее необходимыми акторами при использовании социальных медиа институтами гражданского общества. </w:t>
      </w:r>
      <w:r w:rsidRPr="00263A2A">
        <w:rPr>
          <w:rFonts w:ascii="Times New Roman" w:hAnsi="Times New Roman" w:cs="Times New Roman"/>
          <w:sz w:val="28"/>
        </w:rPr>
        <w:lastRenderedPageBreak/>
        <w:t>Возможно также привлечение «фильтров», «фанатиков» и «фейерверков» для придания работе «функционеров» большей интерактивности, инновационности и креативности.</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С течением времени социальные медиа развиваются, эволюционируют. Некоторые из них преуспели – Facebook, YouTube, Twitter, VK</w:t>
      </w:r>
      <w:r w:rsidRPr="00263A2A">
        <w:rPr>
          <w:rFonts w:ascii="Times New Roman" w:hAnsi="Times New Roman" w:cs="Times New Roman"/>
          <w:sz w:val="28"/>
          <w:lang w:val="en-US"/>
        </w:rPr>
        <w:t>ontakte</w:t>
      </w:r>
      <w:r w:rsidRPr="00263A2A">
        <w:rPr>
          <w:rFonts w:ascii="Times New Roman" w:hAnsi="Times New Roman" w:cs="Times New Roman"/>
          <w:sz w:val="28"/>
        </w:rPr>
        <w:t>, другие исчезли – Xanga [159, р. 23].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Рассмотрим типы социальных медиа</w:t>
      </w:r>
      <w:r w:rsidRPr="00263A2A">
        <w:rPr>
          <w:rFonts w:ascii="Times New Roman" w:hAnsi="Times New Roman" w:cs="Times New Roman"/>
          <w:b/>
          <w:i/>
          <w:sz w:val="28"/>
        </w:rPr>
        <w:t>.</w:t>
      </w:r>
      <w:r w:rsidRPr="00263A2A">
        <w:rPr>
          <w:rFonts w:ascii="Times New Roman" w:hAnsi="Times New Roman" w:cs="Times New Roman"/>
          <w:sz w:val="28"/>
        </w:rPr>
        <w:t xml:space="preserve"> Как и в случае с общественными организациями, существует несколько вариантов типологий социальных медиа. Одна из них приведена ниже [15</w:t>
      </w:r>
      <w:r w:rsidRPr="00263A2A">
        <w:rPr>
          <w:rFonts w:ascii="Times New Roman" w:hAnsi="Times New Roman" w:cs="Times New Roman"/>
          <w:sz w:val="28"/>
          <w:lang w:val="en-US"/>
        </w:rPr>
        <w:t>9</w:t>
      </w:r>
      <w:r w:rsidRPr="00263A2A">
        <w:rPr>
          <w:rFonts w:ascii="Times New Roman" w:hAnsi="Times New Roman" w:cs="Times New Roman"/>
          <w:sz w:val="28"/>
        </w:rPr>
        <w:t>, р. 20]:</w:t>
      </w:r>
    </w:p>
    <w:p w:rsidR="00263A2A" w:rsidRPr="00263A2A" w:rsidRDefault="00263A2A" w:rsidP="008465D6">
      <w:pPr>
        <w:numPr>
          <w:ilvl w:val="0"/>
          <w:numId w:val="32"/>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Социальные сети</w:t>
      </w:r>
      <w:r w:rsidRPr="00263A2A">
        <w:rPr>
          <w:rFonts w:ascii="Times New Roman" w:hAnsi="Times New Roman" w:cs="Times New Roman"/>
          <w:sz w:val="28"/>
        </w:rPr>
        <w:t xml:space="preserve"> – продвигают межличностные контакты между индивидами и группами, формируют личные, профессиональные, географические связи и усиливают слабые связи – </w:t>
      </w:r>
      <w:r w:rsidRPr="00263A2A">
        <w:rPr>
          <w:rFonts w:ascii="Times New Roman" w:hAnsi="Times New Roman" w:cs="Times New Roman"/>
          <w:sz w:val="28"/>
          <w:lang w:val="en-US"/>
        </w:rPr>
        <w:t>Meta</w:t>
      </w:r>
      <w:r w:rsidRPr="00263A2A">
        <w:rPr>
          <w:rFonts w:ascii="Times New Roman" w:hAnsi="Times New Roman" w:cs="Times New Roman"/>
          <w:sz w:val="28"/>
        </w:rPr>
        <w:t xml:space="preserve"> (</w:t>
      </w:r>
      <w:r w:rsidRPr="00263A2A">
        <w:rPr>
          <w:rFonts w:ascii="Times New Roman" w:hAnsi="Times New Roman" w:cs="Times New Roman"/>
          <w:sz w:val="28"/>
          <w:lang w:val="en-US"/>
        </w:rPr>
        <w:t>Facebook</w:t>
      </w:r>
      <w:r w:rsidRPr="00263A2A">
        <w:rPr>
          <w:rFonts w:ascii="Times New Roman" w:hAnsi="Times New Roman" w:cs="Times New Roman"/>
          <w:sz w:val="28"/>
        </w:rPr>
        <w:t xml:space="preserve">, </w:t>
      </w:r>
      <w:r w:rsidRPr="00263A2A">
        <w:rPr>
          <w:rFonts w:ascii="Times New Roman" w:hAnsi="Times New Roman" w:cs="Times New Roman"/>
          <w:sz w:val="28"/>
          <w:lang w:val="en-US"/>
        </w:rPr>
        <w:t>Instagram</w:t>
      </w:r>
      <w:r w:rsidRPr="00263A2A">
        <w:rPr>
          <w:rFonts w:ascii="Times New Roman" w:hAnsi="Times New Roman" w:cs="Times New Roman"/>
          <w:sz w:val="28"/>
        </w:rPr>
        <w:t xml:space="preserve">, </w:t>
      </w:r>
      <w:r w:rsidRPr="00263A2A">
        <w:rPr>
          <w:rFonts w:ascii="Times New Roman" w:hAnsi="Times New Roman" w:cs="Times New Roman"/>
          <w:sz w:val="28"/>
          <w:lang w:val="en-US"/>
        </w:rPr>
        <w:t>What</w:t>
      </w:r>
      <w:r w:rsidRPr="00263A2A">
        <w:rPr>
          <w:rFonts w:ascii="Times New Roman" w:hAnsi="Times New Roman" w:cs="Times New Roman"/>
          <w:sz w:val="28"/>
        </w:rPr>
        <w:t>’</w:t>
      </w:r>
      <w:r w:rsidRPr="00263A2A">
        <w:rPr>
          <w:rFonts w:ascii="Times New Roman" w:hAnsi="Times New Roman" w:cs="Times New Roman"/>
          <w:sz w:val="28"/>
          <w:lang w:val="en-US"/>
        </w:rPr>
        <w:t>s</w:t>
      </w:r>
      <w:r w:rsidRPr="00263A2A">
        <w:rPr>
          <w:rFonts w:ascii="Times New Roman" w:hAnsi="Times New Roman" w:cs="Times New Roman"/>
          <w:sz w:val="28"/>
        </w:rPr>
        <w:t xml:space="preserve"> </w:t>
      </w:r>
      <w:r w:rsidRPr="00263A2A">
        <w:rPr>
          <w:rFonts w:ascii="Times New Roman" w:hAnsi="Times New Roman" w:cs="Times New Roman"/>
          <w:sz w:val="28"/>
          <w:lang w:val="en-US"/>
        </w:rPr>
        <w:t>App</w:t>
      </w:r>
      <w:r w:rsidRPr="00263A2A">
        <w:rPr>
          <w:rFonts w:ascii="Times New Roman" w:hAnsi="Times New Roman" w:cs="Times New Roman"/>
          <w:sz w:val="28"/>
        </w:rPr>
        <w:t xml:space="preserve">), </w:t>
      </w:r>
      <w:r w:rsidRPr="00263A2A">
        <w:rPr>
          <w:rFonts w:ascii="Times New Roman" w:hAnsi="Times New Roman" w:cs="Times New Roman"/>
          <w:sz w:val="28"/>
          <w:lang w:val="en-US"/>
        </w:rPr>
        <w:t>X</w:t>
      </w:r>
      <w:r w:rsidRPr="00263A2A">
        <w:rPr>
          <w:rFonts w:ascii="Times New Roman" w:hAnsi="Times New Roman" w:cs="Times New Roman"/>
          <w:sz w:val="28"/>
        </w:rPr>
        <w:t xml:space="preserve"> (</w:t>
      </w:r>
      <w:r w:rsidRPr="00263A2A">
        <w:rPr>
          <w:rFonts w:ascii="Times New Roman" w:hAnsi="Times New Roman" w:cs="Times New Roman"/>
          <w:sz w:val="28"/>
          <w:lang w:val="en-US"/>
        </w:rPr>
        <w:t>Twitter</w:t>
      </w:r>
      <w:r w:rsidRPr="00263A2A">
        <w:rPr>
          <w:rFonts w:ascii="Times New Roman" w:hAnsi="Times New Roman" w:cs="Times New Roman"/>
          <w:sz w:val="28"/>
        </w:rPr>
        <w:t>), VK</w:t>
      </w:r>
      <w:r w:rsidRPr="00263A2A">
        <w:rPr>
          <w:rFonts w:ascii="Times New Roman" w:hAnsi="Times New Roman" w:cs="Times New Roman"/>
          <w:sz w:val="28"/>
          <w:lang w:val="en-US"/>
        </w:rPr>
        <w:t>ontakte</w:t>
      </w:r>
      <w:r w:rsidRPr="00263A2A">
        <w:rPr>
          <w:rFonts w:ascii="Times New Roman" w:hAnsi="Times New Roman" w:cs="Times New Roman"/>
          <w:sz w:val="28"/>
        </w:rPr>
        <w:t xml:space="preserve">, LinkedIn, </w:t>
      </w:r>
      <w:r w:rsidRPr="00263A2A">
        <w:rPr>
          <w:rFonts w:ascii="Times New Roman" w:hAnsi="Times New Roman" w:cs="Times New Roman"/>
          <w:sz w:val="28"/>
          <w:lang w:val="en-US"/>
        </w:rPr>
        <w:t>Research</w:t>
      </w:r>
      <w:r w:rsidRPr="00263A2A">
        <w:rPr>
          <w:rFonts w:ascii="Times New Roman" w:hAnsi="Times New Roman" w:cs="Times New Roman"/>
          <w:sz w:val="28"/>
        </w:rPr>
        <w:t xml:space="preserve"> </w:t>
      </w:r>
      <w:r w:rsidRPr="00263A2A">
        <w:rPr>
          <w:rFonts w:ascii="Times New Roman" w:hAnsi="Times New Roman" w:cs="Times New Roman"/>
          <w:sz w:val="28"/>
          <w:lang w:val="en-US"/>
        </w:rPr>
        <w:t>Gate</w:t>
      </w:r>
      <w:r w:rsidRPr="00263A2A">
        <w:rPr>
          <w:rFonts w:ascii="Times New Roman" w:hAnsi="Times New Roman" w:cs="Times New Roman"/>
          <w:sz w:val="28"/>
        </w:rPr>
        <w:t>.</w:t>
      </w:r>
    </w:p>
    <w:p w:rsidR="00263A2A" w:rsidRPr="00263A2A" w:rsidRDefault="00263A2A" w:rsidP="008465D6">
      <w:pPr>
        <w:numPr>
          <w:ilvl w:val="0"/>
          <w:numId w:val="32"/>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Сайты, содержащие контент, генерируемый пользователями</w:t>
      </w:r>
      <w:r w:rsidRPr="00263A2A">
        <w:rPr>
          <w:rFonts w:ascii="Times New Roman" w:hAnsi="Times New Roman" w:cs="Times New Roman"/>
          <w:sz w:val="28"/>
        </w:rPr>
        <w:t xml:space="preserve"> – поддержка творчества, культурной деятельности, обмен любительским или профессиональным контентом – YouTube, Wikipedia.</w:t>
      </w:r>
    </w:p>
    <w:p w:rsidR="00263A2A" w:rsidRPr="00263A2A" w:rsidRDefault="00263A2A" w:rsidP="008465D6">
      <w:pPr>
        <w:numPr>
          <w:ilvl w:val="0"/>
          <w:numId w:val="32"/>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Интернет-торговля</w:t>
      </w:r>
      <w:r w:rsidRPr="00263A2A">
        <w:rPr>
          <w:rFonts w:ascii="Times New Roman" w:hAnsi="Times New Roman" w:cs="Times New Roman"/>
          <w:sz w:val="28"/>
        </w:rPr>
        <w:t xml:space="preserve"> – Amazon, eBay, </w:t>
      </w:r>
      <w:r w:rsidRPr="00263A2A">
        <w:rPr>
          <w:rFonts w:ascii="Times New Roman" w:hAnsi="Times New Roman" w:cs="Times New Roman"/>
          <w:sz w:val="28"/>
          <w:lang w:val="en-US"/>
        </w:rPr>
        <w:t>Wildberries</w:t>
      </w:r>
      <w:r w:rsidRPr="00263A2A">
        <w:rPr>
          <w:rFonts w:ascii="Times New Roman" w:hAnsi="Times New Roman" w:cs="Times New Roman"/>
          <w:sz w:val="28"/>
        </w:rPr>
        <w:t>.</w:t>
      </w:r>
    </w:p>
    <w:p w:rsidR="00263A2A" w:rsidRPr="00263A2A" w:rsidRDefault="00263A2A" w:rsidP="008465D6">
      <w:pPr>
        <w:numPr>
          <w:ilvl w:val="0"/>
          <w:numId w:val="32"/>
        </w:numPr>
        <w:spacing w:after="0" w:line="240" w:lineRule="auto"/>
        <w:ind w:left="0" w:firstLine="709"/>
        <w:contextualSpacing/>
        <w:jc w:val="both"/>
        <w:rPr>
          <w:rFonts w:ascii="Times New Roman" w:hAnsi="Times New Roman" w:cs="Times New Roman"/>
          <w:sz w:val="28"/>
          <w:lang w:val="en-US"/>
        </w:rPr>
      </w:pPr>
      <w:r w:rsidRPr="00263A2A">
        <w:rPr>
          <w:rFonts w:ascii="Times New Roman" w:hAnsi="Times New Roman" w:cs="Times New Roman"/>
          <w:i/>
          <w:sz w:val="28"/>
        </w:rPr>
        <w:t>Сетевые</w:t>
      </w:r>
      <w:r w:rsidRPr="00263A2A">
        <w:rPr>
          <w:rFonts w:ascii="Times New Roman" w:hAnsi="Times New Roman" w:cs="Times New Roman"/>
          <w:i/>
          <w:sz w:val="28"/>
          <w:lang w:val="en-US"/>
        </w:rPr>
        <w:t xml:space="preserve"> </w:t>
      </w:r>
      <w:r w:rsidRPr="00263A2A">
        <w:rPr>
          <w:rFonts w:ascii="Times New Roman" w:hAnsi="Times New Roman" w:cs="Times New Roman"/>
          <w:i/>
          <w:sz w:val="28"/>
        </w:rPr>
        <w:t>игры</w:t>
      </w:r>
      <w:r w:rsidRPr="00263A2A">
        <w:rPr>
          <w:rFonts w:ascii="Times New Roman" w:hAnsi="Times New Roman" w:cs="Times New Roman"/>
          <w:sz w:val="28"/>
          <w:lang w:val="en-US"/>
        </w:rPr>
        <w:t xml:space="preserve"> – Farm Ville, Angry Birds, World of Tanks, Counter Strike.</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Сейчас границы между этими видами социальных медиа стираются. YouTube уже приобретает функции социальной сети (в </w:t>
      </w:r>
      <w:proofErr w:type="gramStart"/>
      <w:r w:rsidRPr="00263A2A">
        <w:rPr>
          <w:rFonts w:ascii="Times New Roman" w:hAnsi="Times New Roman" w:cs="Times New Roman"/>
          <w:sz w:val="28"/>
        </w:rPr>
        <w:t>терминологии  данной</w:t>
      </w:r>
      <w:proofErr w:type="gramEnd"/>
      <w:r w:rsidRPr="00263A2A">
        <w:rPr>
          <w:rFonts w:ascii="Times New Roman" w:hAnsi="Times New Roman" w:cs="Times New Roman"/>
          <w:sz w:val="28"/>
        </w:rPr>
        <w:t xml:space="preserve"> классификации). Facebook позволяет создавать короткие видеоролики, </w:t>
      </w:r>
      <w:r w:rsidRPr="00263A2A">
        <w:rPr>
          <w:rFonts w:ascii="Times New Roman" w:hAnsi="Times New Roman" w:cs="Times New Roman"/>
          <w:sz w:val="28"/>
          <w:lang w:val="en-US"/>
        </w:rPr>
        <w:t>Instagram</w:t>
      </w:r>
      <w:r w:rsidRPr="00263A2A">
        <w:rPr>
          <w:rFonts w:ascii="Times New Roman" w:hAnsi="Times New Roman" w:cs="Times New Roman"/>
          <w:sz w:val="28"/>
        </w:rPr>
        <w:t xml:space="preserve"> открывает возможности для проведения видео звонков [173, р. 1740].</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Американский исследователь </w:t>
      </w:r>
      <w:r w:rsidRPr="00263A2A">
        <w:rPr>
          <w:rFonts w:ascii="Times New Roman" w:hAnsi="Times New Roman" w:cs="Times New Roman"/>
          <w:sz w:val="28"/>
          <w:lang w:val="en-US"/>
        </w:rPr>
        <w:t>R</w:t>
      </w:r>
      <w:r w:rsidRPr="00263A2A">
        <w:rPr>
          <w:rFonts w:ascii="Times New Roman" w:hAnsi="Times New Roman" w:cs="Times New Roman"/>
          <w:sz w:val="28"/>
        </w:rPr>
        <w:t xml:space="preserve">. </w:t>
      </w:r>
      <w:r w:rsidRPr="00263A2A">
        <w:rPr>
          <w:rFonts w:ascii="Times New Roman" w:hAnsi="Times New Roman" w:cs="Times New Roman"/>
          <w:sz w:val="28"/>
          <w:lang w:val="en-US"/>
        </w:rPr>
        <w:t>Jones</w:t>
      </w:r>
      <w:r w:rsidRPr="00263A2A">
        <w:rPr>
          <w:rFonts w:ascii="Times New Roman" w:hAnsi="Times New Roman" w:cs="Times New Roman"/>
          <w:sz w:val="28"/>
        </w:rPr>
        <w:t xml:space="preserve"> предлагает </w:t>
      </w:r>
      <w:r w:rsidRPr="00263A2A">
        <w:rPr>
          <w:rFonts w:ascii="Times New Roman" w:hAnsi="Times New Roman" w:cs="Times New Roman"/>
          <w:i/>
          <w:sz w:val="28"/>
        </w:rPr>
        <w:t>разделить социальные медиа на четыре группы</w:t>
      </w:r>
      <w:r w:rsidRPr="00263A2A">
        <w:rPr>
          <w:rFonts w:ascii="Times New Roman" w:hAnsi="Times New Roman" w:cs="Times New Roman"/>
          <w:sz w:val="28"/>
        </w:rPr>
        <w:t>:</w:t>
      </w:r>
    </w:p>
    <w:p w:rsidR="00263A2A" w:rsidRPr="00263A2A" w:rsidRDefault="00263A2A" w:rsidP="008465D6">
      <w:pPr>
        <w:numPr>
          <w:ilvl w:val="0"/>
          <w:numId w:val="3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Социальные новости</w:t>
      </w:r>
      <w:r w:rsidRPr="00263A2A">
        <w:rPr>
          <w:rFonts w:ascii="Times New Roman" w:hAnsi="Times New Roman" w:cs="Times New Roman"/>
          <w:sz w:val="28"/>
        </w:rPr>
        <w:t xml:space="preserve"> – исключительно новостные ресурсы с функцией комментирования новостей пользователями и подписчиками: informburo.kz, tengrinews.kz, nur.kz, </w:t>
      </w:r>
      <w:r w:rsidRPr="00263A2A">
        <w:rPr>
          <w:rFonts w:ascii="Times New Roman" w:hAnsi="Times New Roman" w:cs="Times New Roman"/>
          <w:sz w:val="28"/>
          <w:lang w:val="en-US"/>
        </w:rPr>
        <w:t>zakon</w:t>
      </w:r>
      <w:r w:rsidRPr="00263A2A">
        <w:rPr>
          <w:rFonts w:ascii="Times New Roman" w:hAnsi="Times New Roman" w:cs="Times New Roman"/>
          <w:sz w:val="28"/>
        </w:rPr>
        <w:t>.</w:t>
      </w:r>
      <w:r w:rsidRPr="00263A2A">
        <w:rPr>
          <w:rFonts w:ascii="Times New Roman" w:hAnsi="Times New Roman" w:cs="Times New Roman"/>
          <w:sz w:val="28"/>
          <w:lang w:val="en-US"/>
        </w:rPr>
        <w:t>kz</w:t>
      </w:r>
      <w:r w:rsidRPr="00263A2A">
        <w:rPr>
          <w:rFonts w:ascii="Times New Roman" w:hAnsi="Times New Roman" w:cs="Times New Roman"/>
          <w:sz w:val="28"/>
        </w:rPr>
        <w:t xml:space="preserve"> и другие.</w:t>
      </w:r>
    </w:p>
    <w:p w:rsidR="00263A2A" w:rsidRPr="00263A2A" w:rsidRDefault="00263A2A" w:rsidP="008465D6">
      <w:pPr>
        <w:numPr>
          <w:ilvl w:val="0"/>
          <w:numId w:val="3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Социальный обмен</w:t>
      </w:r>
      <w:r w:rsidRPr="00263A2A">
        <w:rPr>
          <w:rFonts w:ascii="Times New Roman" w:hAnsi="Times New Roman" w:cs="Times New Roman"/>
          <w:sz w:val="28"/>
        </w:rPr>
        <w:t xml:space="preserve"> – платформы, позволяющие создавать, загружать и обмениваться видео или фото: Flickr.com, YouTube.com, Instagram.com.</w:t>
      </w:r>
    </w:p>
    <w:p w:rsidR="00263A2A" w:rsidRPr="00263A2A" w:rsidRDefault="00263A2A" w:rsidP="008465D6">
      <w:pPr>
        <w:numPr>
          <w:ilvl w:val="0"/>
          <w:numId w:val="3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Социальные сети</w:t>
      </w:r>
      <w:r w:rsidRPr="00263A2A">
        <w:rPr>
          <w:rFonts w:ascii="Times New Roman" w:hAnsi="Times New Roman" w:cs="Times New Roman"/>
          <w:sz w:val="28"/>
        </w:rPr>
        <w:t xml:space="preserve"> – ресурсы, создаваемые в первую очередь для коммуникации: </w:t>
      </w:r>
      <w:r w:rsidRPr="00263A2A">
        <w:rPr>
          <w:rFonts w:ascii="Times New Roman" w:hAnsi="Times New Roman" w:cs="Times New Roman"/>
          <w:sz w:val="28"/>
          <w:lang w:val="en-US"/>
        </w:rPr>
        <w:t>Meta</w:t>
      </w:r>
      <w:r w:rsidRPr="00263A2A">
        <w:rPr>
          <w:rFonts w:ascii="Times New Roman" w:hAnsi="Times New Roman" w:cs="Times New Roman"/>
          <w:sz w:val="28"/>
        </w:rPr>
        <w:t xml:space="preserve"> (</w:t>
      </w:r>
      <w:r w:rsidRPr="00263A2A">
        <w:rPr>
          <w:rFonts w:ascii="Times New Roman" w:hAnsi="Times New Roman" w:cs="Times New Roman"/>
          <w:sz w:val="28"/>
          <w:lang w:val="en-US"/>
        </w:rPr>
        <w:t>Facebook</w:t>
      </w:r>
      <w:r w:rsidRPr="00263A2A">
        <w:rPr>
          <w:rFonts w:ascii="Times New Roman" w:hAnsi="Times New Roman" w:cs="Times New Roman"/>
          <w:sz w:val="28"/>
        </w:rPr>
        <w:t xml:space="preserve">, </w:t>
      </w:r>
      <w:r w:rsidRPr="00263A2A">
        <w:rPr>
          <w:rFonts w:ascii="Times New Roman" w:hAnsi="Times New Roman" w:cs="Times New Roman"/>
          <w:sz w:val="28"/>
          <w:lang w:val="en-US"/>
        </w:rPr>
        <w:t>Instagram</w:t>
      </w:r>
      <w:r w:rsidRPr="00263A2A">
        <w:rPr>
          <w:rFonts w:ascii="Times New Roman" w:hAnsi="Times New Roman" w:cs="Times New Roman"/>
          <w:sz w:val="28"/>
        </w:rPr>
        <w:t xml:space="preserve">, </w:t>
      </w:r>
      <w:r w:rsidRPr="00263A2A">
        <w:rPr>
          <w:rFonts w:ascii="Times New Roman" w:hAnsi="Times New Roman" w:cs="Times New Roman"/>
          <w:sz w:val="28"/>
          <w:lang w:val="en-US"/>
        </w:rPr>
        <w:t>What</w:t>
      </w:r>
      <w:r w:rsidRPr="00263A2A">
        <w:rPr>
          <w:rFonts w:ascii="Times New Roman" w:hAnsi="Times New Roman" w:cs="Times New Roman"/>
          <w:sz w:val="28"/>
        </w:rPr>
        <w:t>’</w:t>
      </w:r>
      <w:r w:rsidRPr="00263A2A">
        <w:rPr>
          <w:rFonts w:ascii="Times New Roman" w:hAnsi="Times New Roman" w:cs="Times New Roman"/>
          <w:sz w:val="28"/>
          <w:lang w:val="en-US"/>
        </w:rPr>
        <w:t>s</w:t>
      </w:r>
      <w:r w:rsidRPr="00263A2A">
        <w:rPr>
          <w:rFonts w:ascii="Times New Roman" w:hAnsi="Times New Roman" w:cs="Times New Roman"/>
          <w:sz w:val="28"/>
        </w:rPr>
        <w:t xml:space="preserve"> </w:t>
      </w:r>
      <w:r w:rsidRPr="00263A2A">
        <w:rPr>
          <w:rFonts w:ascii="Times New Roman" w:hAnsi="Times New Roman" w:cs="Times New Roman"/>
          <w:sz w:val="28"/>
          <w:lang w:val="en-US"/>
        </w:rPr>
        <w:t>App</w:t>
      </w:r>
      <w:r w:rsidRPr="00263A2A">
        <w:rPr>
          <w:rFonts w:ascii="Times New Roman" w:hAnsi="Times New Roman" w:cs="Times New Roman"/>
          <w:sz w:val="28"/>
        </w:rPr>
        <w:t xml:space="preserve">), VKontakte, LinkedIn, MySpace, </w:t>
      </w:r>
      <w:r w:rsidRPr="00263A2A">
        <w:rPr>
          <w:rFonts w:ascii="Times New Roman" w:hAnsi="Times New Roman" w:cs="Times New Roman"/>
          <w:sz w:val="28"/>
          <w:lang w:val="en-US"/>
        </w:rPr>
        <w:t>X</w:t>
      </w:r>
      <w:r w:rsidRPr="00263A2A">
        <w:rPr>
          <w:rFonts w:ascii="Times New Roman" w:hAnsi="Times New Roman" w:cs="Times New Roman"/>
          <w:sz w:val="28"/>
        </w:rPr>
        <w:t xml:space="preserve"> и другие.</w:t>
      </w:r>
    </w:p>
    <w:p w:rsidR="00263A2A" w:rsidRPr="00263A2A" w:rsidRDefault="00263A2A" w:rsidP="008465D6">
      <w:pPr>
        <w:numPr>
          <w:ilvl w:val="0"/>
          <w:numId w:val="3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Социальные закладки</w:t>
      </w:r>
      <w:r w:rsidRPr="00263A2A">
        <w:rPr>
          <w:rFonts w:ascii="Times New Roman" w:hAnsi="Times New Roman" w:cs="Times New Roman"/>
          <w:sz w:val="28"/>
        </w:rPr>
        <w:t xml:space="preserve"> – платформы, позволяющие пользователям сохранить свои закладки в интернете и делиться ими: delicious.com, blogmarks.com [174, р. 237].</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Существует иная классификация, основанная на идее экосистемы социальных медиа</w:t>
      </w:r>
      <w:r w:rsidRPr="00263A2A">
        <w:rPr>
          <w:rFonts w:ascii="Times New Roman" w:hAnsi="Times New Roman" w:cs="Times New Roman"/>
          <w:sz w:val="28"/>
        </w:rPr>
        <w:t xml:space="preserve">. Её авторы </w:t>
      </w:r>
      <w:r w:rsidRPr="00263A2A">
        <w:rPr>
          <w:rFonts w:ascii="Times New Roman" w:hAnsi="Times New Roman" w:cs="Times New Roman"/>
          <w:bCs/>
          <w:sz w:val="28"/>
          <w:lang w:val="en-US"/>
        </w:rPr>
        <w:t>L</w:t>
      </w:r>
      <w:r w:rsidRPr="00263A2A">
        <w:rPr>
          <w:rFonts w:ascii="Times New Roman" w:hAnsi="Times New Roman" w:cs="Times New Roman"/>
          <w:bCs/>
          <w:sz w:val="28"/>
        </w:rPr>
        <w:t>.</w:t>
      </w:r>
      <w:r w:rsidRPr="00263A2A">
        <w:rPr>
          <w:rFonts w:ascii="Times New Roman" w:hAnsi="Times New Roman" w:cs="Times New Roman"/>
          <w:bCs/>
          <w:sz w:val="28"/>
          <w:lang w:val="en-US"/>
        </w:rPr>
        <w:t>Safko</w:t>
      </w:r>
      <w:r w:rsidRPr="00263A2A">
        <w:rPr>
          <w:rFonts w:ascii="Times New Roman" w:hAnsi="Times New Roman" w:cs="Times New Roman"/>
          <w:bCs/>
          <w:sz w:val="28"/>
        </w:rPr>
        <w:t xml:space="preserve"> </w:t>
      </w:r>
      <w:r w:rsidRPr="00263A2A">
        <w:rPr>
          <w:rFonts w:ascii="Times New Roman" w:hAnsi="Times New Roman" w:cs="Times New Roman"/>
          <w:sz w:val="28"/>
        </w:rPr>
        <w:t>и</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D</w:t>
      </w:r>
      <w:r w:rsidRPr="00263A2A">
        <w:rPr>
          <w:rFonts w:ascii="Times New Roman" w:hAnsi="Times New Roman" w:cs="Times New Roman"/>
          <w:bCs/>
          <w:sz w:val="28"/>
        </w:rPr>
        <w:t xml:space="preserve">. </w:t>
      </w:r>
      <w:r w:rsidRPr="00263A2A">
        <w:rPr>
          <w:rFonts w:ascii="Times New Roman" w:hAnsi="Times New Roman" w:cs="Times New Roman"/>
          <w:bCs/>
          <w:sz w:val="28"/>
          <w:lang w:val="en-US"/>
        </w:rPr>
        <w:t>Brake</w:t>
      </w:r>
      <w:r w:rsidRPr="00263A2A">
        <w:rPr>
          <w:rFonts w:ascii="Times New Roman" w:hAnsi="Times New Roman" w:cs="Times New Roman"/>
          <w:bCs/>
          <w:sz w:val="28"/>
        </w:rPr>
        <w:t xml:space="preserve"> </w:t>
      </w:r>
      <w:r w:rsidRPr="00263A2A">
        <w:rPr>
          <w:rFonts w:ascii="Times New Roman" w:hAnsi="Times New Roman" w:cs="Times New Roman"/>
          <w:sz w:val="28"/>
        </w:rPr>
        <w:t>считают, что социальные медиа представляют собой экосистему наподобие биологической. Элементы в ней способны как сосуществовать, так и конкурировать [175, р. 58]. Как считают эти исследователи, можно выделить следующие категории социальных медиа:</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Социальные сети</w:t>
      </w:r>
      <w:r w:rsidRPr="00263A2A">
        <w:rPr>
          <w:rFonts w:ascii="Times New Roman" w:hAnsi="Times New Roman" w:cs="Times New Roman"/>
          <w:sz w:val="28"/>
        </w:rPr>
        <w:t xml:space="preserve"> – платформы, позволяющие обмениваться информацией о себе, своих интересах и новостях с коллегами, друзьями и знакомыми. Большинство этих платформ предоставляют пользователю </w:t>
      </w:r>
      <w:r w:rsidRPr="00263A2A">
        <w:rPr>
          <w:rFonts w:ascii="Times New Roman" w:hAnsi="Times New Roman" w:cs="Times New Roman"/>
          <w:sz w:val="28"/>
        </w:rPr>
        <w:lastRenderedPageBreak/>
        <w:t>возможность бесплатного создания профиля и последующей публикации контента, отражающего сферу интересов человека.</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Сетевые издания</w:t>
      </w:r>
      <w:r w:rsidRPr="00263A2A">
        <w:rPr>
          <w:rFonts w:ascii="Times New Roman" w:hAnsi="Times New Roman" w:cs="Times New Roman"/>
          <w:sz w:val="28"/>
        </w:rPr>
        <w:t xml:space="preserve"> – ресурсы, позволяющие загружать, обрабатывать и обсуждать различную информацию (блоги, форумы, Wikipedia).</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Фотохостинг</w:t>
      </w:r>
      <w:r w:rsidRPr="00263A2A">
        <w:rPr>
          <w:rFonts w:ascii="Times New Roman" w:hAnsi="Times New Roman" w:cs="Times New Roman"/>
          <w:sz w:val="28"/>
        </w:rPr>
        <w:t xml:space="preserve"> – веб-сайты, онлайн сообщества, позволяющие публиковать различные изображения, в частности Flickr. Instagram также изначально функционировал как подобный ресурс.</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Аудио и видеохостинг</w:t>
      </w:r>
      <w:r w:rsidRPr="00263A2A">
        <w:rPr>
          <w:rFonts w:ascii="Times New Roman" w:hAnsi="Times New Roman" w:cs="Times New Roman"/>
          <w:sz w:val="28"/>
        </w:rPr>
        <w:t xml:space="preserve"> – веб-сайты, позволяющие загружать и воспроизводить аудио и видеозаписи: YouTube, Одноклассники.ru, Яндекс.Музыка.</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Миниблоггинг</w:t>
      </w:r>
      <w:r w:rsidRPr="00263A2A">
        <w:rPr>
          <w:rFonts w:ascii="Times New Roman" w:hAnsi="Times New Roman" w:cs="Times New Roman"/>
          <w:sz w:val="28"/>
        </w:rPr>
        <w:t xml:space="preserve"> – ресурсы, позволяющие загружать и обмениваться текстовыми и аудио сообщениями, изображениями. Есть возможность получения и обмена новостями, обеспечения информацией. Как представляется, мессенджеры, такие как What’sApp, Telegram, Viber, </w:t>
      </w:r>
      <w:r w:rsidRPr="00263A2A">
        <w:rPr>
          <w:rFonts w:ascii="Times New Roman" w:hAnsi="Times New Roman" w:cs="Times New Roman"/>
          <w:sz w:val="28"/>
          <w:lang w:val="en-US"/>
        </w:rPr>
        <w:t>Singal</w:t>
      </w:r>
      <w:r w:rsidRPr="00263A2A">
        <w:rPr>
          <w:rFonts w:ascii="Times New Roman" w:hAnsi="Times New Roman" w:cs="Times New Roman"/>
          <w:sz w:val="28"/>
        </w:rPr>
        <w:t xml:space="preserve"> можно отнести к данному типу.</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Лайфкастинг</w:t>
      </w:r>
      <w:r w:rsidRPr="00263A2A">
        <w:rPr>
          <w:rFonts w:ascii="Times New Roman" w:hAnsi="Times New Roman" w:cs="Times New Roman"/>
          <w:sz w:val="28"/>
        </w:rPr>
        <w:t xml:space="preserve"> – платформы, позволяющие ретранслировать информацию в прямом эфире в социальных сетях (аналог интернет-радио). Некоторые социальные сети, такие как Facebook, Одноклассники.ru предоставляют такую возможность.</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Онлайн игры</w:t>
      </w:r>
      <w:r w:rsidRPr="00263A2A">
        <w:rPr>
          <w:rFonts w:ascii="Times New Roman" w:hAnsi="Times New Roman" w:cs="Times New Roman"/>
          <w:sz w:val="28"/>
        </w:rPr>
        <w:t>. Большинство сетевых игр предоставляют возможность обмена сообщениями между игроками как в процессе игры, так и вне её.</w:t>
      </w:r>
    </w:p>
    <w:p w:rsidR="00263A2A" w:rsidRPr="00263A2A" w:rsidRDefault="00263A2A" w:rsidP="008465D6">
      <w:pPr>
        <w:numPr>
          <w:ilvl w:val="0"/>
          <w:numId w:val="41"/>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i/>
          <w:sz w:val="28"/>
        </w:rPr>
        <w:t>Поисковые системы</w:t>
      </w:r>
      <w:r w:rsidRPr="00263A2A">
        <w:rPr>
          <w:rFonts w:ascii="Times New Roman" w:hAnsi="Times New Roman" w:cs="Times New Roman"/>
          <w:sz w:val="28"/>
        </w:rPr>
        <w:t xml:space="preserve"> – программы, позволяющие осуществлять поиск информации в интернете: Google, Yandex, Mail, Bing и другие [175, р. 60].</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Таким образом, можно сделать вывод, что социальные сети представляют собой часть социальных медиа. Этот вывод базируется на изучении массива зарубежной литературы по теме.</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Российские же исследователи придерживаются иной точки зрения. Они полагают, что социальная сеть имеет целью построение онлайн сообществ людей со схожими интересами. Связь между ними осуществляется через обмен сообщениями и комментариями в общих группах. Таким образом, социальная сеть создаёт основу для развития социальных медиа. Как представляется, западный подход к социальным сетям скорее можно считать дедуктивным, российский – скорее индуктивным [176].</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Социальные сети включают в себя три компонента</w:t>
      </w:r>
      <w:r w:rsidRPr="00263A2A">
        <w:rPr>
          <w:rFonts w:ascii="Times New Roman" w:hAnsi="Times New Roman" w:cs="Times New Roman"/>
          <w:sz w:val="28"/>
        </w:rPr>
        <w:t>:</w:t>
      </w:r>
    </w:p>
    <w:p w:rsidR="00263A2A" w:rsidRPr="00263A2A" w:rsidRDefault="00263A2A" w:rsidP="008465D6">
      <w:pPr>
        <w:numPr>
          <w:ilvl w:val="0"/>
          <w:numId w:val="42"/>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Концепцию (искусство, информация);</w:t>
      </w:r>
    </w:p>
    <w:p w:rsidR="00263A2A" w:rsidRPr="00263A2A" w:rsidRDefault="00263A2A" w:rsidP="008465D6">
      <w:pPr>
        <w:numPr>
          <w:ilvl w:val="0"/>
          <w:numId w:val="42"/>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Медиа (аудио, видео, текст);</w:t>
      </w:r>
    </w:p>
    <w:p w:rsidR="00263A2A" w:rsidRPr="00263A2A" w:rsidRDefault="00263A2A" w:rsidP="008465D6">
      <w:pPr>
        <w:numPr>
          <w:ilvl w:val="0"/>
          <w:numId w:val="42"/>
        </w:numPr>
        <w:spacing w:after="0"/>
        <w:ind w:left="0" w:firstLine="709"/>
        <w:contextualSpacing/>
        <w:rPr>
          <w:rFonts w:ascii="Times New Roman" w:hAnsi="Times New Roman" w:cs="Times New Roman"/>
          <w:sz w:val="28"/>
        </w:rPr>
      </w:pPr>
      <w:r w:rsidRPr="00263A2A">
        <w:rPr>
          <w:rFonts w:ascii="Times New Roman" w:hAnsi="Times New Roman" w:cs="Times New Roman"/>
          <w:sz w:val="28"/>
        </w:rPr>
        <w:t>Социальное взаимодействие (электронное, прямое, вирусное) [153].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Наиболее яркими характеристиками социальных медиа можно считать следующие</w:t>
      </w:r>
      <w:r w:rsidRPr="00263A2A">
        <w:rPr>
          <w:rFonts w:ascii="Times New Roman" w:hAnsi="Times New Roman" w:cs="Times New Roman"/>
          <w:sz w:val="28"/>
        </w:rPr>
        <w:t>:</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Досягаемость. Социальные медиа дают пользователям возможность обратиться к глобальной аудитории.</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Доступность. Социальные медиа не подразумевают больших финансовых вложений со стороны пользователя, так как регистрация на большинстве наиболее популярных платформ бесплатна.</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lastRenderedPageBreak/>
        <w:t>Простота. Для регистрации и работы в социальных медиа не требуются специализированные навыки и профессиональные курсы подготовки.</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Мобильность. Социальные медиа обеспечивают практически мгновенное распространение контента в Сети. Доступ к контенту можно получить в любой точке мира, не будучи привязанным к персональному компьютеру (ПК), использовать смартфон.</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Гибкость. В социальных медиа контент может быть изменён посредством комментирования и редактирования [153].</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Возможность кооперации, постановки и достижении целей (создание групп по интересам).</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Возможность обмена информации.</w:t>
      </w:r>
    </w:p>
    <w:p w:rsidR="00263A2A" w:rsidRPr="00263A2A" w:rsidRDefault="00263A2A" w:rsidP="008465D6">
      <w:pPr>
        <w:numPr>
          <w:ilvl w:val="0"/>
          <w:numId w:val="43"/>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Возможность удовлетворения потребностей (расширение сети знакомых, увеличение вовлечённости в различную деятельность посредством увеличения членства в различных группах) [176].</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Направления использования социальных медиа зависят от социокультурного и политико-экономического контекста. В рамках темы диссертационного исследования мы сконцентрируем своё внимание на таких типах социальных медиа, как социальные сети и сайты, содержащие контент, генерируемый пользователями (первый и второй тип в классификации выше), поскольку они отвечают целям нашего исследования.</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В самом начале своего развития интернет (после появления WWW в 1991 году) воспринимался как площадка, олицетворяющая свободу индивида от государственного и правового регулирования. Появление социальных медиа в 2000-х усилило эту иллюзию, поскольку индивиды получили возможность по собственному желанию создавать контент и делиться им.  Именно поэтому многие исследователи медиа воспринимают социальные медиа как новый канал и одновременно инструмент по продвижению идей либерализма (свободы в различных её проявлениях), неформальности, толерантности, демократии. Все эти явления возникают на уровне пользователей, постепенно проникают в их сознание и шаг за шагом воздействуют на их мировоззрение (согласно идеям</w:t>
      </w:r>
      <w:r w:rsidRPr="00263A2A">
        <w:rPr>
          <w:rFonts w:ascii="Times New Roman" w:hAnsi="Times New Roman" w:cs="Times New Roman"/>
          <w:sz w:val="28"/>
          <w:szCs w:val="28"/>
        </w:rPr>
        <w:t xml:space="preserve"> </w:t>
      </w:r>
      <w:r w:rsidRPr="00263A2A">
        <w:rPr>
          <w:rFonts w:ascii="Times New Roman" w:hAnsi="Times New Roman" w:cs="Times New Roman"/>
          <w:sz w:val="28"/>
          <w:szCs w:val="28"/>
          <w:lang w:val="en-US"/>
        </w:rPr>
        <w:t>M</w:t>
      </w:r>
      <w:r w:rsidRPr="00263A2A">
        <w:rPr>
          <w:rFonts w:ascii="Times New Roman" w:hAnsi="Times New Roman" w:cs="Times New Roman"/>
          <w:sz w:val="28"/>
          <w:szCs w:val="28"/>
        </w:rPr>
        <w:t xml:space="preserve">. </w:t>
      </w:r>
      <w:r w:rsidRPr="00263A2A">
        <w:rPr>
          <w:rFonts w:ascii="Times New Roman" w:hAnsi="Times New Roman" w:cs="Times New Roman"/>
          <w:sz w:val="28"/>
          <w:szCs w:val="28"/>
          <w:lang w:val="en-US"/>
        </w:rPr>
        <w:t>McLuhan</w:t>
      </w:r>
      <w:r w:rsidRPr="00263A2A">
        <w:rPr>
          <w:rFonts w:ascii="Times New Roman" w:hAnsi="Times New Roman" w:cs="Times New Roman"/>
          <w:sz w:val="28"/>
        </w:rPr>
        <w:t xml:space="preserve">) [177, р. 122]. Исследователь медиа </w:t>
      </w:r>
      <w:r w:rsidRPr="00263A2A">
        <w:rPr>
          <w:rFonts w:ascii="Times New Roman" w:hAnsi="Times New Roman" w:cs="Times New Roman"/>
          <w:sz w:val="28"/>
          <w:szCs w:val="28"/>
          <w:lang w:val="en-US"/>
        </w:rPr>
        <w:t>A</w:t>
      </w:r>
      <w:r w:rsidRPr="00263A2A">
        <w:rPr>
          <w:rFonts w:ascii="Times New Roman" w:hAnsi="Times New Roman" w:cs="Times New Roman"/>
          <w:sz w:val="28"/>
          <w:szCs w:val="28"/>
        </w:rPr>
        <w:t xml:space="preserve">. </w:t>
      </w:r>
      <w:r w:rsidRPr="00263A2A">
        <w:rPr>
          <w:rFonts w:ascii="Times New Roman" w:hAnsi="Times New Roman" w:cs="Times New Roman"/>
          <w:sz w:val="28"/>
          <w:szCs w:val="28"/>
          <w:lang w:val="en-US"/>
        </w:rPr>
        <w:t>Bruns</w:t>
      </w:r>
      <w:r w:rsidRPr="00263A2A">
        <w:rPr>
          <w:rFonts w:ascii="Times New Roman" w:hAnsi="Times New Roman" w:cs="Times New Roman"/>
          <w:sz w:val="28"/>
          <w:szCs w:val="28"/>
        </w:rPr>
        <w:t xml:space="preserve"> </w:t>
      </w:r>
      <w:r w:rsidRPr="00263A2A">
        <w:rPr>
          <w:rFonts w:ascii="Times New Roman" w:hAnsi="Times New Roman" w:cs="Times New Roman"/>
          <w:sz w:val="28"/>
        </w:rPr>
        <w:t>предположил появление нового социального класса «produsers» - совмещение «producer» и «user» - пользователи, являющиеся одновременно создателями и распространителями контента [178, р. 46]. Возможности технологии Web 2.0 идеализировались и в направлении способности выстраивать связи в онлайн режиме и заменять собой реальные отношения.</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Действительно, социальные медиа способны объединять пользователей, упрощать совместную деятельность. Сам термин «социальные» медиа говорит об этой направленности [178, р. 87]. Социальные медиа и предоставляемые ими механизмы способны создавать, укреплять и расширять сеть взаимодействий за счёт специфики технологии </w:t>
      </w:r>
      <w:r w:rsidRPr="00263A2A">
        <w:rPr>
          <w:rFonts w:ascii="Times New Roman" w:hAnsi="Times New Roman" w:cs="Times New Roman"/>
          <w:sz w:val="28"/>
          <w:lang w:val="en-US"/>
        </w:rPr>
        <w:t>Web</w:t>
      </w:r>
      <w:r w:rsidRPr="00263A2A">
        <w:rPr>
          <w:rFonts w:ascii="Times New Roman" w:hAnsi="Times New Roman" w:cs="Times New Roman"/>
          <w:sz w:val="28"/>
        </w:rPr>
        <w:t xml:space="preserve"> 2.0. К примеру, </w:t>
      </w:r>
      <w:r w:rsidRPr="00263A2A">
        <w:rPr>
          <w:rFonts w:ascii="Times New Roman" w:hAnsi="Times New Roman" w:cs="Times New Roman"/>
          <w:sz w:val="28"/>
          <w:lang w:val="en-US"/>
        </w:rPr>
        <w:t>Meta</w:t>
      </w:r>
      <w:r w:rsidRPr="00263A2A">
        <w:rPr>
          <w:rFonts w:ascii="Times New Roman" w:hAnsi="Times New Roman" w:cs="Times New Roman"/>
          <w:sz w:val="28"/>
        </w:rPr>
        <w:t xml:space="preserve"> (</w:t>
      </w:r>
      <w:r w:rsidRPr="00263A2A">
        <w:rPr>
          <w:rFonts w:ascii="Times New Roman" w:hAnsi="Times New Roman" w:cs="Times New Roman"/>
          <w:sz w:val="28"/>
          <w:lang w:val="en-US"/>
        </w:rPr>
        <w:t>Facebook</w:t>
      </w:r>
      <w:r w:rsidRPr="00263A2A">
        <w:rPr>
          <w:rFonts w:ascii="Times New Roman" w:hAnsi="Times New Roman" w:cs="Times New Roman"/>
          <w:sz w:val="28"/>
        </w:rPr>
        <w:t xml:space="preserve">, </w:t>
      </w:r>
      <w:r w:rsidRPr="00263A2A">
        <w:rPr>
          <w:rFonts w:ascii="Times New Roman" w:hAnsi="Times New Roman" w:cs="Times New Roman"/>
          <w:sz w:val="28"/>
          <w:lang w:val="en-US"/>
        </w:rPr>
        <w:t>Instagram</w:t>
      </w:r>
      <w:r w:rsidRPr="00263A2A">
        <w:rPr>
          <w:rFonts w:ascii="Times New Roman" w:hAnsi="Times New Roman" w:cs="Times New Roman"/>
          <w:sz w:val="28"/>
        </w:rPr>
        <w:t xml:space="preserve">, </w:t>
      </w:r>
      <w:r w:rsidRPr="00263A2A">
        <w:rPr>
          <w:rFonts w:ascii="Times New Roman" w:hAnsi="Times New Roman" w:cs="Times New Roman"/>
          <w:sz w:val="28"/>
          <w:lang w:val="en-US"/>
        </w:rPr>
        <w:t>What</w:t>
      </w:r>
      <w:r w:rsidRPr="00263A2A">
        <w:rPr>
          <w:rFonts w:ascii="Times New Roman" w:hAnsi="Times New Roman" w:cs="Times New Roman"/>
          <w:sz w:val="28"/>
        </w:rPr>
        <w:t>’</w:t>
      </w:r>
      <w:r w:rsidRPr="00263A2A">
        <w:rPr>
          <w:rFonts w:ascii="Times New Roman" w:hAnsi="Times New Roman" w:cs="Times New Roman"/>
          <w:sz w:val="28"/>
          <w:lang w:val="en-US"/>
        </w:rPr>
        <w:t>s</w:t>
      </w:r>
      <w:r w:rsidRPr="00263A2A">
        <w:rPr>
          <w:rFonts w:ascii="Times New Roman" w:hAnsi="Times New Roman" w:cs="Times New Roman"/>
          <w:sz w:val="28"/>
        </w:rPr>
        <w:t xml:space="preserve"> </w:t>
      </w:r>
      <w:r w:rsidRPr="00263A2A">
        <w:rPr>
          <w:rFonts w:ascii="Times New Roman" w:hAnsi="Times New Roman" w:cs="Times New Roman"/>
          <w:sz w:val="28"/>
          <w:lang w:val="en-US"/>
        </w:rPr>
        <w:t>App</w:t>
      </w:r>
      <w:r w:rsidRPr="00263A2A">
        <w:rPr>
          <w:rFonts w:ascii="Times New Roman" w:hAnsi="Times New Roman" w:cs="Times New Roman"/>
          <w:sz w:val="28"/>
        </w:rPr>
        <w:t xml:space="preserve">) отслеживает контакты, группы, контент, который потребляет и производит определённый пользователь и подыскивает подобные группы, людей и контент, предлагая индивиду вступить в группу, подписаться на страницу, </w:t>
      </w:r>
      <w:r w:rsidRPr="00263A2A">
        <w:rPr>
          <w:rFonts w:ascii="Times New Roman" w:hAnsi="Times New Roman" w:cs="Times New Roman"/>
          <w:sz w:val="28"/>
        </w:rPr>
        <w:lastRenderedPageBreak/>
        <w:t xml:space="preserve">добавить кого-либо в друзья. Таким образом, платформа выступает в роли направляющего дальнейших контактов индивида. Если предыдущее поколение технологических платформ (Web 1.0) стимулировало индивида к самостоятельному поиску, то Web 2.0, предоставляя и такую возможность, основной акцент делает именно на автоматизированных предложениях самой платформы. Кроме того, социальные медиа на платформе Web 2.0 показывают пользователю, что его друзья делают онлайн, какую музыку слушают, какие видео смотрят, что читают. Следовательно, социальные медиа делают отношения более технологизированными, поскольку ранее частные эмоциональные проявления, о которых мы упомянули выше, демонстрировались при личных контактах [153].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С появлением и развитием платформы Web 2.0 понятия «участие» и «взаимодействие», казалось, обрели новый смысл в рамках новых технологических возможностей социальных медиа. Пользователи рассматривались как со-распространители и со-промоутеры контента, что обогащало онлайн сообщество. Это открыло новые перспективы для исследования, поскольку технологические возможности социальных медиа позволяют отследить, кто делится с кем какими фото, видео, новостями; кто создаёт основной контент; какие видео популярны в каких группах [153]. Институты гражданского общества получают возможность расширить свою целевую аудиторию, увеличить количество подписчиков и рекрутировать новых членов.</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В связи с проблемой участия, связей и взаимосвязанности, и развитием социальных медиа, возникает вопрос: каким образом следует оценивать контакты индивида в социальных медиа? В офлайн мире индивида оценивают не по количеству его контактов, но по их качеству и статусности. В контексте социальных медиа возникает термин «друзья». Он рассматривается применительно ко всем контактам индивида, включая в себя сильные связи (людей, которых он знает лично) и слабые связи (малознакомых и незнакомых людей) в терминологии </w:t>
      </w:r>
      <w:r w:rsidRPr="00263A2A">
        <w:rPr>
          <w:rFonts w:ascii="Times New Roman" w:hAnsi="Times New Roman" w:cs="Times New Roman"/>
          <w:sz w:val="28"/>
          <w:lang w:val="en-US"/>
        </w:rPr>
        <w:t>R</w:t>
      </w:r>
      <w:r w:rsidRPr="00263A2A">
        <w:rPr>
          <w:rFonts w:ascii="Times New Roman" w:hAnsi="Times New Roman" w:cs="Times New Roman"/>
          <w:sz w:val="28"/>
        </w:rPr>
        <w:t xml:space="preserve">. </w:t>
      </w:r>
      <w:r w:rsidRPr="00263A2A">
        <w:rPr>
          <w:rFonts w:ascii="Times New Roman" w:hAnsi="Times New Roman" w:cs="Times New Roman"/>
          <w:sz w:val="28"/>
          <w:lang w:val="en-US"/>
        </w:rPr>
        <w:t>Putnam</w:t>
      </w:r>
      <w:r w:rsidRPr="00263A2A">
        <w:rPr>
          <w:rFonts w:ascii="Times New Roman" w:hAnsi="Times New Roman" w:cs="Times New Roman"/>
          <w:sz w:val="28"/>
        </w:rPr>
        <w:t>. Похожее значение имеет термин «подписчики», которыми могут быть абсолютно любые индивиды, отслеживающие публикации какого-либо пользователя – от близких знакомых до посторонних людей. В онлайн мире востребованность и значимость пользователя зачастую оценивается по количеству контактов (друзей и подписчиков). Однако, их качество может быть невысоким.</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Подобная проблема возникает в ситуации с так называемыми «лайками» и количеством просмотров. Чем их больше у пользователя, сообщества, сообщения, тем они популярнее. Следовательно, они способны стать трендом и влиять на пользователей. Качество информации с большим количеством лайков может быть различно, эту особенность социальных медиа нужно учитывать при распространении информации.</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Как утверждает </w:t>
      </w:r>
      <w:r w:rsidRPr="00263A2A">
        <w:rPr>
          <w:rFonts w:ascii="Times New Roman" w:hAnsi="Times New Roman" w:cs="Times New Roman"/>
          <w:sz w:val="28"/>
          <w:lang w:val="en-US"/>
        </w:rPr>
        <w:t>J</w:t>
      </w:r>
      <w:r w:rsidRPr="00263A2A">
        <w:rPr>
          <w:rFonts w:ascii="Times New Roman" w:hAnsi="Times New Roman" w:cs="Times New Roman"/>
          <w:sz w:val="28"/>
        </w:rPr>
        <w:t xml:space="preserve">. </w:t>
      </w:r>
      <w:r w:rsidRPr="00263A2A">
        <w:rPr>
          <w:rFonts w:ascii="Times New Roman" w:hAnsi="Times New Roman" w:cs="Times New Roman"/>
          <w:sz w:val="28"/>
          <w:lang w:val="en-US"/>
        </w:rPr>
        <w:t>van</w:t>
      </w:r>
      <w:r w:rsidRPr="00263A2A">
        <w:rPr>
          <w:rFonts w:ascii="Times New Roman" w:hAnsi="Times New Roman" w:cs="Times New Roman"/>
          <w:sz w:val="28"/>
        </w:rPr>
        <w:t xml:space="preserve"> </w:t>
      </w:r>
      <w:r w:rsidRPr="00263A2A">
        <w:rPr>
          <w:rFonts w:ascii="Times New Roman" w:hAnsi="Times New Roman" w:cs="Times New Roman"/>
          <w:sz w:val="28"/>
          <w:lang w:val="en-US"/>
        </w:rPr>
        <w:t>Dijk</w:t>
      </w:r>
      <w:r w:rsidRPr="00263A2A">
        <w:rPr>
          <w:rFonts w:ascii="Times New Roman" w:hAnsi="Times New Roman" w:cs="Times New Roman"/>
          <w:sz w:val="28"/>
        </w:rPr>
        <w:t xml:space="preserve">, термин «социальные» медиа не вполне уместен, так как они не способны заменить прямую (социальную, общественную) коммуникацию между индивидами. Наиболее предпочтительным был бы термин </w:t>
      </w:r>
      <w:r w:rsidRPr="00263A2A">
        <w:rPr>
          <w:rFonts w:ascii="Times New Roman" w:hAnsi="Times New Roman" w:cs="Times New Roman"/>
          <w:sz w:val="28"/>
        </w:rPr>
        <w:lastRenderedPageBreak/>
        <w:t>«связующие» медиа (“connective media”), однако первый вариант на сегодняшний день устоялся, следовательно, в науке они именуются именно так [179, р. 46].</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Как уже упоминалось, неудивительно, что социальные медиа, их возможности, привлекательные для молодёжи в особенности, породили множество теоретических и научных споров. С одной стороны, появились горячие сторонники социальных медиа на технологической платформе Web 2.0, такие как </w:t>
      </w:r>
      <w:r w:rsidRPr="00263A2A">
        <w:rPr>
          <w:rFonts w:ascii="Times New Roman" w:hAnsi="Times New Roman" w:cs="Times New Roman"/>
          <w:bCs/>
          <w:sz w:val="28"/>
          <w:szCs w:val="28"/>
          <w:lang w:val="en-US"/>
        </w:rPr>
        <w:t>Y</w:t>
      </w:r>
      <w:r w:rsidRPr="00263A2A">
        <w:rPr>
          <w:rFonts w:ascii="Times New Roman" w:hAnsi="Times New Roman" w:cs="Times New Roman"/>
          <w:bCs/>
          <w:sz w:val="28"/>
          <w:szCs w:val="28"/>
        </w:rPr>
        <w:t xml:space="preserve">. </w:t>
      </w:r>
      <w:r w:rsidRPr="00263A2A">
        <w:rPr>
          <w:rFonts w:ascii="Times New Roman" w:hAnsi="Times New Roman" w:cs="Times New Roman"/>
          <w:bCs/>
          <w:sz w:val="28"/>
          <w:szCs w:val="28"/>
          <w:lang w:val="en-US"/>
        </w:rPr>
        <w:t>Benkler</w:t>
      </w:r>
      <w:r w:rsidRPr="00263A2A">
        <w:rPr>
          <w:rFonts w:ascii="Times New Roman" w:hAnsi="Times New Roman" w:cs="Times New Roman"/>
          <w:bCs/>
          <w:sz w:val="28"/>
          <w:szCs w:val="28"/>
        </w:rPr>
        <w:t xml:space="preserve"> </w:t>
      </w:r>
      <w:r w:rsidRPr="00263A2A">
        <w:rPr>
          <w:rFonts w:ascii="Times New Roman" w:hAnsi="Times New Roman" w:cs="Times New Roman"/>
          <w:sz w:val="28"/>
        </w:rPr>
        <w:t xml:space="preserve">[140, р. 77], </w:t>
      </w:r>
      <w:r w:rsidRPr="00263A2A">
        <w:rPr>
          <w:rFonts w:ascii="Times New Roman" w:hAnsi="Times New Roman" w:cs="Times New Roman"/>
          <w:sz w:val="28"/>
          <w:szCs w:val="28"/>
          <w:lang w:val="en-US"/>
        </w:rPr>
        <w:t>H</w:t>
      </w:r>
      <w:r w:rsidRPr="00263A2A">
        <w:rPr>
          <w:rFonts w:ascii="Times New Roman" w:hAnsi="Times New Roman" w:cs="Times New Roman"/>
          <w:sz w:val="28"/>
          <w:szCs w:val="28"/>
        </w:rPr>
        <w:t>.</w:t>
      </w:r>
      <w:r w:rsidRPr="00263A2A">
        <w:rPr>
          <w:rFonts w:ascii="Times New Roman" w:hAnsi="Times New Roman" w:cs="Times New Roman"/>
          <w:sz w:val="28"/>
        </w:rPr>
        <w:t xml:space="preserve"> </w:t>
      </w:r>
      <w:r w:rsidRPr="00263A2A">
        <w:rPr>
          <w:rFonts w:ascii="Times New Roman" w:hAnsi="Times New Roman" w:cs="Times New Roman"/>
          <w:sz w:val="28"/>
          <w:szCs w:val="28"/>
          <w:lang w:val="en-US"/>
        </w:rPr>
        <w:t>Jenkins</w:t>
      </w:r>
      <w:r w:rsidRPr="00263A2A">
        <w:rPr>
          <w:rFonts w:ascii="Times New Roman" w:hAnsi="Times New Roman" w:cs="Times New Roman"/>
          <w:sz w:val="28"/>
          <w:szCs w:val="28"/>
        </w:rPr>
        <w:t xml:space="preserve"> </w:t>
      </w:r>
      <w:r w:rsidRPr="00263A2A">
        <w:rPr>
          <w:rFonts w:ascii="Times New Roman" w:hAnsi="Times New Roman" w:cs="Times New Roman"/>
          <w:sz w:val="28"/>
        </w:rPr>
        <w:t xml:space="preserve">[180, р. 117]. Они полагают, что новые цифровые возможности способны стимулировать пользователей создавать, продвигать контент, образовывать новые связи, практически оформить новое общественно-политическое пространство в онлайн среде. Например, исследователь коммуникаций </w:t>
      </w:r>
      <w:r w:rsidRPr="00263A2A">
        <w:rPr>
          <w:rFonts w:ascii="Times New Roman" w:hAnsi="Times New Roman" w:cs="Times New Roman"/>
          <w:sz w:val="28"/>
          <w:szCs w:val="28"/>
          <w:lang w:val="en-US"/>
        </w:rPr>
        <w:t>Z</w:t>
      </w:r>
      <w:r w:rsidRPr="00263A2A">
        <w:rPr>
          <w:rFonts w:ascii="Times New Roman" w:hAnsi="Times New Roman" w:cs="Times New Roman"/>
          <w:sz w:val="28"/>
          <w:szCs w:val="28"/>
        </w:rPr>
        <w:t xml:space="preserve">. </w:t>
      </w:r>
      <w:r w:rsidRPr="00263A2A">
        <w:rPr>
          <w:rFonts w:ascii="Times New Roman" w:hAnsi="Times New Roman" w:cs="Times New Roman"/>
          <w:sz w:val="28"/>
          <w:szCs w:val="28"/>
          <w:lang w:val="en-US"/>
        </w:rPr>
        <w:t>Papacharissi</w:t>
      </w:r>
      <w:r w:rsidRPr="00263A2A">
        <w:rPr>
          <w:rFonts w:ascii="Times New Roman" w:hAnsi="Times New Roman" w:cs="Times New Roman"/>
          <w:sz w:val="28"/>
          <w:szCs w:val="28"/>
        </w:rPr>
        <w:t xml:space="preserve"> </w:t>
      </w:r>
      <w:r w:rsidRPr="00263A2A">
        <w:rPr>
          <w:rFonts w:ascii="Times New Roman" w:hAnsi="Times New Roman" w:cs="Times New Roman"/>
          <w:sz w:val="28"/>
        </w:rPr>
        <w:t xml:space="preserve">утверждает, что социальные медиа создают пространство, стирающее границы между частным и публичным, и формируют новые возможности для формирования идентичности [181, р. 43]. </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С другой стороны, подобные взгляды критиковались весьма серьёзно. Сторонники политической экономии</w:t>
      </w:r>
      <w:r w:rsidRPr="00263A2A">
        <w:rPr>
          <w:rFonts w:ascii="Times New Roman" w:eastAsiaTheme="minorEastAsia" w:hAnsi="Times New Roman" w:cs="Times New Roman"/>
          <w:sz w:val="28"/>
          <w:szCs w:val="28"/>
          <w:lang w:eastAsia="ru-RU"/>
        </w:rPr>
        <w:t xml:space="preserve"> </w:t>
      </w:r>
      <w:r w:rsidRPr="00263A2A">
        <w:rPr>
          <w:rFonts w:ascii="Times New Roman" w:hAnsi="Times New Roman" w:cs="Times New Roman"/>
          <w:sz w:val="28"/>
          <w:lang w:val="en-US"/>
        </w:rPr>
        <w:t>K</w:t>
      </w:r>
      <w:r w:rsidRPr="00263A2A">
        <w:rPr>
          <w:rFonts w:ascii="Times New Roman" w:hAnsi="Times New Roman" w:cs="Times New Roman"/>
          <w:sz w:val="28"/>
        </w:rPr>
        <w:t xml:space="preserve">. </w:t>
      </w:r>
      <w:r w:rsidRPr="00263A2A">
        <w:rPr>
          <w:rFonts w:ascii="Times New Roman" w:hAnsi="Times New Roman" w:cs="Times New Roman"/>
          <w:sz w:val="28"/>
          <w:lang w:val="en-US"/>
        </w:rPr>
        <w:t>Milberry</w:t>
      </w:r>
      <w:r w:rsidRPr="00263A2A">
        <w:rPr>
          <w:rFonts w:ascii="Times New Roman" w:hAnsi="Times New Roman" w:cs="Times New Roman"/>
          <w:sz w:val="28"/>
        </w:rPr>
        <w:t xml:space="preserve"> и </w:t>
      </w:r>
      <w:r w:rsidRPr="00263A2A">
        <w:rPr>
          <w:rFonts w:ascii="Times New Roman" w:hAnsi="Times New Roman" w:cs="Times New Roman"/>
          <w:sz w:val="28"/>
          <w:lang w:val="en-US"/>
        </w:rPr>
        <w:t>S</w:t>
      </w:r>
      <w:r w:rsidRPr="00263A2A">
        <w:rPr>
          <w:rFonts w:ascii="Times New Roman" w:hAnsi="Times New Roman" w:cs="Times New Roman"/>
          <w:sz w:val="28"/>
        </w:rPr>
        <w:t xml:space="preserve">. </w:t>
      </w:r>
      <w:r w:rsidRPr="00263A2A">
        <w:rPr>
          <w:rFonts w:ascii="Times New Roman" w:hAnsi="Times New Roman" w:cs="Times New Roman"/>
          <w:sz w:val="28"/>
          <w:lang w:val="en-US"/>
        </w:rPr>
        <w:t>Anderson</w:t>
      </w:r>
      <w:r w:rsidRPr="00263A2A">
        <w:rPr>
          <w:rFonts w:ascii="Times New Roman" w:hAnsi="Times New Roman" w:cs="Times New Roman"/>
          <w:sz w:val="28"/>
        </w:rPr>
        <w:t xml:space="preserve"> рассматривают социальные медиа как неудачный эксперимент по увеличению демократического участия [182, р. 398]. Идеи исследователей медиа воспринимаются ими как наивная вера в возможности социальных медиа по формированию новой альтернативной публичной сферы взамен уже существующих [183]. Критики полагают, что объединение разных платформ под одной корпорацией, пересечение их сфер деятельности ограничивает возможности платформы Web 2.0 как инструмента формирования партиципаторной культуры (культуры участия), демократии, самоуправления. Эксперты в области права обвиняют социальные медиа в нарушении конфиденциальности, разглашении персональных данных [184, р. 33].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Выводы</w:t>
      </w:r>
      <w:r w:rsidRPr="00263A2A">
        <w:rPr>
          <w:rFonts w:ascii="Times New Roman" w:hAnsi="Times New Roman" w:cs="Times New Roman"/>
          <w:sz w:val="28"/>
        </w:rPr>
        <w:t>:</w:t>
      </w:r>
    </w:p>
    <w:p w:rsidR="00263A2A" w:rsidRPr="00263A2A" w:rsidRDefault="00263A2A" w:rsidP="008465D6">
      <w:pPr>
        <w:numPr>
          <w:ilvl w:val="0"/>
          <w:numId w:val="4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Понятие социальной сети в исследовательском поле носит дуалистический характер, объединяя как офлайн-формы горизонтальных социальных связей, основанных на личном взаимодействии и доверии, так и онлайн-платформы Web 2.0, обеспечивающие технологически опосредованную коммуникацию. Такое разграничение позволяет методологически корректно различать реальные социальные сети как источник социального капитала и социальные медиа как инструмент его трансляции и расширения.</w:t>
      </w:r>
    </w:p>
    <w:p w:rsidR="00263A2A" w:rsidRPr="00263A2A" w:rsidRDefault="00263A2A" w:rsidP="008465D6">
      <w:pPr>
        <w:numPr>
          <w:ilvl w:val="0"/>
          <w:numId w:val="4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Социальные сети офлайн характера выступают одновременно условием и результатом участия индивидов в институтах гражданского общества, поскольку включённость в деятельность общественных организаций способствует формированию устойчивых сетевых связей, которые, в свою очередь, усиливают мотивацию к дальнейшему участию. Тем самым социальные сети функционируют как самовоспроизводящийся механизм институциональной устойчивости институтов гражданского общества.</w:t>
      </w:r>
    </w:p>
    <w:p w:rsidR="00263A2A" w:rsidRPr="00263A2A" w:rsidRDefault="00263A2A" w:rsidP="008465D6">
      <w:pPr>
        <w:numPr>
          <w:ilvl w:val="0"/>
          <w:numId w:val="4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 xml:space="preserve">Роль офлайн социальных сетей в рекрутировании и удержании участников дифференцируется в зависимости от типа организации, характера её деятельности и структуры стимулов участия. Для общественно-политических и </w:t>
      </w:r>
      <w:r w:rsidRPr="00263A2A">
        <w:rPr>
          <w:rFonts w:ascii="Times New Roman" w:hAnsi="Times New Roman" w:cs="Times New Roman"/>
          <w:sz w:val="28"/>
        </w:rPr>
        <w:lastRenderedPageBreak/>
        <w:t>безвозмездных организаций социальные сети имеют значительно более высокую мобилизационную и идентификационную значимость, чем для организаций, ориентированных на материальные выгоды или обладающих закрытым, эксклюзивным характером.</w:t>
      </w:r>
    </w:p>
    <w:p w:rsidR="00263A2A" w:rsidRPr="00263A2A" w:rsidRDefault="00263A2A" w:rsidP="008465D6">
      <w:pPr>
        <w:numPr>
          <w:ilvl w:val="0"/>
          <w:numId w:val="4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Офлайн социальные сети выполняют ключевую функцию формирования индивидуальной и коллективной идентичности в рамках институтов гражданского общества, выступая социальным контекстом, в котором формируется чувство принадлежности, коллективное «мы» и культура участия. Именно через сетевые взаимодействия происходит трансляция ценностей, норм и символов институциональной идентичности, что особенно важно для инклюзивных, неиерархизированных общественных организаций.</w:t>
      </w:r>
    </w:p>
    <w:p w:rsidR="00263A2A" w:rsidRPr="00263A2A" w:rsidRDefault="00263A2A" w:rsidP="008465D6">
      <w:pPr>
        <w:numPr>
          <w:ilvl w:val="0"/>
          <w:numId w:val="4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Онлайн социальные медиа, несмотря на технологический потенциал, характеризуются структурным неравенством участия, при котором активное создание контента сосредоточено у узкой группы пользователей. Это ограничивает их способность к формированию подлинно партиципаторной среды, однако не снижает их значения как каналов распространения идей, символов и образов институтов гражданского общества.</w:t>
      </w:r>
    </w:p>
    <w:p w:rsidR="00263A2A" w:rsidRPr="00263A2A" w:rsidRDefault="00263A2A" w:rsidP="008465D6">
      <w:pPr>
        <w:numPr>
          <w:ilvl w:val="0"/>
          <w:numId w:val="44"/>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Для казахстанского контекста социальные сети обладают повышенной значимостью как канал доверительного рекрутирования, поскольку решение об участии в деятельности институтов гражданского общества во многом принимается через призму межличностных связей с родственниками и близкими знакомыми. Онлайн социальные медиа играют роль дополнительной и опосредованной функции, так как неспособны заменить сильные горизонтальные связи, что показано в Главе 3 по результатам авторского социологического опроса и корреляционно-регрессионного анализа.</w:t>
      </w:r>
    </w:p>
    <w:p w:rsidR="00263A2A" w:rsidRPr="00263A2A" w:rsidRDefault="00263A2A" w:rsidP="00263A2A">
      <w:pPr>
        <w:spacing w:after="0" w:line="240" w:lineRule="auto"/>
        <w:ind w:left="709"/>
        <w:contextualSpacing/>
        <w:jc w:val="both"/>
        <w:rPr>
          <w:rFonts w:ascii="Times New Roman" w:hAnsi="Times New Roman" w:cs="Times New Roman"/>
          <w:sz w:val="28"/>
        </w:rPr>
      </w:pPr>
    </w:p>
    <w:p w:rsidR="00263A2A" w:rsidRPr="00263A2A" w:rsidRDefault="00263A2A" w:rsidP="00263A2A">
      <w:pPr>
        <w:spacing w:after="0" w:line="240" w:lineRule="auto"/>
        <w:ind w:firstLine="709"/>
        <w:contextualSpacing/>
        <w:jc w:val="both"/>
        <w:rPr>
          <w:rFonts w:ascii="Times New Roman" w:hAnsi="Times New Roman" w:cs="Times New Roman"/>
          <w:b/>
          <w:sz w:val="28"/>
        </w:rPr>
      </w:pPr>
      <w:r w:rsidRPr="00263A2A">
        <w:rPr>
          <w:rFonts w:ascii="Times New Roman" w:hAnsi="Times New Roman" w:cs="Times New Roman"/>
          <w:b/>
          <w:sz w:val="28"/>
        </w:rPr>
        <w:t>2.3.1 Операционализация понятия «социальные медиа»</w:t>
      </w:r>
    </w:p>
    <w:p w:rsidR="00263A2A" w:rsidRPr="00263A2A" w:rsidRDefault="00263A2A" w:rsidP="00E54377">
      <w:pPr>
        <w:spacing w:after="0" w:line="240" w:lineRule="auto"/>
        <w:ind w:firstLine="709"/>
        <w:contextualSpacing/>
        <w:jc w:val="both"/>
        <w:rPr>
          <w:rFonts w:ascii="Times New Roman" w:hAnsi="Times New Roman" w:cs="Times New Roman"/>
          <w:sz w:val="28"/>
        </w:rPr>
      </w:pPr>
      <w:r w:rsidRPr="00263A2A">
        <w:rPr>
          <w:rFonts w:ascii="Times New Roman" w:hAnsi="Times New Roman" w:cs="Times New Roman"/>
          <w:sz w:val="28"/>
        </w:rPr>
        <w:t>В рамках настоящего исследования понятие «социальные медиа» определяется как совокупность интернет-платформ, основанных на идеологии и технологических принципах Web 2.0, обеспечивающих пользователям возможность создания, распространения и обмена контентом, генерируемым самими пользователями. Для целей эмпирического анализа данное теоретическое определение подлежит операционализации через выделение измеряемых индикаторов и переменных.</w:t>
      </w:r>
    </w:p>
    <w:p w:rsidR="00263A2A" w:rsidRPr="00263A2A" w:rsidRDefault="00263A2A" w:rsidP="00E54377">
      <w:pPr>
        <w:spacing w:after="0" w:line="240" w:lineRule="auto"/>
        <w:ind w:firstLine="709"/>
        <w:contextualSpacing/>
        <w:jc w:val="both"/>
        <w:rPr>
          <w:rFonts w:ascii="Times New Roman" w:hAnsi="Times New Roman" w:cs="Times New Roman"/>
          <w:sz w:val="28"/>
        </w:rPr>
      </w:pPr>
      <w:r w:rsidRPr="00263A2A">
        <w:rPr>
          <w:rFonts w:ascii="Times New Roman" w:hAnsi="Times New Roman" w:cs="Times New Roman"/>
          <w:sz w:val="28"/>
        </w:rPr>
        <w:t xml:space="preserve">Во-первых, в качестве </w:t>
      </w:r>
      <w:r w:rsidRPr="00263A2A">
        <w:rPr>
          <w:rFonts w:ascii="Times New Roman" w:hAnsi="Times New Roman" w:cs="Times New Roman"/>
          <w:bCs/>
          <w:i/>
          <w:sz w:val="28"/>
        </w:rPr>
        <w:t>критерия отнесения платформ к социальным медиа</w:t>
      </w:r>
      <w:r w:rsidRPr="00263A2A">
        <w:rPr>
          <w:rFonts w:ascii="Times New Roman" w:hAnsi="Times New Roman" w:cs="Times New Roman"/>
          <w:sz w:val="28"/>
        </w:rPr>
        <w:t xml:space="preserve"> используются следующие признаки: 1) наличие пользовательских аккаунтов; 2) возможность генерации оригинального контента (тексты, изображения, видео); 3) наличие интерактивных механизмов (комментарии, лайки, репосты); 4) сетевой характер взаимодействия (подписки, друзья, сообщества). На основе данных критериев в исследование включаются такие платформы, как Instagram, Facebook, TikTok, Telegram, </w:t>
      </w:r>
      <w:r w:rsidRPr="00263A2A">
        <w:rPr>
          <w:rFonts w:ascii="Times New Roman" w:hAnsi="Times New Roman" w:cs="Times New Roman"/>
          <w:sz w:val="28"/>
          <w:lang w:val="en-US"/>
        </w:rPr>
        <w:t>VKontakte</w:t>
      </w:r>
      <w:r w:rsidRPr="00263A2A">
        <w:rPr>
          <w:rFonts w:ascii="Times New Roman" w:hAnsi="Times New Roman" w:cs="Times New Roman"/>
          <w:sz w:val="28"/>
        </w:rPr>
        <w:t xml:space="preserve"> и аналогичные сервисы.</w:t>
      </w:r>
    </w:p>
    <w:p w:rsidR="00263A2A" w:rsidRPr="00263A2A" w:rsidRDefault="00263A2A" w:rsidP="00E54377">
      <w:pPr>
        <w:spacing w:after="0" w:line="240" w:lineRule="auto"/>
        <w:ind w:firstLine="709"/>
        <w:contextualSpacing/>
        <w:jc w:val="both"/>
        <w:rPr>
          <w:rFonts w:ascii="Times New Roman" w:hAnsi="Times New Roman" w:cs="Times New Roman"/>
          <w:sz w:val="28"/>
        </w:rPr>
      </w:pPr>
      <w:r w:rsidRPr="00263A2A">
        <w:rPr>
          <w:rFonts w:ascii="Times New Roman" w:hAnsi="Times New Roman" w:cs="Times New Roman"/>
          <w:sz w:val="28"/>
        </w:rPr>
        <w:t xml:space="preserve">Во-вторых, понятие «социальные медиа» конкретизируется через систему </w:t>
      </w:r>
      <w:r w:rsidRPr="00263A2A">
        <w:rPr>
          <w:rFonts w:ascii="Times New Roman" w:hAnsi="Times New Roman" w:cs="Times New Roman"/>
          <w:bCs/>
          <w:i/>
          <w:sz w:val="28"/>
        </w:rPr>
        <w:t>операциональных переменных</w:t>
      </w:r>
      <w:r w:rsidRPr="00263A2A">
        <w:rPr>
          <w:rFonts w:ascii="Times New Roman" w:hAnsi="Times New Roman" w:cs="Times New Roman"/>
          <w:sz w:val="28"/>
        </w:rPr>
        <w:t>, отражающих степень вовлечённости индивида:</w:t>
      </w:r>
    </w:p>
    <w:p w:rsidR="00263A2A" w:rsidRPr="00263A2A" w:rsidRDefault="00263A2A" w:rsidP="008465D6">
      <w:pPr>
        <w:numPr>
          <w:ilvl w:val="0"/>
          <w:numId w:val="48"/>
        </w:numPr>
        <w:tabs>
          <w:tab w:val="num" w:pos="426"/>
        </w:tabs>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bCs/>
          <w:i/>
          <w:sz w:val="28"/>
        </w:rPr>
        <w:lastRenderedPageBreak/>
        <w:t>Наличие аккаунта в социальных медиа</w:t>
      </w:r>
      <w:r w:rsidRPr="00263A2A">
        <w:rPr>
          <w:rFonts w:ascii="Times New Roman" w:hAnsi="Times New Roman" w:cs="Times New Roman"/>
          <w:sz w:val="28"/>
        </w:rPr>
        <w:t xml:space="preserve"> (дихотомическая переменная: 1 — имеется, 0 — отсутствует). </w:t>
      </w:r>
    </w:p>
    <w:p w:rsidR="00263A2A" w:rsidRPr="00263A2A" w:rsidRDefault="00263A2A" w:rsidP="008465D6">
      <w:pPr>
        <w:numPr>
          <w:ilvl w:val="0"/>
          <w:numId w:val="48"/>
        </w:numPr>
        <w:tabs>
          <w:tab w:val="num" w:pos="426"/>
        </w:tabs>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bCs/>
          <w:i/>
          <w:sz w:val="28"/>
        </w:rPr>
        <w:t>Частота использования социальных медиа</w:t>
      </w:r>
      <w:r w:rsidRPr="00263A2A">
        <w:rPr>
          <w:rFonts w:ascii="Times New Roman" w:hAnsi="Times New Roman" w:cs="Times New Roman"/>
          <w:sz w:val="28"/>
        </w:rPr>
        <w:t xml:space="preserve"> (порядковая шкала: от «никогда» до «ежедневно»). </w:t>
      </w:r>
    </w:p>
    <w:p w:rsidR="00263A2A" w:rsidRPr="00263A2A" w:rsidRDefault="00263A2A" w:rsidP="008465D6">
      <w:pPr>
        <w:numPr>
          <w:ilvl w:val="0"/>
          <w:numId w:val="48"/>
        </w:numPr>
        <w:tabs>
          <w:tab w:val="num" w:pos="426"/>
        </w:tabs>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bCs/>
          <w:i/>
          <w:sz w:val="28"/>
        </w:rPr>
        <w:t>Интенсивность использования</w:t>
      </w:r>
      <w:r w:rsidRPr="00263A2A">
        <w:rPr>
          <w:rFonts w:ascii="Times New Roman" w:hAnsi="Times New Roman" w:cs="Times New Roman"/>
          <w:sz w:val="28"/>
        </w:rPr>
        <w:t xml:space="preserve"> (интервальная/квазиинтервальная переменная: среднее количество времени, проводимого в социальных медиа в день). </w:t>
      </w:r>
    </w:p>
    <w:p w:rsidR="00263A2A" w:rsidRPr="00263A2A" w:rsidRDefault="00263A2A" w:rsidP="008465D6">
      <w:pPr>
        <w:numPr>
          <w:ilvl w:val="0"/>
          <w:numId w:val="48"/>
        </w:numPr>
        <w:tabs>
          <w:tab w:val="num" w:pos="426"/>
        </w:tabs>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bCs/>
          <w:i/>
          <w:sz w:val="28"/>
        </w:rPr>
        <w:t>Тип активности</w:t>
      </w:r>
      <w:r w:rsidRPr="00263A2A">
        <w:rPr>
          <w:rFonts w:ascii="Times New Roman" w:hAnsi="Times New Roman" w:cs="Times New Roman"/>
          <w:sz w:val="28"/>
        </w:rPr>
        <w:t xml:space="preserve"> (номинальная переменная: пассивное потребление контента / активное создание контента / участие в обсуждениях). </w:t>
      </w:r>
    </w:p>
    <w:p w:rsidR="00263A2A" w:rsidRPr="00263A2A" w:rsidRDefault="00263A2A" w:rsidP="008465D6">
      <w:pPr>
        <w:numPr>
          <w:ilvl w:val="0"/>
          <w:numId w:val="48"/>
        </w:numPr>
        <w:tabs>
          <w:tab w:val="num" w:pos="426"/>
        </w:tabs>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bCs/>
          <w:i/>
          <w:sz w:val="28"/>
        </w:rPr>
        <w:t>Уровень интерактивности</w:t>
      </w:r>
      <w:r w:rsidRPr="00263A2A">
        <w:rPr>
          <w:rFonts w:ascii="Times New Roman" w:hAnsi="Times New Roman" w:cs="Times New Roman"/>
          <w:sz w:val="28"/>
        </w:rPr>
        <w:t xml:space="preserve"> (порядковая шкала, фиксирующая частоту лайков, комментариев, репостов). </w:t>
      </w:r>
    </w:p>
    <w:p w:rsidR="00263A2A" w:rsidRPr="00263A2A" w:rsidRDefault="00263A2A" w:rsidP="008465D6">
      <w:pPr>
        <w:numPr>
          <w:ilvl w:val="0"/>
          <w:numId w:val="48"/>
        </w:numPr>
        <w:tabs>
          <w:tab w:val="num" w:pos="426"/>
        </w:tabs>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bCs/>
          <w:i/>
          <w:sz w:val="28"/>
        </w:rPr>
        <w:t>Подписка на общественно-политический контент</w:t>
      </w:r>
      <w:r w:rsidRPr="00263A2A">
        <w:rPr>
          <w:rFonts w:ascii="Times New Roman" w:hAnsi="Times New Roman" w:cs="Times New Roman"/>
          <w:sz w:val="28"/>
        </w:rPr>
        <w:t xml:space="preserve"> (дихотомическая или порядковая переменная, отражающая наличие и степень интереса к тематическим страницам и каналам).</w:t>
      </w:r>
    </w:p>
    <w:p w:rsidR="00263A2A" w:rsidRPr="00263A2A" w:rsidRDefault="00263A2A" w:rsidP="00262066">
      <w:pPr>
        <w:spacing w:after="0" w:line="240" w:lineRule="auto"/>
        <w:ind w:firstLine="709"/>
        <w:contextualSpacing/>
        <w:jc w:val="both"/>
        <w:rPr>
          <w:rFonts w:ascii="Times New Roman" w:hAnsi="Times New Roman" w:cs="Times New Roman"/>
          <w:sz w:val="28"/>
        </w:rPr>
      </w:pPr>
      <w:r w:rsidRPr="00263A2A">
        <w:rPr>
          <w:rFonts w:ascii="Times New Roman" w:hAnsi="Times New Roman" w:cs="Times New Roman"/>
          <w:sz w:val="28"/>
        </w:rPr>
        <w:t>Данные индикаторы используются при проведении авторского социологического опроса молодёжи Казахстана в 2019, 2023 и 2025 годах, а также при проведении множественного корреляционно-регрессионного анализа его данных.</w:t>
      </w:r>
    </w:p>
    <w:p w:rsidR="00263A2A" w:rsidRPr="00263A2A" w:rsidRDefault="00263A2A" w:rsidP="00263A2A">
      <w:pPr>
        <w:spacing w:after="0" w:line="240" w:lineRule="auto"/>
        <w:ind w:left="709"/>
        <w:contextualSpacing/>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b/>
          <w:sz w:val="28"/>
        </w:rPr>
        <w:t>2.4 История развития социальных медиа в мире и Казахстане</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Далее диссертационное исследование рассматривает историю функционирования наиболее популярных среди молодёжи Казахстана социальных медиа. Данные о популярности получены нами на основании оригинального социологического исследования, результаты которого анализируются в Главе 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VKontakte (ВКонтакте)</w:t>
      </w:r>
      <w:r w:rsidRPr="00263A2A">
        <w:rPr>
          <w:rFonts w:ascii="Times New Roman" w:hAnsi="Times New Roman" w:cs="Times New Roman"/>
          <w:sz w:val="28"/>
        </w:rPr>
        <w:t xml:space="preserve"> – одна из самых популярных социальных сетей на территории стран Содружества Независимых Государств (СНГ). Основана Павлом Дуровым в 2006 году. Как и Facebook, VKontakte реализовывался как проект для онлайн общения студентов крупнейших ВУЗов. В ноябре 2006 года была открыта свободная регистрация всех желающих для увеличения числа пользователей. Согласно статистическим данным, в 2019 году количество пользователей VКontakte в странах СНГ распределилось следующим образом: Казахстан занимает второе место после России (см. Рисунок 9)</w:t>
      </w:r>
      <w:r w:rsidRPr="00263A2A">
        <w:rPr>
          <w:rFonts w:ascii="Times New Roman" w:hAnsi="Times New Roman" w:cs="Times New Roman"/>
          <w:sz w:val="28"/>
          <w:lang w:val="en-US"/>
        </w:rPr>
        <w:t xml:space="preserve"> </w:t>
      </w:r>
      <w:r w:rsidRPr="00263A2A">
        <w:rPr>
          <w:rFonts w:ascii="Times New Roman" w:hAnsi="Times New Roman" w:cs="Times New Roman"/>
          <w:sz w:val="28"/>
        </w:rPr>
        <w:t>[1</w:t>
      </w:r>
      <w:r w:rsidRPr="00263A2A">
        <w:rPr>
          <w:rFonts w:ascii="Times New Roman" w:hAnsi="Times New Roman" w:cs="Times New Roman"/>
          <w:sz w:val="28"/>
          <w:lang w:val="en-US"/>
        </w:rPr>
        <w:t>85</w:t>
      </w:r>
      <w:r w:rsidRPr="00263A2A">
        <w:rPr>
          <w:rFonts w:ascii="Times New Roman" w:hAnsi="Times New Roman" w:cs="Times New Roman"/>
          <w:sz w:val="28"/>
        </w:rPr>
        <w:t>].</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noProof/>
          <w:sz w:val="28"/>
          <w:lang w:eastAsia="ru-RU"/>
        </w:rPr>
        <w:drawing>
          <wp:inline distT="0" distB="0" distL="0" distR="0" wp14:anchorId="4909EA11" wp14:editId="1C655762">
            <wp:extent cx="4464050" cy="1568450"/>
            <wp:effectExtent l="0" t="0" r="12700" b="1270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63A2A" w:rsidRPr="00263A2A" w:rsidRDefault="00263A2A" w:rsidP="00263A2A">
      <w:pPr>
        <w:spacing w:after="0" w:line="240" w:lineRule="auto"/>
        <w:ind w:firstLine="709"/>
        <w:jc w:val="center"/>
        <w:rPr>
          <w:rFonts w:ascii="Times New Roman" w:hAnsi="Times New Roman" w:cs="Times New Roman"/>
          <w:sz w:val="28"/>
        </w:rPr>
      </w:pPr>
      <w:r w:rsidRPr="00263A2A">
        <w:rPr>
          <w:rFonts w:ascii="Times New Roman" w:hAnsi="Times New Roman" w:cs="Times New Roman"/>
          <w:sz w:val="28"/>
        </w:rPr>
        <w:t>Рисунок 9 – Количество пользователей VКontakte за 2019 год. Источник: [185].</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lastRenderedPageBreak/>
        <w:t>В 2019 году молодёжь составляла самую большую группу пользователей данной социальной сети (см. Рисунок 10).</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31 января 2020 года VKontakte открыла в Казахстане своё единственное представительство за границами России. Казахоязычная версия данной социальной медиа появилась в первые годы её функционирования [186]. Однако, в 2023 году популярность ВКонтакте снизилась среди молодёжи, особенно в среде русскоязычных молодых людей [163, р. 9]. Это может быть связано с войной России-Украины и российской принадлежностью данной платформы.</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noProof/>
          <w:sz w:val="28"/>
          <w:lang w:eastAsia="ru-RU"/>
        </w:rPr>
        <w:drawing>
          <wp:inline distT="0" distB="0" distL="0" distR="0" wp14:anchorId="76D60FD5" wp14:editId="0D2A584A">
            <wp:extent cx="4908550" cy="2311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63A2A" w:rsidRPr="00263A2A" w:rsidRDefault="00263A2A" w:rsidP="00263A2A">
      <w:pPr>
        <w:spacing w:after="0" w:line="240" w:lineRule="auto"/>
        <w:ind w:firstLine="709"/>
        <w:jc w:val="center"/>
        <w:rPr>
          <w:rFonts w:ascii="Times New Roman" w:hAnsi="Times New Roman" w:cs="Times New Roman"/>
          <w:sz w:val="28"/>
        </w:rPr>
      </w:pPr>
      <w:r w:rsidRPr="00263A2A">
        <w:rPr>
          <w:rFonts w:ascii="Times New Roman" w:hAnsi="Times New Roman" w:cs="Times New Roman"/>
          <w:sz w:val="28"/>
        </w:rPr>
        <w:t>Рисунок 10 – Количество пользователей Vkontakte за 2019 год (возрастной разрез). Источник: [185]</w:t>
      </w:r>
    </w:p>
    <w:p w:rsidR="00263A2A" w:rsidRPr="00263A2A" w:rsidRDefault="00263A2A" w:rsidP="00263A2A">
      <w:pPr>
        <w:spacing w:after="0" w:line="240" w:lineRule="auto"/>
        <w:ind w:firstLine="709"/>
        <w:jc w:val="center"/>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Instagram</w:t>
      </w:r>
      <w:r w:rsidRPr="00263A2A">
        <w:rPr>
          <w:rFonts w:ascii="Times New Roman" w:hAnsi="Times New Roman" w:cs="Times New Roman"/>
          <w:sz w:val="28"/>
        </w:rPr>
        <w:t xml:space="preserve"> в качестве приложения с элементами социальной сети появился в 2010 году. В 2011 году была выпущена версия на платформе Web 2.0. В 2012 году Facebook приобрела Instagram, после чего последняя стала трансформироваться в полномасштабную социальную сеть. На территории СНГ Instagram становится известным после 2013 года. Согласно статистике, молодёжь наиболее активно пользуется этой социальной сетью (см. Рисунок 11) [187]. По данным оригинального социологического исследования, приведённым в Главе 3, Instagram занимает первое\второе место по популярности среди молодёжи Казахстана [163, р. 9]. В 2023 году после падения популярности ВКонтакте, Instagram вышел на первое место [163, р. 9].</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Facebook</w:t>
      </w:r>
      <w:r w:rsidRPr="00263A2A">
        <w:rPr>
          <w:rFonts w:ascii="Times New Roman" w:hAnsi="Times New Roman" w:cs="Times New Roman"/>
          <w:sz w:val="28"/>
        </w:rPr>
        <w:t xml:space="preserve"> на сегодняшний день одна из крупнейших социальных медиа. Основана Марком Цукербергом в 2004 году как сайт интерактивного общения для студентов Гарварда. Позже к ней присоединились студенты других ВУЗов США. В 2006 году была открыта свободная регистрация всех желающих старше 13 лет и имеющих адрес электронной почты. Согласно </w:t>
      </w:r>
      <w:proofErr w:type="gramStart"/>
      <w:r w:rsidRPr="00263A2A">
        <w:rPr>
          <w:rFonts w:ascii="Times New Roman" w:hAnsi="Times New Roman" w:cs="Times New Roman"/>
          <w:sz w:val="28"/>
        </w:rPr>
        <w:t>статистике</w:t>
      </w:r>
      <w:proofErr w:type="gramEnd"/>
      <w:r w:rsidRPr="00263A2A">
        <w:rPr>
          <w:rFonts w:ascii="Times New Roman" w:hAnsi="Times New Roman" w:cs="Times New Roman"/>
          <w:sz w:val="28"/>
        </w:rPr>
        <w:t xml:space="preserve"> за 2019 год, количество молодёжи превалирует среди общего числа пользователей Facebook (см. Рисунок 12) [187]. По данным оригинального социологического исследования (см. Главу 3), с 2019 года по 2023 год число пользователей данной социальной медиа неуклонно снижается [163, р. 9].</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Мессенджер What’sApp</w:t>
      </w:r>
      <w:r w:rsidRPr="00263A2A">
        <w:rPr>
          <w:rFonts w:ascii="Times New Roman" w:hAnsi="Times New Roman" w:cs="Times New Roman"/>
          <w:sz w:val="28"/>
        </w:rPr>
        <w:t xml:space="preserve"> также достаточно популярен среди молодёжи Казахстана. В качестве системы мгновенного обмена сообщениями появилась в </w:t>
      </w:r>
      <w:r w:rsidRPr="00263A2A">
        <w:rPr>
          <w:rFonts w:ascii="Times New Roman" w:hAnsi="Times New Roman" w:cs="Times New Roman"/>
          <w:sz w:val="28"/>
        </w:rPr>
        <w:lastRenderedPageBreak/>
        <w:t>2009 году. В 2014 году Facebook приобрела What’sApp. С 2016 года платформа становится бесплатной для скачивания и использования. Пользователь оплачивает лишь интернет-трафик.</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D97CFE">
      <w:pPr>
        <w:spacing w:after="0" w:line="240" w:lineRule="auto"/>
        <w:ind w:firstLine="567"/>
        <w:jc w:val="both"/>
        <w:rPr>
          <w:rFonts w:ascii="Times New Roman" w:hAnsi="Times New Roman" w:cs="Times New Roman"/>
          <w:sz w:val="28"/>
        </w:rPr>
      </w:pPr>
      <w:r w:rsidRPr="00263A2A">
        <w:rPr>
          <w:rFonts w:ascii="Times New Roman" w:hAnsi="Times New Roman" w:cs="Times New Roman"/>
          <w:noProof/>
          <w:sz w:val="28"/>
          <w:lang w:eastAsia="ru-RU"/>
        </w:rPr>
        <w:drawing>
          <wp:inline distT="0" distB="0" distL="0" distR="0" wp14:anchorId="2C89D6BE" wp14:editId="3EFFF1EB">
            <wp:extent cx="5054600" cy="22225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63A2A" w:rsidRPr="00263A2A" w:rsidRDefault="00263A2A" w:rsidP="00263A2A">
      <w:pPr>
        <w:jc w:val="center"/>
        <w:rPr>
          <w:rFonts w:ascii="Times New Roman" w:hAnsi="Times New Roman" w:cs="Times New Roman"/>
          <w:sz w:val="28"/>
        </w:rPr>
      </w:pPr>
      <w:r w:rsidRPr="00263A2A">
        <w:rPr>
          <w:rFonts w:ascii="Times New Roman" w:hAnsi="Times New Roman" w:cs="Times New Roman"/>
          <w:sz w:val="28"/>
        </w:rPr>
        <w:t>Рисунок 11 – Количество пользователей Instagram за 2019 год (возрастной разрез). Источник: [1</w:t>
      </w:r>
      <w:r w:rsidRPr="00263A2A">
        <w:rPr>
          <w:rFonts w:ascii="Times New Roman" w:hAnsi="Times New Roman" w:cs="Times New Roman"/>
          <w:sz w:val="28"/>
          <w:lang w:val="en-US"/>
        </w:rPr>
        <w:t>87</w:t>
      </w:r>
      <w:r w:rsidRPr="00263A2A">
        <w:rPr>
          <w:rFonts w:ascii="Times New Roman" w:hAnsi="Times New Roman" w:cs="Times New Roman"/>
          <w:sz w:val="28"/>
        </w:rPr>
        <w:t>]</w:t>
      </w:r>
    </w:p>
    <w:p w:rsidR="00263A2A" w:rsidRPr="00263A2A" w:rsidRDefault="00263A2A" w:rsidP="00263A2A">
      <w:pPr>
        <w:spacing w:after="0" w:line="240" w:lineRule="auto"/>
        <w:ind w:firstLine="709"/>
        <w:jc w:val="both"/>
        <w:rPr>
          <w:rFonts w:ascii="Times New Roman" w:hAnsi="Times New Roman" w:cs="Times New Roman"/>
          <w:sz w:val="28"/>
        </w:rPr>
      </w:pPr>
    </w:p>
    <w:p w:rsidR="00263A2A" w:rsidRPr="00263A2A" w:rsidRDefault="00263A2A" w:rsidP="00D97CFE">
      <w:pPr>
        <w:spacing w:after="0" w:line="240" w:lineRule="auto"/>
        <w:ind w:firstLine="567"/>
        <w:jc w:val="both"/>
        <w:rPr>
          <w:rFonts w:ascii="Times New Roman" w:hAnsi="Times New Roman" w:cs="Times New Roman"/>
          <w:sz w:val="28"/>
        </w:rPr>
      </w:pPr>
      <w:r w:rsidRPr="00263A2A">
        <w:rPr>
          <w:rFonts w:ascii="Times New Roman" w:hAnsi="Times New Roman" w:cs="Times New Roman"/>
          <w:noProof/>
          <w:sz w:val="28"/>
          <w:lang w:eastAsia="ru-RU"/>
        </w:rPr>
        <w:drawing>
          <wp:inline distT="0" distB="0" distL="0" distR="0" wp14:anchorId="7BF0955E" wp14:editId="579F1E8C">
            <wp:extent cx="4699000" cy="31369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63A2A" w:rsidRPr="00263A2A" w:rsidRDefault="00263A2A" w:rsidP="00263A2A">
      <w:pPr>
        <w:jc w:val="center"/>
        <w:rPr>
          <w:rFonts w:ascii="Times New Roman" w:hAnsi="Times New Roman" w:cs="Times New Roman"/>
          <w:sz w:val="28"/>
        </w:rPr>
      </w:pPr>
      <w:r w:rsidRPr="00263A2A">
        <w:rPr>
          <w:rFonts w:ascii="Times New Roman" w:hAnsi="Times New Roman" w:cs="Times New Roman"/>
          <w:sz w:val="28"/>
        </w:rPr>
        <w:t>Рисунок 12 – Количество пользователей Facebook за 2019 год (возрастной разрез). Источник: [187].</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 xml:space="preserve">На сегодняшний день What’sApp начинает приобретать черты социальной сети. В частности, возможность создавать группы, обмениваться файлами, включая видео и аудио. На данный момент пока отсутствует возможность совместного редактирования сообщений, интерактивность платформы ниже, чем у </w:t>
      </w:r>
      <w:r w:rsidRPr="00263A2A">
        <w:rPr>
          <w:rFonts w:ascii="Times New Roman" w:hAnsi="Times New Roman" w:cs="Times New Roman"/>
          <w:sz w:val="28"/>
          <w:lang w:val="en-US"/>
        </w:rPr>
        <w:t>Facebook</w:t>
      </w:r>
      <w:r w:rsidRPr="00263A2A">
        <w:rPr>
          <w:rFonts w:ascii="Times New Roman" w:hAnsi="Times New Roman" w:cs="Times New Roman"/>
          <w:sz w:val="28"/>
        </w:rPr>
        <w:t xml:space="preserve">, </w:t>
      </w:r>
      <w:r w:rsidRPr="00263A2A">
        <w:rPr>
          <w:rFonts w:ascii="Times New Roman" w:hAnsi="Times New Roman" w:cs="Times New Roman"/>
          <w:sz w:val="28"/>
          <w:lang w:val="en-US"/>
        </w:rPr>
        <w:t>Instagram</w:t>
      </w:r>
      <w:r w:rsidRPr="00263A2A">
        <w:rPr>
          <w:rFonts w:ascii="Times New Roman" w:hAnsi="Times New Roman" w:cs="Times New Roman"/>
          <w:sz w:val="28"/>
        </w:rPr>
        <w:t xml:space="preserve"> или </w:t>
      </w:r>
      <w:r w:rsidRPr="00263A2A">
        <w:rPr>
          <w:rFonts w:ascii="Times New Roman" w:hAnsi="Times New Roman" w:cs="Times New Roman"/>
          <w:sz w:val="28"/>
          <w:lang w:val="en-US"/>
        </w:rPr>
        <w:t>VKontakte</w:t>
      </w:r>
      <w:r w:rsidRPr="00263A2A">
        <w:rPr>
          <w:rFonts w:ascii="Times New Roman" w:hAnsi="Times New Roman" w:cs="Times New Roman"/>
          <w:sz w:val="28"/>
        </w:rPr>
        <w:t>. Поскольку возраст пользователей в What’sApp определить невозможно, на данном этапе можно проанализировать лишь статистику пользователей в целом (см. Рисунок 13) [18</w:t>
      </w:r>
      <w:r w:rsidRPr="00263A2A">
        <w:rPr>
          <w:rFonts w:ascii="Times New Roman" w:hAnsi="Times New Roman" w:cs="Times New Roman"/>
          <w:sz w:val="28"/>
          <w:lang w:val="en-US"/>
        </w:rPr>
        <w:t>8</w:t>
      </w:r>
      <w:r w:rsidRPr="00263A2A">
        <w:rPr>
          <w:rFonts w:ascii="Times New Roman" w:hAnsi="Times New Roman" w:cs="Times New Roman"/>
          <w:sz w:val="28"/>
        </w:rPr>
        <w:t>].</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noProof/>
          <w:sz w:val="28"/>
          <w:lang w:eastAsia="ru-RU"/>
        </w:rPr>
        <w:lastRenderedPageBreak/>
        <w:drawing>
          <wp:inline distT="0" distB="0" distL="0" distR="0" wp14:anchorId="0E63D42D" wp14:editId="26CF8ABB">
            <wp:extent cx="4953000" cy="29400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63A2A" w:rsidRPr="00263A2A" w:rsidRDefault="00263A2A" w:rsidP="00263A2A">
      <w:pPr>
        <w:ind w:firstLine="709"/>
        <w:jc w:val="both"/>
        <w:rPr>
          <w:rFonts w:ascii="Times New Roman" w:hAnsi="Times New Roman" w:cs="Times New Roman"/>
          <w:sz w:val="28"/>
        </w:rPr>
      </w:pPr>
      <w:r w:rsidRPr="00263A2A">
        <w:rPr>
          <w:rFonts w:ascii="Times New Roman" w:hAnsi="Times New Roman" w:cs="Times New Roman"/>
          <w:sz w:val="28"/>
        </w:rPr>
        <w:t>Рисунок 13 – Количество пользователей What’sApp за 2019 год (в сравнении с другими мессенджерами). Источник: [188].</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По данным, приведённым на Рисунке 13, What’sApp – единственная из упомянутых платформ для обмена сообщениями, которая увеличила количество пользователей за последние два года. Согласно информации, приведённой в статье, опубликованной автором, популярность What’sApp немного снизилась с 2019 года до 2023 года [163, р. 9].</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YouTube</w:t>
      </w:r>
      <w:r w:rsidRPr="00263A2A">
        <w:rPr>
          <w:rFonts w:ascii="Times New Roman" w:hAnsi="Times New Roman" w:cs="Times New Roman"/>
          <w:sz w:val="28"/>
        </w:rPr>
        <w:t xml:space="preserve"> в качестве первого в интернете видеохостинга появился в 2005 году. В 2006 году компания Google купила YouTube. На 2019 год эта платформа насчитывала 1,9 млрд пользователей. Сейчас она приобретает черты социальной медиа, а именно – возможность создания групп по интересам вокруг тематических видео, обмена сообщениями о контенте [188].</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lang w:val="en-US"/>
        </w:rPr>
        <w:t>Tiktok</w:t>
      </w:r>
      <w:r w:rsidRPr="00263A2A">
        <w:rPr>
          <w:rFonts w:ascii="Times New Roman" w:hAnsi="Times New Roman" w:cs="Times New Roman"/>
          <w:sz w:val="28"/>
        </w:rPr>
        <w:t xml:space="preserve">. В сентябре 2016 года ByteDance запустила приложение Douyin для внутреннего китайского рынка. Платформа изначально позиционировалась как сервис для создания и просмотра коротких видеороликов, длительность которых не превышала 15 секунд, с акцентом на музыкальное сопровождение и визуальные эффекты. Международная экспансия началась в 2017 году с запуска глобальной версии приложения под названием TikTok [189, р. 255]. Одной из ключевых особенностей TikTok является использование продвинутых алгоритмов рекомендаций, основанных на анализе пользовательского поведения. Лента «For You» (персонализированная рекомендационная система) обеспечивает высокую степень вовлечённости пользователей за счёт адаптации контента под индивидуальные предпочтения [190, р. 799]. </w:t>
      </w:r>
      <w:r w:rsidRPr="00263A2A">
        <w:rPr>
          <w:rFonts w:ascii="Times New Roman" w:hAnsi="Times New Roman" w:cs="Times New Roman"/>
          <w:sz w:val="28"/>
          <w:lang w:val="en-US"/>
        </w:rPr>
        <w:t>Tiktok</w:t>
      </w:r>
      <w:r w:rsidRPr="00263A2A">
        <w:rPr>
          <w:rFonts w:ascii="Times New Roman" w:hAnsi="Times New Roman" w:cs="Times New Roman"/>
          <w:sz w:val="28"/>
        </w:rPr>
        <w:t xml:space="preserve"> достаточно популярен среди молодёжи Казахстана в силу высокой интерактивности и визуальной привлекательности интерфейса платформы [191, р. 12].</w:t>
      </w:r>
    </w:p>
    <w:p w:rsidR="00263A2A" w:rsidRPr="00263A2A" w:rsidRDefault="00263A2A" w:rsidP="00263A2A">
      <w:pPr>
        <w:spacing w:after="0" w:line="240" w:lineRule="auto"/>
        <w:ind w:firstLine="709"/>
        <w:jc w:val="both"/>
        <w:rPr>
          <w:rFonts w:ascii="Times New Roman" w:hAnsi="Times New Roman" w:cs="Times New Roman"/>
          <w:i/>
          <w:sz w:val="28"/>
        </w:rPr>
      </w:pPr>
      <w:r w:rsidRPr="00263A2A">
        <w:rPr>
          <w:rFonts w:ascii="Times New Roman" w:hAnsi="Times New Roman" w:cs="Times New Roman"/>
          <w:i/>
          <w:sz w:val="28"/>
        </w:rPr>
        <w:t>Выводы:</w:t>
      </w:r>
    </w:p>
    <w:p w:rsidR="00263A2A" w:rsidRPr="00263A2A" w:rsidRDefault="00263A2A" w:rsidP="008465D6">
      <w:pPr>
        <w:numPr>
          <w:ilvl w:val="0"/>
          <w:numId w:val="45"/>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 xml:space="preserve">Эволюция социальных медиа в Казахстане демонстрирует смену доминирующих платформ в молодёжной среде, обусловленную как технологическими трансформациями самих сервисов, изменениями </w:t>
      </w:r>
      <w:r w:rsidRPr="00263A2A">
        <w:rPr>
          <w:rFonts w:ascii="Times New Roman" w:hAnsi="Times New Roman" w:cs="Times New Roman"/>
          <w:sz w:val="28"/>
        </w:rPr>
        <w:lastRenderedPageBreak/>
        <w:t>коммуникативных потребностей молодёжи, так и внешнеполитическими обстоятельствами. Если в 2019 году ключевые позиции занимала социальная сеть VKontakte, то к 2023 году наблюдается её устойчивое вытеснение Instagram, что свидетельствует о переходе от тексто-ориентированных и универсальных платформ к визуально-ориентированным и персонализированным формам цифровой коммуникации, а также о воздействии факторов внешней среды на выбор молодёжи, поскольку VKontakte является российской социальной сетью. На снижении популярности могла сказаться война России и Украины.</w:t>
      </w:r>
    </w:p>
    <w:p w:rsidR="00263A2A" w:rsidRPr="00263A2A" w:rsidRDefault="00263A2A" w:rsidP="008465D6">
      <w:pPr>
        <w:numPr>
          <w:ilvl w:val="0"/>
          <w:numId w:val="45"/>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Региональная адаптация и институциональное присутствие социальных медиа (включая открытие представительств и локализацию интерфейсов) выступают значимыми, но недостаточными факторами долгосрочного удержания молодёжной аудитории. Несмотря на раннее появление казахоязычной версии VKontakte и открытие официального представительства в Казахстане, платформа утратила позиции среди молодёжи, что указывает на приоритет культурно-коммуникативных трендов и пользовательского опыта над формальными мерами локализации.</w:t>
      </w:r>
    </w:p>
    <w:p w:rsidR="00263A2A" w:rsidRPr="00263A2A" w:rsidRDefault="00263A2A" w:rsidP="008465D6">
      <w:pPr>
        <w:numPr>
          <w:ilvl w:val="0"/>
          <w:numId w:val="45"/>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Наблюдается функциональное сближение социальных сетей и мессенджеров, что проявляется в трансформации таких сервисов, как What’sApp и YouTube, в гибридные коммуникационные платформы. Однако степень интерактивности и возможности коллективного участия остаются ключевыми критериями их классификации: мессенджеры, несмотря на рост пользовательской базы, пока не достигают уровня социального взаимодействия, характерного для полноценных социальных сетей.</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i/>
          <w:sz w:val="28"/>
        </w:rPr>
        <w:t>Общие выводы по Главе 2</w:t>
      </w:r>
      <w:r w:rsidRPr="00263A2A">
        <w:rPr>
          <w:rFonts w:ascii="Times New Roman" w:hAnsi="Times New Roman" w:cs="Times New Roman"/>
          <w:sz w:val="28"/>
        </w:rPr>
        <w:t>:</w:t>
      </w:r>
    </w:p>
    <w:p w:rsidR="00263A2A" w:rsidRPr="00263A2A" w:rsidRDefault="00263A2A" w:rsidP="008465D6">
      <w:pPr>
        <w:numPr>
          <w:ilvl w:val="0"/>
          <w:numId w:val="4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Информационные технологии и социальные медиа способны выступить системным структурным фактором трансформации гражданского общества в Казахстане, а не лишь инструментом коммуникации. Их влияние проявляется в изменении логики общественного взаимодействия: от иерархических, территориально ограниченных форм к сетевым, платформенным и горизонтальным моделям, что особенно значимо для авторитарного политического контекста с незавершённой институционализацией гражданского общества.</w:t>
      </w:r>
    </w:p>
    <w:p w:rsidR="00263A2A" w:rsidRPr="00263A2A" w:rsidRDefault="00263A2A" w:rsidP="008465D6">
      <w:pPr>
        <w:numPr>
          <w:ilvl w:val="0"/>
          <w:numId w:val="4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Эволюция интернета от Web 1.0 к Web 2.0 привела к качественному сдвигу от пассивного потребления информации к интерактивному участию, однако данная технологическая возможность не тождественна реальному гражданскому участию. Социальные медиа создают условия для мобилизации, рекрутирования и распространения идей институтов гражданского общества, но не гарантируют формирование устойчивых практик участия без офлайн-подкрепления и институциональной поддержки.</w:t>
      </w:r>
    </w:p>
    <w:p w:rsidR="00263A2A" w:rsidRPr="00263A2A" w:rsidRDefault="00263A2A" w:rsidP="008465D6">
      <w:pPr>
        <w:numPr>
          <w:ilvl w:val="0"/>
          <w:numId w:val="4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 xml:space="preserve">Развитие социальных медиа в Казахстане характеризуется сменой доминирующих платформ в молодёжной среде, отражающей не только технологические тренды, но и влияние внешнеполитических и социокультурных факторов. Вытеснение VKontakte Instagram в период 2019-2023 гг. свидетельствует о переходе от универсальных тексто-ориентированных сетей к </w:t>
      </w:r>
      <w:r w:rsidRPr="00263A2A">
        <w:rPr>
          <w:rFonts w:ascii="Times New Roman" w:hAnsi="Times New Roman" w:cs="Times New Roman"/>
          <w:sz w:val="28"/>
        </w:rPr>
        <w:lastRenderedPageBreak/>
        <w:t>визуально-персонализированным формам коммуникации, а также о чувствительности молодёжи к символическому и политическому контексту цифровых платформ.</w:t>
      </w:r>
    </w:p>
    <w:p w:rsidR="00263A2A" w:rsidRPr="00263A2A" w:rsidRDefault="00263A2A" w:rsidP="008465D6">
      <w:pPr>
        <w:numPr>
          <w:ilvl w:val="0"/>
          <w:numId w:val="4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Функциональные границы между социальными сетями, мессенджерами и контент-платформами постепенно стираются, формируя гибридную экосистему социальных медиа. WhatsApp и YouTube демонстрируют движение в сторону социальных медиа, однако сохраняющееся структурное неравенство участия и ограниченная интерактивность препятствуют их превращению в полноценные пространства партиципаторной культуры и коллективного действия.</w:t>
      </w:r>
    </w:p>
    <w:p w:rsidR="00263A2A" w:rsidRPr="00263A2A" w:rsidRDefault="00263A2A" w:rsidP="008465D6">
      <w:pPr>
        <w:numPr>
          <w:ilvl w:val="0"/>
          <w:numId w:val="4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Социальные медиа играют ключевую роль в формировании индивидуальной и коллективной идентичности в рамках институтов гражданского общества, выступая средой трансляции норм, ценностей и символов гражданского участия. Для Казахстана их значение усиливается спецификой рекрутирования, основанного на доверительных межличностных связях, что делает сетевые взаимодействия критически важным ресурсом для расширения социальной базы гражданского общества.</w:t>
      </w:r>
    </w:p>
    <w:p w:rsidR="00263A2A" w:rsidRPr="00263A2A" w:rsidRDefault="00263A2A" w:rsidP="008465D6">
      <w:pPr>
        <w:numPr>
          <w:ilvl w:val="0"/>
          <w:numId w:val="46"/>
        </w:numPr>
        <w:spacing w:after="0" w:line="240" w:lineRule="auto"/>
        <w:ind w:left="0" w:firstLine="709"/>
        <w:contextualSpacing/>
        <w:jc w:val="both"/>
        <w:rPr>
          <w:rFonts w:ascii="Times New Roman" w:hAnsi="Times New Roman" w:cs="Times New Roman"/>
          <w:sz w:val="28"/>
        </w:rPr>
      </w:pPr>
      <w:r w:rsidRPr="00263A2A">
        <w:rPr>
          <w:rFonts w:ascii="Times New Roman" w:hAnsi="Times New Roman" w:cs="Times New Roman"/>
          <w:sz w:val="28"/>
        </w:rPr>
        <w:t>Усилия государства в цифровизации всех сфер жизнедеятельности увеличились после Январских событий 2022 года. Расширяется инструментарий онлайн-платформ прямой коммуникации (</w:t>
      </w:r>
      <w:r w:rsidRPr="00263A2A">
        <w:rPr>
          <w:rFonts w:ascii="Times New Roman" w:hAnsi="Times New Roman" w:cs="Times New Roman"/>
          <w:sz w:val="28"/>
          <w:lang w:val="en-US"/>
        </w:rPr>
        <w:t>e</w:t>
      </w:r>
      <w:r w:rsidRPr="00263A2A">
        <w:rPr>
          <w:rFonts w:ascii="Times New Roman" w:hAnsi="Times New Roman" w:cs="Times New Roman"/>
          <w:sz w:val="28"/>
        </w:rPr>
        <w:t>-</w:t>
      </w:r>
      <w:r w:rsidRPr="00263A2A">
        <w:rPr>
          <w:rFonts w:ascii="Times New Roman" w:hAnsi="Times New Roman" w:cs="Times New Roman"/>
          <w:sz w:val="28"/>
          <w:lang w:val="en-US"/>
        </w:rPr>
        <w:t>Petition</w:t>
      </w:r>
      <w:r w:rsidRPr="00263A2A">
        <w:rPr>
          <w:rFonts w:ascii="Times New Roman" w:hAnsi="Times New Roman" w:cs="Times New Roman"/>
          <w:sz w:val="28"/>
        </w:rPr>
        <w:t xml:space="preserve">, запущенная в 2024 году, </w:t>
      </w:r>
      <w:r w:rsidRPr="00263A2A">
        <w:rPr>
          <w:rFonts w:ascii="Times New Roman" w:hAnsi="Times New Roman" w:cs="Times New Roman"/>
          <w:sz w:val="28"/>
          <w:lang w:val="en-US"/>
        </w:rPr>
        <w:t>e</w:t>
      </w:r>
      <w:r w:rsidRPr="00263A2A">
        <w:rPr>
          <w:rFonts w:ascii="Times New Roman" w:hAnsi="Times New Roman" w:cs="Times New Roman"/>
          <w:sz w:val="28"/>
        </w:rPr>
        <w:t>-</w:t>
      </w:r>
      <w:r w:rsidRPr="00263A2A">
        <w:rPr>
          <w:rFonts w:ascii="Times New Roman" w:hAnsi="Times New Roman" w:cs="Times New Roman"/>
          <w:sz w:val="28"/>
          <w:lang w:val="en-US"/>
        </w:rPr>
        <w:t>Otinish</w:t>
      </w:r>
      <w:r w:rsidRPr="00263A2A">
        <w:rPr>
          <w:rFonts w:ascii="Times New Roman" w:hAnsi="Times New Roman" w:cs="Times New Roman"/>
          <w:sz w:val="28"/>
        </w:rPr>
        <w:t xml:space="preserve"> и другие) между обществом и государством. Последнее получило возможность анализа общественных настроений и общественного запроса через изучение тем подаваемых обращений и количества людей, подписавших их. Кроме того, всё большее внимание уделяется месту ИИ в общественно-политических процессах в РК [192]. Эффект практического стимулирования системной гражданской активности в среде молодёжи, на данный момент, остаётся невысоким, о чём говорят результаты оригинального социологического опроса и корреляционно-регрессионного анализа, рассматриваемые в Главе 3.</w:t>
      </w:r>
    </w:p>
    <w:p w:rsidR="00263A2A" w:rsidRPr="00263A2A" w:rsidRDefault="00263A2A" w:rsidP="00263A2A">
      <w:pPr>
        <w:spacing w:after="0" w:line="240" w:lineRule="auto"/>
        <w:ind w:firstLine="709"/>
        <w:jc w:val="both"/>
        <w:rPr>
          <w:rFonts w:ascii="Times New Roman" w:hAnsi="Times New Roman" w:cs="Times New Roman"/>
          <w:sz w:val="28"/>
        </w:rPr>
      </w:pPr>
      <w:r w:rsidRPr="00263A2A">
        <w:rPr>
          <w:rFonts w:ascii="Times New Roman" w:hAnsi="Times New Roman" w:cs="Times New Roman"/>
          <w:sz w:val="28"/>
        </w:rPr>
        <w:t>Эмпирические данные показывают, что онлайн-взаимодействия преимущественно дополняют офлайн-связи и зависят от уже существующих социальных, ценностных, иногда территориальных комьюнити.</w:t>
      </w:r>
    </w:p>
    <w:p w:rsidR="00263A2A" w:rsidRDefault="00263A2A"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b/>
          <w:sz w:val="28"/>
        </w:rPr>
        <w:lastRenderedPageBreak/>
        <w:t>3 ВЛИЯНИЕ СОЦИАЛЬНЫХ МЕДИА НА ДЕЯТЕЛЬНОСТЬ МОЛОДЁЖНЫХ ОБЩЕСТВЕННЫХ ОРГАНИЗАЦИЙ КАЗАХСТАНА</w:t>
      </w:r>
      <w:r w:rsidRPr="001A3F92">
        <w:rPr>
          <w:rFonts w:ascii="Times New Roman" w:hAnsi="Times New Roman" w:cs="Times New Roman"/>
          <w:sz w:val="28"/>
        </w:rPr>
        <w:t xml:space="preserve"> </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b/>
          <w:sz w:val="28"/>
        </w:rPr>
      </w:pPr>
      <w:r w:rsidRPr="001A3F92">
        <w:rPr>
          <w:rFonts w:ascii="Times New Roman" w:hAnsi="Times New Roman" w:cs="Times New Roman"/>
          <w:b/>
          <w:sz w:val="28"/>
        </w:rPr>
        <w:t>3.1 Количественный анализ влияния социальных медиа на деятельность молодёжных общественных организаций Казахстана</w:t>
      </w:r>
    </w:p>
    <w:p w:rsidR="001A3F92" w:rsidRPr="001A3F92" w:rsidRDefault="001A3F92" w:rsidP="001A3F92">
      <w:pPr>
        <w:spacing w:after="0" w:line="240" w:lineRule="auto"/>
        <w:ind w:firstLine="709"/>
        <w:jc w:val="both"/>
        <w:rPr>
          <w:rFonts w:ascii="Times New Roman" w:hAnsi="Times New Roman" w:cs="Times New Roman"/>
          <w:b/>
          <w:sz w:val="28"/>
        </w:rPr>
      </w:pPr>
      <w:r w:rsidRPr="001A3F92">
        <w:rPr>
          <w:rFonts w:ascii="Times New Roman" w:hAnsi="Times New Roman" w:cs="Times New Roman"/>
          <w:b/>
          <w:sz w:val="28"/>
        </w:rPr>
        <w:t>3.1.1 Анализ результатов социологического опроса молодёжи Казахстана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ходе диссертационного исследования был проведён оригинальный социологический опрос с целью выявления степени воздействия социальных медиа на гражданскую активность молодёжи в рамках молодёжных общественных организаций Казахстана и на уровень её осведомлённости о деятельности таковых, а также для выявления существования корреляционной зависимости офлайн гражданского активизма молодёжи от уровня онлайн активности молодых людей в социальных медиа.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В </w:t>
      </w:r>
      <w:r w:rsidR="00496E7A">
        <w:rPr>
          <w:rFonts w:ascii="Times New Roman" w:hAnsi="Times New Roman" w:cs="Times New Roman"/>
          <w:sz w:val="28"/>
        </w:rPr>
        <w:t>Г</w:t>
      </w:r>
      <w:r w:rsidRPr="001A3F92">
        <w:rPr>
          <w:rFonts w:ascii="Times New Roman" w:hAnsi="Times New Roman" w:cs="Times New Roman"/>
          <w:sz w:val="28"/>
        </w:rPr>
        <w:t>лаве 2 рассмотрены идеи технологического детерминизма, утверждающие, что уровень гражданского активизма и развития общественных ассоциаций находится в прямой зависимости от уровня технологического развития общества, в данном случае от степени развития социальных медиа. Существует противоположная точка зрения, высказываемая сторонниками теории социальных сил, утверждающая, что информационные технологии (социальные медиа) являются лишь одной из составляющих гражданского участия. Первостепенную роль в гражданской активности и деятельности общественных организаций играют исторические, социальные, политические, экономические, культурные, мировоззренческие предпосылки, подкреплённые технологиями.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При анализе результатов оригинального социологического исследования используются положения данных теоретических направлений, на основании которых делается вывод о том, какая из этих точек зрения наиболее релевантна в условиях современной казахстанской общественно-политической реальности.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Нами был проведён оригинальный анкетный опрос с выборкой 600 молодых людей в возрасте от 18 до 25 лет из всех регионов Казахстана. 200 респондентов было опрошено в 2019 году, 200 – в 2023 году, 200 – в 2025 году. Отбор респондентов осуществлялся с использованием серийной вероятностной выборки [193, р. 123]. В процессе исследования автором были отобраны статистические серии, включающие в себя группы студентов нескольких ВУЗов города Алматы (КазНУ имени Аль-Фараби, КБТУ, УМБ имени Кенжегали Сагадиева, МОК). Отбор осуществлялся на основании следующих предположений автора: 1) студенты ВУЗов активно используют социальные медиа и имеют возможность участвовать в деятельности общественных объединений при университетах; 2) Алматы является образовательным центром республики, привлекающим молодёжь со всей страны. Это обеспечивает репрезентативность выборки.</w:t>
      </w:r>
      <w:r w:rsidRPr="001A3F92">
        <w:t xml:space="preserve"> </w:t>
      </w:r>
      <w:r w:rsidRPr="001A3F92">
        <w:rPr>
          <w:rFonts w:ascii="Times New Roman" w:hAnsi="Times New Roman" w:cs="Times New Roman"/>
          <w:sz w:val="28"/>
        </w:rPr>
        <w:t xml:space="preserve">Исследование построено как повторное кросс-секционное когортное исследование: в каждой волне опроса формировалась независимая выборка респондентов одного и того же возрастного диапазона, что </w:t>
      </w:r>
      <w:r w:rsidRPr="001A3F92">
        <w:rPr>
          <w:rFonts w:ascii="Times New Roman" w:hAnsi="Times New Roman" w:cs="Times New Roman"/>
          <w:sz w:val="28"/>
        </w:rPr>
        <w:lastRenderedPageBreak/>
        <w:t>позволяет анализировать динамику показателей внутри возрастной когорты без индивидуального панельного отслеживания.</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4"/>
          <w:szCs w:val="24"/>
        </w:rPr>
        <w:t xml:space="preserve"> </w:t>
      </w:r>
      <w:r w:rsidRPr="001A3F92">
        <w:rPr>
          <w:rFonts w:ascii="Times New Roman" w:hAnsi="Times New Roman" w:cs="Times New Roman"/>
          <w:sz w:val="28"/>
        </w:rPr>
        <w:t>Вопросы анкеты были разделены на три группы:</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1) Вовлечённость молодёжи в социальные медиа;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2) Участие молодых людей в деятельности молодёжных общественных объединений;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3) Наличие либо отсутствие связи между онлайн активностью молодёжи в социальных медиа и её офлайн гражданским участием посредством вовлечения в деятельность молодёжных общественных организаций.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Характеристика выборки оригинального социологического исследования</w:t>
      </w:r>
      <w:r w:rsidRPr="001A3F92">
        <w:rPr>
          <w:rFonts w:ascii="Times New Roman" w:hAnsi="Times New Roman" w:cs="Times New Roman"/>
          <w:sz w:val="28"/>
        </w:rPr>
        <w:t>: социально-демографический состав выборки в целом соответствует общей структуре молодёжи (см. Таблицу 1, Таблицу 2 и Таблицу 3). Таблица 1 демонстрирует данные оригинального социологического исследования по распределению респондентов по половому признаку в опросе 2019 года.</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 – Пол (из 200 респондентов социологического исследования 2019 года). Источник: данные автора</w:t>
      </w:r>
    </w:p>
    <w:tbl>
      <w:tblPr>
        <w:tblStyle w:val="af4"/>
        <w:tblW w:w="0" w:type="auto"/>
        <w:tblLook w:val="04A0" w:firstRow="1" w:lastRow="0" w:firstColumn="1" w:lastColumn="0" w:noHBand="0" w:noVBand="1"/>
      </w:tblPr>
      <w:tblGrid>
        <w:gridCol w:w="2355"/>
        <w:gridCol w:w="3443"/>
        <w:gridCol w:w="3547"/>
      </w:tblGrid>
      <w:tr w:rsidR="001A3F92" w:rsidRPr="001A3F92" w:rsidTr="006625FC">
        <w:tc>
          <w:tcPr>
            <w:tcW w:w="2355"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Респонденты</w:t>
            </w:r>
          </w:p>
        </w:tc>
        <w:tc>
          <w:tcPr>
            <w:tcW w:w="3443"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Количество</w:t>
            </w:r>
          </w:p>
        </w:tc>
        <w:tc>
          <w:tcPr>
            <w:tcW w:w="3547"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Процент</w:t>
            </w:r>
          </w:p>
        </w:tc>
      </w:tr>
      <w:tr w:rsidR="001A3F92" w:rsidRPr="001A3F92" w:rsidTr="006625FC">
        <w:tc>
          <w:tcPr>
            <w:tcW w:w="235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Мужской пол</w:t>
            </w:r>
          </w:p>
        </w:tc>
        <w:tc>
          <w:tcPr>
            <w:tcW w:w="3443"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72</w:t>
            </w:r>
          </w:p>
        </w:tc>
        <w:tc>
          <w:tcPr>
            <w:tcW w:w="3547"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36%</w:t>
            </w:r>
          </w:p>
        </w:tc>
      </w:tr>
      <w:tr w:rsidR="001A3F92" w:rsidRPr="001A3F92" w:rsidTr="006625FC">
        <w:tc>
          <w:tcPr>
            <w:tcW w:w="235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Женский пол</w:t>
            </w:r>
          </w:p>
        </w:tc>
        <w:tc>
          <w:tcPr>
            <w:tcW w:w="3443"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128</w:t>
            </w:r>
          </w:p>
        </w:tc>
        <w:tc>
          <w:tcPr>
            <w:tcW w:w="3547"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64%</w:t>
            </w:r>
          </w:p>
        </w:tc>
      </w:tr>
    </w:tbl>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Таблица 2 показывает данные оригинального социологического исследования по распределению респондентов по половому признаку в опросе 2023 года.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 – Пол (из 200 респондентов социологического исследования 2023 года). Источник: данные автора</w:t>
      </w:r>
    </w:p>
    <w:tbl>
      <w:tblPr>
        <w:tblStyle w:val="af4"/>
        <w:tblW w:w="0" w:type="auto"/>
        <w:tblLook w:val="04A0" w:firstRow="1" w:lastRow="0" w:firstColumn="1" w:lastColumn="0" w:noHBand="0" w:noVBand="1"/>
      </w:tblPr>
      <w:tblGrid>
        <w:gridCol w:w="1809"/>
        <w:gridCol w:w="3544"/>
        <w:gridCol w:w="3686"/>
      </w:tblGrid>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Респонденты</w:t>
            </w:r>
          </w:p>
        </w:tc>
        <w:tc>
          <w:tcPr>
            <w:tcW w:w="3544"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Количество</w:t>
            </w:r>
          </w:p>
        </w:tc>
        <w:tc>
          <w:tcPr>
            <w:tcW w:w="3686"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Процент</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Мужской пол</w:t>
            </w:r>
          </w:p>
        </w:tc>
        <w:tc>
          <w:tcPr>
            <w:tcW w:w="3544"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106</w:t>
            </w:r>
          </w:p>
        </w:tc>
        <w:tc>
          <w:tcPr>
            <w:tcW w:w="3686"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53%</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Женский пол</w:t>
            </w:r>
          </w:p>
        </w:tc>
        <w:tc>
          <w:tcPr>
            <w:tcW w:w="3544"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94</w:t>
            </w:r>
          </w:p>
        </w:tc>
        <w:tc>
          <w:tcPr>
            <w:tcW w:w="3686" w:type="dxa"/>
          </w:tcPr>
          <w:p w:rsidR="001A3F92" w:rsidRPr="001A3F92" w:rsidRDefault="001A3F92" w:rsidP="001A3F92">
            <w:pPr>
              <w:ind w:firstLine="709"/>
              <w:jc w:val="both"/>
              <w:rPr>
                <w:rFonts w:ascii="Times New Roman" w:hAnsi="Times New Roman" w:cs="Times New Roman"/>
                <w:sz w:val="24"/>
              </w:rPr>
            </w:pPr>
            <w:r w:rsidRPr="001A3F92">
              <w:rPr>
                <w:rFonts w:ascii="Times New Roman" w:hAnsi="Times New Roman" w:cs="Times New Roman"/>
                <w:sz w:val="24"/>
              </w:rPr>
              <w:t>47%</w:t>
            </w:r>
          </w:p>
        </w:tc>
      </w:tr>
    </w:tbl>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Таблица 3 демонстрирует данные оригинального социологического исследования по распределению респондентов по половому признаку в опросе 2025 года.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3 – Пол (из 200 респондентов социологического исследования 2025 года). Источник: данные автора</w:t>
      </w:r>
    </w:p>
    <w:tbl>
      <w:tblPr>
        <w:tblStyle w:val="af4"/>
        <w:tblW w:w="0" w:type="auto"/>
        <w:tblLook w:val="04A0" w:firstRow="1" w:lastRow="0" w:firstColumn="1" w:lastColumn="0" w:noHBand="0" w:noVBand="1"/>
      </w:tblPr>
      <w:tblGrid>
        <w:gridCol w:w="1809"/>
        <w:gridCol w:w="3544"/>
        <w:gridCol w:w="3686"/>
      </w:tblGrid>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Респонденты</w:t>
            </w:r>
          </w:p>
        </w:tc>
        <w:tc>
          <w:tcPr>
            <w:tcW w:w="3544" w:type="dxa"/>
          </w:tcPr>
          <w:p w:rsidR="001A3F92" w:rsidRPr="001A3F92" w:rsidRDefault="001A3F92" w:rsidP="001A3F92">
            <w:pPr>
              <w:ind w:firstLine="33"/>
              <w:jc w:val="center"/>
              <w:rPr>
                <w:rFonts w:ascii="Times New Roman" w:hAnsi="Times New Roman" w:cs="Times New Roman"/>
                <w:sz w:val="24"/>
              </w:rPr>
            </w:pPr>
            <w:r w:rsidRPr="001A3F92">
              <w:rPr>
                <w:rFonts w:ascii="Times New Roman" w:hAnsi="Times New Roman" w:cs="Times New Roman"/>
                <w:sz w:val="24"/>
              </w:rPr>
              <w:t>Количество</w:t>
            </w:r>
          </w:p>
        </w:tc>
        <w:tc>
          <w:tcPr>
            <w:tcW w:w="3686" w:type="dxa"/>
          </w:tcPr>
          <w:p w:rsidR="001A3F92" w:rsidRPr="001A3F92" w:rsidRDefault="001A3F92" w:rsidP="001A3F92">
            <w:pPr>
              <w:ind w:firstLine="33"/>
              <w:jc w:val="center"/>
              <w:rPr>
                <w:rFonts w:ascii="Times New Roman" w:hAnsi="Times New Roman" w:cs="Times New Roman"/>
                <w:sz w:val="24"/>
              </w:rPr>
            </w:pPr>
            <w:r w:rsidRPr="001A3F92">
              <w:rPr>
                <w:rFonts w:ascii="Times New Roman" w:hAnsi="Times New Roman" w:cs="Times New Roman"/>
                <w:sz w:val="24"/>
              </w:rPr>
              <w:t>Процент</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Мужской пол</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65</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32,5%</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Женский пол</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135</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67,5%</w:t>
            </w:r>
          </w:p>
        </w:tc>
      </w:tr>
    </w:tbl>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Таблицы 4, 5 и 6 описывают соотношение респондентов по возрасту (см. Таблицы 4, 5 и Таблицу 6). Таблица 4 показывает данные опроса 2019 года. </w:t>
      </w:r>
    </w:p>
    <w:p w:rsidR="001A3F92" w:rsidRDefault="001A3F92" w:rsidP="001A3F92">
      <w:pPr>
        <w:spacing w:after="0" w:line="240" w:lineRule="auto"/>
        <w:ind w:firstLine="709"/>
        <w:jc w:val="center"/>
        <w:rPr>
          <w:rFonts w:ascii="Times New Roman" w:hAnsi="Times New Roman" w:cs="Times New Roman"/>
          <w:sz w:val="28"/>
        </w:rPr>
      </w:pPr>
    </w:p>
    <w:p w:rsidR="00D42F45" w:rsidRPr="001A3F92" w:rsidRDefault="00D42F45"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lastRenderedPageBreak/>
        <w:t>Таблица 4 – Возраст (из 200 респондентов социологического исследования 2019 года). Источник: данные автора</w:t>
      </w:r>
    </w:p>
    <w:tbl>
      <w:tblPr>
        <w:tblStyle w:val="af4"/>
        <w:tblW w:w="0" w:type="auto"/>
        <w:tblLook w:val="04A0" w:firstRow="1" w:lastRow="0" w:firstColumn="1" w:lastColumn="0" w:noHBand="0" w:noVBand="1"/>
      </w:tblPr>
      <w:tblGrid>
        <w:gridCol w:w="1809"/>
        <w:gridCol w:w="3544"/>
        <w:gridCol w:w="3686"/>
      </w:tblGrid>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Респонденты</w:t>
            </w:r>
          </w:p>
        </w:tc>
        <w:tc>
          <w:tcPr>
            <w:tcW w:w="3544" w:type="dxa"/>
          </w:tcPr>
          <w:p w:rsidR="001A3F92" w:rsidRPr="001A3F92" w:rsidRDefault="001A3F92" w:rsidP="001A3F92">
            <w:pPr>
              <w:ind w:firstLine="33"/>
              <w:jc w:val="center"/>
              <w:rPr>
                <w:rFonts w:ascii="Times New Roman" w:hAnsi="Times New Roman" w:cs="Times New Roman"/>
                <w:sz w:val="24"/>
              </w:rPr>
            </w:pPr>
            <w:r w:rsidRPr="001A3F92">
              <w:rPr>
                <w:rFonts w:ascii="Times New Roman" w:hAnsi="Times New Roman" w:cs="Times New Roman"/>
                <w:sz w:val="24"/>
              </w:rPr>
              <w:t>Количество</w:t>
            </w:r>
          </w:p>
        </w:tc>
        <w:tc>
          <w:tcPr>
            <w:tcW w:w="3686" w:type="dxa"/>
          </w:tcPr>
          <w:p w:rsidR="001A3F92" w:rsidRPr="001A3F92" w:rsidRDefault="001A3F92" w:rsidP="001A3F92">
            <w:pPr>
              <w:ind w:firstLine="33"/>
              <w:jc w:val="center"/>
              <w:rPr>
                <w:rFonts w:ascii="Times New Roman" w:hAnsi="Times New Roman" w:cs="Times New Roman"/>
                <w:sz w:val="24"/>
              </w:rPr>
            </w:pPr>
            <w:r w:rsidRPr="001A3F92">
              <w:rPr>
                <w:rFonts w:ascii="Times New Roman" w:hAnsi="Times New Roman" w:cs="Times New Roman"/>
                <w:sz w:val="24"/>
              </w:rPr>
              <w:t>Процент</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18-21 год</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154</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77%</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22-25 лет</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46</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23%</w:t>
            </w:r>
          </w:p>
        </w:tc>
      </w:tr>
    </w:tbl>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Таблица 5 демонстрирует данные опроса 2023 года.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5 – Возраст (из 200 респондентов социологического исследования 2023 года). Источник: данные автора</w:t>
      </w:r>
    </w:p>
    <w:tbl>
      <w:tblPr>
        <w:tblStyle w:val="af4"/>
        <w:tblW w:w="0" w:type="auto"/>
        <w:tblLook w:val="04A0" w:firstRow="1" w:lastRow="0" w:firstColumn="1" w:lastColumn="0" w:noHBand="0" w:noVBand="1"/>
      </w:tblPr>
      <w:tblGrid>
        <w:gridCol w:w="2272"/>
        <w:gridCol w:w="3544"/>
        <w:gridCol w:w="3686"/>
      </w:tblGrid>
      <w:tr w:rsidR="001A3F92" w:rsidRPr="001A3F92" w:rsidTr="006625FC">
        <w:tc>
          <w:tcPr>
            <w:tcW w:w="2272"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Респонденты</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Количество</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Процент</w:t>
            </w:r>
          </w:p>
        </w:tc>
      </w:tr>
      <w:tr w:rsidR="001A3F92" w:rsidRPr="001A3F92" w:rsidTr="006625FC">
        <w:tc>
          <w:tcPr>
            <w:tcW w:w="2272"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18-21 год</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116</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58%</w:t>
            </w:r>
          </w:p>
        </w:tc>
      </w:tr>
      <w:tr w:rsidR="001A3F92" w:rsidRPr="001A3F92" w:rsidTr="006625FC">
        <w:tc>
          <w:tcPr>
            <w:tcW w:w="2272"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22-25 лет</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84</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42%</w:t>
            </w:r>
          </w:p>
        </w:tc>
      </w:tr>
    </w:tbl>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Таблица 6 демонстрирует данные опроса 2025 года.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6 – Возраст (из 200 респондентов социологического исследования 2025 года). Источник: данные автора</w:t>
      </w:r>
    </w:p>
    <w:tbl>
      <w:tblPr>
        <w:tblStyle w:val="af4"/>
        <w:tblW w:w="0" w:type="auto"/>
        <w:tblLook w:val="04A0" w:firstRow="1" w:lastRow="0" w:firstColumn="1" w:lastColumn="0" w:noHBand="0" w:noVBand="1"/>
      </w:tblPr>
      <w:tblGrid>
        <w:gridCol w:w="1809"/>
        <w:gridCol w:w="3544"/>
        <w:gridCol w:w="3686"/>
      </w:tblGrid>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Респонденты</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Количество</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Процент</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18-21 год</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124</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62%</w:t>
            </w:r>
          </w:p>
        </w:tc>
      </w:tr>
      <w:tr w:rsidR="001A3F92" w:rsidRPr="001A3F92" w:rsidTr="006625FC">
        <w:tc>
          <w:tcPr>
            <w:tcW w:w="1809"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22-25 лет</w:t>
            </w:r>
          </w:p>
        </w:tc>
        <w:tc>
          <w:tcPr>
            <w:tcW w:w="3544"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76</w:t>
            </w:r>
          </w:p>
        </w:tc>
        <w:tc>
          <w:tcPr>
            <w:tcW w:w="3686" w:type="dxa"/>
          </w:tcPr>
          <w:p w:rsidR="001A3F92" w:rsidRPr="001A3F92" w:rsidRDefault="001A3F92" w:rsidP="001A3F92">
            <w:pPr>
              <w:jc w:val="center"/>
              <w:rPr>
                <w:rFonts w:ascii="Times New Roman" w:hAnsi="Times New Roman" w:cs="Times New Roman"/>
                <w:sz w:val="24"/>
              </w:rPr>
            </w:pPr>
            <w:r w:rsidRPr="001A3F92">
              <w:rPr>
                <w:rFonts w:ascii="Times New Roman" w:hAnsi="Times New Roman" w:cs="Times New Roman"/>
                <w:sz w:val="24"/>
              </w:rPr>
              <w:t>38%</w:t>
            </w:r>
          </w:p>
        </w:tc>
      </w:tr>
    </w:tbl>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С целью анализа онлайн участия молодёжи в социальных медиа, автором диссертационного исследования были выделены пять главных индикаторов, которые соответствуют трём группам вопросов анкеты оригинального социологического исследования.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Индикатор 1 – вовлечённость молодёжи в социальные медиа</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При изучении результатов оригинального социологического исследования выявлено, что в 2019 году 99,3% респондентов имеют аккаунт в социальных медиа, по итогам исследования 2023 года, это количество составляет 100%, в 2025 году количество респондентов, имеющих аккаунт, составило 99% (см. Рисунок 14).</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Таким образом, можно проследить тенденцию к сохранению очень высокой представленности молодёжи в социальных медиа.</w:t>
      </w:r>
    </w:p>
    <w:p w:rsidR="001A3F92" w:rsidRPr="001A3F92" w:rsidRDefault="001A3F92" w:rsidP="001A3F92">
      <w:pPr>
        <w:spacing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Далее рассматриваются предпочтения молодёжи в выборе социальных медиа – какие именно ресурсы наиболее популярны. Необходимо отметить, что отечественный мессенджер Aitu появился в Казахстане в 2020 году [163, р. 7]. На момент проведения исследования осведомлённость о нём у респондентов отсутствовала. В 2025 году Президент РК Касым-Жомарт Токаев распорядился перевести государственные сервисы в Aitu, с целью повышения его популярности и снижения зависимости от иностранных платформ [194]. По этой причине все платформы, рассмотренные в оригинальном социологическом исследовании, иностранного производства, адаптированные к казахстанской специфике. Согласно результатам оригинального социологического исследования 2019 года, российский ресурс ВКонтакте находился на первом </w:t>
      </w:r>
      <w:r w:rsidRPr="001A3F92">
        <w:rPr>
          <w:rFonts w:ascii="Times New Roman" w:hAnsi="Times New Roman" w:cs="Times New Roman"/>
          <w:sz w:val="28"/>
        </w:rPr>
        <w:lastRenderedPageBreak/>
        <w:t>месте по популярности, американские платформы Instagram и Facebook – на втором и третьем месте соответственно (см. Рисунок 15). На данный вопрос отвечало 199 респондентов, при этом сумма не равна 100%, так как респонденты могли указать несколько вариантов ответа.</w:t>
      </w:r>
    </w:p>
    <w:p w:rsidR="001A3F92" w:rsidRPr="001A3F92" w:rsidRDefault="001A3F92" w:rsidP="001A3F92">
      <w:pPr>
        <w:spacing w:line="240" w:lineRule="auto"/>
        <w:ind w:firstLine="709"/>
        <w:jc w:val="both"/>
        <w:rPr>
          <w:rFonts w:ascii="Times New Roman" w:hAnsi="Times New Roman" w:cs="Times New Roman"/>
          <w:sz w:val="28"/>
        </w:rPr>
      </w:pPr>
    </w:p>
    <w:p w:rsidR="001A3F92" w:rsidRPr="001A3F92" w:rsidRDefault="001A3F92" w:rsidP="001A3F92">
      <w:pPr>
        <w:spacing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5D03C2C" wp14:editId="50A155E0">
            <wp:extent cx="4360985" cy="2018714"/>
            <wp:effectExtent l="0" t="0" r="1905" b="63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A3F92" w:rsidRPr="001A3F92" w:rsidRDefault="001A3F92" w:rsidP="001A3F92">
      <w:pPr>
        <w:spacing w:line="240" w:lineRule="auto"/>
        <w:ind w:firstLine="709"/>
        <w:jc w:val="center"/>
        <w:rPr>
          <w:rFonts w:ascii="Arial" w:hAnsi="Arial" w:cs="Arial"/>
          <w:sz w:val="24"/>
        </w:rPr>
      </w:pPr>
      <w:r w:rsidRPr="001A3F92">
        <w:rPr>
          <w:rFonts w:ascii="Times New Roman" w:hAnsi="Times New Roman" w:cs="Times New Roman"/>
          <w:sz w:val="28"/>
        </w:rPr>
        <w:t>Рисунок 14 – Представленность молодёжи в социальных медиа в 2019, 2023 и 2025 годах.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Сравниваются данные результаты с результатами оригинального социологического исследования 2023 года (см. Рисунок 16). На данный вопрос отвечало 200 респондентов, при этом сумма не равна 100%, так как респонденты могли указать несколько вариантов ответа. Как видно из Рисунка 16, Instagram вышел на первое место по популярности, ВКонтакте опустился на второе место, Telegram поднялся на третье место, What’s App занимает четвёртое место.</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Последние две платформы являются мессенджерами. Данная тенденция весьма интересна тем, что мессенджеры стремительно набирают популярность в молодёжной категории и начинают конкурировать с социальными сетями, несмотря на то, что по интерактивности пока ещё уступают последним. </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58684FCF" wp14:editId="34CAA572">
            <wp:extent cx="3833447" cy="2060917"/>
            <wp:effectExtent l="0" t="0" r="15240" b="1587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15 – Популярность различных социальных медиа среди молодёжи Казахстана (2019 год).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lastRenderedPageBreak/>
        <w:drawing>
          <wp:inline distT="0" distB="0" distL="0" distR="0" wp14:anchorId="5D39D9CF" wp14:editId="0F65BA69">
            <wp:extent cx="4325816" cy="2046849"/>
            <wp:effectExtent l="0" t="0" r="17780" b="1079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16 – Популярность различных социальных медиа среди молодёжи Казахстана (2023 год).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Рассматриваются результаты опроса 2025 года (см. Рисунок 17).</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CAD0A50" wp14:editId="2571736F">
            <wp:extent cx="4234376" cy="1779564"/>
            <wp:effectExtent l="0" t="0" r="13970" b="1143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17 – Популярность различных социальных медиа среди молодёжи Казахстана (2025 год). Источник: данные автора</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Как видно из Рисунка 17, Instagram сохранил лидирующие позиции, TikTok резко поднялся с двенадцатого места на первое, Telegram и What’s App сохранили третье и четвёртое место по востребованности, ВКонтакте опустился на пятое место.</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Индикатор 2 – частота посещения страницы молодыми людьми</w:t>
      </w:r>
      <w:r w:rsidRPr="001A3F92">
        <w:rPr>
          <w:rFonts w:ascii="Times New Roman" w:hAnsi="Times New Roman" w:cs="Times New Roman"/>
          <w:sz w:val="28"/>
        </w:rPr>
        <w:t xml:space="preserve">. </w:t>
      </w:r>
    </w:p>
    <w:p w:rsidR="001A3F92" w:rsidRPr="001A3F92" w:rsidRDefault="001A3F92" w:rsidP="001A3F92">
      <w:pPr>
        <w:spacing w:after="0" w:line="240" w:lineRule="auto"/>
        <w:ind w:firstLine="709"/>
        <w:jc w:val="both"/>
        <w:rPr>
          <w:rFonts w:ascii="Times New Roman" w:hAnsi="Times New Roman" w:cs="Times New Roman"/>
          <w:noProof/>
          <w:sz w:val="28"/>
          <w:lang w:eastAsia="ru-RU"/>
        </w:rPr>
      </w:pPr>
      <w:r w:rsidRPr="001A3F92">
        <w:rPr>
          <w:rFonts w:ascii="Times New Roman" w:hAnsi="Times New Roman" w:cs="Times New Roman"/>
          <w:noProof/>
          <w:sz w:val="28"/>
          <w:lang w:eastAsia="ru-RU"/>
        </w:rPr>
        <w:t>При сравнении результатов оригинального социологического исследования 2019, 2023 и 2025 годов видно, что в опросе 2019 года 89,5% респондентов посещают социальные медиа несколько раз в день (199 человек (сумма равна 100%)), в опросе 2023 года – это делают 90,5% респондентов (200 человек (сумма равна 100%)), в опросе 2025 года – 72,5% респондентов (200 человек (сумма равна 100%)) (см. Рисунок 18).</w:t>
      </w:r>
    </w:p>
    <w:p w:rsidR="001A3F92" w:rsidRPr="001A3F92" w:rsidRDefault="001A3F92" w:rsidP="001A3F92">
      <w:pPr>
        <w:spacing w:after="0" w:line="240" w:lineRule="auto"/>
        <w:ind w:firstLine="709"/>
        <w:jc w:val="both"/>
        <w:rPr>
          <w:rFonts w:ascii="Times New Roman" w:hAnsi="Times New Roman" w:cs="Times New Roman"/>
          <w:noProof/>
          <w:sz w:val="28"/>
          <w:lang w:eastAsia="ru-RU"/>
        </w:rPr>
      </w:pPr>
      <w:r w:rsidRPr="001A3F92">
        <w:rPr>
          <w:rFonts w:ascii="Times New Roman" w:hAnsi="Times New Roman" w:cs="Times New Roman"/>
          <w:noProof/>
          <w:sz w:val="28"/>
          <w:lang w:eastAsia="ru-RU"/>
        </w:rPr>
        <w:t xml:space="preserve">Анализируя индикатор 2, можно проследить изменения в тенденции на сохранение частоты посещения аккаунта в социальных медиа среди молодёжи. К 2025 году наблюдается снижение частоты посещений и рост доли пользователей, характеризующихся эпизодической онлайн-активностью. Данная тенденция может свидетельствовать об усилении значимости практик цифрового детокса в молодёжной среде, а также о формировании определённой цифровой </w:t>
      </w:r>
      <w:r w:rsidRPr="001A3F92">
        <w:rPr>
          <w:rFonts w:ascii="Times New Roman" w:hAnsi="Times New Roman" w:cs="Times New Roman"/>
          <w:noProof/>
          <w:sz w:val="28"/>
          <w:lang w:eastAsia="ru-RU"/>
        </w:rPr>
        <w:lastRenderedPageBreak/>
        <w:t>усталости, обусловленной перенасыщенностью информационного пространства и стремлением к самореализации вне цифровой среды.</w:t>
      </w:r>
    </w:p>
    <w:p w:rsidR="001A3F92" w:rsidRPr="001A3F92" w:rsidRDefault="001A3F92" w:rsidP="001A3F92">
      <w:pPr>
        <w:spacing w:after="0" w:line="240" w:lineRule="auto"/>
        <w:ind w:firstLine="709"/>
        <w:jc w:val="both"/>
        <w:rPr>
          <w:rFonts w:ascii="Times New Roman" w:hAnsi="Times New Roman" w:cs="Times New Roman"/>
          <w:noProof/>
          <w:sz w:val="28"/>
          <w:lang w:eastAsia="ru-RU"/>
        </w:rPr>
      </w:pPr>
      <w:r w:rsidRPr="001A3F92">
        <w:rPr>
          <w:rFonts w:ascii="Times New Roman" w:hAnsi="Times New Roman" w:cs="Times New Roman"/>
          <w:i/>
          <w:noProof/>
          <w:sz w:val="28"/>
          <w:lang w:eastAsia="ru-RU"/>
        </w:rPr>
        <w:t>Индикатор 3 – цели молодёжи в социальных медиа</w:t>
      </w:r>
      <w:r w:rsidRPr="001A3F92">
        <w:rPr>
          <w:rFonts w:ascii="Times New Roman" w:hAnsi="Times New Roman" w:cs="Times New Roman"/>
          <w:i/>
          <w:noProof/>
          <w:sz w:val="28"/>
          <w:u w:val="single"/>
          <w:lang w:eastAsia="ru-RU"/>
        </w:rPr>
        <w:t xml:space="preserve">. </w:t>
      </w:r>
    </w:p>
    <w:p w:rsidR="001A3F92" w:rsidRPr="001A3F92" w:rsidRDefault="001A3F92" w:rsidP="001A3F92">
      <w:pPr>
        <w:spacing w:after="0" w:line="240" w:lineRule="auto"/>
        <w:ind w:firstLine="709"/>
        <w:jc w:val="both"/>
        <w:rPr>
          <w:rFonts w:ascii="Times New Roman" w:hAnsi="Times New Roman" w:cs="Times New Roman"/>
          <w:noProof/>
          <w:sz w:val="28"/>
          <w:lang w:eastAsia="ru-RU"/>
        </w:rPr>
      </w:pPr>
      <w:r w:rsidRPr="001A3F92">
        <w:rPr>
          <w:rFonts w:ascii="Times New Roman" w:hAnsi="Times New Roman" w:cs="Times New Roman"/>
          <w:noProof/>
          <w:sz w:val="28"/>
          <w:lang w:eastAsia="ru-RU"/>
        </w:rPr>
        <w:t>Сравним результаты оригинальных исследований за 2019, 2023 и 2025 годы. В оригинальном исследовании 2019 года на соответствующий вопрос анкеты ответило 199 человек (сумма не равна 100%), в 2023 году – 200 человек (сумма не равна 100%), в 2025 году – 199 человек (сумма не равна 100%) (см. Рисунок 19).</w:t>
      </w:r>
    </w:p>
    <w:p w:rsidR="001A3F92" w:rsidRPr="001A3F92" w:rsidRDefault="001A3F92" w:rsidP="001A3F92">
      <w:pPr>
        <w:spacing w:after="0" w:line="240" w:lineRule="auto"/>
        <w:ind w:firstLine="709"/>
        <w:jc w:val="both"/>
        <w:rPr>
          <w:rFonts w:ascii="Times New Roman" w:hAnsi="Times New Roman" w:cs="Times New Roman"/>
          <w:noProof/>
          <w:sz w:val="28"/>
          <w:lang w:eastAsia="ru-RU"/>
        </w:rPr>
      </w:pPr>
    </w:p>
    <w:p w:rsidR="001A3F92" w:rsidRPr="001A3F92" w:rsidRDefault="001A3F92" w:rsidP="001A3F92">
      <w:pPr>
        <w:spacing w:line="240" w:lineRule="auto"/>
        <w:jc w:val="center"/>
        <w:rPr>
          <w:rFonts w:ascii="Arial" w:hAnsi="Arial" w:cs="Arial"/>
          <w:sz w:val="24"/>
        </w:rPr>
      </w:pPr>
      <w:r w:rsidRPr="001A3F92">
        <w:rPr>
          <w:rFonts w:ascii="Arial" w:hAnsi="Arial" w:cs="Arial"/>
          <w:noProof/>
          <w:sz w:val="24"/>
          <w:lang w:eastAsia="ru-RU"/>
        </w:rPr>
        <w:drawing>
          <wp:inline distT="0" distB="0" distL="0" distR="0" wp14:anchorId="0C663109" wp14:editId="4773D33A">
            <wp:extent cx="4536831" cy="2271932"/>
            <wp:effectExtent l="0" t="0" r="16510" b="1460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A3F92" w:rsidRPr="001A3F92" w:rsidRDefault="001A3F92" w:rsidP="001A3F92">
      <w:pPr>
        <w:spacing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18 – Частота посещения страницы в социальных медиа (2019, 2023 и 2025 годы).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17B314F" wp14:editId="2E1F8A5A">
            <wp:extent cx="5594350" cy="3695700"/>
            <wp:effectExtent l="0" t="0" r="635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19 – Цели молодёжи в социальных медиа (2019, 2023 и 2025 годы).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Как видно из Рисунка 19, развлечение, как цель посещения молодёжью социальных медиа, имеет тенденцию к снижению (97,9%, 95,6% и 93,5%). Общение с однокурсниками занимает второе место по популярности во всех опросах. Важность данного показателя заключается в значимости фактора друзей при дихотомии участие\неучастие в молодёжных общественных организациях, что видно в дальнейших исследованиях, отражённых в главе 3. Немного поднялся показатель получения информации об общественно-политической жизни Казахстана (43,8% в 2023 году против 36,4% в 2019 году), однако, в 2025 году он снова понизился (34%). Таким образом, можно сделать вывод о том, что, наряду с развлечением, молодёжь использует социальные медиа для общения со сверстниками и для получения общественно-политической информации. Возникает предположение, что социальные медиа имеют потенциал использования в создании виртуальной информационной основы для развития гражданской культуры молодёжи, что впоследствии может стимулировать развитие институтов гражданского общества (молодёжных общественных организаций).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Индикатор 4 – осведомлённость молодёжи о молодёжных общественных организациях Казахстана</w:t>
      </w:r>
      <w:r w:rsidRPr="001A3F92">
        <w:rPr>
          <w:rFonts w:ascii="Times New Roman" w:hAnsi="Times New Roman" w:cs="Times New Roman"/>
          <w:sz w:val="28"/>
        </w:rPr>
        <w:t>. Для анализа данного индикатора использованы результаты оригинальных социологических исследований за 2019, 2023 и 2025 годы. Сумма равна 100% во всех случаях, количество респондентов – 200 человек в каждом исследовании. Как видно из Рисунка 20 (см.), уровень осведомлённости вырос в 2023 году, по сравнению с 2019 годом, однако, достаточно сильно снизился в 2025 году. При этом уровень неосведомлённости существенно вырос с 2023 года по 2025 год. Уровень неопределённости (вариант ответа «затрудняюсь ответить») с 2019 года по 2025 год постепенно снижался. Несмотря на то, что 2020 год был объявлен Годом волонтёрства в Казахстане, эффект этого события оказался непродолжительным, несмотря на рост осведомлённости в 2023 году, к 2025 году она снизилась.</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B0B72B2" wp14:editId="513BBB87">
            <wp:extent cx="5022850" cy="2254250"/>
            <wp:effectExtent l="0" t="0" r="6350" b="1270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20 – Осведомлённость молодёжи о молодёжных общественных организациях Казахстана. Источник: данные автора</w:t>
      </w:r>
    </w:p>
    <w:p w:rsidR="009F6A03" w:rsidRPr="001A3F92" w:rsidRDefault="009F6A03"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lastRenderedPageBreak/>
        <w:t xml:space="preserve">Проанализируем предметно какие именно молодёжные общественные объединения известны молодёжи. Согласно результатам исследования 2019 года, картина выглядит следующим образом (см. Рисунок 21), (сумма не равна 100%, так как респонденты могли предложить несколько вариантов ответов. Количество респондентов, ответивших на этот вопрос в опросе 2019 года – 66 человек): </w:t>
      </w:r>
      <w:r w:rsidRPr="001A3F92">
        <w:rPr>
          <w:rFonts w:ascii="Times New Roman" w:hAnsi="Times New Roman" w:cs="Times New Roman"/>
          <w:i/>
          <w:sz w:val="28"/>
        </w:rPr>
        <w:t>Жас Отан</w:t>
      </w:r>
      <w:r w:rsidRPr="001A3F92">
        <w:rPr>
          <w:rFonts w:ascii="Times New Roman" w:hAnsi="Times New Roman" w:cs="Times New Roman"/>
          <w:sz w:val="28"/>
        </w:rPr>
        <w:t xml:space="preserve"> (в 2022 году переименована в </w:t>
      </w:r>
      <w:r w:rsidRPr="001A3F92">
        <w:rPr>
          <w:rFonts w:ascii="Times New Roman" w:hAnsi="Times New Roman" w:cs="Times New Roman"/>
          <w:i/>
          <w:sz w:val="28"/>
        </w:rPr>
        <w:t>Жастар Рухы</w:t>
      </w:r>
      <w:r w:rsidRPr="001A3F92">
        <w:rPr>
          <w:rFonts w:ascii="Times New Roman" w:hAnsi="Times New Roman" w:cs="Times New Roman"/>
          <w:sz w:val="28"/>
        </w:rPr>
        <w:t xml:space="preserve">) – молодёжное крыло партии </w:t>
      </w:r>
      <w:r w:rsidRPr="001A3F92">
        <w:rPr>
          <w:rFonts w:ascii="Times New Roman" w:hAnsi="Times New Roman" w:cs="Times New Roman"/>
          <w:i/>
          <w:sz w:val="28"/>
        </w:rPr>
        <w:t>Нур Отан</w:t>
      </w:r>
      <w:r w:rsidRPr="001A3F92">
        <w:rPr>
          <w:rFonts w:ascii="Times New Roman" w:hAnsi="Times New Roman" w:cs="Times New Roman"/>
          <w:sz w:val="28"/>
        </w:rPr>
        <w:t xml:space="preserve"> (в 2022 году переименована в </w:t>
      </w:r>
      <w:r w:rsidRPr="001A3F92">
        <w:rPr>
          <w:rFonts w:ascii="Times New Roman" w:hAnsi="Times New Roman" w:cs="Times New Roman"/>
          <w:i/>
          <w:sz w:val="28"/>
        </w:rPr>
        <w:t>Аманат</w:t>
      </w:r>
      <w:r w:rsidRPr="001A3F92">
        <w:rPr>
          <w:rFonts w:ascii="Times New Roman" w:hAnsi="Times New Roman" w:cs="Times New Roman"/>
          <w:sz w:val="28"/>
        </w:rPr>
        <w:t xml:space="preserve">) [163, р. 14] является наиболее известной молодёжной организацией; на втором месте </w:t>
      </w:r>
      <w:r w:rsidRPr="001A3F92">
        <w:rPr>
          <w:rFonts w:ascii="Times New Roman" w:hAnsi="Times New Roman" w:cs="Times New Roman"/>
          <w:i/>
          <w:sz w:val="28"/>
        </w:rPr>
        <w:t>AIESEC</w:t>
      </w:r>
      <w:r w:rsidRPr="001A3F92">
        <w:rPr>
          <w:rFonts w:ascii="Times New Roman" w:hAnsi="Times New Roman" w:cs="Times New Roman"/>
          <w:sz w:val="28"/>
        </w:rPr>
        <w:t xml:space="preserve"> – международная молодёжная общественная организация, в качестве целей которой заявлено обучение лидерству молодёжи с помощью кросс-культурной коммуникации; на третьем месте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 молодёжная волонтёрская общественная организация, которая существует с 2014 года. Таким образом, последняя из приведённых – единственная казахстанская молодёжная общественная организация, созданная «снизу». </w:t>
      </w:r>
      <w:r w:rsidRPr="001A3F92">
        <w:rPr>
          <w:rFonts w:ascii="Times New Roman" w:hAnsi="Times New Roman" w:cs="Times New Roman"/>
          <w:i/>
          <w:sz w:val="28"/>
        </w:rPr>
        <w:t>Жас Отан</w:t>
      </w:r>
      <w:r w:rsidRPr="001A3F92">
        <w:rPr>
          <w:rFonts w:ascii="Times New Roman" w:hAnsi="Times New Roman" w:cs="Times New Roman"/>
          <w:sz w:val="28"/>
        </w:rPr>
        <w:t xml:space="preserve"> как крыло </w:t>
      </w:r>
      <w:r w:rsidRPr="001A3F92">
        <w:rPr>
          <w:rFonts w:ascii="Times New Roman" w:hAnsi="Times New Roman" w:cs="Times New Roman"/>
          <w:i/>
          <w:sz w:val="28"/>
        </w:rPr>
        <w:t>Нур Отан</w:t>
      </w:r>
      <w:r w:rsidRPr="001A3F92">
        <w:rPr>
          <w:rFonts w:ascii="Times New Roman" w:hAnsi="Times New Roman" w:cs="Times New Roman"/>
          <w:sz w:val="28"/>
        </w:rPr>
        <w:t xml:space="preserve"> является организацией, созданной «сверху». В дальнейшем мы именуем их названиями, существовавшими на момент проведения опроса 2019 года. </w:t>
      </w:r>
      <w:r w:rsidRPr="001A3F92">
        <w:rPr>
          <w:rFonts w:ascii="Times New Roman" w:hAnsi="Times New Roman" w:cs="Times New Roman"/>
          <w:i/>
          <w:sz w:val="28"/>
        </w:rPr>
        <w:t>AIESEC</w:t>
      </w:r>
      <w:r w:rsidRPr="001A3F92">
        <w:rPr>
          <w:rFonts w:ascii="Times New Roman" w:hAnsi="Times New Roman" w:cs="Times New Roman"/>
          <w:sz w:val="28"/>
        </w:rPr>
        <w:t xml:space="preserve"> – международная организация, которая не является казахстанским «продуктом».</w:t>
      </w:r>
    </w:p>
    <w:p w:rsid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Как видно из данных, приведённых на Рисунке 21 и Рисунке 22, ситуация с предметной осведомлённостью изменилась за рассматриваемое время.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вышла на первое место, </w:t>
      </w:r>
      <w:r w:rsidRPr="001A3F92">
        <w:rPr>
          <w:rFonts w:ascii="Times New Roman" w:hAnsi="Times New Roman" w:cs="Times New Roman"/>
          <w:i/>
          <w:sz w:val="28"/>
        </w:rPr>
        <w:t>Жас Отан</w:t>
      </w:r>
      <w:r w:rsidRPr="001A3F92">
        <w:rPr>
          <w:rFonts w:ascii="Times New Roman" w:hAnsi="Times New Roman" w:cs="Times New Roman"/>
          <w:sz w:val="28"/>
        </w:rPr>
        <w:t xml:space="preserve"> опустилась на второе, </w:t>
      </w:r>
      <w:r w:rsidRPr="001A3F92">
        <w:rPr>
          <w:rFonts w:ascii="Times New Roman" w:hAnsi="Times New Roman" w:cs="Times New Roman"/>
          <w:i/>
          <w:sz w:val="28"/>
        </w:rPr>
        <w:t>студенческие организации ВУЗов</w:t>
      </w:r>
      <w:r w:rsidRPr="001A3F92">
        <w:rPr>
          <w:rFonts w:ascii="Times New Roman" w:hAnsi="Times New Roman" w:cs="Times New Roman"/>
          <w:sz w:val="28"/>
        </w:rPr>
        <w:t xml:space="preserve"> заняли третье место, </w:t>
      </w:r>
      <w:r w:rsidRPr="001A3F92">
        <w:rPr>
          <w:rFonts w:ascii="Times New Roman" w:hAnsi="Times New Roman" w:cs="Times New Roman"/>
          <w:i/>
          <w:sz w:val="28"/>
        </w:rPr>
        <w:t>AIESEC</w:t>
      </w:r>
      <w:r w:rsidRPr="001A3F92">
        <w:rPr>
          <w:rFonts w:ascii="Times New Roman" w:hAnsi="Times New Roman" w:cs="Times New Roman"/>
          <w:sz w:val="28"/>
        </w:rPr>
        <w:t xml:space="preserve"> переместилась на четвёртое место. Возможно, это связано с тем, что 2020 год объявлен годом волонтёра, соответственно, медийного внимания к волонтёрским общественным объединениям стало больше. Волонтёрские организации стремятся использовать эту ситуацию с целью рекламы и продвижения.</w:t>
      </w:r>
    </w:p>
    <w:p w:rsidR="009F6A03" w:rsidRPr="001A3F92" w:rsidRDefault="009F6A03"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B9611F7" wp14:editId="473C2E76">
            <wp:extent cx="4965895" cy="2419643"/>
            <wp:effectExtent l="0" t="0" r="635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21 – Предметная информированность молодёжи о молодёжных общественных организациях (данные 2019 года). Источник: данные автора</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Рассмотрим данные оригинального опроса 2023 года (см. Рисунок 22). Сумма не равна 100%, так как респонденты могли привести несколько вариантов ответов. Количество респондентов, ответивших на этот вопрос в опросе 2023 года – 94 человека. Можно заметить, что количество упомянутых позиций, </w:t>
      </w:r>
      <w:r w:rsidRPr="001A3F92">
        <w:rPr>
          <w:rFonts w:ascii="Times New Roman" w:hAnsi="Times New Roman" w:cs="Times New Roman"/>
          <w:sz w:val="28"/>
        </w:rPr>
        <w:lastRenderedPageBreak/>
        <w:t>снизилось в сравнении с 2019 годом (см. Рисунок 21). При этом количество респондентов, ответивших на соответствующий вопрос в опросе 2023 года выше, чем в опросе 2019. Это может говорить, как об увеличении предметной осведомлённости, так и о концентрации внимания респондентов вокруг наиболее известных в информационном пространстве молодёжных общественных организаций.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Рассмотрим данные оригинального опроса 2025 года (см. Рисунок 23). Сумма не равна 100%, так как респонденты могли привести несколько вариантов ответов. Количество респондентов, ответивших на этот вопрос в опросе 2025 года – 72 человека.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6ACF36E9" wp14:editId="2A7A84E1">
            <wp:extent cx="4930727" cy="2074985"/>
            <wp:effectExtent l="0" t="0" r="3810" b="190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22 – Предметная информированность молодёжи о молодёжных общественных организациях (данные 2023 года).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Как следует из данных, представленных на рисунке 23, уровень предметной информированности по количеству упоминаемых позиций снизился по сравнению с 2023 годом. Организация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равно как и </w:t>
      </w:r>
      <w:r w:rsidRPr="001A3F92">
        <w:rPr>
          <w:rFonts w:ascii="Times New Roman" w:hAnsi="Times New Roman" w:cs="Times New Roman"/>
          <w:i/>
          <w:sz w:val="28"/>
        </w:rPr>
        <w:t>студенческие объединения</w:t>
      </w:r>
      <w:r w:rsidRPr="001A3F92">
        <w:rPr>
          <w:rFonts w:ascii="Times New Roman" w:hAnsi="Times New Roman" w:cs="Times New Roman"/>
          <w:sz w:val="28"/>
        </w:rPr>
        <w:t xml:space="preserve">, полностью исчезла из ответов респондентов. Участники опроса называли разрозненные волонтёрские инициативы, в связи с чем при последующем анализе они были агрегированы в обобщённую категорию «волонтёрские организации». В то же время наблюдается рост узнаваемости организации </w:t>
      </w:r>
      <w:r w:rsidRPr="001A3F92">
        <w:rPr>
          <w:rFonts w:ascii="Times New Roman" w:hAnsi="Times New Roman" w:cs="Times New Roman"/>
          <w:i/>
          <w:sz w:val="28"/>
        </w:rPr>
        <w:t>AIESEC</w:t>
      </w:r>
      <w:r w:rsidRPr="001A3F92">
        <w:rPr>
          <w:rFonts w:ascii="Times New Roman" w:hAnsi="Times New Roman" w:cs="Times New Roman"/>
          <w:sz w:val="28"/>
        </w:rPr>
        <w:t xml:space="preserve"> среди молодёжи. В целом, по сравнению с 2019 и 2023 годами, информированность молодёжной аудитории характеризуется как несфокусированная, фрагментированная и ограниченная.</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При рассмотрении индикатора 4, включаем вопрос о количестве молодых людей, которые подписаны на страничку известной им молодёжной общественной организации в социальных медиа.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Сумма равна 100%. В опросе 2019 года на этот вопрос ответило 199 респондентов, в опросе 2023 года – 200 респондентов, в опросе 2025 года – 199 респондентов (см. Рисунок 24). Согласно </w:t>
      </w:r>
      <w:proofErr w:type="gramStart"/>
      <w:r w:rsidRPr="001A3F92">
        <w:rPr>
          <w:rFonts w:ascii="Times New Roman" w:hAnsi="Times New Roman" w:cs="Times New Roman"/>
          <w:sz w:val="28"/>
        </w:rPr>
        <w:t>диаграмме</w:t>
      </w:r>
      <w:proofErr w:type="gramEnd"/>
      <w:r w:rsidRPr="001A3F92">
        <w:rPr>
          <w:rFonts w:ascii="Times New Roman" w:hAnsi="Times New Roman" w:cs="Times New Roman"/>
          <w:sz w:val="28"/>
        </w:rPr>
        <w:t xml:space="preserve"> на Рисунке 24, в 2019 году количество молодых людей, которые следят за активностью известной им организации в социальных медиа очень невелико – 12,6%.</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noProof/>
          <w:sz w:val="28"/>
          <w:lang w:eastAsia="ru-RU"/>
        </w:rPr>
        <w:lastRenderedPageBreak/>
        <w:drawing>
          <wp:inline distT="0" distB="0" distL="0" distR="0" wp14:anchorId="39486582" wp14:editId="296B07CA">
            <wp:extent cx="4930140" cy="2405575"/>
            <wp:effectExtent l="0" t="0" r="3810" b="1397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23 – Предметная информированность молодёжи о молодёжных общественных организациях (данные 2025 года).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Безусловно, данный показатель указывает на проблемную область в сфере информированности молодёжи, её заинтересованности в деятельности общественных организаций, желании следить за её работой в социальных медиа.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A16A8E0" wp14:editId="225960B5">
            <wp:extent cx="4839287" cy="1863969"/>
            <wp:effectExtent l="0" t="0" r="0" b="317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24 – Количество подписчиков молодёжных общественных организаций в социальных медиа. Источник: данные автора</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2023 году этот показатель вырос (25,6%), но в 2025 снизился до 9,5%. Это говорит о том, что цифровое институционализированное вовлечение молодёжи снижается, несмотря на высокую неинституционализированную представленность молодёжи в социальных медиа (см. Рисунок 14).</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Исследуем, на публичные аккаунты в социальных медиа каких именно молодёжных общественных организаций более всего подписывается молодёжь. Сумма не равна 100% во всех группах, так как респонденты могли предложить более одного варианта ответа (см. Рисунок 25 и Рисунок 26).</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Рассмотрим результаты оригинального опроса 2023 года по данному вопросу и проведём компаративный анализ (см. Рисунок 26).</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Как видно из диаграммы, приведённой на Рисунке 26, в 2023 году </w:t>
      </w:r>
      <w:r w:rsidRPr="001A3F92">
        <w:rPr>
          <w:rFonts w:ascii="Times New Roman" w:hAnsi="Times New Roman" w:cs="Times New Roman"/>
          <w:i/>
          <w:sz w:val="28"/>
        </w:rPr>
        <w:t>студенческие организации</w:t>
      </w:r>
      <w:r w:rsidRPr="001A3F92">
        <w:rPr>
          <w:rFonts w:ascii="Times New Roman" w:hAnsi="Times New Roman" w:cs="Times New Roman"/>
          <w:sz w:val="28"/>
        </w:rPr>
        <w:t xml:space="preserve"> вышли на первое место по числу подписчиков,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опустилась на второе место по сравнению с 2019 годом (см. Рисунок </w:t>
      </w:r>
      <w:r w:rsidRPr="001A3F92">
        <w:rPr>
          <w:rFonts w:ascii="Times New Roman" w:hAnsi="Times New Roman" w:cs="Times New Roman"/>
          <w:sz w:val="28"/>
        </w:rPr>
        <w:lastRenderedPageBreak/>
        <w:t xml:space="preserve">25). Ещё одно отличие – ответы респондентов 2023 года более вариабельны, чем ответы респондентов 2019 года. </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59DFD698" wp14:editId="7B38730F">
            <wp:extent cx="5080000" cy="2127250"/>
            <wp:effectExtent l="0" t="0" r="6350" b="635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25 – Предметный анализ молодёжных общественных организаций Казахстана, на страницы которых молодёжь подписана в социальных медиа (2019 год). Источник: данные автора</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3FA31197" wp14:editId="6DE6B388">
            <wp:extent cx="5486400" cy="2736850"/>
            <wp:effectExtent l="0" t="0" r="0" b="63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26 – Предметный анализ молодёжных общественных организаций Казахстана, на страницы которых молодёжь подписана в социальных медиа (2023 год). Источник: данные автора</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По результатам опроса 2025 года (см. Рисунок 27) видно, что </w:t>
      </w:r>
      <w:r w:rsidRPr="001A3F92">
        <w:rPr>
          <w:rFonts w:ascii="Times New Roman" w:hAnsi="Times New Roman" w:cs="Times New Roman"/>
          <w:i/>
          <w:sz w:val="28"/>
        </w:rPr>
        <w:t>AIESEC</w:t>
      </w:r>
      <w:r w:rsidRPr="001A3F92">
        <w:rPr>
          <w:rFonts w:ascii="Times New Roman" w:hAnsi="Times New Roman" w:cs="Times New Roman"/>
          <w:sz w:val="28"/>
        </w:rPr>
        <w:t xml:space="preserve"> и </w:t>
      </w:r>
      <w:r w:rsidRPr="001A3F92">
        <w:rPr>
          <w:rFonts w:ascii="Times New Roman" w:hAnsi="Times New Roman" w:cs="Times New Roman"/>
          <w:i/>
          <w:sz w:val="28"/>
        </w:rPr>
        <w:t>ESN (Erasmus Student Network)</w:t>
      </w:r>
      <w:r w:rsidRPr="001A3F92">
        <w:rPr>
          <w:rFonts w:ascii="Times New Roman" w:hAnsi="Times New Roman" w:cs="Times New Roman"/>
          <w:sz w:val="28"/>
        </w:rPr>
        <w:t xml:space="preserve"> занимают первое и второе место по подписанности молодёжи на аккаунты общественных объединений в социальных медиа. Вариабельность ответов заметно ниже, по сравнению с 2023 годом.</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noProof/>
          <w:sz w:val="28"/>
          <w:lang w:eastAsia="ru-RU"/>
        </w:rPr>
        <w:lastRenderedPageBreak/>
        <w:drawing>
          <wp:inline distT="0" distB="0" distL="0" distR="0" wp14:anchorId="468254E7" wp14:editId="10FFFC5C">
            <wp:extent cx="5327650" cy="2330450"/>
            <wp:effectExtent l="0" t="0" r="6350" b="1270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Рисунок 27 – Предметный анализ молодёжных общественных организаций Казахстана, на страницы которых молодёжь подписана в социальных медиа (2025 год). Источник: данные автора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Проведённый компаративный анализ данных, представленных на рисунках 25, 26 и 27, позволяет заключить, что к 2025 году организация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продемонстрировала снижение показателей как уровня осведомлённости, так и уровня подписки на её аккаунты в социальных медиа. В то же время организация </w:t>
      </w:r>
      <w:r w:rsidRPr="001A3F92">
        <w:rPr>
          <w:rFonts w:ascii="Times New Roman" w:hAnsi="Times New Roman" w:cs="Times New Roman"/>
          <w:i/>
          <w:sz w:val="28"/>
        </w:rPr>
        <w:t>AIESEC</w:t>
      </w:r>
      <w:r w:rsidRPr="001A3F92">
        <w:rPr>
          <w:rFonts w:ascii="Times New Roman" w:hAnsi="Times New Roman" w:cs="Times New Roman"/>
          <w:sz w:val="28"/>
        </w:rPr>
        <w:t xml:space="preserve"> характеризуется ростом популярности, выраженным в увеличении показателей как офлайн-, так и онлайн-информированности.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Индикатор 5 – готовность молодёжи к офлайн участию в деятельности молодёжных общественных организаций</w:t>
      </w:r>
      <w:r w:rsidRPr="001A3F92">
        <w:rPr>
          <w:rFonts w:ascii="Times New Roman" w:hAnsi="Times New Roman" w:cs="Times New Roman"/>
          <w:sz w:val="28"/>
        </w:rPr>
        <w:t xml:space="preserve">. </w:t>
      </w:r>
    </w:p>
    <w:p w:rsidR="001A3F92" w:rsidRPr="001A3F92" w:rsidRDefault="001A3F92" w:rsidP="009F6A03">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Данный индикатор относится ко второму блоку вопросов нашей анкеты. Для его анализа использованы результаты оригинального социологического опроса, проведённого в 2019, 2023 и 2025 годах (см. Рисунок 28). Сумма равна 100%, количество респондентов в обоих опросах по 200 человек в каждом.</w:t>
      </w:r>
    </w:p>
    <w:p w:rsidR="001A3F92" w:rsidRPr="001A3F92" w:rsidRDefault="001A3F92" w:rsidP="009F6A03">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В 2019 году количество участвующих составило 18,75% опрошенных, в 2023 году – 27%, в 2025 году – 10% (см. Рисунок 28). Таким образом, роста количества готовых к офлайн участию не прослеживается. Заметна интересная тенденция: 2023 год (пост-ковидный период и пост-Январский период) характеризуется подъёмом готовности к офлайн гражданскому участию молодёжи, в то время как 2025 год (после реформ о «Слышащем государстве», концепции «Закон и порядок» и увеличению усилий по активизации роли гражданского общества во внутренней политике) напротив демонстрирует сильное снижение готовности.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Проведение компаративного анализа данных, представленных на Рисунках 24 и 28, позволяет констатировать, что уровень вовлечённости молодёжи в деятельность молодёжных общественных организаций как в онлайн-, так и в офлайн-форматах не только не продемонстрировал роста, но и характеризуется существенным снижением. При этом государство прилагает существенные усилия для повышения как гражданской культуры участия, так и функциональности институтов гражданского общества.</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line="240" w:lineRule="auto"/>
        <w:contextualSpacing/>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781121D" wp14:editId="3DA0C152">
            <wp:extent cx="5008099" cy="2011680"/>
            <wp:effectExtent l="0" t="0" r="2540" b="762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28 – Офлайн участие молодёжи в деятельности молодёжных общественных объединений. Источник: данные автора.</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807ABF">
      <w:pPr>
        <w:spacing w:line="240" w:lineRule="auto"/>
        <w:ind w:firstLine="720"/>
        <w:contextualSpacing/>
        <w:jc w:val="both"/>
        <w:rPr>
          <w:rFonts w:ascii="Times New Roman" w:hAnsi="Times New Roman" w:cs="Times New Roman"/>
          <w:sz w:val="28"/>
        </w:rPr>
      </w:pPr>
      <w:r w:rsidRPr="001A3F92">
        <w:rPr>
          <w:rFonts w:ascii="Times New Roman" w:hAnsi="Times New Roman" w:cs="Times New Roman"/>
          <w:sz w:val="28"/>
        </w:rPr>
        <w:t xml:space="preserve">Рассмотрим наиболее востребованные для участия молодёжные общественные организации Казахстана, которые назвали респонденты при оригинальном опросе. В диаграмме, представленной на Рисунке 29, приводятся данные нашего социологического исследования 2019 года, в диаграмме на Рисунке 30 – результаты нашего опроса 2023 года, на Рисунке 31 – результаты опроса 2025 года. Сумма не равна 100%, так как респонденты могли указать более одного варианта. Количество респондентов, давших ответ на данный вопрос в исследовании 2019 года – 38 человек, в исследовании 2023 года – 54 человека, в исследовании 2025 года – 25 респондентов. </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Проанализировав результаты нашего исследования 2019 года, отображённые в диаграммах на Рисунках 21, 25, 29, следует отметить, что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и </w:t>
      </w:r>
      <w:r w:rsidRPr="001A3F92">
        <w:rPr>
          <w:rFonts w:ascii="Times New Roman" w:hAnsi="Times New Roman" w:cs="Times New Roman"/>
          <w:i/>
          <w:sz w:val="28"/>
        </w:rPr>
        <w:t>AIESEC</w:t>
      </w:r>
      <w:r w:rsidRPr="001A3F92">
        <w:rPr>
          <w:rFonts w:ascii="Times New Roman" w:hAnsi="Times New Roman" w:cs="Times New Roman"/>
          <w:sz w:val="28"/>
        </w:rPr>
        <w:t xml:space="preserve"> упоминаются респондентами во всех трёх случаях – они знают о их существовании, подписаны на их странички в социальных медиа, а также принимают практическое участие в их деятельности. О </w:t>
      </w:r>
      <w:r w:rsidRPr="001A3F92">
        <w:rPr>
          <w:rFonts w:ascii="Times New Roman" w:hAnsi="Times New Roman" w:cs="Times New Roman"/>
          <w:i/>
          <w:sz w:val="28"/>
        </w:rPr>
        <w:t>Жас Отан</w:t>
      </w:r>
      <w:r w:rsidRPr="001A3F92">
        <w:rPr>
          <w:rFonts w:ascii="Times New Roman" w:hAnsi="Times New Roman" w:cs="Times New Roman"/>
          <w:sz w:val="28"/>
        </w:rPr>
        <w:t xml:space="preserve"> респонденты знают, но подписантов немного (она не входит в топ-3). На странички </w:t>
      </w:r>
      <w:r w:rsidRPr="001A3F92">
        <w:rPr>
          <w:rFonts w:ascii="Times New Roman" w:hAnsi="Times New Roman" w:cs="Times New Roman"/>
          <w:i/>
          <w:sz w:val="28"/>
        </w:rPr>
        <w:t>студенческих организаций ВУЗов</w:t>
      </w:r>
      <w:r w:rsidRPr="001A3F92">
        <w:rPr>
          <w:rFonts w:ascii="Times New Roman" w:hAnsi="Times New Roman" w:cs="Times New Roman"/>
          <w:sz w:val="28"/>
        </w:rPr>
        <w:t xml:space="preserve"> подписаны, но не указывают их как известные им организации и уровень участия ниже, чем у остальных молодёжных общественных организаций (они не входят в топ-3 по участию). Возможно, это происходит по той причине, что респонденты не воспринимают студенческие организации как институты гражданского общества, относясь к ним преимущественно как к развлекательным организациям, либо участие происходит под давлением внешних обстоятельств – просьбы администраций ВУЗов, участие в обмен на стипендию или иные виды вознаграждений. Однако, данное восприятие не вполне верно с точки зрения теории гражданского общества, согласно которой клубы по интересам, спортивные организации, музыкальные сообщества способны играть значительную роль в общественно-политической жизни страны, поскольку они формируют культуру участия и вырабатывают навыки участия у вовлечённых членов. Следовательно, необходимо проводить просветительскую работу среди молодёжи с целью разъяснения сути гражданского общества, его составляющих, а также о месте общественных организаций развлекательного направления в функционировании </w:t>
      </w:r>
      <w:r w:rsidRPr="001A3F92">
        <w:rPr>
          <w:rFonts w:ascii="Times New Roman" w:hAnsi="Times New Roman" w:cs="Times New Roman"/>
          <w:sz w:val="28"/>
        </w:rPr>
        <w:lastRenderedPageBreak/>
        <w:t xml:space="preserve">гражданского общества. Помимо прочего, организация </w:t>
      </w:r>
      <w:r w:rsidRPr="001A3F92">
        <w:rPr>
          <w:rFonts w:ascii="Times New Roman" w:hAnsi="Times New Roman" w:cs="Times New Roman"/>
          <w:i/>
          <w:sz w:val="28"/>
        </w:rPr>
        <w:t>Жас Улан</w:t>
      </w:r>
      <w:r w:rsidRPr="001A3F92">
        <w:rPr>
          <w:rFonts w:ascii="Times New Roman" w:hAnsi="Times New Roman" w:cs="Times New Roman"/>
          <w:sz w:val="28"/>
        </w:rPr>
        <w:t xml:space="preserve"> упоминается респондентами как организация, в деятельности которой они участвуют. Однако, её нет в топ-3 известных объединений и тех, на страницы которых молодёжь подписана в социальных медиа.</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5B253803" wp14:editId="3DE2A108">
            <wp:extent cx="5254284" cy="2440745"/>
            <wp:effectExtent l="0" t="0" r="3810" b="1714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29 – Молодёжные общественные объединения РК, в деятельности которых принимали участие молодые люди (2019 год). Источник: данные автора</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 </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Рассмотрим результаты нашего исследования 2023 года (см. Рисунок 30) по молодёжным общественным организациям РК, в деятельности которых принимала участие молодёжь.</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При проведении компаративного анализа данных, приведённых на Рисунках 22, 26, 30, установлено, что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наиболее известна молодёжи по социологическому исследованию 2023 года – молодёжь о ней знает (организация на первом месте), на её страничку в социальных сетях подписана (второе место), в её деятельности молодые люди принимают участие (первое место). </w:t>
      </w:r>
      <w:r w:rsidRPr="001A3F92">
        <w:rPr>
          <w:rFonts w:ascii="Times New Roman" w:hAnsi="Times New Roman" w:cs="Times New Roman"/>
          <w:i/>
          <w:sz w:val="28"/>
        </w:rPr>
        <w:t>Студенческие организации ВУЗов</w:t>
      </w:r>
      <w:r w:rsidRPr="001A3F92">
        <w:rPr>
          <w:rFonts w:ascii="Times New Roman" w:hAnsi="Times New Roman" w:cs="Times New Roman"/>
          <w:sz w:val="28"/>
        </w:rPr>
        <w:t xml:space="preserve"> также проходят по данным диаграммам, как известные молодёжи (третье место), ассоциации, на которые молодые люди подписаны (первое место) и, в деятельности которых молодёжь участвует (второе место). Таким образом, можно сделать вывод о том, что деятельность </w:t>
      </w:r>
      <w:r w:rsidRPr="001A3F92">
        <w:rPr>
          <w:rFonts w:ascii="Times New Roman" w:hAnsi="Times New Roman" w:cs="Times New Roman"/>
          <w:i/>
          <w:sz w:val="28"/>
        </w:rPr>
        <w:t>Лиги Волонтёров</w:t>
      </w:r>
      <w:r w:rsidRPr="001A3F92">
        <w:rPr>
          <w:rFonts w:ascii="Times New Roman" w:hAnsi="Times New Roman" w:cs="Times New Roman"/>
          <w:sz w:val="28"/>
        </w:rPr>
        <w:t xml:space="preserve"> была достаточно успешна как в онлайн, так и в офлайн среде, поскольку респонденты 2019 и 2023 года упоминают её как знакомую им, ту, на которую они подписаны и </w:t>
      </w:r>
      <w:proofErr w:type="gramStart"/>
      <w:r w:rsidRPr="001A3F92">
        <w:rPr>
          <w:rFonts w:ascii="Times New Roman" w:hAnsi="Times New Roman" w:cs="Times New Roman"/>
          <w:sz w:val="28"/>
        </w:rPr>
        <w:t>в деятельности</w:t>
      </w:r>
      <w:proofErr w:type="gramEnd"/>
      <w:r w:rsidRPr="001A3F92">
        <w:rPr>
          <w:rFonts w:ascii="Times New Roman" w:hAnsi="Times New Roman" w:cs="Times New Roman"/>
          <w:sz w:val="28"/>
        </w:rPr>
        <w:t xml:space="preserve"> которой они участвуют. Позиции </w:t>
      </w:r>
      <w:r w:rsidRPr="001A3F92">
        <w:rPr>
          <w:rFonts w:ascii="Times New Roman" w:hAnsi="Times New Roman" w:cs="Times New Roman"/>
          <w:i/>
          <w:sz w:val="28"/>
        </w:rPr>
        <w:t>Жас Отан</w:t>
      </w:r>
      <w:r w:rsidRPr="001A3F92">
        <w:rPr>
          <w:rFonts w:ascii="Times New Roman" w:hAnsi="Times New Roman" w:cs="Times New Roman"/>
          <w:sz w:val="28"/>
        </w:rPr>
        <w:t xml:space="preserve"> и </w:t>
      </w:r>
      <w:r w:rsidRPr="001A3F92">
        <w:rPr>
          <w:rFonts w:ascii="Times New Roman" w:hAnsi="Times New Roman" w:cs="Times New Roman"/>
          <w:i/>
          <w:sz w:val="28"/>
        </w:rPr>
        <w:t>AIESEC</w:t>
      </w:r>
      <w:r w:rsidRPr="001A3F92">
        <w:rPr>
          <w:rFonts w:ascii="Times New Roman" w:hAnsi="Times New Roman" w:cs="Times New Roman"/>
          <w:sz w:val="28"/>
        </w:rPr>
        <w:t xml:space="preserve"> достаточно нестабильны и меняются от одной категории опроса к другой: в категории осведомлённости они расположились на втором и четвёртом месте соответственно, в категории подписки онлайн – на седьмом и пятом месте соответственно. При этом в опросе 2019 года осведомлённость об этих молодёжных общественных организациях и подписанность на них онлайн были выше. Это весьма интересное наблюдение, которое может говорить о том, что информационный эффект и эффект участия, который данные молодёжные общественные организации формируют, может </w:t>
      </w:r>
      <w:r w:rsidRPr="001A3F92">
        <w:rPr>
          <w:rFonts w:ascii="Times New Roman" w:hAnsi="Times New Roman" w:cs="Times New Roman"/>
          <w:sz w:val="28"/>
        </w:rPr>
        <w:lastRenderedPageBreak/>
        <w:t>быть достаточно кратковременным, настолько, что его не хватает даже на один год.</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3A4896DC" wp14:editId="0DD03F6E">
            <wp:extent cx="5127674" cy="2307102"/>
            <wp:effectExtent l="0" t="0" r="15875" b="1714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30 – Молодёжные общественные объединения РК, в деятельности которых принимали участие молодые люди (2023 год). Источник: данные автора</w:t>
      </w:r>
    </w:p>
    <w:p w:rsidR="001A3F92" w:rsidRPr="001A3F92" w:rsidRDefault="001A3F92" w:rsidP="001A3F92">
      <w:pPr>
        <w:spacing w:line="240" w:lineRule="auto"/>
        <w:ind w:firstLine="709"/>
        <w:contextualSpacing/>
        <w:jc w:val="center"/>
        <w:rPr>
          <w:rFonts w:ascii="Times New Roman" w:hAnsi="Times New Roman" w:cs="Times New Roman"/>
          <w:sz w:val="28"/>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Рассмотрим результаты авторского социологического опроса 2025 года (см. Рисунок 31).</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Как видно из данных, приведённых на Рисунке 31, ситуация изменилась в сравнении с 2019 и 2023 годами. В 2025 году на первое место вышла </w:t>
      </w:r>
      <w:r w:rsidRPr="001A3F92">
        <w:rPr>
          <w:rFonts w:ascii="Times New Roman" w:hAnsi="Times New Roman" w:cs="Times New Roman"/>
          <w:i/>
          <w:sz w:val="28"/>
        </w:rPr>
        <w:t>неинституционализированная волонтёрская деятельность</w:t>
      </w:r>
      <w:r w:rsidRPr="001A3F92">
        <w:rPr>
          <w:rFonts w:ascii="Times New Roman" w:hAnsi="Times New Roman" w:cs="Times New Roman"/>
          <w:sz w:val="28"/>
        </w:rPr>
        <w:t xml:space="preserve">, при которой респондент самостоятельно ищет мероприятие (спортивное, концертное, развлекательное, праздничное) и устраивается волонтёром за небольшое вознаграждение. Второе место занимает организация </w:t>
      </w:r>
      <w:r w:rsidRPr="001A3F92">
        <w:rPr>
          <w:rFonts w:ascii="Times New Roman" w:hAnsi="Times New Roman" w:cs="Times New Roman"/>
          <w:i/>
          <w:sz w:val="28"/>
        </w:rPr>
        <w:t>ESN</w:t>
      </w:r>
      <w:r w:rsidRPr="001A3F92">
        <w:rPr>
          <w:rFonts w:ascii="Times New Roman" w:hAnsi="Times New Roman" w:cs="Times New Roman"/>
          <w:sz w:val="28"/>
        </w:rPr>
        <w:t xml:space="preserve">, являющаяся международной студенческой НКО. Она работает по принципу «студент помогает студенту»: при организации культурных мероприятий и обменных программ привлекаются местные студенческие сообщества для помощи в адаптации и ориентировании тем студентам, которые приехали в страну учиться по обмену, либо на какое-либо мероприятие. На третьем месте </w:t>
      </w:r>
      <w:r w:rsidRPr="001A3F92">
        <w:rPr>
          <w:rFonts w:ascii="Times New Roman" w:hAnsi="Times New Roman" w:cs="Times New Roman"/>
          <w:i/>
          <w:sz w:val="28"/>
        </w:rPr>
        <w:t>AIESEC</w:t>
      </w:r>
      <w:r w:rsidRPr="001A3F92">
        <w:rPr>
          <w:rFonts w:ascii="Times New Roman" w:hAnsi="Times New Roman" w:cs="Times New Roman"/>
          <w:sz w:val="28"/>
        </w:rPr>
        <w:t xml:space="preserve">, которому удалось существенно улучшить свои позиции, в сравнении с 2023 годом. </w:t>
      </w:r>
      <w:r w:rsidRPr="001A3F92">
        <w:rPr>
          <w:rFonts w:ascii="Times New Roman" w:hAnsi="Times New Roman" w:cs="Times New Roman"/>
          <w:i/>
          <w:sz w:val="28"/>
        </w:rPr>
        <w:t>Лига Волонтёров</w:t>
      </w:r>
      <w:r w:rsidRPr="001A3F92">
        <w:rPr>
          <w:rFonts w:ascii="Times New Roman" w:hAnsi="Times New Roman" w:cs="Times New Roman"/>
          <w:sz w:val="28"/>
        </w:rPr>
        <w:t>, напротив, утратила свои позиции и расположилась на пятом месте.</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Таким образом, на основе компаративного анализа данных, представленных на Рисунках 23, 27 и 31, выявляется выраженная фрагментарность, характеризующая уровень осведомлённости молодёжи, её подписочную активность на аккаунты молодёжных общественных объединений, а также практики офлайн гражданского участия.</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noProof/>
          <w:sz w:val="28"/>
          <w:lang w:eastAsia="ru-RU"/>
        </w:rPr>
        <w:lastRenderedPageBreak/>
        <w:drawing>
          <wp:inline distT="0" distB="0" distL="0" distR="0" wp14:anchorId="091E19B5" wp14:editId="62CCF7D0">
            <wp:extent cx="5486400" cy="3200400"/>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31 – Молодёжные общественные объединения РК, в деятельности которых принимали участие молодые люди (2025 год). Источник: данные автора</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after="0"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Установлено, что при достаточно высокой информированности о деятельности волонтёрских организаций, представленных в значительном количестве, молодёжь демонстрирует низкую склонность к подписке на их официальные аккаунты в социальных медиа. В то же время офлайн-участие характеризуется преобладанием личностно ориентированных,</w:t>
      </w:r>
      <w:r w:rsidR="00F7447C">
        <w:rPr>
          <w:rFonts w:ascii="Times New Roman" w:hAnsi="Times New Roman" w:cs="Times New Roman"/>
          <w:sz w:val="28"/>
        </w:rPr>
        <w:t xml:space="preserve"> </w:t>
      </w:r>
      <w:r w:rsidRPr="001A3F92">
        <w:rPr>
          <w:rFonts w:ascii="Times New Roman" w:hAnsi="Times New Roman" w:cs="Times New Roman"/>
          <w:sz w:val="28"/>
        </w:rPr>
        <w:t>неинституционализированных форм вовлечённости. Институционализированные практики участия, в свою очередь, в большей степени сосредоточены на взаимодействии с иностранными молодёжными организациями, предоставляющими возможности участия в проектах с международным компонентом, что повышает их привлекательность и воспринимаемую полезность для молодёжи.</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Весьма интересным в данном контексте представляется рассмотреть возможную мотивацию молодёжи для гражданского участия в деятельности молодёжных общественных организаций. Изучим вопрос мотивации к дальнейшему вовлечению респондентов авторских опросов 2019, 2023 и 2025 годов. Результаты опроса 2019 года отображены на Рисунке 32 и 33, опроса 2023 года – на Рисунке 34 и 35, опроса 2025 года – на Рисунке 36 и 37. Количество респондентов, давших ответ на данный вопрос в исследовании 2019 года – 38 человек, в исследовании 2023 года – 54 человека, в исследовании 2025 года – 25 респондентов. Сумма ответов респондентов равна 100%.</w:t>
      </w:r>
    </w:p>
    <w:p w:rsidR="001A3F92" w:rsidRPr="001A3F92" w:rsidRDefault="001A3F92" w:rsidP="001A3F92">
      <w:pPr>
        <w:ind w:firstLine="709"/>
        <w:contextualSpacing/>
        <w:jc w:val="both"/>
        <w:rPr>
          <w:rFonts w:ascii="Times New Roman" w:hAnsi="Times New Roman" w:cs="Times New Roman"/>
          <w:sz w:val="28"/>
        </w:rPr>
      </w:pPr>
      <w:r w:rsidRPr="001A3F92">
        <w:rPr>
          <w:rFonts w:ascii="Times New Roman" w:hAnsi="Times New Roman" w:cs="Times New Roman"/>
          <w:noProof/>
          <w:sz w:val="28"/>
          <w:lang w:eastAsia="ru-RU"/>
        </w:rPr>
        <w:lastRenderedPageBreak/>
        <w:drawing>
          <wp:inline distT="0" distB="0" distL="0" distR="0" wp14:anchorId="6C4BD634" wp14:editId="34657B75">
            <wp:extent cx="5359400" cy="2914650"/>
            <wp:effectExtent l="0" t="0" r="12700"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A3F92" w:rsidRPr="001A3F92" w:rsidRDefault="001A3F92" w:rsidP="001A3F92">
      <w:pPr>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32 – Мотивы респондентов к дальнейшему офлайн-участию (2019 год). Источник: данные автора.</w:t>
      </w:r>
    </w:p>
    <w:p w:rsidR="001A3F92" w:rsidRPr="001A3F92" w:rsidRDefault="001A3F92" w:rsidP="001A3F92">
      <w:pPr>
        <w:ind w:left="720" w:firstLine="720"/>
        <w:contextualSpacing/>
        <w:rPr>
          <w:rFonts w:ascii="Times New Roman" w:hAnsi="Times New Roman" w:cs="Times New Roman"/>
          <w:sz w:val="28"/>
        </w:rPr>
      </w:pPr>
    </w:p>
    <w:p w:rsidR="001A3F92" w:rsidRPr="001A3F92" w:rsidRDefault="001A3F92" w:rsidP="00A038A2">
      <w:pPr>
        <w:spacing w:line="240" w:lineRule="auto"/>
        <w:ind w:firstLine="720"/>
        <w:contextualSpacing/>
        <w:jc w:val="both"/>
        <w:rPr>
          <w:rFonts w:ascii="Times New Roman" w:hAnsi="Times New Roman" w:cs="Times New Roman"/>
          <w:sz w:val="28"/>
        </w:rPr>
      </w:pPr>
      <w:r w:rsidRPr="001A3F92">
        <w:rPr>
          <w:rFonts w:ascii="Times New Roman" w:hAnsi="Times New Roman" w:cs="Times New Roman"/>
          <w:sz w:val="28"/>
        </w:rPr>
        <w:t>Приведённые данные (см. Рисунок 32) показывают, что желание нового знакомства преобладает в качестве основной мотивировки. Интерес и опыт занимают второе место. На третьем месте расположилась потребность в общении.</w:t>
      </w:r>
    </w:p>
    <w:p w:rsidR="001A3F92" w:rsidRPr="001A3F92" w:rsidRDefault="001A3F92" w:rsidP="001A3F92">
      <w:pPr>
        <w:ind w:firstLine="720"/>
        <w:contextualSpacing/>
        <w:jc w:val="both"/>
        <w:rPr>
          <w:rFonts w:ascii="Times New Roman" w:hAnsi="Times New Roman" w:cs="Times New Roman"/>
          <w:sz w:val="28"/>
        </w:rPr>
      </w:pP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343E0701" wp14:editId="4A9F807D">
            <wp:extent cx="4997450" cy="2355850"/>
            <wp:effectExtent l="0" t="0" r="12700" b="635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A3F92" w:rsidRPr="001A3F92" w:rsidRDefault="001A3F92" w:rsidP="001A3F92">
      <w:pPr>
        <w:ind w:firstLine="720"/>
        <w:contextualSpacing/>
        <w:jc w:val="center"/>
        <w:rPr>
          <w:rFonts w:ascii="Times New Roman" w:hAnsi="Times New Roman" w:cs="Times New Roman"/>
          <w:sz w:val="28"/>
        </w:rPr>
      </w:pPr>
      <w:r w:rsidRPr="001A3F92">
        <w:rPr>
          <w:rFonts w:ascii="Times New Roman" w:hAnsi="Times New Roman" w:cs="Times New Roman"/>
          <w:sz w:val="28"/>
        </w:rPr>
        <w:t>Рисунок 33 – Отрицательные мотивы респондентов к дальнейшему офлайн-участию (2019 год). Источник: данные автора.</w:t>
      </w:r>
    </w:p>
    <w:p w:rsidR="001A3F92" w:rsidRPr="001A3F92" w:rsidRDefault="001A3F92" w:rsidP="001A3F92">
      <w:pPr>
        <w:ind w:firstLine="720"/>
        <w:contextualSpacing/>
        <w:jc w:val="center"/>
        <w:rPr>
          <w:rFonts w:ascii="Times New Roman" w:hAnsi="Times New Roman" w:cs="Times New Roman"/>
          <w:sz w:val="28"/>
        </w:rPr>
      </w:pPr>
    </w:p>
    <w:p w:rsidR="001A3F92" w:rsidRPr="001A3F92" w:rsidRDefault="001A3F92" w:rsidP="005B1EBE">
      <w:pPr>
        <w:spacing w:line="240" w:lineRule="auto"/>
        <w:ind w:firstLine="720"/>
        <w:contextualSpacing/>
        <w:jc w:val="both"/>
        <w:rPr>
          <w:rFonts w:ascii="Times New Roman" w:hAnsi="Times New Roman" w:cs="Times New Roman"/>
          <w:sz w:val="28"/>
        </w:rPr>
      </w:pPr>
      <w:r w:rsidRPr="001A3F92">
        <w:rPr>
          <w:rFonts w:ascii="Times New Roman" w:hAnsi="Times New Roman" w:cs="Times New Roman"/>
          <w:sz w:val="28"/>
        </w:rPr>
        <w:t>Согласно этим результатам (см. Рисунок 33), отсутствие интереса к организации и профилю её деятельности являются основными причинами нежелания продолжать вовлечение. На втором и третьем месте соответственно расположились отсутствие интереса в новых знакомствах и большое количество неоплачиваемой работы.</w:t>
      </w:r>
    </w:p>
    <w:p w:rsidR="001A3F92" w:rsidRPr="001A3F92" w:rsidRDefault="001A3F92" w:rsidP="001A3F92">
      <w:pPr>
        <w:ind w:left="720" w:firstLine="720"/>
        <w:contextualSpacing/>
        <w:rPr>
          <w:rFonts w:ascii="Times New Roman" w:hAnsi="Times New Roman" w:cs="Times New Roman"/>
          <w:sz w:val="28"/>
        </w:rPr>
      </w:pP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noProof/>
          <w:sz w:val="28"/>
          <w:lang w:eastAsia="ru-RU"/>
        </w:rPr>
        <w:lastRenderedPageBreak/>
        <w:drawing>
          <wp:inline distT="0" distB="0" distL="0" distR="0" wp14:anchorId="64110E0E" wp14:editId="7D551655">
            <wp:extent cx="4514850" cy="3054350"/>
            <wp:effectExtent l="0" t="0" r="0" b="1270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A3F92" w:rsidRPr="001A3F92" w:rsidRDefault="001A3F92" w:rsidP="001A3F92">
      <w:pPr>
        <w:ind w:firstLine="720"/>
        <w:contextualSpacing/>
        <w:jc w:val="center"/>
        <w:rPr>
          <w:rFonts w:ascii="Times New Roman" w:hAnsi="Times New Roman" w:cs="Times New Roman"/>
          <w:sz w:val="28"/>
        </w:rPr>
      </w:pPr>
      <w:r w:rsidRPr="001A3F92">
        <w:rPr>
          <w:rFonts w:ascii="Times New Roman" w:hAnsi="Times New Roman" w:cs="Times New Roman"/>
          <w:sz w:val="28"/>
        </w:rPr>
        <w:t>Рисунок 34 – Мотивы респондентов к дальнейшему офлайн-участию (2023 год). Источник: данные автора.</w:t>
      </w:r>
    </w:p>
    <w:p w:rsidR="001A3F92" w:rsidRPr="001A3F92" w:rsidRDefault="001A3F92" w:rsidP="001A3F92">
      <w:pPr>
        <w:ind w:left="720" w:firstLine="720"/>
        <w:contextualSpacing/>
        <w:rPr>
          <w:rFonts w:ascii="Times New Roman" w:hAnsi="Times New Roman" w:cs="Times New Roman"/>
          <w:sz w:val="28"/>
        </w:rPr>
      </w:pP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sz w:val="28"/>
        </w:rPr>
        <w:t>Как видно из приведённых выше данных (см. Рисунок 34), интерес поднялся на первое место, новые знакомства опустились на третье место, появился новый параметр – творческая деятельность. По-видимому, это говорит о том, что молодёжь начинает воспринимать общественную добровольную безвозмездную активность как вид творчества, что, возможно, можно вполне расценивать как формирующуюся культуру участия.</w:t>
      </w:r>
    </w:p>
    <w:p w:rsidR="001A3F92" w:rsidRPr="001A3F92" w:rsidRDefault="001A3F92" w:rsidP="001A3F92">
      <w:pPr>
        <w:ind w:firstLine="720"/>
        <w:contextualSpacing/>
        <w:jc w:val="both"/>
        <w:rPr>
          <w:rFonts w:ascii="Times New Roman" w:hAnsi="Times New Roman" w:cs="Times New Roman"/>
          <w:sz w:val="28"/>
        </w:rPr>
      </w:pP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446C69F" wp14:editId="6A3E9275">
            <wp:extent cx="4260850" cy="2146300"/>
            <wp:effectExtent l="0" t="0" r="6350" b="635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A3F92" w:rsidRPr="001A3F92" w:rsidRDefault="001A3F92" w:rsidP="001A3F92">
      <w:pPr>
        <w:ind w:firstLine="720"/>
        <w:contextualSpacing/>
        <w:jc w:val="center"/>
        <w:rPr>
          <w:rFonts w:ascii="Times New Roman" w:hAnsi="Times New Roman" w:cs="Times New Roman"/>
          <w:sz w:val="28"/>
        </w:rPr>
      </w:pPr>
      <w:r w:rsidRPr="001A3F92">
        <w:rPr>
          <w:rFonts w:ascii="Times New Roman" w:hAnsi="Times New Roman" w:cs="Times New Roman"/>
          <w:sz w:val="28"/>
        </w:rPr>
        <w:t>Рисунок 35 – Отрицательные мотивы респондентов к дальнейшему офлайн-участию (2023 год). Источник: данные автора.</w:t>
      </w:r>
    </w:p>
    <w:p w:rsidR="001A3F92" w:rsidRPr="001A3F92" w:rsidRDefault="001A3F92" w:rsidP="001A3F92">
      <w:pPr>
        <w:ind w:firstLine="720"/>
        <w:contextualSpacing/>
        <w:jc w:val="center"/>
        <w:rPr>
          <w:rFonts w:ascii="Times New Roman" w:hAnsi="Times New Roman" w:cs="Times New Roman"/>
          <w:sz w:val="28"/>
        </w:rPr>
      </w:pPr>
    </w:p>
    <w:p w:rsidR="001A3F92" w:rsidRPr="001A3F92" w:rsidRDefault="001A3F92" w:rsidP="001A3F92">
      <w:pPr>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Относительно отрицательных мотивов к участию, отсутствие интереса к самой организации и профилю её деятельности по-прежнему остаётся главной причиной нежелания установить личное знакомство с членами организации (см. Рисунок 35). На втором месте расположилось отсутствие значимости </w:t>
      </w:r>
      <w:r w:rsidRPr="001A3F92">
        <w:rPr>
          <w:rFonts w:ascii="Times New Roman" w:hAnsi="Times New Roman" w:cs="Times New Roman"/>
          <w:sz w:val="28"/>
        </w:rPr>
        <w:lastRenderedPageBreak/>
        <w:t xml:space="preserve">добровольной безвозмездной деятельности, на третьем – ненужность новых знакомств для респондентов. </w:t>
      </w:r>
    </w:p>
    <w:p w:rsidR="001A3F92" w:rsidRPr="001A3F92" w:rsidRDefault="001A3F92" w:rsidP="001A3F92">
      <w:pPr>
        <w:ind w:firstLine="709"/>
        <w:contextualSpacing/>
        <w:jc w:val="both"/>
        <w:rPr>
          <w:rFonts w:ascii="Times New Roman" w:hAnsi="Times New Roman" w:cs="Times New Roman"/>
          <w:sz w:val="28"/>
        </w:rPr>
      </w:pP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sz w:val="28"/>
        </w:rPr>
        <w:t>Рассмотрим результаты опроса 2025 года (см. Рисунок 36).</w:t>
      </w: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D858464" wp14:editId="0634F421">
            <wp:extent cx="4800600" cy="2495550"/>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A3F92" w:rsidRPr="001A3F92" w:rsidRDefault="001A3F92" w:rsidP="001A3F92">
      <w:pPr>
        <w:ind w:firstLine="720"/>
        <w:contextualSpacing/>
        <w:jc w:val="center"/>
        <w:rPr>
          <w:rFonts w:ascii="Times New Roman" w:hAnsi="Times New Roman" w:cs="Times New Roman"/>
          <w:sz w:val="28"/>
        </w:rPr>
      </w:pPr>
      <w:r w:rsidRPr="001A3F92">
        <w:rPr>
          <w:rFonts w:ascii="Times New Roman" w:hAnsi="Times New Roman" w:cs="Times New Roman"/>
          <w:sz w:val="28"/>
        </w:rPr>
        <w:t>Рисунок 36 – Мотивы респондентов к дальнейшему офлайн-участию (2025 год). Источник: данные автора.</w:t>
      </w:r>
    </w:p>
    <w:p w:rsidR="001A3F92" w:rsidRPr="001A3F92" w:rsidRDefault="001A3F92" w:rsidP="001A3F92">
      <w:pPr>
        <w:ind w:firstLine="720"/>
        <w:contextualSpacing/>
        <w:jc w:val="both"/>
        <w:rPr>
          <w:rFonts w:ascii="Times New Roman" w:hAnsi="Times New Roman" w:cs="Times New Roman"/>
          <w:sz w:val="28"/>
        </w:rPr>
      </w:pP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sz w:val="28"/>
        </w:rPr>
        <w:t>Желание найти единомышленников занимает первое место, интересные люди – на втором месте, обмен опытом – на третьем месте (см. Рисунок 36).</w:t>
      </w:r>
    </w:p>
    <w:p w:rsidR="001A3F92" w:rsidRPr="001A3F92" w:rsidRDefault="001A3F92" w:rsidP="001A3F92">
      <w:pPr>
        <w:ind w:firstLine="720"/>
        <w:contextualSpacing/>
        <w:jc w:val="both"/>
        <w:rPr>
          <w:rFonts w:ascii="Times New Roman" w:hAnsi="Times New Roman" w:cs="Times New Roman"/>
          <w:sz w:val="28"/>
        </w:rPr>
      </w:pPr>
    </w:p>
    <w:p w:rsidR="001A3F92" w:rsidRPr="001A3F92" w:rsidRDefault="001A3F92" w:rsidP="001A3F92">
      <w:pPr>
        <w:ind w:firstLine="720"/>
        <w:contextualSpacing/>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38865CF2" wp14:editId="15A88A48">
            <wp:extent cx="4508500" cy="2603500"/>
            <wp:effectExtent l="0" t="0" r="6350" b="635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A3F92" w:rsidRPr="001A3F92" w:rsidRDefault="001A3F92" w:rsidP="001A3F92">
      <w:pPr>
        <w:ind w:firstLine="720"/>
        <w:contextualSpacing/>
        <w:jc w:val="center"/>
        <w:rPr>
          <w:rFonts w:ascii="Times New Roman" w:hAnsi="Times New Roman" w:cs="Times New Roman"/>
          <w:sz w:val="28"/>
        </w:rPr>
      </w:pPr>
      <w:r w:rsidRPr="001A3F92">
        <w:rPr>
          <w:rFonts w:ascii="Times New Roman" w:hAnsi="Times New Roman" w:cs="Times New Roman"/>
          <w:sz w:val="28"/>
        </w:rPr>
        <w:t>Рисунок 37 – Отрицательные мотивы респондентов к дальнейшему офлайн-участию (2025 год). Источник: данные автора.</w:t>
      </w:r>
    </w:p>
    <w:p w:rsidR="001A3F92" w:rsidRPr="001A3F92" w:rsidRDefault="001A3F92" w:rsidP="001A3F92">
      <w:pPr>
        <w:ind w:firstLine="720"/>
        <w:contextualSpacing/>
        <w:jc w:val="both"/>
        <w:rPr>
          <w:rFonts w:ascii="Times New Roman" w:hAnsi="Times New Roman" w:cs="Times New Roman"/>
          <w:sz w:val="28"/>
        </w:rPr>
      </w:pPr>
    </w:p>
    <w:p w:rsidR="001A3F92" w:rsidRPr="001A3F92" w:rsidRDefault="001A3F92" w:rsidP="001A3F92">
      <w:pPr>
        <w:spacing w:line="240" w:lineRule="auto"/>
        <w:ind w:firstLine="720"/>
        <w:contextualSpacing/>
        <w:jc w:val="both"/>
        <w:rPr>
          <w:rFonts w:ascii="Times New Roman" w:hAnsi="Times New Roman" w:cs="Times New Roman"/>
          <w:sz w:val="28"/>
        </w:rPr>
      </w:pPr>
      <w:r w:rsidRPr="001A3F92">
        <w:rPr>
          <w:rFonts w:ascii="Times New Roman" w:hAnsi="Times New Roman" w:cs="Times New Roman"/>
          <w:sz w:val="28"/>
        </w:rPr>
        <w:t>Отсутствие интереса по-прежнему является ключевым препятствием для активизации офлайн-вовлечения (см. Рисунок 37). При этом в данных опроса 2025 года появился параметр несовпадающих ценностей и восприятие поведения других участников как неприемлемого, который отсутствует в опросах 2019 и 2023 годов.</w:t>
      </w:r>
    </w:p>
    <w:p w:rsidR="001A3F92" w:rsidRPr="001A3F92" w:rsidRDefault="001A3F92" w:rsidP="001A3F92">
      <w:pPr>
        <w:spacing w:line="240" w:lineRule="auto"/>
        <w:ind w:firstLine="720"/>
        <w:contextualSpacing/>
        <w:jc w:val="both"/>
        <w:rPr>
          <w:rFonts w:ascii="Times New Roman" w:hAnsi="Times New Roman" w:cs="Times New Roman"/>
          <w:sz w:val="28"/>
        </w:rPr>
      </w:pPr>
      <w:r w:rsidRPr="001A3F92">
        <w:rPr>
          <w:rFonts w:ascii="Times New Roman" w:hAnsi="Times New Roman" w:cs="Times New Roman"/>
          <w:sz w:val="28"/>
        </w:rPr>
        <w:lastRenderedPageBreak/>
        <w:t>Таким образом, проводя компаративный анализ данных Рисунков 32, 34 и 36, можно заметить, что нетворкинг – желание найти единомышленников (категории «новые знакомства» на Рисунках 32 и 34) является ключевым мотивом для молодёжи при желании активного вовлечения в офлайн-активность молодёжных общественных организаций. Отсутствие интереса сохраняется основным отрицательным мотивом для дальнейшего офлайн-участия. Фактор общих ценностей и одинаковых ожиданий от других участников оказался весьма важным в опросе 2025 года, в отличие от 2019 и 2023 годов.</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Нами были изучены источники информации, за счёт которых молодёжь получает информацию об общественных организациях (см. Рисунки 38, 39, 40). Сумма не равна 100%, так как респонденты могли указать более одного варианта. Количество респондентов, давших ответ на данный вопрос в исследовании 2019 года – 38 человек, в исследовании 2023 года – 54 человека, в исследовании 2025 года – 27 человек.</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Как видно из данных диаграммы, приведённой на Рисунке 38, социальные медиа как источник информации о деятельности молодёжных общественных объединений находятся на третьем месте после друзей и университета. Таким образом, сильные горизонтальные связи в офлайн среде (пользуясь терминологией R. Putnam) играют значительную роль при рекрутировании и распространении информации.</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DCDA1E0" wp14:editId="54C817A5">
            <wp:extent cx="5486400" cy="3200400"/>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38 – Источник информации молодёжи о молодёжных общественных объединениях (2019 год). Источник: данные автора.</w:t>
      </w:r>
    </w:p>
    <w:p w:rsidR="001A3F92" w:rsidRPr="001A3F92" w:rsidRDefault="001A3F92" w:rsidP="001A3F92">
      <w:pPr>
        <w:spacing w:line="240" w:lineRule="auto"/>
        <w:ind w:left="927" w:firstLine="709"/>
        <w:contextualSpacing/>
        <w:jc w:val="both"/>
        <w:rPr>
          <w:rFonts w:ascii="Arial" w:hAnsi="Arial" w:cs="Arial"/>
          <w:i/>
          <w:sz w:val="20"/>
          <w:highlight w:val="green"/>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Изучим данные социологического опроса 2023 года (см. Рисунок 39).</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line="240" w:lineRule="auto"/>
        <w:ind w:firstLine="709"/>
        <w:contextualSpacing/>
        <w:jc w:val="both"/>
        <w:rPr>
          <w:rFonts w:ascii="Times New Roman" w:hAnsi="Times New Roman" w:cs="Times New Roman"/>
          <w:sz w:val="24"/>
        </w:rPr>
      </w:pPr>
      <w:r w:rsidRPr="001A3F92">
        <w:rPr>
          <w:rFonts w:ascii="Times New Roman" w:hAnsi="Times New Roman" w:cs="Times New Roman"/>
          <w:noProof/>
          <w:sz w:val="24"/>
          <w:lang w:eastAsia="ru-RU"/>
        </w:rPr>
        <w:lastRenderedPageBreak/>
        <w:drawing>
          <wp:inline distT="0" distB="0" distL="0" distR="0" wp14:anchorId="1B3FE5CB" wp14:editId="7D5F4FD8">
            <wp:extent cx="5156200" cy="2730500"/>
            <wp:effectExtent l="0" t="0" r="6350" b="1270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39 – Источник информации молодёжи о молодёжных общественных объединениях (2023 год). Источник: данные автора.</w:t>
      </w:r>
    </w:p>
    <w:p w:rsidR="001A3F92" w:rsidRPr="001A3F92" w:rsidRDefault="001A3F92" w:rsidP="001A3F92">
      <w:pPr>
        <w:spacing w:line="240" w:lineRule="auto"/>
        <w:ind w:left="927" w:firstLine="709"/>
        <w:contextualSpacing/>
        <w:jc w:val="both"/>
        <w:rPr>
          <w:rFonts w:ascii="Arial" w:hAnsi="Arial" w:cs="Arial"/>
          <w:i/>
          <w:sz w:val="20"/>
          <w:highlight w:val="green"/>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Согласно результатам оригинального опроса 2023 года, приведённым на Рисунке 39, социальные медиа в качестве источника информации молодёжи об общественных объединениях поднялись на второе место, университет опустился на третье. Друзья остались на первом месте, что подтверждает идею R. Putnam о том, что в государствах со слабо развитой демократической политической культурой населения сильные горизонтальные связи (близкие друзья и родственники) являются основным источником общественно-политической активности, а, следовательно, своеобразным фундаментом гражданского общества.</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C870D06" wp14:editId="740B8D3F">
            <wp:extent cx="4584700" cy="2863850"/>
            <wp:effectExtent l="0" t="0" r="6350" b="1270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A3F92" w:rsidRPr="001A3F92" w:rsidRDefault="001A3F92" w:rsidP="001A3F92">
      <w:pPr>
        <w:spacing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40 – Источник информации молодёжи о молодёжных общественных объединениях (2025 год). Источник: данные автора.</w:t>
      </w:r>
    </w:p>
    <w:p w:rsidR="001A3F92" w:rsidRPr="001A3F92" w:rsidRDefault="001A3F92" w:rsidP="001A3F92">
      <w:pPr>
        <w:spacing w:line="240" w:lineRule="auto"/>
        <w:ind w:firstLine="709"/>
        <w:contextualSpacing/>
        <w:jc w:val="both"/>
        <w:rPr>
          <w:rFonts w:ascii="Times New Roman" w:hAnsi="Times New Roman" w:cs="Times New Roman"/>
          <w:sz w:val="28"/>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lastRenderedPageBreak/>
        <w:t>Рисунок 40 демонстрирует, что друзья, то есть близкие офлайн контакты или сильные горизонтальные связи сохраняют высокую значимость для информированности молодёжи о возможностях гражданского участия. Социальные медиа и университет, как и в 2023 году, по-прежнему занимают второе и третье место по значимости (см. Рисунок 39).</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i/>
          <w:sz w:val="28"/>
        </w:rPr>
        <w:t>Выводы</w:t>
      </w:r>
      <w:r w:rsidRPr="001A3F92">
        <w:rPr>
          <w:rFonts w:ascii="Times New Roman" w:hAnsi="Times New Roman" w:cs="Times New Roman"/>
          <w:sz w:val="28"/>
        </w:rPr>
        <w:t>:</w:t>
      </w:r>
    </w:p>
    <w:p w:rsidR="001A3F92" w:rsidRPr="001A3F92" w:rsidRDefault="001A3F92" w:rsidP="008465D6">
      <w:pPr>
        <w:numPr>
          <w:ilvl w:val="0"/>
          <w:numId w:val="51"/>
        </w:numPr>
        <w:spacing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Цифровая неинституционализированная вовлечённость молодёжи (наличие аккаунта в социальных медиа) сохраняет высокие показатели в рассматриваемый период (с 2019 по 2025 год). Предметно Instagram сохраняет привлекательность для молодёжи в качестве одной из основных платформ. Достаточно популярны мессенджеры иностранного происхождения (Telegram и What’s App), несмотря на их невысокую интерактивность в сравнении с платформами Web 2.0. Востребованность TikTok существенно выросла в 2025 году. Желание неинституционализированной цифровой представленности (частота посещения аккаунта) у молодёжи колеблется. Результаты опроса 2023 года характеризуются наибольшей диджитализированностью из всех исследований, но к 2025 году цифровое отчуждение возрастает: молодёжь реже посещает свой аккаунт в социальных медиа. Это может вызвать определённые сложности для мобилизации и рекрутирования участников в институты гражданского общества, а также сужает поле для государственного воздействия на молодёжь посредством пропаганды и промоутинга гражданского участия.</w:t>
      </w:r>
    </w:p>
    <w:p w:rsidR="001A3F92" w:rsidRPr="001A3F92" w:rsidRDefault="001A3F92" w:rsidP="008465D6">
      <w:pPr>
        <w:numPr>
          <w:ilvl w:val="0"/>
          <w:numId w:val="51"/>
        </w:numPr>
        <w:spacing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Развлечение является основным мотивом для молодёжи при использовании социальных медиа. Параметр «общение» снизился в 2025 году по сравнению с 2023 годом, что может говорить о полном преодолении последствий карантина во время пандемии, преобладания цифрового характера общения, а также при растущей диджитализации жизни, молодёжь всё больше предпочитает офлайн общение. Параметр «получение информации об общественно-политической жизни Казахстана» также снизился в 2025 году в сравнении с 2019 и 2023 годами. Это может быть связано с усталостью от большого потока политической информации, связанной с войной России и Украины, и январскими событиями 2022 года в Казахстане. Кроме того, это может говорить о снижении политического вовлечения молодёжи на уровне интереса и низкой способности как институтов гражданского общества (молодёжных общественных объединений), так и государства трансформировать параметр «развлечение» в гражданское участие.</w:t>
      </w:r>
    </w:p>
    <w:p w:rsidR="001A3F92" w:rsidRPr="001A3F92" w:rsidRDefault="001A3F92" w:rsidP="008465D6">
      <w:pPr>
        <w:numPr>
          <w:ilvl w:val="0"/>
          <w:numId w:val="51"/>
        </w:numPr>
        <w:spacing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 xml:space="preserve">Уровень неосведомлённости об общественных организациях существенно вырос с 2023 года к 2025 году. Показатель осведомлённости, в свою очередь, снизился. Причинами могут быть как снижение эффективности рекламных кампаний молодёжных общественных организаций, их уменьшающаяся представленность в социальных медиа, так и снижение интереса молодёжи к общественно-политической сфере, в том числе к гражданскому вовлечению. Предметная информированность молодёжи претерпела существенное изменение с 2019 и 2023 годов к 2025 году: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как наиболее известная добровольческая молодёжная общественная </w:t>
      </w:r>
      <w:r w:rsidRPr="001A3F92">
        <w:rPr>
          <w:rFonts w:ascii="Times New Roman" w:hAnsi="Times New Roman" w:cs="Times New Roman"/>
          <w:sz w:val="28"/>
        </w:rPr>
        <w:lastRenderedPageBreak/>
        <w:t xml:space="preserve">организация, утратила свою значимость, однако, волонтёрство как вид деятельности вне институтов гражданского общества сохранило значимость. </w:t>
      </w:r>
      <w:r w:rsidRPr="001A3F92">
        <w:rPr>
          <w:rFonts w:ascii="Times New Roman" w:hAnsi="Times New Roman" w:cs="Times New Roman"/>
          <w:i/>
          <w:sz w:val="28"/>
        </w:rPr>
        <w:t>Студенческие организации ВУЗов</w:t>
      </w:r>
      <w:r w:rsidRPr="001A3F92">
        <w:rPr>
          <w:rFonts w:ascii="Times New Roman" w:hAnsi="Times New Roman" w:cs="Times New Roman"/>
          <w:sz w:val="28"/>
        </w:rPr>
        <w:t xml:space="preserve"> и </w:t>
      </w:r>
      <w:r w:rsidRPr="001A3F92">
        <w:rPr>
          <w:rFonts w:ascii="Times New Roman" w:hAnsi="Times New Roman" w:cs="Times New Roman"/>
          <w:i/>
          <w:sz w:val="28"/>
        </w:rPr>
        <w:t>Жастар Рухы</w:t>
      </w:r>
      <w:r w:rsidRPr="001A3F92">
        <w:rPr>
          <w:rFonts w:ascii="Times New Roman" w:hAnsi="Times New Roman" w:cs="Times New Roman"/>
          <w:sz w:val="28"/>
        </w:rPr>
        <w:t xml:space="preserve"> утратили востребованность. При этом международные молодёжные общественные организации, такие как </w:t>
      </w:r>
      <w:r w:rsidRPr="001A3F92">
        <w:rPr>
          <w:rFonts w:ascii="Times New Roman" w:hAnsi="Times New Roman" w:cs="Times New Roman"/>
          <w:i/>
          <w:sz w:val="28"/>
        </w:rPr>
        <w:t>AIESEC</w:t>
      </w:r>
      <w:r w:rsidRPr="001A3F92">
        <w:rPr>
          <w:rFonts w:ascii="Times New Roman" w:hAnsi="Times New Roman" w:cs="Times New Roman"/>
          <w:sz w:val="28"/>
        </w:rPr>
        <w:t xml:space="preserve"> и появившийся в упоминаниях 2025 года </w:t>
      </w:r>
      <w:r w:rsidRPr="001A3F92">
        <w:rPr>
          <w:rFonts w:ascii="Times New Roman" w:hAnsi="Times New Roman" w:cs="Times New Roman"/>
          <w:i/>
          <w:sz w:val="28"/>
        </w:rPr>
        <w:t>ESN</w:t>
      </w:r>
      <w:r w:rsidRPr="001A3F92">
        <w:rPr>
          <w:rFonts w:ascii="Times New Roman" w:hAnsi="Times New Roman" w:cs="Times New Roman"/>
          <w:sz w:val="28"/>
        </w:rPr>
        <w:t xml:space="preserve">, напротив, приобрели востребованность у молодёжи. Это может говорить о высокой роли персоналий во главе организаций и их личной заинтересованности в эффективности объединения. При низкой заинтересованности лидера молодёжной общественной ассоциации (это хорошо заметно на примере </w:t>
      </w:r>
      <w:r w:rsidRPr="001A3F92">
        <w:rPr>
          <w:rFonts w:ascii="Times New Roman" w:hAnsi="Times New Roman" w:cs="Times New Roman"/>
          <w:i/>
          <w:sz w:val="28"/>
        </w:rPr>
        <w:t>Лиги Волонтёров</w:t>
      </w:r>
      <w:r w:rsidRPr="001A3F92">
        <w:rPr>
          <w:rFonts w:ascii="Times New Roman" w:hAnsi="Times New Roman" w:cs="Times New Roman"/>
          <w:sz w:val="28"/>
        </w:rPr>
        <w:t>) организация не способна сохранить импульс интереса молодёжи к её деятельности. Положительной тенденцией является то, что молодёжь стремится к добровольчеству самостоятельно вне институтов гражданского общества. Как представляется, не последнюю роль играет незначительное материальное вознаграждение, имеющее место при таком участии. Несмотря на это, подобная заинтересованность формирует у молодёжи гражданскую культуру участия, хотя и не в политической сфере.</w:t>
      </w:r>
    </w:p>
    <w:p w:rsidR="001A3F92" w:rsidRPr="001A3F92" w:rsidRDefault="001A3F92" w:rsidP="008465D6">
      <w:pPr>
        <w:numPr>
          <w:ilvl w:val="0"/>
          <w:numId w:val="51"/>
        </w:numPr>
        <w:spacing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 xml:space="preserve">Цифровая институционализированная вовлечённость (подписанность молодёжи на аккаунты молодёжных общественных организаций в социальных медиа) существенно снизилась с 2023 года к 2025 году. Предметная цифровая институционализированная вовлечённость претерпела существенные изменения.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и </w:t>
      </w:r>
      <w:r w:rsidRPr="001A3F92">
        <w:rPr>
          <w:rFonts w:ascii="Times New Roman" w:hAnsi="Times New Roman" w:cs="Times New Roman"/>
          <w:i/>
          <w:sz w:val="28"/>
        </w:rPr>
        <w:t>студенческие организации ВУЗов</w:t>
      </w:r>
      <w:r w:rsidRPr="001A3F92">
        <w:rPr>
          <w:rFonts w:ascii="Times New Roman" w:hAnsi="Times New Roman" w:cs="Times New Roman"/>
          <w:sz w:val="28"/>
        </w:rPr>
        <w:t xml:space="preserve"> утратили востребованность в 2025 году, но </w:t>
      </w:r>
      <w:r w:rsidRPr="001A3F92">
        <w:rPr>
          <w:rFonts w:ascii="Times New Roman" w:hAnsi="Times New Roman" w:cs="Times New Roman"/>
          <w:i/>
          <w:sz w:val="28"/>
        </w:rPr>
        <w:t>AIESEC</w:t>
      </w:r>
      <w:r w:rsidRPr="001A3F92">
        <w:rPr>
          <w:rFonts w:ascii="Times New Roman" w:hAnsi="Times New Roman" w:cs="Times New Roman"/>
          <w:sz w:val="28"/>
        </w:rPr>
        <w:t xml:space="preserve"> и </w:t>
      </w:r>
      <w:r w:rsidRPr="001A3F92">
        <w:rPr>
          <w:rFonts w:ascii="Times New Roman" w:hAnsi="Times New Roman" w:cs="Times New Roman"/>
          <w:i/>
          <w:sz w:val="28"/>
        </w:rPr>
        <w:t>ESN</w:t>
      </w:r>
      <w:r w:rsidRPr="001A3F92">
        <w:rPr>
          <w:rFonts w:ascii="Times New Roman" w:hAnsi="Times New Roman" w:cs="Times New Roman"/>
          <w:sz w:val="28"/>
        </w:rPr>
        <w:t>, напротив, стали весьма привлекательными для подписания на их аккаунт. Как представляется, это является негативной тенденцией для отечественных молодёжных общественных организаций, поскольку они неспособны создавать привлекательные аккаунты в социальных медиа и наполнять их интересным содержанием, в отличие от международных молодёжных общественных объединений. Кроме того, из упоминаний респондентов практически исчезли GONGO (</w:t>
      </w:r>
      <w:r w:rsidRPr="001A3F92">
        <w:rPr>
          <w:rFonts w:ascii="Times New Roman" w:hAnsi="Times New Roman" w:cs="Times New Roman"/>
          <w:i/>
          <w:sz w:val="28"/>
        </w:rPr>
        <w:t>Жастар Рухы, Жас Отан, Жасыл Ел</w:t>
      </w:r>
      <w:r w:rsidRPr="001A3F92">
        <w:rPr>
          <w:rFonts w:ascii="Times New Roman" w:hAnsi="Times New Roman" w:cs="Times New Roman"/>
          <w:sz w:val="28"/>
        </w:rPr>
        <w:t>), что, возможно, указывает на невысокий эффект от государственного промоушена подобных общественных объединений, а также с низким уровнем политического доверия молодёжи к организациям такого рода.</w:t>
      </w:r>
    </w:p>
    <w:p w:rsidR="001A3F92" w:rsidRPr="001A3F92" w:rsidRDefault="001A3F92" w:rsidP="008465D6">
      <w:pPr>
        <w:numPr>
          <w:ilvl w:val="0"/>
          <w:numId w:val="51"/>
        </w:numPr>
        <w:spacing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 xml:space="preserve">Готовность к офлайн участию достаточно резко снизилась в 2025 году, после непродолжительного роста в 2023 году. Активизация политической жизни РК – январские события 2022 года и последующие политические реформы не оказали стимулирующего влияния на готовность к офлайн участию молодёжи страны. Предметное офлайн участие характеризуется смещением в сторону неинституционализированного вовлечения в 2025 году, в сравнении с 2019 и 2023 годами. Это может </w:t>
      </w:r>
      <w:proofErr w:type="gramStart"/>
      <w:r w:rsidRPr="001A3F92">
        <w:rPr>
          <w:rFonts w:ascii="Times New Roman" w:hAnsi="Times New Roman" w:cs="Times New Roman"/>
          <w:sz w:val="28"/>
        </w:rPr>
        <w:t>говорить</w:t>
      </w:r>
      <w:proofErr w:type="gramEnd"/>
      <w:r w:rsidRPr="001A3F92">
        <w:rPr>
          <w:rFonts w:ascii="Times New Roman" w:hAnsi="Times New Roman" w:cs="Times New Roman"/>
          <w:sz w:val="28"/>
        </w:rPr>
        <w:t xml:space="preserve"> как о растущей фрагментированности институтов гражданского общества РК, так и о формирующейся гражданской культуре участия у молодёжи, наряду с внешними обстоятельствами: активизация культурной и спортивной жизни Казахстана (концерты артистов мирового уровня, футбольные матчи), повышающие востребованность волонтёров и представляющие множество возможностей для нетворкинга и </w:t>
      </w:r>
      <w:r w:rsidRPr="001A3F92">
        <w:rPr>
          <w:rFonts w:ascii="Times New Roman" w:hAnsi="Times New Roman" w:cs="Times New Roman"/>
          <w:sz w:val="28"/>
        </w:rPr>
        <w:lastRenderedPageBreak/>
        <w:t>развлечения для молодёжи, что можно успешно трансформировать в гражданскую активность. Необходимо подчеркнуть, что на данный момент гражданская активность молодёжи сосредоточена преимущественно в неполитических сферах, что, как представляется, порождает ситуацию разрыва усилий государства и институтов гражданского общества в рекрутировании и активизации политической жизни общества, с одной стороны, и недоверие, отстранённость и аполитичность – с другой.</w:t>
      </w:r>
    </w:p>
    <w:p w:rsidR="001A3F92" w:rsidRPr="001A3F92" w:rsidRDefault="001A3F92" w:rsidP="008465D6">
      <w:pPr>
        <w:numPr>
          <w:ilvl w:val="0"/>
          <w:numId w:val="51"/>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Интерес и желание найти единомышленников являются основными мотивами для офлайн гражданского участия молодёжи. Друзья сохраняют большую значимость как источник информации о возможностях гражданского вовлечения. Социальные медиа и университеты также весьма значимы. Сильные горизонтальные связи по-прежнему гораздо более значимы в сравнении со слабыми горизонтальными связями, что характеризует низкий уровень доверия к посторонним, в том числе к государству, институтам и политике в целом.</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Таким образом, наблюдается достаточно выраженная тенденция на аполитичность в среде молодёжи (ориентация на волонтёрскую деятельность), фрагментарность институтов гражданского общества и малую эффективность социальных медиа в офлайн гражданском участии. Данные факторы весьма негативно сказываются на усилиях государства по повышению уровня гражданской культуры молодёжи. Потенциально это может сказаться на процессе демократизации «снизу» и лишь укрепит авторитарный характер политической системы страны.</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Подводя итог, предположения сторонников теории социальных сил находят своё подтверждение – технологическая составляющая участия важна, однако, весьма значимую роль играют иные факторы, такие как культура участия, гражданское сознание, эффективность функционирования институтов гражданского общества.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b/>
          <w:sz w:val="28"/>
        </w:rPr>
        <w:t>3.1.2 Результаты множественного корреляционно-регрессионного анализа, проведённого на основании данных социологического исследования молодёжи Казахстана</w:t>
      </w:r>
    </w:p>
    <w:p w:rsid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целях выявления факторов, детерминирующих офлайн гражданское участие молодёжи Казахстана, был проведён множественный корреляционно-регрессионный анализ на основе данных оригинального социологического опроса. Анализ осуществлялся с использованием программного инструментария SPSS (версия программы 27)</w:t>
      </w:r>
      <w:r w:rsidR="00E6464D" w:rsidRPr="00E6464D">
        <w:rPr>
          <w:rFonts w:ascii="Times New Roman" w:hAnsi="Times New Roman" w:cs="Times New Roman"/>
          <w:sz w:val="28"/>
        </w:rPr>
        <w:t xml:space="preserve"> </w:t>
      </w:r>
      <w:r w:rsidRPr="001A3F92">
        <w:rPr>
          <w:rFonts w:ascii="Times New Roman" w:hAnsi="Times New Roman" w:cs="Times New Roman"/>
          <w:sz w:val="28"/>
        </w:rPr>
        <w:t xml:space="preserve">и был направлен на эмпирическую проверку гипотез о влиянии цифровых и недиджитальных факторов на гражданскую активность молодёжи. Таблица 7 демонстрирует распределение зависимых и независимых переменных. В качестве зависимой переменной рассматривалось офлайн гражданское участие молодёжи, тогда как в роли независимых переменных (предикторов) выступали как цифровые характеристики, связанные с использованием социальных медиа (наличие аккаунта, частота его посещения, подписка на паблики молодёжных общественных ассоциаций), так и социодемографические параметры (пол и возраст), а также уровень </w:t>
      </w:r>
      <w:r w:rsidRPr="001A3F92">
        <w:rPr>
          <w:rFonts w:ascii="Times New Roman" w:hAnsi="Times New Roman" w:cs="Times New Roman"/>
          <w:sz w:val="28"/>
        </w:rPr>
        <w:lastRenderedPageBreak/>
        <w:t>осведомлённости респондентов об институтах гражданского общества (см. Таблицу 7).</w:t>
      </w:r>
    </w:p>
    <w:p w:rsidR="000121CA" w:rsidRPr="001A3F92" w:rsidRDefault="000121CA"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7 – Коды зависимой и независимых переменных (предикторов). Источник: данные автора</w:t>
      </w:r>
    </w:p>
    <w:tbl>
      <w:tblPr>
        <w:tblStyle w:val="af4"/>
        <w:tblW w:w="0" w:type="auto"/>
        <w:tblLook w:val="04A0" w:firstRow="1" w:lastRow="0" w:firstColumn="1" w:lastColumn="0" w:noHBand="0" w:noVBand="1"/>
      </w:tblPr>
      <w:tblGrid>
        <w:gridCol w:w="3115"/>
        <w:gridCol w:w="3115"/>
        <w:gridCol w:w="3115"/>
      </w:tblGrid>
      <w:tr w:rsidR="001A3F92" w:rsidRPr="001A3F92" w:rsidTr="006625F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Зависимая переменная</w:t>
            </w:r>
          </w:p>
        </w:t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Офлайн гражданское участие молодёжи</w:t>
            </w:r>
          </w:p>
        </w:tc>
        <w:tc>
          <w:tcPr>
            <w:tcW w:w="3115" w:type="dxa"/>
          </w:tcPr>
          <w:p w:rsidR="001A3F92" w:rsidRPr="001A3F92" w:rsidRDefault="001A3F92" w:rsidP="001A3F92">
            <w:pPr>
              <w:jc w:val="both"/>
              <w:rPr>
                <w:rFonts w:ascii="Times New Roman" w:hAnsi="Times New Roman" w:cs="Times New Roman"/>
                <w:i/>
                <w:sz w:val="24"/>
              </w:rPr>
            </w:pPr>
            <w:r w:rsidRPr="001A3F92">
              <w:rPr>
                <w:rFonts w:ascii="Times New Roman" w:hAnsi="Times New Roman" w:cs="Times New Roman"/>
                <w:i/>
                <w:sz w:val="24"/>
              </w:rPr>
              <w:t>у</w:t>
            </w:r>
          </w:p>
        </w:tc>
      </w:tr>
      <w:tr w:rsidR="001A3F92" w:rsidRPr="001A3F92" w:rsidTr="006625F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Независимая переменная 1 (предиктор 1)</w:t>
            </w:r>
          </w:p>
        </w:t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Наличие аккаунта в социальных медиа</w:t>
            </w:r>
          </w:p>
        </w:tc>
        <w:tc>
          <w:tcPr>
            <w:tcW w:w="3115" w:type="dxa"/>
          </w:tcPr>
          <w:p w:rsidR="001A3F92" w:rsidRPr="001A3F92" w:rsidRDefault="001A3F92" w:rsidP="001A3F92">
            <w:pPr>
              <w:jc w:val="both"/>
              <w:rPr>
                <w:rFonts w:ascii="Times New Roman" w:hAnsi="Times New Roman" w:cs="Times New Roman"/>
                <w:i/>
                <w:sz w:val="24"/>
              </w:rPr>
            </w:pPr>
            <w:r w:rsidRPr="001A3F92">
              <w:rPr>
                <w:rFonts w:ascii="Times New Roman" w:hAnsi="Times New Roman" w:cs="Times New Roman"/>
                <w:i/>
                <w:sz w:val="24"/>
              </w:rPr>
              <w:t>х1</w:t>
            </w:r>
          </w:p>
        </w:tc>
      </w:tr>
      <w:tr w:rsidR="001A3F92" w:rsidRPr="001A3F92" w:rsidTr="006625F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Независимая переменная 2 (предиктор 2)</w:t>
            </w:r>
          </w:p>
        </w:t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Частота посещения аккаунта</w:t>
            </w:r>
          </w:p>
        </w:tc>
        <w:tc>
          <w:tcPr>
            <w:tcW w:w="3115" w:type="dxa"/>
          </w:tcPr>
          <w:p w:rsidR="001A3F92" w:rsidRPr="001A3F92" w:rsidRDefault="001A3F92" w:rsidP="001A3F92">
            <w:pPr>
              <w:jc w:val="both"/>
              <w:rPr>
                <w:rFonts w:ascii="Times New Roman" w:hAnsi="Times New Roman" w:cs="Times New Roman"/>
                <w:i/>
                <w:sz w:val="24"/>
              </w:rPr>
            </w:pPr>
            <w:r w:rsidRPr="001A3F92">
              <w:rPr>
                <w:rFonts w:ascii="Times New Roman" w:hAnsi="Times New Roman" w:cs="Times New Roman"/>
                <w:i/>
                <w:sz w:val="24"/>
              </w:rPr>
              <w:t>х2</w:t>
            </w:r>
          </w:p>
        </w:tc>
      </w:tr>
      <w:tr w:rsidR="001A3F92" w:rsidRPr="001A3F92" w:rsidTr="006625F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Независимая переменная 3 (предиктор 3)</w:t>
            </w:r>
          </w:p>
        </w:t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Осведомлённость респондента об общественных организациях</w:t>
            </w:r>
          </w:p>
        </w:tc>
        <w:tc>
          <w:tcPr>
            <w:tcW w:w="3115" w:type="dxa"/>
          </w:tcPr>
          <w:p w:rsidR="001A3F92" w:rsidRPr="001A3F92" w:rsidRDefault="001A3F92" w:rsidP="001A3F92">
            <w:pPr>
              <w:jc w:val="both"/>
              <w:rPr>
                <w:rFonts w:ascii="Times New Roman" w:hAnsi="Times New Roman" w:cs="Times New Roman"/>
                <w:i/>
                <w:sz w:val="24"/>
              </w:rPr>
            </w:pPr>
            <w:r w:rsidRPr="001A3F92">
              <w:rPr>
                <w:rFonts w:ascii="Times New Roman" w:hAnsi="Times New Roman" w:cs="Times New Roman"/>
                <w:i/>
                <w:sz w:val="24"/>
              </w:rPr>
              <w:t>х3</w:t>
            </w:r>
          </w:p>
        </w:tc>
      </w:tr>
      <w:tr w:rsidR="001A3F92" w:rsidRPr="001A3F92" w:rsidTr="006625F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Независимая переменная 4 (предиктор 4)</w:t>
            </w:r>
          </w:p>
        </w:t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Подписанность респондента на паблик организации</w:t>
            </w:r>
          </w:p>
        </w:tc>
        <w:tc>
          <w:tcPr>
            <w:tcW w:w="3115" w:type="dxa"/>
          </w:tcPr>
          <w:p w:rsidR="001A3F92" w:rsidRPr="001A3F92" w:rsidRDefault="001A3F92" w:rsidP="001A3F92">
            <w:pPr>
              <w:jc w:val="both"/>
              <w:rPr>
                <w:rFonts w:ascii="Times New Roman" w:hAnsi="Times New Roman" w:cs="Times New Roman"/>
                <w:i/>
                <w:sz w:val="24"/>
              </w:rPr>
            </w:pPr>
            <w:r w:rsidRPr="001A3F92">
              <w:rPr>
                <w:rFonts w:ascii="Times New Roman" w:hAnsi="Times New Roman" w:cs="Times New Roman"/>
                <w:i/>
                <w:sz w:val="24"/>
              </w:rPr>
              <w:t>х4</w:t>
            </w:r>
          </w:p>
        </w:tc>
      </w:tr>
      <w:tr w:rsidR="001A3F92" w:rsidRPr="001A3F92" w:rsidTr="006625F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Независимая переменная 5 (предиктор 5)</w:t>
            </w:r>
          </w:p>
        </w:t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Пол</w:t>
            </w:r>
          </w:p>
        </w:tc>
        <w:tc>
          <w:tcPr>
            <w:tcW w:w="3115" w:type="dxa"/>
          </w:tcPr>
          <w:p w:rsidR="001A3F92" w:rsidRPr="001A3F92" w:rsidRDefault="001A3F92" w:rsidP="001A3F92">
            <w:pPr>
              <w:jc w:val="both"/>
              <w:rPr>
                <w:rFonts w:ascii="Times New Roman" w:hAnsi="Times New Roman" w:cs="Times New Roman"/>
                <w:i/>
                <w:sz w:val="24"/>
              </w:rPr>
            </w:pPr>
            <w:r w:rsidRPr="001A3F92">
              <w:rPr>
                <w:rFonts w:ascii="Times New Roman" w:hAnsi="Times New Roman" w:cs="Times New Roman"/>
                <w:i/>
                <w:sz w:val="24"/>
              </w:rPr>
              <w:t>х5</w:t>
            </w:r>
          </w:p>
        </w:tc>
      </w:tr>
      <w:tr w:rsidR="001A3F92" w:rsidRPr="001A3F92" w:rsidTr="006625F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Независимая переменная 6 (предиктор 6)</w:t>
            </w:r>
          </w:p>
        </w:tc>
        <w:tc>
          <w:tcPr>
            <w:tcW w:w="3115" w:type="dxa"/>
          </w:tcPr>
          <w:p w:rsidR="001A3F92" w:rsidRPr="001A3F92" w:rsidRDefault="001A3F92" w:rsidP="001A3F92">
            <w:pPr>
              <w:jc w:val="both"/>
              <w:rPr>
                <w:rFonts w:ascii="Times New Roman" w:hAnsi="Times New Roman" w:cs="Times New Roman"/>
                <w:sz w:val="24"/>
              </w:rPr>
            </w:pPr>
            <w:r w:rsidRPr="001A3F92">
              <w:rPr>
                <w:rFonts w:ascii="Times New Roman" w:hAnsi="Times New Roman" w:cs="Times New Roman"/>
                <w:sz w:val="24"/>
              </w:rPr>
              <w:t>Возраст</w:t>
            </w:r>
          </w:p>
        </w:tc>
        <w:tc>
          <w:tcPr>
            <w:tcW w:w="3115" w:type="dxa"/>
          </w:tcPr>
          <w:p w:rsidR="001A3F92" w:rsidRPr="001A3F92" w:rsidRDefault="001A3F92" w:rsidP="001A3F92">
            <w:pPr>
              <w:jc w:val="both"/>
              <w:rPr>
                <w:rFonts w:ascii="Times New Roman" w:hAnsi="Times New Roman" w:cs="Times New Roman"/>
                <w:i/>
                <w:sz w:val="24"/>
              </w:rPr>
            </w:pPr>
            <w:r w:rsidRPr="001A3F92">
              <w:rPr>
                <w:rFonts w:ascii="Times New Roman" w:hAnsi="Times New Roman" w:cs="Times New Roman"/>
                <w:i/>
                <w:sz w:val="24"/>
              </w:rPr>
              <w:t>х6</w:t>
            </w:r>
          </w:p>
        </w:tc>
      </w:tr>
    </w:tbl>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 xml:space="preserve">Корреляционный анализ данных оригинального опроса 2019 года. </w:t>
      </w:r>
      <w:r w:rsidRPr="001A3F92">
        <w:rPr>
          <w:rFonts w:ascii="Times New Roman" w:hAnsi="Times New Roman" w:cs="Times New Roman"/>
          <w:sz w:val="28"/>
        </w:rPr>
        <w:t>Результаты корреляционного анализа демонстрируют наличие как прямых, так и обратных связей между зависимой и независимыми переменными (см. Таблицу 8).</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Анализ взаимосвязей зависимой переменной </w:t>
      </w:r>
      <w:r w:rsidRPr="001A3F92">
        <w:rPr>
          <w:rFonts w:ascii="Times New Roman" w:hAnsi="Times New Roman" w:cs="Times New Roman"/>
          <w:i/>
          <w:iCs/>
          <w:sz w:val="28"/>
        </w:rPr>
        <w:t>y</w:t>
      </w:r>
      <w:r w:rsidRPr="001A3F92">
        <w:rPr>
          <w:rFonts w:ascii="Times New Roman" w:hAnsi="Times New Roman" w:cs="Times New Roman"/>
          <w:sz w:val="28"/>
        </w:rPr>
        <w:t xml:space="preserve"> показывает, что статистически значимые корреляции наблюдаются с переменными </w:t>
      </w:r>
      <w:r w:rsidRPr="001A3F92">
        <w:rPr>
          <w:rFonts w:ascii="Times New Roman" w:hAnsi="Times New Roman" w:cs="Times New Roman"/>
          <w:i/>
          <w:iCs/>
          <w:sz w:val="28"/>
        </w:rPr>
        <w:t>x4</w:t>
      </w:r>
      <w:r w:rsidRPr="001A3F92">
        <w:rPr>
          <w:rFonts w:ascii="Times New Roman" w:hAnsi="Times New Roman" w:cs="Times New Roman"/>
          <w:sz w:val="28"/>
        </w:rPr>
        <w:t xml:space="preserve">, </w:t>
      </w:r>
      <w:r w:rsidRPr="001A3F92">
        <w:rPr>
          <w:rFonts w:ascii="Times New Roman" w:hAnsi="Times New Roman" w:cs="Times New Roman"/>
          <w:i/>
          <w:iCs/>
          <w:sz w:val="28"/>
        </w:rPr>
        <w:t>x5</w:t>
      </w:r>
      <w:r w:rsidRPr="001A3F92">
        <w:rPr>
          <w:rFonts w:ascii="Times New Roman" w:hAnsi="Times New Roman" w:cs="Times New Roman"/>
          <w:sz w:val="28"/>
        </w:rPr>
        <w:t xml:space="preserve"> и </w:t>
      </w:r>
      <w:r w:rsidRPr="001A3F92">
        <w:rPr>
          <w:rFonts w:ascii="Times New Roman" w:hAnsi="Times New Roman" w:cs="Times New Roman"/>
          <w:i/>
          <w:iCs/>
          <w:sz w:val="28"/>
        </w:rPr>
        <w:t>x6</w:t>
      </w:r>
      <w:r w:rsidRPr="001A3F92">
        <w:rPr>
          <w:rFonts w:ascii="Times New Roman" w:hAnsi="Times New Roman" w:cs="Times New Roman"/>
          <w:sz w:val="28"/>
        </w:rPr>
        <w:t xml:space="preserve">. Наиболее сильная положительная связь зафиксирована между </w:t>
      </w:r>
      <w:r w:rsidRPr="001A3F92">
        <w:rPr>
          <w:rFonts w:ascii="Times New Roman" w:hAnsi="Times New Roman" w:cs="Times New Roman"/>
          <w:i/>
          <w:iCs/>
          <w:sz w:val="28"/>
        </w:rPr>
        <w:t>y</w:t>
      </w:r>
      <w:r w:rsidRPr="001A3F92">
        <w:rPr>
          <w:rFonts w:ascii="Times New Roman" w:hAnsi="Times New Roman" w:cs="Times New Roman"/>
          <w:sz w:val="28"/>
        </w:rPr>
        <w:t xml:space="preserve"> и </w:t>
      </w:r>
      <w:r w:rsidRPr="001A3F92">
        <w:rPr>
          <w:rFonts w:ascii="Times New Roman" w:hAnsi="Times New Roman" w:cs="Times New Roman"/>
          <w:i/>
          <w:iCs/>
          <w:sz w:val="28"/>
        </w:rPr>
        <w:t>x4</w:t>
      </w:r>
      <w:r w:rsidRPr="001A3F92">
        <w:rPr>
          <w:rFonts w:ascii="Times New Roman" w:hAnsi="Times New Roman" w:cs="Times New Roman"/>
          <w:sz w:val="28"/>
        </w:rPr>
        <w:t xml:space="preserve"> (r = 0,723; p &lt;0,001), что свидетельствует о высокой степени сопряжённости данных показателей: рост значений </w:t>
      </w:r>
      <w:r w:rsidRPr="001A3F92">
        <w:rPr>
          <w:rFonts w:ascii="Times New Roman" w:hAnsi="Times New Roman" w:cs="Times New Roman"/>
          <w:i/>
          <w:iCs/>
          <w:sz w:val="28"/>
        </w:rPr>
        <w:t>x4</w:t>
      </w:r>
      <w:r w:rsidRPr="001A3F92">
        <w:rPr>
          <w:rFonts w:ascii="Times New Roman" w:hAnsi="Times New Roman" w:cs="Times New Roman"/>
          <w:sz w:val="28"/>
        </w:rPr>
        <w:t xml:space="preserve"> сопровождается увеличением </w:t>
      </w:r>
      <w:r w:rsidRPr="001A3F92">
        <w:rPr>
          <w:rFonts w:ascii="Times New Roman" w:hAnsi="Times New Roman" w:cs="Times New Roman"/>
          <w:i/>
          <w:iCs/>
          <w:sz w:val="28"/>
        </w:rPr>
        <w:t>y</w:t>
      </w:r>
      <w:r w:rsidRPr="001A3F92">
        <w:rPr>
          <w:rFonts w:ascii="Times New Roman" w:hAnsi="Times New Roman" w:cs="Times New Roman"/>
          <w:sz w:val="28"/>
        </w:rPr>
        <w:t xml:space="preserve">. В то же время выявлены выраженные отрицательные корреляции </w:t>
      </w:r>
      <w:r w:rsidRPr="001A3F92">
        <w:rPr>
          <w:rFonts w:ascii="Times New Roman" w:hAnsi="Times New Roman" w:cs="Times New Roman"/>
          <w:i/>
          <w:iCs/>
          <w:sz w:val="28"/>
        </w:rPr>
        <w:t>y</w:t>
      </w:r>
      <w:r w:rsidRPr="001A3F92">
        <w:rPr>
          <w:rFonts w:ascii="Times New Roman" w:hAnsi="Times New Roman" w:cs="Times New Roman"/>
          <w:sz w:val="28"/>
        </w:rPr>
        <w:t xml:space="preserve"> с переменными </w:t>
      </w:r>
      <w:r w:rsidRPr="001A3F92">
        <w:rPr>
          <w:rFonts w:ascii="Times New Roman" w:hAnsi="Times New Roman" w:cs="Times New Roman"/>
          <w:i/>
          <w:iCs/>
          <w:sz w:val="28"/>
        </w:rPr>
        <w:t>x6</w:t>
      </w:r>
      <w:r w:rsidRPr="001A3F92">
        <w:rPr>
          <w:rFonts w:ascii="Times New Roman" w:hAnsi="Times New Roman" w:cs="Times New Roman"/>
          <w:sz w:val="28"/>
        </w:rPr>
        <w:t xml:space="preserve"> (r = -0,872; p &lt;0,001) и </w:t>
      </w:r>
      <w:r w:rsidRPr="001A3F92">
        <w:rPr>
          <w:rFonts w:ascii="Times New Roman" w:hAnsi="Times New Roman" w:cs="Times New Roman"/>
          <w:i/>
          <w:iCs/>
          <w:sz w:val="28"/>
        </w:rPr>
        <w:t>x5</w:t>
      </w:r>
      <w:r w:rsidRPr="001A3F92">
        <w:rPr>
          <w:rFonts w:ascii="Times New Roman" w:hAnsi="Times New Roman" w:cs="Times New Roman"/>
          <w:sz w:val="28"/>
        </w:rPr>
        <w:t xml:space="preserve"> (r = -0,357; p &lt;0,001), причём связь с </w:t>
      </w:r>
      <w:r w:rsidRPr="001A3F92">
        <w:rPr>
          <w:rFonts w:ascii="Times New Roman" w:hAnsi="Times New Roman" w:cs="Times New Roman"/>
          <w:i/>
          <w:iCs/>
          <w:sz w:val="28"/>
        </w:rPr>
        <w:t>x6</w:t>
      </w:r>
      <w:r w:rsidRPr="001A3F92">
        <w:rPr>
          <w:rFonts w:ascii="Times New Roman" w:hAnsi="Times New Roman" w:cs="Times New Roman"/>
          <w:sz w:val="28"/>
        </w:rPr>
        <w:t xml:space="preserve"> является наиболее сильной во всей матрице, что указывает на значительное обратное влияние данного фактора на зависимую переменную. Переменные </w:t>
      </w:r>
      <w:r w:rsidRPr="001A3F92">
        <w:rPr>
          <w:rFonts w:ascii="Times New Roman" w:hAnsi="Times New Roman" w:cs="Times New Roman"/>
          <w:i/>
          <w:iCs/>
          <w:sz w:val="28"/>
        </w:rPr>
        <w:t>x1</w:t>
      </w:r>
      <w:r w:rsidRPr="001A3F92">
        <w:rPr>
          <w:rFonts w:ascii="Times New Roman" w:hAnsi="Times New Roman" w:cs="Times New Roman"/>
          <w:sz w:val="28"/>
        </w:rPr>
        <w:t xml:space="preserve">, </w:t>
      </w:r>
      <w:r w:rsidRPr="001A3F92">
        <w:rPr>
          <w:rFonts w:ascii="Times New Roman" w:hAnsi="Times New Roman" w:cs="Times New Roman"/>
          <w:i/>
          <w:iCs/>
          <w:sz w:val="28"/>
        </w:rPr>
        <w:t>x2</w:t>
      </w:r>
      <w:r w:rsidRPr="001A3F92">
        <w:rPr>
          <w:rFonts w:ascii="Times New Roman" w:hAnsi="Times New Roman" w:cs="Times New Roman"/>
          <w:sz w:val="28"/>
        </w:rPr>
        <w:t xml:space="preserve"> и </w:t>
      </w:r>
      <w:r w:rsidRPr="001A3F92">
        <w:rPr>
          <w:rFonts w:ascii="Times New Roman" w:hAnsi="Times New Roman" w:cs="Times New Roman"/>
          <w:i/>
          <w:iCs/>
          <w:sz w:val="28"/>
        </w:rPr>
        <w:t>x3</w:t>
      </w:r>
      <w:r w:rsidRPr="001A3F92">
        <w:rPr>
          <w:rFonts w:ascii="Times New Roman" w:hAnsi="Times New Roman" w:cs="Times New Roman"/>
          <w:sz w:val="28"/>
        </w:rPr>
        <w:t xml:space="preserve"> не демонстрируют статистически значимых связей с </w:t>
      </w:r>
      <w:r w:rsidRPr="001A3F92">
        <w:rPr>
          <w:rFonts w:ascii="Times New Roman" w:hAnsi="Times New Roman" w:cs="Times New Roman"/>
          <w:i/>
          <w:iCs/>
          <w:sz w:val="28"/>
        </w:rPr>
        <w:t>y</w:t>
      </w:r>
      <w:r w:rsidRPr="001A3F92">
        <w:rPr>
          <w:rFonts w:ascii="Times New Roman" w:hAnsi="Times New Roman" w:cs="Times New Roman"/>
          <w:sz w:val="28"/>
        </w:rPr>
        <w:t xml:space="preserve"> (p&gt;0,05), что позволяет предположить их ограниченную роль в объяснении вариации зависимого показателя.</w:t>
      </w:r>
      <w:r w:rsidRPr="001A3F92">
        <w:t xml:space="preserve"> </w:t>
      </w:r>
      <w:r w:rsidRPr="001A3F92">
        <w:rPr>
          <w:rFonts w:ascii="Times New Roman" w:hAnsi="Times New Roman" w:cs="Times New Roman"/>
          <w:sz w:val="28"/>
        </w:rPr>
        <w:t xml:space="preserve">Анализ межфакторных корреляций позволяет выявить структуру взаимосвязей внутри системы независимых переменных. Так, между </w:t>
      </w:r>
      <w:r w:rsidRPr="001A3F92">
        <w:rPr>
          <w:rFonts w:ascii="Times New Roman" w:hAnsi="Times New Roman" w:cs="Times New Roman"/>
          <w:i/>
          <w:iCs/>
          <w:sz w:val="28"/>
        </w:rPr>
        <w:t>x2</w:t>
      </w:r>
      <w:r w:rsidRPr="001A3F92">
        <w:rPr>
          <w:rFonts w:ascii="Times New Roman" w:hAnsi="Times New Roman" w:cs="Times New Roman"/>
          <w:sz w:val="28"/>
        </w:rPr>
        <w:t xml:space="preserve"> и </w:t>
      </w:r>
      <w:r w:rsidRPr="001A3F92">
        <w:rPr>
          <w:rFonts w:ascii="Times New Roman" w:hAnsi="Times New Roman" w:cs="Times New Roman"/>
          <w:i/>
          <w:iCs/>
          <w:sz w:val="28"/>
        </w:rPr>
        <w:t>x3</w:t>
      </w:r>
      <w:r w:rsidRPr="001A3F92">
        <w:rPr>
          <w:rFonts w:ascii="Times New Roman" w:hAnsi="Times New Roman" w:cs="Times New Roman"/>
          <w:sz w:val="28"/>
        </w:rPr>
        <w:t xml:space="preserve"> установлена умеренная положительная связь (r = 0,362; p &lt;0,001), а также между </w:t>
      </w:r>
      <w:r w:rsidRPr="001A3F92">
        <w:rPr>
          <w:rFonts w:ascii="Times New Roman" w:hAnsi="Times New Roman" w:cs="Times New Roman"/>
          <w:i/>
          <w:iCs/>
          <w:sz w:val="28"/>
        </w:rPr>
        <w:t>x2</w:t>
      </w:r>
      <w:r w:rsidRPr="001A3F92">
        <w:rPr>
          <w:rFonts w:ascii="Times New Roman" w:hAnsi="Times New Roman" w:cs="Times New Roman"/>
          <w:sz w:val="28"/>
        </w:rPr>
        <w:t xml:space="preserve"> и </w:t>
      </w:r>
      <w:r w:rsidRPr="001A3F92">
        <w:rPr>
          <w:rFonts w:ascii="Times New Roman" w:hAnsi="Times New Roman" w:cs="Times New Roman"/>
          <w:i/>
          <w:iCs/>
          <w:sz w:val="28"/>
        </w:rPr>
        <w:t>x5</w:t>
      </w:r>
      <w:r w:rsidRPr="001A3F92">
        <w:rPr>
          <w:rFonts w:ascii="Times New Roman" w:hAnsi="Times New Roman" w:cs="Times New Roman"/>
          <w:sz w:val="28"/>
        </w:rPr>
        <w:t xml:space="preserve"> (r = 0,376; </w:t>
      </w:r>
      <w:proofErr w:type="gramStart"/>
      <w:r w:rsidRPr="001A3F92">
        <w:rPr>
          <w:rFonts w:ascii="Times New Roman" w:hAnsi="Times New Roman" w:cs="Times New Roman"/>
          <w:sz w:val="28"/>
        </w:rPr>
        <w:t>p&lt;</w:t>
      </w:r>
      <w:proofErr w:type="gramEnd"/>
      <w:r w:rsidRPr="001A3F92">
        <w:rPr>
          <w:rFonts w:ascii="Times New Roman" w:hAnsi="Times New Roman" w:cs="Times New Roman"/>
          <w:sz w:val="28"/>
        </w:rPr>
        <w:t xml:space="preserve">0,001) и </w:t>
      </w:r>
      <w:r w:rsidRPr="001A3F92">
        <w:rPr>
          <w:rFonts w:ascii="Times New Roman" w:hAnsi="Times New Roman" w:cs="Times New Roman"/>
          <w:i/>
          <w:iCs/>
          <w:sz w:val="28"/>
        </w:rPr>
        <w:t>x3</w:t>
      </w:r>
      <w:r w:rsidRPr="001A3F92">
        <w:rPr>
          <w:rFonts w:ascii="Times New Roman" w:hAnsi="Times New Roman" w:cs="Times New Roman"/>
          <w:sz w:val="28"/>
        </w:rPr>
        <w:t xml:space="preserve"> и </w:t>
      </w:r>
      <w:r w:rsidRPr="001A3F92">
        <w:rPr>
          <w:rFonts w:ascii="Times New Roman" w:hAnsi="Times New Roman" w:cs="Times New Roman"/>
          <w:i/>
          <w:iCs/>
          <w:sz w:val="28"/>
        </w:rPr>
        <w:t>x5</w:t>
      </w:r>
      <w:r w:rsidRPr="001A3F92">
        <w:rPr>
          <w:rFonts w:ascii="Times New Roman" w:hAnsi="Times New Roman" w:cs="Times New Roman"/>
          <w:sz w:val="28"/>
        </w:rPr>
        <w:t xml:space="preserve"> (r = 0,709; p&lt;0,001), причём последняя характеризуется высокой теснотой. Это может свидетельствовать о наличии частичной мультиколлинеарности между указанными переменными.</w:t>
      </w:r>
      <w:r w:rsidRPr="001A3F92">
        <w:t xml:space="preserve"> </w:t>
      </w:r>
      <w:r w:rsidRPr="001A3F92">
        <w:rPr>
          <w:rFonts w:ascii="Times New Roman" w:hAnsi="Times New Roman" w:cs="Times New Roman"/>
          <w:sz w:val="28"/>
        </w:rPr>
        <w:t xml:space="preserve">В целом, структура корреляционных связей позволяет сделать вывод о том, что ключевыми факторами, ассоциированными с зависимой переменной </w:t>
      </w:r>
      <w:r w:rsidRPr="001A3F92">
        <w:rPr>
          <w:rFonts w:ascii="Times New Roman" w:hAnsi="Times New Roman" w:cs="Times New Roman"/>
          <w:i/>
          <w:iCs/>
          <w:sz w:val="28"/>
        </w:rPr>
        <w:t>y</w:t>
      </w:r>
      <w:r w:rsidRPr="001A3F92">
        <w:rPr>
          <w:rFonts w:ascii="Times New Roman" w:hAnsi="Times New Roman" w:cs="Times New Roman"/>
          <w:sz w:val="28"/>
        </w:rPr>
        <w:t xml:space="preserve">, </w:t>
      </w:r>
      <w:r w:rsidRPr="001A3F92">
        <w:rPr>
          <w:rFonts w:ascii="Times New Roman" w:hAnsi="Times New Roman" w:cs="Times New Roman"/>
          <w:sz w:val="28"/>
        </w:rPr>
        <w:lastRenderedPageBreak/>
        <w:t xml:space="preserve">выступают </w:t>
      </w:r>
      <w:r w:rsidRPr="001A3F92">
        <w:rPr>
          <w:rFonts w:ascii="Times New Roman" w:hAnsi="Times New Roman" w:cs="Times New Roman"/>
          <w:i/>
          <w:iCs/>
          <w:sz w:val="28"/>
        </w:rPr>
        <w:t>x4</w:t>
      </w:r>
      <w:r w:rsidRPr="001A3F92">
        <w:rPr>
          <w:rFonts w:ascii="Times New Roman" w:hAnsi="Times New Roman" w:cs="Times New Roman"/>
          <w:sz w:val="28"/>
        </w:rPr>
        <w:t xml:space="preserve"> (положительное влияние) и </w:t>
      </w:r>
      <w:r w:rsidRPr="001A3F92">
        <w:rPr>
          <w:rFonts w:ascii="Times New Roman" w:hAnsi="Times New Roman" w:cs="Times New Roman"/>
          <w:i/>
          <w:iCs/>
          <w:sz w:val="28"/>
        </w:rPr>
        <w:t>x6</w:t>
      </w:r>
      <w:r w:rsidRPr="001A3F92">
        <w:rPr>
          <w:rFonts w:ascii="Times New Roman" w:hAnsi="Times New Roman" w:cs="Times New Roman"/>
          <w:sz w:val="28"/>
        </w:rPr>
        <w:t xml:space="preserve"> (сильное отрицательное влияние), в меньшей степени – </w:t>
      </w:r>
      <w:r w:rsidRPr="001A3F92">
        <w:rPr>
          <w:rFonts w:ascii="Times New Roman" w:hAnsi="Times New Roman" w:cs="Times New Roman"/>
          <w:i/>
          <w:iCs/>
          <w:sz w:val="28"/>
        </w:rPr>
        <w:t>x5</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8 – Результаты корреляционного анализа данных авторского опроса 2019 года. Источник: данные автора</w:t>
      </w:r>
      <w:r w:rsidRPr="001A3F92">
        <w:rPr>
          <w:rFonts w:ascii="Times New Roman" w:hAnsi="Times New Roman" w:cs="Times New Roman"/>
          <w:noProof/>
          <w:sz w:val="28"/>
          <w:lang w:eastAsia="ru-RU"/>
        </w:rPr>
        <w:drawing>
          <wp:inline distT="0" distB="0" distL="0" distR="0" wp14:anchorId="7A36A391" wp14:editId="1D2DF148">
            <wp:extent cx="6120130" cy="528764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528764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 xml:space="preserve">Регрессионный анализ данных оригинального опроса 2019 года. </w:t>
      </w:r>
      <w:r w:rsidRPr="001A3F92">
        <w:rPr>
          <w:rFonts w:ascii="Times New Roman" w:hAnsi="Times New Roman" w:cs="Times New Roman"/>
          <w:sz w:val="28"/>
        </w:rPr>
        <w:t>Для более глубокой интерпретации выявленных корреляций были построены шесть регрессионных моделей, включающих различные комбинации цифровых и нецифровых предикторов. Такой подход позволил оценить устойчивость влияния отдельных факторов и выявить их относительную значимость.</w:t>
      </w:r>
    </w:p>
    <w:p w:rsidR="001A3F92" w:rsidRPr="001A3F92" w:rsidRDefault="001A3F92" w:rsidP="001A3F92">
      <w:pPr>
        <w:spacing w:after="0" w:line="240" w:lineRule="auto"/>
        <w:ind w:firstLine="709"/>
        <w:jc w:val="both"/>
        <w:rPr>
          <w:rFonts w:ascii="Times New Roman" w:hAnsi="Times New Roman" w:cs="Times New Roman"/>
          <w:i/>
          <w:sz w:val="28"/>
        </w:rPr>
      </w:pPr>
      <w:r w:rsidRPr="001A3F92">
        <w:rPr>
          <w:rFonts w:ascii="Times New Roman" w:hAnsi="Times New Roman" w:cs="Times New Roman"/>
          <w:sz w:val="28"/>
        </w:rPr>
        <w:t xml:space="preserve">Модель А1 включает в анализ все предикторы: </w:t>
      </w:r>
      <w:r w:rsidRPr="001A3F92">
        <w:rPr>
          <w:rFonts w:ascii="Times New Roman" w:hAnsi="Times New Roman" w:cs="Times New Roman"/>
          <w:i/>
          <w:sz w:val="28"/>
        </w:rPr>
        <w:t>х1, х2, х3, х4, х5, х6 (</w:t>
      </w:r>
      <w:r w:rsidRPr="001A3F92">
        <w:rPr>
          <w:rFonts w:ascii="Times New Roman" w:hAnsi="Times New Roman" w:cs="Times New Roman"/>
          <w:sz w:val="28"/>
        </w:rPr>
        <w:t>см. Таблицу 9)</w:t>
      </w:r>
      <w:r w:rsidRPr="001A3F92">
        <w:rPr>
          <w:rFonts w:ascii="Times New Roman" w:hAnsi="Times New Roman" w:cs="Times New Roman"/>
          <w:i/>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Качество построенной модели характеризуется высоким коэффициентом детерминации (</w:t>
      </w:r>
      <w:r w:rsidRPr="001A3F92">
        <w:rPr>
          <w:rFonts w:ascii="Times New Roman" w:hAnsi="Times New Roman" w:cs="Times New Roman"/>
          <w:i/>
          <w:iCs/>
          <w:sz w:val="28"/>
        </w:rPr>
        <w:t>R² = 0,829</w:t>
      </w:r>
      <w:r w:rsidRPr="001A3F92">
        <w:rPr>
          <w:rFonts w:ascii="Times New Roman" w:hAnsi="Times New Roman" w:cs="Times New Roman"/>
          <w:sz w:val="28"/>
        </w:rPr>
        <w:t>), что свидетельствует о том, что 82,9% вариации зависимой переменной объясняется включёнными в модель предикторами. Это указывает на высокую объяснительную способность модели и её адекватность исследуемым данным.</w:t>
      </w:r>
      <w:r w:rsidRPr="001A3F92">
        <w:t xml:space="preserve"> </w:t>
      </w:r>
      <w:r w:rsidRPr="001A3F92">
        <w:rPr>
          <w:rFonts w:ascii="Times New Roman" w:hAnsi="Times New Roman" w:cs="Times New Roman"/>
          <w:sz w:val="28"/>
        </w:rPr>
        <w:t xml:space="preserve">Результаты дисперсионного анализа (ANOVA) подтверждают статистическую значимость модели в целом: значение критерия </w:t>
      </w:r>
      <w:r w:rsidRPr="001A3F92">
        <w:rPr>
          <w:rFonts w:ascii="Times New Roman" w:hAnsi="Times New Roman" w:cs="Times New Roman"/>
          <w:sz w:val="28"/>
        </w:rPr>
        <w:lastRenderedPageBreak/>
        <w:t xml:space="preserve">Фишера составляет </w:t>
      </w:r>
      <w:r w:rsidRPr="001A3F92">
        <w:rPr>
          <w:rFonts w:ascii="Times New Roman" w:hAnsi="Times New Roman" w:cs="Times New Roman"/>
          <w:i/>
          <w:iCs/>
          <w:sz w:val="28"/>
        </w:rPr>
        <w:t>F = 156,442</w:t>
      </w:r>
      <w:r w:rsidRPr="001A3F92">
        <w:rPr>
          <w:rFonts w:ascii="Times New Roman" w:hAnsi="Times New Roman" w:cs="Times New Roman"/>
          <w:sz w:val="28"/>
        </w:rPr>
        <w:t xml:space="preserve"> при уровне значимости </w:t>
      </w:r>
      <w:r w:rsidRPr="001A3F92">
        <w:rPr>
          <w:rFonts w:ascii="Times New Roman" w:hAnsi="Times New Roman" w:cs="Times New Roman"/>
          <w:i/>
          <w:iCs/>
          <w:sz w:val="28"/>
        </w:rPr>
        <w:t xml:space="preserve">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sz w:val="28"/>
        </w:rPr>
        <w:t>. Таким образом, модель является статистически значимой.</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9 – Результаты регрессионного анализа данных авторского опроса 2019 года (модель А1). Источник: данные автора</w:t>
      </w:r>
    </w:p>
    <w:p w:rsidR="001A3F92" w:rsidRPr="001A3F92" w:rsidRDefault="001A3F92" w:rsidP="001A3F92">
      <w:pPr>
        <w:spacing w:after="0" w:line="240" w:lineRule="auto"/>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68E1786" wp14:editId="14292448">
            <wp:extent cx="5572125" cy="30194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72125" cy="301942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Анализ коэффициентов регрессии позволяет выявить вклад отдельных факторов. Среди включённых переменных статистически значимое влияние на зависимую переменную оказывают </w:t>
      </w:r>
      <w:r w:rsidRPr="001A3F92">
        <w:rPr>
          <w:rFonts w:ascii="Times New Roman" w:hAnsi="Times New Roman" w:cs="Times New Roman"/>
          <w:i/>
          <w:iCs/>
          <w:sz w:val="28"/>
        </w:rPr>
        <w:t>x1</w:t>
      </w:r>
      <w:r w:rsidRPr="001A3F92">
        <w:rPr>
          <w:rFonts w:ascii="Times New Roman" w:hAnsi="Times New Roman" w:cs="Times New Roman"/>
          <w:sz w:val="28"/>
        </w:rPr>
        <w:t xml:space="preserve">, </w:t>
      </w:r>
      <w:r w:rsidRPr="001A3F92">
        <w:rPr>
          <w:rFonts w:ascii="Times New Roman" w:hAnsi="Times New Roman" w:cs="Times New Roman"/>
          <w:i/>
          <w:iCs/>
          <w:sz w:val="28"/>
        </w:rPr>
        <w:t>x4</w:t>
      </w:r>
      <w:r w:rsidRPr="001A3F92">
        <w:rPr>
          <w:rFonts w:ascii="Times New Roman" w:hAnsi="Times New Roman" w:cs="Times New Roman"/>
          <w:sz w:val="28"/>
        </w:rPr>
        <w:t xml:space="preserve"> и </w:t>
      </w:r>
      <w:r w:rsidRPr="001A3F92">
        <w:rPr>
          <w:rFonts w:ascii="Times New Roman" w:hAnsi="Times New Roman" w:cs="Times New Roman"/>
          <w:i/>
          <w:iCs/>
          <w:sz w:val="28"/>
        </w:rPr>
        <w:t>x6</w:t>
      </w:r>
      <w:r w:rsidRPr="001A3F92">
        <w:rPr>
          <w:rFonts w:ascii="Times New Roman" w:hAnsi="Times New Roman" w:cs="Times New Roman"/>
          <w:sz w:val="28"/>
        </w:rPr>
        <w:t xml:space="preserve"> (p </w:t>
      </w:r>
      <w:proofErr w:type="gramStart"/>
      <w:r w:rsidRPr="001A3F92">
        <w:rPr>
          <w:rFonts w:ascii="Times New Roman" w:hAnsi="Times New Roman" w:cs="Times New Roman"/>
          <w:sz w:val="28"/>
        </w:rPr>
        <w:t>&lt; 0,001</w:t>
      </w:r>
      <w:proofErr w:type="gramEnd"/>
      <w:r w:rsidRPr="001A3F92">
        <w:rPr>
          <w:rFonts w:ascii="Times New Roman" w:hAnsi="Times New Roman" w:cs="Times New Roman"/>
          <w:sz w:val="28"/>
        </w:rPr>
        <w:t>).</w:t>
      </w:r>
    </w:p>
    <w:p w:rsidR="001A3F92" w:rsidRPr="001A3F92" w:rsidRDefault="001A3F92" w:rsidP="008465D6">
      <w:pPr>
        <w:numPr>
          <w:ilvl w:val="0"/>
          <w:numId w:val="52"/>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sz w:val="28"/>
        </w:rPr>
        <w:t xml:space="preserve">Переменная </w:t>
      </w:r>
      <w:r w:rsidRPr="001A3F92">
        <w:rPr>
          <w:rFonts w:ascii="Times New Roman" w:hAnsi="Times New Roman" w:cs="Times New Roman"/>
          <w:i/>
          <w:iCs/>
          <w:sz w:val="28"/>
        </w:rPr>
        <w:t>x4</w:t>
      </w:r>
      <w:r w:rsidRPr="001A3F92">
        <w:rPr>
          <w:rFonts w:ascii="Times New Roman" w:hAnsi="Times New Roman" w:cs="Times New Roman"/>
          <w:sz w:val="28"/>
        </w:rPr>
        <w:t xml:space="preserve"> демонстрирует наибольший положительный вклад (β = 0,393; t = 8,870; p </w:t>
      </w:r>
      <w:proofErr w:type="gramStart"/>
      <w:r w:rsidRPr="001A3F92">
        <w:rPr>
          <w:rFonts w:ascii="Times New Roman" w:hAnsi="Times New Roman" w:cs="Times New Roman"/>
          <w:sz w:val="28"/>
        </w:rPr>
        <w:t>&lt; 0,001</w:t>
      </w:r>
      <w:proofErr w:type="gramEnd"/>
      <w:r w:rsidRPr="001A3F92">
        <w:rPr>
          <w:rFonts w:ascii="Times New Roman" w:hAnsi="Times New Roman" w:cs="Times New Roman"/>
          <w:sz w:val="28"/>
        </w:rPr>
        <w:t xml:space="preserve">), что указывает на её ведущую роль среди положительных предикторов: увеличение данного показателя сопровождается ростом </w:t>
      </w:r>
      <w:r w:rsidRPr="001A3F92">
        <w:rPr>
          <w:rFonts w:ascii="Times New Roman" w:hAnsi="Times New Roman" w:cs="Times New Roman"/>
          <w:i/>
          <w:iCs/>
          <w:sz w:val="28"/>
        </w:rPr>
        <w:t>y</w:t>
      </w:r>
      <w:r w:rsidRPr="001A3F92">
        <w:rPr>
          <w:rFonts w:ascii="Times New Roman" w:hAnsi="Times New Roman" w:cs="Times New Roman"/>
          <w:sz w:val="28"/>
        </w:rPr>
        <w:t xml:space="preserve">. </w:t>
      </w:r>
    </w:p>
    <w:p w:rsidR="001A3F92" w:rsidRPr="001A3F92" w:rsidRDefault="001A3F92" w:rsidP="008465D6">
      <w:pPr>
        <w:numPr>
          <w:ilvl w:val="0"/>
          <w:numId w:val="52"/>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sz w:val="28"/>
        </w:rPr>
        <w:t xml:space="preserve">Переменная </w:t>
      </w:r>
      <w:r w:rsidRPr="001A3F92">
        <w:rPr>
          <w:rFonts w:ascii="Times New Roman" w:hAnsi="Times New Roman" w:cs="Times New Roman"/>
          <w:i/>
          <w:iCs/>
          <w:sz w:val="28"/>
        </w:rPr>
        <w:t>x6</w:t>
      </w:r>
      <w:r w:rsidRPr="001A3F92">
        <w:rPr>
          <w:rFonts w:ascii="Times New Roman" w:hAnsi="Times New Roman" w:cs="Times New Roman"/>
          <w:sz w:val="28"/>
        </w:rPr>
        <w:t xml:space="preserve">, напротив, оказывает сильное отрицательное влияние (β = -0,619; t = -13,068; p </w:t>
      </w:r>
      <w:proofErr w:type="gramStart"/>
      <w:r w:rsidRPr="001A3F92">
        <w:rPr>
          <w:rFonts w:ascii="Times New Roman" w:hAnsi="Times New Roman" w:cs="Times New Roman"/>
          <w:sz w:val="28"/>
        </w:rPr>
        <w:t>&lt; 0,001</w:t>
      </w:r>
      <w:proofErr w:type="gramEnd"/>
      <w:r w:rsidRPr="001A3F92">
        <w:rPr>
          <w:rFonts w:ascii="Times New Roman" w:hAnsi="Times New Roman" w:cs="Times New Roman"/>
          <w:sz w:val="28"/>
        </w:rPr>
        <w:t xml:space="preserve">), причём по абсолютной величине стандартизированного коэффициента она является наиболее значимым предиктором в модели. </w:t>
      </w:r>
    </w:p>
    <w:p w:rsidR="001A3F92" w:rsidRPr="001A3F92" w:rsidRDefault="001A3F92" w:rsidP="008465D6">
      <w:pPr>
        <w:numPr>
          <w:ilvl w:val="0"/>
          <w:numId w:val="52"/>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sz w:val="28"/>
        </w:rPr>
        <w:t xml:space="preserve">Переменная </w:t>
      </w:r>
      <w:r w:rsidRPr="001A3F92">
        <w:rPr>
          <w:rFonts w:ascii="Times New Roman" w:hAnsi="Times New Roman" w:cs="Times New Roman"/>
          <w:i/>
          <w:iCs/>
          <w:sz w:val="28"/>
        </w:rPr>
        <w:t>x1</w:t>
      </w:r>
      <w:r w:rsidRPr="001A3F92">
        <w:rPr>
          <w:rFonts w:ascii="Times New Roman" w:hAnsi="Times New Roman" w:cs="Times New Roman"/>
          <w:sz w:val="28"/>
        </w:rPr>
        <w:t xml:space="preserve"> также имеет статистически значимое положительное влияние (β = 0,156; t = 4,433; p </w:t>
      </w:r>
      <w:proofErr w:type="gramStart"/>
      <w:r w:rsidRPr="001A3F92">
        <w:rPr>
          <w:rFonts w:ascii="Times New Roman" w:hAnsi="Times New Roman" w:cs="Times New Roman"/>
          <w:sz w:val="28"/>
        </w:rPr>
        <w:t>&lt; 0,001</w:t>
      </w:r>
      <w:proofErr w:type="gramEnd"/>
      <w:r w:rsidRPr="001A3F92">
        <w:rPr>
          <w:rFonts w:ascii="Times New Roman" w:hAnsi="Times New Roman" w:cs="Times New Roman"/>
          <w:sz w:val="28"/>
        </w:rPr>
        <w:t xml:space="preserve">), однако её вклад существенно ниже по сравнению с </w:t>
      </w:r>
      <w:r w:rsidRPr="001A3F92">
        <w:rPr>
          <w:rFonts w:ascii="Times New Roman" w:hAnsi="Times New Roman" w:cs="Times New Roman"/>
          <w:i/>
          <w:iCs/>
          <w:sz w:val="28"/>
        </w:rPr>
        <w:t>x4</w:t>
      </w:r>
      <w:r w:rsidRPr="001A3F92">
        <w:rPr>
          <w:rFonts w:ascii="Times New Roman" w:hAnsi="Times New Roman" w:cs="Times New Roman"/>
          <w:sz w:val="28"/>
        </w:rPr>
        <w:t xml:space="preserve"> и </w:t>
      </w:r>
      <w:r w:rsidRPr="001A3F92">
        <w:rPr>
          <w:rFonts w:ascii="Times New Roman" w:hAnsi="Times New Roman" w:cs="Times New Roman"/>
          <w:i/>
          <w:iCs/>
          <w:sz w:val="28"/>
        </w:rPr>
        <w:t>x6</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В то же время переменные </w:t>
      </w:r>
      <w:r w:rsidRPr="001A3F92">
        <w:rPr>
          <w:rFonts w:ascii="Times New Roman" w:hAnsi="Times New Roman" w:cs="Times New Roman"/>
          <w:i/>
          <w:iCs/>
          <w:sz w:val="28"/>
        </w:rPr>
        <w:t>x2</w:t>
      </w:r>
      <w:r w:rsidRPr="001A3F92">
        <w:rPr>
          <w:rFonts w:ascii="Times New Roman" w:hAnsi="Times New Roman" w:cs="Times New Roman"/>
          <w:sz w:val="28"/>
        </w:rPr>
        <w:t xml:space="preserve">, </w:t>
      </w:r>
      <w:r w:rsidRPr="001A3F92">
        <w:rPr>
          <w:rFonts w:ascii="Times New Roman" w:hAnsi="Times New Roman" w:cs="Times New Roman"/>
          <w:i/>
          <w:iCs/>
          <w:sz w:val="28"/>
        </w:rPr>
        <w:t>x3</w:t>
      </w:r>
      <w:r w:rsidRPr="001A3F92">
        <w:rPr>
          <w:rFonts w:ascii="Times New Roman" w:hAnsi="Times New Roman" w:cs="Times New Roman"/>
          <w:sz w:val="28"/>
        </w:rPr>
        <w:t xml:space="preserve"> и </w:t>
      </w:r>
      <w:r w:rsidRPr="001A3F92">
        <w:rPr>
          <w:rFonts w:ascii="Times New Roman" w:hAnsi="Times New Roman" w:cs="Times New Roman"/>
          <w:i/>
          <w:iCs/>
          <w:sz w:val="28"/>
        </w:rPr>
        <w:t>x5</w:t>
      </w:r>
      <w:r w:rsidRPr="001A3F92">
        <w:rPr>
          <w:rFonts w:ascii="Times New Roman" w:hAnsi="Times New Roman" w:cs="Times New Roman"/>
          <w:sz w:val="28"/>
        </w:rPr>
        <w:t xml:space="preserve"> не демонстрируют статистически значимого влияния (p = 1,000), что может свидетельствовать об их слабой объяснительной способности в рамках данной модели либо о наличии мультиколлинеарности, ранее выявленной в корреляционном анализе.</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модель А1 подтверждает теорию технологического детерминизма</w:t>
      </w:r>
      <w:r w:rsidRPr="001A3F92">
        <w:rPr>
          <w:rFonts w:ascii="Times New Roman" w:hAnsi="Times New Roman" w:cs="Times New Roman"/>
          <w:sz w:val="28"/>
        </w:rPr>
        <w:t>, поскольку онлайн подписанность на публичные аккаунты общественных организаций является ключевым детерминантом изменений в зависимой переменной, а также наличие аккаунта в социальных медиа у респондента. Выявленное статистически значимое отрицательное влияние возраста (</w:t>
      </w:r>
      <w:r w:rsidRPr="001A3F92">
        <w:rPr>
          <w:rFonts w:ascii="Times New Roman" w:hAnsi="Times New Roman" w:cs="Times New Roman"/>
          <w:i/>
          <w:sz w:val="28"/>
        </w:rPr>
        <w:t>х6</w:t>
      </w:r>
      <w:r w:rsidRPr="001A3F92">
        <w:rPr>
          <w:rFonts w:ascii="Times New Roman" w:hAnsi="Times New Roman" w:cs="Times New Roman"/>
          <w:sz w:val="28"/>
        </w:rPr>
        <w:t xml:space="preserve">) на уровень офлайн гражданского участия в молодёжных общественных организациях свидетельствует о том, что по мере увеличения </w:t>
      </w:r>
      <w:r w:rsidRPr="001A3F92">
        <w:rPr>
          <w:rFonts w:ascii="Times New Roman" w:hAnsi="Times New Roman" w:cs="Times New Roman"/>
          <w:sz w:val="28"/>
        </w:rPr>
        <w:lastRenderedPageBreak/>
        <w:t>возраста респондентов наблюдается снижение их вовлечённости в данные формы активности.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А2 исключает из анализа неинституционализированное цифровое вовлечение респондентов (</w:t>
      </w:r>
      <w:r w:rsidRPr="001A3F92">
        <w:rPr>
          <w:rFonts w:ascii="Times New Roman" w:hAnsi="Times New Roman" w:cs="Times New Roman"/>
          <w:i/>
          <w:sz w:val="28"/>
        </w:rPr>
        <w:t>х1</w:t>
      </w:r>
      <w:r w:rsidRPr="001A3F92">
        <w:rPr>
          <w:rFonts w:ascii="Times New Roman" w:hAnsi="Times New Roman" w:cs="Times New Roman"/>
          <w:sz w:val="28"/>
        </w:rPr>
        <w:t xml:space="preserve"> и </w:t>
      </w:r>
      <w:r w:rsidRPr="001A3F92">
        <w:rPr>
          <w:rFonts w:ascii="Times New Roman" w:hAnsi="Times New Roman" w:cs="Times New Roman"/>
          <w:i/>
          <w:sz w:val="28"/>
        </w:rPr>
        <w:t>х2</w:t>
      </w:r>
      <w:r w:rsidRPr="001A3F92">
        <w:rPr>
          <w:rFonts w:ascii="Times New Roman" w:hAnsi="Times New Roman" w:cs="Times New Roman"/>
          <w:sz w:val="28"/>
        </w:rPr>
        <w:t xml:space="preserve">), оставляя институционализированное цифровое участие, а также фактор осведомлённости, пол и возраст: </w:t>
      </w:r>
      <w:r w:rsidRPr="001A3F92">
        <w:rPr>
          <w:rFonts w:ascii="Times New Roman" w:hAnsi="Times New Roman" w:cs="Times New Roman"/>
          <w:i/>
          <w:sz w:val="28"/>
        </w:rPr>
        <w:t xml:space="preserve">х3, х4, х5, х6 </w:t>
      </w:r>
      <w:r w:rsidRPr="001A3F92">
        <w:rPr>
          <w:rFonts w:ascii="Times New Roman" w:hAnsi="Times New Roman" w:cs="Times New Roman"/>
          <w:sz w:val="28"/>
        </w:rPr>
        <w:t>(см. Таблицу 10)</w:t>
      </w:r>
      <w:r w:rsidRPr="001A3F92">
        <w:rPr>
          <w:rFonts w:ascii="Times New Roman" w:hAnsi="Times New Roman" w:cs="Times New Roman"/>
          <w:i/>
          <w:sz w:val="28"/>
        </w:rPr>
        <w:t>.</w:t>
      </w:r>
      <w:r w:rsidRPr="001A3F92">
        <w:rPr>
          <w:rFonts w:ascii="Times New Roman" w:hAnsi="Times New Roman" w:cs="Times New Roman"/>
          <w:sz w:val="28"/>
        </w:rPr>
        <w:t xml:space="preserve">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Построенная регрессионная модель обладает высокой объяснительной способностью: коэффициент детерминации составляет </w:t>
      </w:r>
      <w:r w:rsidRPr="001A3F92">
        <w:rPr>
          <w:rFonts w:ascii="Times New Roman" w:hAnsi="Times New Roman" w:cs="Times New Roman"/>
          <w:i/>
          <w:iCs/>
          <w:sz w:val="28"/>
        </w:rPr>
        <w:t>R² = 0,812</w:t>
      </w:r>
      <w:r w:rsidRPr="001A3F92">
        <w:rPr>
          <w:rFonts w:ascii="Times New Roman" w:hAnsi="Times New Roman" w:cs="Times New Roman"/>
          <w:sz w:val="28"/>
        </w:rPr>
        <w:t>, что означает, что 81,2% вариации зависимой переменной (</w:t>
      </w:r>
      <w:r w:rsidRPr="001A3F92">
        <w:rPr>
          <w:rFonts w:ascii="Times New Roman" w:hAnsi="Times New Roman" w:cs="Times New Roman"/>
          <w:i/>
          <w:iCs/>
          <w:sz w:val="28"/>
        </w:rPr>
        <w:t>y</w:t>
      </w:r>
      <w:r w:rsidRPr="001A3F92">
        <w:rPr>
          <w:rFonts w:ascii="Times New Roman" w:hAnsi="Times New Roman" w:cs="Times New Roman"/>
          <w:sz w:val="28"/>
        </w:rPr>
        <w:t>) объясняется включёнными предикторами.</w:t>
      </w:r>
      <w:r w:rsidRPr="001A3F92">
        <w:t xml:space="preserve"> </w:t>
      </w:r>
      <w:r w:rsidRPr="001A3F92">
        <w:rPr>
          <w:rFonts w:ascii="Times New Roman" w:hAnsi="Times New Roman" w:cs="Times New Roman"/>
          <w:sz w:val="28"/>
        </w:rPr>
        <w:t xml:space="preserve">Результаты дисперсионного анализа подтверждают статистическую значимость модели в целом: </w:t>
      </w:r>
      <w:r w:rsidRPr="001A3F92">
        <w:rPr>
          <w:rFonts w:ascii="Times New Roman" w:hAnsi="Times New Roman" w:cs="Times New Roman"/>
          <w:i/>
          <w:iCs/>
          <w:sz w:val="28"/>
        </w:rPr>
        <w:t>F = 210,034</w:t>
      </w:r>
      <w:r w:rsidRPr="001A3F92">
        <w:rPr>
          <w:rFonts w:ascii="Times New Roman" w:hAnsi="Times New Roman" w:cs="Times New Roman"/>
          <w:sz w:val="28"/>
        </w:rPr>
        <w:t xml:space="preserve"> при </w:t>
      </w:r>
      <w:r w:rsidRPr="001A3F92">
        <w:rPr>
          <w:rFonts w:ascii="Times New Roman" w:hAnsi="Times New Roman" w:cs="Times New Roman"/>
          <w:i/>
          <w:iCs/>
          <w:sz w:val="28"/>
        </w:rPr>
        <w:t xml:space="preserve">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sz w:val="28"/>
        </w:rPr>
        <w:t>. Это свидетельствует о высокой адекватности модели эмпирическим данным.</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10 – Результаты регрессионного анализа данных авторского опроса 2019 года (модель А2). Источник: данные автора</w:t>
      </w:r>
    </w:p>
    <w:p w:rsidR="001A3F92" w:rsidRPr="001A3F92" w:rsidRDefault="001A3F92" w:rsidP="00E80A4E">
      <w:pPr>
        <w:spacing w:after="0" w:line="240" w:lineRule="auto"/>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961A544" wp14:editId="020DE3A5">
            <wp:extent cx="5572125" cy="26003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72125" cy="260032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Статистически значимое влияние на зависимую переменную оказывают переменные </w:t>
      </w:r>
      <w:r w:rsidRPr="001A3F92">
        <w:rPr>
          <w:rFonts w:ascii="Times New Roman" w:hAnsi="Times New Roman" w:cs="Times New Roman"/>
          <w:i/>
          <w:iCs/>
          <w:sz w:val="28"/>
        </w:rPr>
        <w:t>x4</w:t>
      </w:r>
      <w:r w:rsidRPr="001A3F92">
        <w:rPr>
          <w:rFonts w:ascii="Times New Roman" w:hAnsi="Times New Roman" w:cs="Times New Roman"/>
          <w:sz w:val="28"/>
        </w:rPr>
        <w:t xml:space="preserve"> и </w:t>
      </w:r>
      <w:r w:rsidRPr="001A3F92">
        <w:rPr>
          <w:rFonts w:ascii="Times New Roman" w:hAnsi="Times New Roman" w:cs="Times New Roman"/>
          <w:i/>
          <w:iCs/>
          <w:sz w:val="28"/>
        </w:rPr>
        <w:t>x6</w:t>
      </w:r>
      <w:r w:rsidRPr="001A3F92">
        <w:rPr>
          <w:rFonts w:ascii="Times New Roman" w:hAnsi="Times New Roman" w:cs="Times New Roman"/>
          <w:sz w:val="28"/>
        </w:rPr>
        <w:t xml:space="preserve">, тогда как </w:t>
      </w:r>
      <w:r w:rsidRPr="001A3F92">
        <w:rPr>
          <w:rFonts w:ascii="Times New Roman" w:hAnsi="Times New Roman" w:cs="Times New Roman"/>
          <w:i/>
          <w:iCs/>
          <w:sz w:val="28"/>
        </w:rPr>
        <w:t>x3</w:t>
      </w:r>
      <w:r w:rsidRPr="001A3F92">
        <w:rPr>
          <w:rFonts w:ascii="Times New Roman" w:hAnsi="Times New Roman" w:cs="Times New Roman"/>
          <w:sz w:val="28"/>
        </w:rPr>
        <w:t xml:space="preserve"> и </w:t>
      </w:r>
      <w:r w:rsidRPr="001A3F92">
        <w:rPr>
          <w:rFonts w:ascii="Times New Roman" w:hAnsi="Times New Roman" w:cs="Times New Roman"/>
          <w:i/>
          <w:iCs/>
          <w:sz w:val="28"/>
        </w:rPr>
        <w:t>x5</w:t>
      </w:r>
      <w:r w:rsidRPr="001A3F92">
        <w:rPr>
          <w:rFonts w:ascii="Times New Roman" w:hAnsi="Times New Roman" w:cs="Times New Roman"/>
          <w:sz w:val="28"/>
        </w:rPr>
        <w:t xml:space="preserve"> не демонстрируют значимого эффекта.</w:t>
      </w:r>
    </w:p>
    <w:p w:rsidR="001A3F92" w:rsidRPr="001A3F92" w:rsidRDefault="001A3F92" w:rsidP="008465D6">
      <w:pPr>
        <w:numPr>
          <w:ilvl w:val="0"/>
          <w:numId w:val="53"/>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Подписанность на паблики молодёжных общественных организаций в социальных медиа (</w:t>
      </w:r>
      <w:r w:rsidRPr="001A3F92">
        <w:rPr>
          <w:rFonts w:ascii="Times New Roman" w:hAnsi="Times New Roman" w:cs="Times New Roman"/>
          <w:bCs/>
          <w:i/>
          <w:iCs/>
          <w:sz w:val="28"/>
        </w:rPr>
        <w:t>x4</w:t>
      </w:r>
      <w:r w:rsidRPr="001A3F92">
        <w:rPr>
          <w:rFonts w:ascii="Times New Roman" w:hAnsi="Times New Roman" w:cs="Times New Roman"/>
          <w:bCs/>
          <w:sz w:val="28"/>
        </w:rPr>
        <w:t>)</w:t>
      </w:r>
      <w:r w:rsidRPr="001A3F92">
        <w:rPr>
          <w:rFonts w:ascii="Times New Roman" w:hAnsi="Times New Roman" w:cs="Times New Roman"/>
          <w:sz w:val="28"/>
        </w:rPr>
        <w:t xml:space="preserve"> оказывает статистически значимое положительное влияние на уровень офлайн участия </w:t>
      </w:r>
      <w:r w:rsidRPr="001A3F92">
        <w:rPr>
          <w:rFonts w:ascii="Times New Roman" w:hAnsi="Times New Roman" w:cs="Times New Roman"/>
          <w:i/>
          <w:iCs/>
          <w:sz w:val="28"/>
        </w:rPr>
        <w:t xml:space="preserve">(β = 0,292; t = 7,314; 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i/>
          <w:iCs/>
          <w:sz w:val="28"/>
        </w:rPr>
        <w:t>)</w:t>
      </w:r>
      <w:r w:rsidRPr="001A3F92">
        <w:rPr>
          <w:rFonts w:ascii="Times New Roman" w:hAnsi="Times New Roman" w:cs="Times New Roman"/>
          <w:sz w:val="28"/>
        </w:rPr>
        <w:t xml:space="preserve">. Это свидетельствует о том, что вовлечённость в цифровую среду организаций способствует повышению вероятности и интенсивности участия в их офлайн-деятельности. Таким образом, онлайн-каналы коммуникации выступают важным механизмом мобилизации участников. </w:t>
      </w:r>
    </w:p>
    <w:p w:rsidR="001A3F92" w:rsidRPr="001A3F92" w:rsidRDefault="001A3F92" w:rsidP="008465D6">
      <w:pPr>
        <w:numPr>
          <w:ilvl w:val="0"/>
          <w:numId w:val="53"/>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Возраст респондентов (</w:t>
      </w:r>
      <w:r w:rsidRPr="001A3F92">
        <w:rPr>
          <w:rFonts w:ascii="Times New Roman" w:hAnsi="Times New Roman" w:cs="Times New Roman"/>
          <w:bCs/>
          <w:i/>
          <w:iCs/>
          <w:sz w:val="28"/>
        </w:rPr>
        <w:t>x6</w:t>
      </w:r>
      <w:r w:rsidRPr="001A3F92">
        <w:rPr>
          <w:rFonts w:ascii="Times New Roman" w:hAnsi="Times New Roman" w:cs="Times New Roman"/>
          <w:bCs/>
          <w:sz w:val="28"/>
        </w:rPr>
        <w:t>)</w:t>
      </w:r>
      <w:r w:rsidRPr="001A3F92">
        <w:rPr>
          <w:rFonts w:ascii="Times New Roman" w:hAnsi="Times New Roman" w:cs="Times New Roman"/>
          <w:sz w:val="28"/>
        </w:rPr>
        <w:t xml:space="preserve"> демонстрирует сильное отрицательное влияние </w:t>
      </w:r>
      <w:r w:rsidRPr="001A3F92">
        <w:rPr>
          <w:rFonts w:ascii="Times New Roman" w:hAnsi="Times New Roman" w:cs="Times New Roman"/>
          <w:i/>
          <w:iCs/>
          <w:sz w:val="28"/>
        </w:rPr>
        <w:t xml:space="preserve">(β = -0,687; t = -14,667; 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i/>
          <w:iCs/>
          <w:sz w:val="28"/>
        </w:rPr>
        <w:t>)</w:t>
      </w:r>
      <w:r w:rsidRPr="001A3F92">
        <w:rPr>
          <w:rFonts w:ascii="Times New Roman" w:hAnsi="Times New Roman" w:cs="Times New Roman"/>
          <w:sz w:val="28"/>
        </w:rPr>
        <w:t xml:space="preserve"> и является наиболее значимым предиктором в модели по абсолютной величине стандартизированного коэффициента. Это означает, что с увеличением возраста наблюдается существенное снижение уровня офлайн гражданского участия, что соответствует логике жизненного цикла и институциональной специфике молодёжных организаций. </w:t>
      </w:r>
    </w:p>
    <w:p w:rsidR="001A3F92" w:rsidRPr="001A3F92" w:rsidRDefault="001A3F92" w:rsidP="008465D6">
      <w:pPr>
        <w:numPr>
          <w:ilvl w:val="0"/>
          <w:numId w:val="53"/>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lastRenderedPageBreak/>
        <w:t>Осведомлённость о молодёжных общественных объединениях (</w:t>
      </w:r>
      <w:r w:rsidRPr="001A3F92">
        <w:rPr>
          <w:rFonts w:ascii="Times New Roman" w:hAnsi="Times New Roman" w:cs="Times New Roman"/>
          <w:bCs/>
          <w:i/>
          <w:iCs/>
          <w:sz w:val="28"/>
        </w:rPr>
        <w:t>x3</w:t>
      </w:r>
      <w:r w:rsidRPr="001A3F92">
        <w:rPr>
          <w:rFonts w:ascii="Times New Roman" w:hAnsi="Times New Roman" w:cs="Times New Roman"/>
          <w:bCs/>
          <w:sz w:val="28"/>
        </w:rPr>
        <w:t>)</w:t>
      </w:r>
      <w:r w:rsidRPr="001A3F92">
        <w:rPr>
          <w:rFonts w:ascii="Times New Roman" w:hAnsi="Times New Roman" w:cs="Times New Roman"/>
          <w:sz w:val="28"/>
        </w:rPr>
        <w:t xml:space="preserve"> не оказывает статистически значимого влияния </w:t>
      </w:r>
      <w:r w:rsidRPr="001A3F92">
        <w:rPr>
          <w:rFonts w:ascii="Times New Roman" w:hAnsi="Times New Roman" w:cs="Times New Roman"/>
          <w:i/>
          <w:iCs/>
          <w:sz w:val="28"/>
        </w:rPr>
        <w:t>(β = -0,008; p = 0,883)</w:t>
      </w:r>
      <w:r w:rsidRPr="001A3F92">
        <w:rPr>
          <w:rFonts w:ascii="Times New Roman" w:hAnsi="Times New Roman" w:cs="Times New Roman"/>
          <w:sz w:val="28"/>
        </w:rPr>
        <w:t>.</w:t>
      </w:r>
      <w:r w:rsidRPr="001A3F92">
        <w:rPr>
          <w:rFonts w:ascii="Times New Roman" w:hAnsi="Times New Roman" w:cs="Times New Roman"/>
          <w:sz w:val="28"/>
        </w:rPr>
        <w:br/>
        <w:t xml:space="preserve">Данный результат может указывать на то, что одного лишь знания о существовании организаций недостаточно для трансформации в офлайн участие без дополнительных мотивационных или институциональных факторов. </w:t>
      </w:r>
    </w:p>
    <w:p w:rsidR="001A3F92" w:rsidRPr="001A3F92" w:rsidRDefault="001A3F92" w:rsidP="008465D6">
      <w:pPr>
        <w:numPr>
          <w:ilvl w:val="0"/>
          <w:numId w:val="53"/>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Пол респондента (</w:t>
      </w:r>
      <w:r w:rsidRPr="001A3F92">
        <w:rPr>
          <w:rFonts w:ascii="Times New Roman" w:hAnsi="Times New Roman" w:cs="Times New Roman"/>
          <w:bCs/>
          <w:i/>
          <w:iCs/>
          <w:sz w:val="28"/>
        </w:rPr>
        <w:t>x5</w:t>
      </w:r>
      <w:r w:rsidRPr="001A3F92">
        <w:rPr>
          <w:rFonts w:ascii="Times New Roman" w:hAnsi="Times New Roman" w:cs="Times New Roman"/>
          <w:bCs/>
          <w:sz w:val="28"/>
        </w:rPr>
        <w:t>)</w:t>
      </w:r>
      <w:r w:rsidRPr="001A3F92">
        <w:rPr>
          <w:rFonts w:ascii="Times New Roman" w:hAnsi="Times New Roman" w:cs="Times New Roman"/>
          <w:sz w:val="28"/>
        </w:rPr>
        <w:t xml:space="preserve"> также не является значимым предиктором</w:t>
      </w:r>
      <w:r w:rsidRPr="001A3F92">
        <w:rPr>
          <w:rFonts w:ascii="Times New Roman" w:hAnsi="Times New Roman" w:cs="Times New Roman"/>
          <w:sz w:val="28"/>
        </w:rPr>
        <w:br/>
      </w:r>
      <w:r w:rsidRPr="001A3F92">
        <w:rPr>
          <w:rFonts w:ascii="Times New Roman" w:hAnsi="Times New Roman" w:cs="Times New Roman"/>
          <w:i/>
          <w:iCs/>
          <w:sz w:val="28"/>
        </w:rPr>
        <w:t>(β = -0,004; p = 0,937)</w:t>
      </w:r>
      <w:r w:rsidRPr="001A3F92">
        <w:rPr>
          <w:rFonts w:ascii="Times New Roman" w:hAnsi="Times New Roman" w:cs="Times New Roman"/>
          <w:sz w:val="28"/>
        </w:rPr>
        <w:t>, что свидетельствует об отсутствии гендерных различий в уровне офлайн участия в рамках рассматриваемой выборки.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модель А2 подтверждает теорию технологического детерминизма</w:t>
      </w:r>
      <w:r w:rsidRPr="001A3F92">
        <w:rPr>
          <w:rFonts w:ascii="Times New Roman" w:hAnsi="Times New Roman" w:cs="Times New Roman"/>
          <w:sz w:val="28"/>
        </w:rPr>
        <w:t>, поскольку онлайн подписанность на публичные аккаунты общественных организаций является ключевым детерминантом изменений в зависимой переменной, как и в модели А1.</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А3 исключает из анализа все цифровые предикторы (</w:t>
      </w:r>
      <w:r w:rsidRPr="001A3F92">
        <w:rPr>
          <w:rFonts w:ascii="Times New Roman" w:hAnsi="Times New Roman" w:cs="Times New Roman"/>
          <w:i/>
          <w:sz w:val="28"/>
        </w:rPr>
        <w:t>х1, х2</w:t>
      </w:r>
      <w:r w:rsidRPr="001A3F92">
        <w:rPr>
          <w:rFonts w:ascii="Times New Roman" w:hAnsi="Times New Roman" w:cs="Times New Roman"/>
          <w:sz w:val="28"/>
        </w:rPr>
        <w:t xml:space="preserve"> и </w:t>
      </w:r>
      <w:r w:rsidRPr="001A3F92">
        <w:rPr>
          <w:rFonts w:ascii="Times New Roman" w:hAnsi="Times New Roman" w:cs="Times New Roman"/>
          <w:i/>
          <w:sz w:val="28"/>
        </w:rPr>
        <w:t>х4</w:t>
      </w:r>
      <w:r w:rsidRPr="001A3F92">
        <w:rPr>
          <w:rFonts w:ascii="Times New Roman" w:hAnsi="Times New Roman" w:cs="Times New Roman"/>
          <w:sz w:val="28"/>
        </w:rPr>
        <w:t>), сохраняя недиджитальный (</w:t>
      </w:r>
      <w:r w:rsidRPr="001A3F92">
        <w:rPr>
          <w:rFonts w:ascii="Times New Roman" w:hAnsi="Times New Roman" w:cs="Times New Roman"/>
          <w:i/>
          <w:sz w:val="28"/>
        </w:rPr>
        <w:t>х3</w:t>
      </w:r>
      <w:r w:rsidRPr="001A3F92">
        <w:rPr>
          <w:rFonts w:ascii="Times New Roman" w:hAnsi="Times New Roman" w:cs="Times New Roman"/>
          <w:sz w:val="28"/>
        </w:rPr>
        <w:t>) и социодемографические (</w:t>
      </w:r>
      <w:r w:rsidRPr="001A3F92">
        <w:rPr>
          <w:rFonts w:ascii="Times New Roman" w:hAnsi="Times New Roman" w:cs="Times New Roman"/>
          <w:i/>
          <w:sz w:val="28"/>
        </w:rPr>
        <w:t>х5</w:t>
      </w:r>
      <w:r w:rsidRPr="001A3F92">
        <w:rPr>
          <w:rFonts w:ascii="Times New Roman" w:hAnsi="Times New Roman" w:cs="Times New Roman"/>
          <w:sz w:val="28"/>
        </w:rPr>
        <w:t xml:space="preserve"> и </w:t>
      </w:r>
      <w:r w:rsidRPr="001A3F92">
        <w:rPr>
          <w:rFonts w:ascii="Times New Roman" w:hAnsi="Times New Roman" w:cs="Times New Roman"/>
          <w:i/>
          <w:sz w:val="28"/>
        </w:rPr>
        <w:t>х6</w:t>
      </w:r>
      <w:r w:rsidRPr="001A3F92">
        <w:rPr>
          <w:rFonts w:ascii="Times New Roman" w:hAnsi="Times New Roman" w:cs="Times New Roman"/>
          <w:sz w:val="28"/>
        </w:rPr>
        <w:t>) (см. Таблицу 11).</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11 – Результаты регрессионного анализа данных авторского опроса 2019 года (модель А3). Источник: данные автора</w:t>
      </w:r>
    </w:p>
    <w:p w:rsidR="001A3F92" w:rsidRPr="001A3F92" w:rsidRDefault="001A3F92" w:rsidP="00E80A4E">
      <w:pPr>
        <w:spacing w:after="0" w:line="240" w:lineRule="auto"/>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69E2DE6C" wp14:editId="3F7BB8E4">
            <wp:extent cx="5572125" cy="23907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72125" cy="2390775"/>
                    </a:xfrm>
                    <a:prstGeom prst="rect">
                      <a:avLst/>
                    </a:prstGeom>
                  </pic:spPr>
                </pic:pic>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Построенная модель демонстрирует высокую объяснительную способность, но более низкую в сравнении с моделями А1 и А2: коэффициент детерминации составляет </w:t>
      </w:r>
      <w:r w:rsidRPr="001A3F92">
        <w:rPr>
          <w:rFonts w:ascii="Times New Roman" w:hAnsi="Times New Roman" w:cs="Times New Roman"/>
          <w:i/>
          <w:iCs/>
          <w:sz w:val="28"/>
        </w:rPr>
        <w:t>R² = 0,760</w:t>
      </w:r>
      <w:r w:rsidRPr="001A3F92">
        <w:rPr>
          <w:rFonts w:ascii="Times New Roman" w:hAnsi="Times New Roman" w:cs="Times New Roman"/>
          <w:sz w:val="28"/>
        </w:rPr>
        <w:t>, что означает, что 76,0% вариации зависимой переменной (</w:t>
      </w:r>
      <w:r w:rsidRPr="001A3F92">
        <w:rPr>
          <w:rFonts w:ascii="Times New Roman" w:hAnsi="Times New Roman" w:cs="Times New Roman"/>
          <w:i/>
          <w:iCs/>
          <w:sz w:val="28"/>
        </w:rPr>
        <w:t>y</w:t>
      </w:r>
      <w:r w:rsidRPr="001A3F92">
        <w:rPr>
          <w:rFonts w:ascii="Times New Roman" w:hAnsi="Times New Roman" w:cs="Times New Roman"/>
          <w:sz w:val="28"/>
        </w:rPr>
        <w:t>) объясняется включёнными предикторами.</w:t>
      </w:r>
      <w:r w:rsidRPr="001A3F92">
        <w:t xml:space="preserve"> </w:t>
      </w:r>
      <w:r w:rsidRPr="001A3F92">
        <w:rPr>
          <w:rFonts w:ascii="Times New Roman" w:hAnsi="Times New Roman" w:cs="Times New Roman"/>
          <w:sz w:val="28"/>
        </w:rPr>
        <w:t xml:space="preserve">Результаты дисперсионного анализа (ANOVA) подтверждают статистическую значимость модели в целом: </w:t>
      </w:r>
      <w:r w:rsidRPr="001A3F92">
        <w:rPr>
          <w:rFonts w:ascii="Times New Roman" w:hAnsi="Times New Roman" w:cs="Times New Roman"/>
          <w:i/>
          <w:iCs/>
          <w:sz w:val="28"/>
        </w:rPr>
        <w:t>F = 206,816</w:t>
      </w:r>
      <w:r w:rsidRPr="001A3F92">
        <w:rPr>
          <w:rFonts w:ascii="Times New Roman" w:hAnsi="Times New Roman" w:cs="Times New Roman"/>
          <w:sz w:val="28"/>
        </w:rPr>
        <w:t xml:space="preserve"> при уровне значимости </w:t>
      </w:r>
      <w:r w:rsidRPr="001A3F92">
        <w:rPr>
          <w:rFonts w:ascii="Times New Roman" w:hAnsi="Times New Roman" w:cs="Times New Roman"/>
          <w:i/>
          <w:iCs/>
          <w:sz w:val="28"/>
        </w:rPr>
        <w:t xml:space="preserve">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sz w:val="28"/>
        </w:rPr>
        <w:t>. Это свидетельствует о том, что совокупное влияние включённых переменных на зависимую переменную является статистически значимым.</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Анализ индивидуальных коэффициентов показывает, что в данной модели </w:t>
      </w:r>
      <w:r w:rsidRPr="001A3F92">
        <w:rPr>
          <w:rFonts w:ascii="Times New Roman" w:hAnsi="Times New Roman" w:cs="Times New Roman"/>
          <w:bCs/>
          <w:sz w:val="28"/>
        </w:rPr>
        <w:t>единственным статистически значимым предиктором</w:t>
      </w:r>
      <w:r w:rsidRPr="001A3F92">
        <w:rPr>
          <w:rFonts w:ascii="Times New Roman" w:hAnsi="Times New Roman" w:cs="Times New Roman"/>
          <w:sz w:val="28"/>
        </w:rPr>
        <w:t xml:space="preserve"> выступает переменная </w:t>
      </w:r>
      <w:r w:rsidRPr="001A3F92">
        <w:rPr>
          <w:rFonts w:ascii="Times New Roman" w:hAnsi="Times New Roman" w:cs="Times New Roman"/>
          <w:i/>
          <w:iCs/>
          <w:sz w:val="28"/>
        </w:rPr>
        <w:t>x6</w:t>
      </w:r>
      <w:r w:rsidRPr="001A3F92">
        <w:rPr>
          <w:rFonts w:ascii="Times New Roman" w:hAnsi="Times New Roman" w:cs="Times New Roman"/>
          <w:sz w:val="28"/>
        </w:rPr>
        <w:t xml:space="preserve"> (возраст), тогда как переменные </w:t>
      </w:r>
      <w:r w:rsidRPr="001A3F92">
        <w:rPr>
          <w:rFonts w:ascii="Times New Roman" w:hAnsi="Times New Roman" w:cs="Times New Roman"/>
          <w:i/>
          <w:iCs/>
          <w:sz w:val="28"/>
        </w:rPr>
        <w:t>x3</w:t>
      </w:r>
      <w:r w:rsidRPr="001A3F92">
        <w:rPr>
          <w:rFonts w:ascii="Times New Roman" w:hAnsi="Times New Roman" w:cs="Times New Roman"/>
          <w:sz w:val="28"/>
        </w:rPr>
        <w:t xml:space="preserve"> (осведомлённость) и </w:t>
      </w:r>
      <w:r w:rsidRPr="001A3F92">
        <w:rPr>
          <w:rFonts w:ascii="Times New Roman" w:hAnsi="Times New Roman" w:cs="Times New Roman"/>
          <w:i/>
          <w:iCs/>
          <w:sz w:val="28"/>
        </w:rPr>
        <w:t>x5</w:t>
      </w:r>
      <w:r w:rsidRPr="001A3F92">
        <w:rPr>
          <w:rFonts w:ascii="Times New Roman" w:hAnsi="Times New Roman" w:cs="Times New Roman"/>
          <w:sz w:val="28"/>
        </w:rPr>
        <w:t xml:space="preserve"> (пол) не оказывают значимого влияния.</w:t>
      </w:r>
    </w:p>
    <w:p w:rsidR="001A3F92" w:rsidRPr="001A3F92" w:rsidRDefault="001A3F92" w:rsidP="008465D6">
      <w:pPr>
        <w:numPr>
          <w:ilvl w:val="0"/>
          <w:numId w:val="54"/>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Возраст респондентов (</w:t>
      </w:r>
      <w:r w:rsidRPr="001A3F92">
        <w:rPr>
          <w:rFonts w:ascii="Times New Roman" w:hAnsi="Times New Roman" w:cs="Times New Roman"/>
          <w:bCs/>
          <w:i/>
          <w:iCs/>
          <w:sz w:val="28"/>
        </w:rPr>
        <w:t>x6</w:t>
      </w:r>
      <w:r w:rsidRPr="001A3F92">
        <w:rPr>
          <w:rFonts w:ascii="Times New Roman" w:hAnsi="Times New Roman" w:cs="Times New Roman"/>
          <w:bCs/>
          <w:sz w:val="28"/>
        </w:rPr>
        <w:t>)</w:t>
      </w:r>
      <w:r w:rsidRPr="001A3F92">
        <w:rPr>
          <w:rFonts w:ascii="Times New Roman" w:hAnsi="Times New Roman" w:cs="Times New Roman"/>
          <w:sz w:val="28"/>
        </w:rPr>
        <w:t xml:space="preserve"> демонстрирует исключительно сильное отрицательное влияние </w:t>
      </w:r>
      <w:r w:rsidRPr="001A3F92">
        <w:rPr>
          <w:rFonts w:ascii="Times New Roman" w:hAnsi="Times New Roman" w:cs="Times New Roman"/>
          <w:i/>
          <w:iCs/>
          <w:sz w:val="28"/>
        </w:rPr>
        <w:t xml:space="preserve">(β = -0,872; t = -19,628; 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i/>
          <w:iCs/>
          <w:sz w:val="28"/>
        </w:rPr>
        <w:t>)</w:t>
      </w:r>
      <w:r w:rsidRPr="001A3F92">
        <w:rPr>
          <w:rFonts w:ascii="Times New Roman" w:hAnsi="Times New Roman" w:cs="Times New Roman"/>
          <w:sz w:val="28"/>
        </w:rPr>
        <w:t xml:space="preserve">. По абсолютной </w:t>
      </w:r>
      <w:r w:rsidRPr="001A3F92">
        <w:rPr>
          <w:rFonts w:ascii="Times New Roman" w:hAnsi="Times New Roman" w:cs="Times New Roman"/>
          <w:sz w:val="28"/>
        </w:rPr>
        <w:lastRenderedPageBreak/>
        <w:t xml:space="preserve">величине стандартизированного коэффициента данная переменная является доминирующим фактором в модели. Это означает, что увеличение возраста сопровождается существенным снижением уровня офлайн гражданского участия. Полученный результат указывает на выраженную возрастную дифференциацию вовлечённости и подтверждает ключевую роль возрастного фактора. </w:t>
      </w:r>
    </w:p>
    <w:p w:rsidR="001A3F92" w:rsidRPr="001A3F92" w:rsidRDefault="001A3F92" w:rsidP="008465D6">
      <w:pPr>
        <w:numPr>
          <w:ilvl w:val="0"/>
          <w:numId w:val="54"/>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Осведомлённость о молодёжных общественных организациях (</w:t>
      </w:r>
      <w:r w:rsidRPr="001A3F92">
        <w:rPr>
          <w:rFonts w:ascii="Times New Roman" w:hAnsi="Times New Roman" w:cs="Times New Roman"/>
          <w:bCs/>
          <w:i/>
          <w:iCs/>
          <w:sz w:val="28"/>
        </w:rPr>
        <w:t>x3</w:t>
      </w:r>
      <w:r w:rsidRPr="001A3F92">
        <w:rPr>
          <w:rFonts w:ascii="Times New Roman" w:hAnsi="Times New Roman" w:cs="Times New Roman"/>
          <w:bCs/>
          <w:sz w:val="28"/>
        </w:rPr>
        <w:t>)</w:t>
      </w:r>
      <w:r w:rsidRPr="001A3F92">
        <w:rPr>
          <w:rFonts w:ascii="Times New Roman" w:hAnsi="Times New Roman" w:cs="Times New Roman"/>
          <w:sz w:val="28"/>
        </w:rPr>
        <w:t xml:space="preserve"> не демонстрирует статистически значимого влияния </w:t>
      </w:r>
      <w:r w:rsidRPr="001A3F92">
        <w:rPr>
          <w:rFonts w:ascii="Times New Roman" w:hAnsi="Times New Roman" w:cs="Times New Roman"/>
          <w:i/>
          <w:iCs/>
          <w:sz w:val="28"/>
        </w:rPr>
        <w:t>(β ≈ 0; p = 1,000)</w:t>
      </w:r>
      <w:r w:rsidRPr="001A3F92">
        <w:rPr>
          <w:rFonts w:ascii="Times New Roman" w:hAnsi="Times New Roman" w:cs="Times New Roman"/>
          <w:sz w:val="28"/>
        </w:rPr>
        <w:t xml:space="preserve">. Это свидетельствует о том, что наличие информации об организациях само по себе не приводит к вовлечению в их деятельность. </w:t>
      </w:r>
    </w:p>
    <w:p w:rsidR="001A3F92" w:rsidRPr="001A3F92" w:rsidRDefault="001A3F92" w:rsidP="008465D6">
      <w:pPr>
        <w:numPr>
          <w:ilvl w:val="0"/>
          <w:numId w:val="54"/>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Пол респондентов (</w:t>
      </w:r>
      <w:r w:rsidRPr="001A3F92">
        <w:rPr>
          <w:rFonts w:ascii="Times New Roman" w:hAnsi="Times New Roman" w:cs="Times New Roman"/>
          <w:bCs/>
          <w:i/>
          <w:iCs/>
          <w:sz w:val="28"/>
        </w:rPr>
        <w:t>x5</w:t>
      </w:r>
      <w:r w:rsidRPr="001A3F92">
        <w:rPr>
          <w:rFonts w:ascii="Times New Roman" w:hAnsi="Times New Roman" w:cs="Times New Roman"/>
          <w:bCs/>
          <w:sz w:val="28"/>
        </w:rPr>
        <w:t>)</w:t>
      </w:r>
      <w:r w:rsidRPr="001A3F92">
        <w:rPr>
          <w:rFonts w:ascii="Times New Roman" w:hAnsi="Times New Roman" w:cs="Times New Roman"/>
          <w:sz w:val="28"/>
        </w:rPr>
        <w:t xml:space="preserve"> также не оказывает значимого воздействия</w:t>
      </w:r>
      <w:r w:rsidRPr="001A3F92">
        <w:rPr>
          <w:rFonts w:ascii="Times New Roman" w:hAnsi="Times New Roman" w:cs="Times New Roman"/>
          <w:sz w:val="28"/>
        </w:rPr>
        <w:br/>
      </w:r>
      <w:r w:rsidRPr="001A3F92">
        <w:rPr>
          <w:rFonts w:ascii="Times New Roman" w:hAnsi="Times New Roman" w:cs="Times New Roman"/>
          <w:i/>
          <w:iCs/>
          <w:sz w:val="28"/>
        </w:rPr>
        <w:t>(β ≈ 0; p = 1,000)</w:t>
      </w:r>
      <w:r w:rsidRPr="001A3F92">
        <w:rPr>
          <w:rFonts w:ascii="Times New Roman" w:hAnsi="Times New Roman" w:cs="Times New Roman"/>
          <w:sz w:val="28"/>
        </w:rPr>
        <w:t>, что указывает на отсутствие гендерной дифференциации офлайн участия в рамках рассматриваемой выборки.</w:t>
      </w:r>
    </w:p>
    <w:p w:rsidR="001A3F92" w:rsidRPr="001A3F92" w:rsidRDefault="001A3F92" w:rsidP="001A3F92">
      <w:pPr>
        <w:tabs>
          <w:tab w:val="num" w:pos="720"/>
        </w:tabs>
        <w:spacing w:after="0"/>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модель А3 скорее подтверждает теорию социальных сил, поскольку в условиях исключения диджитальной переменной модель практически полностью редуцируется к влиянию возрастного фактора, то есть нецифрового предиктора</w:t>
      </w:r>
      <w:r w:rsidRPr="001A3F92">
        <w:rPr>
          <w:rFonts w:ascii="Times New Roman" w:hAnsi="Times New Roman" w:cs="Times New Roman"/>
          <w:sz w:val="28"/>
        </w:rPr>
        <w:t xml:space="preserve">. </w:t>
      </w:r>
      <w:r w:rsidRPr="001A3F92">
        <w:rPr>
          <w:rFonts w:ascii="Times New Roman" w:hAnsi="Times New Roman" w:cs="Times New Roman"/>
          <w:bCs/>
          <w:sz w:val="28"/>
        </w:rPr>
        <w:t>Возраст выступает системообразующим детерминантом офлайн гражданского участия</w:t>
      </w:r>
      <w:r w:rsidRPr="001A3F92">
        <w:rPr>
          <w:rFonts w:ascii="Times New Roman" w:hAnsi="Times New Roman" w:cs="Times New Roman"/>
          <w:sz w:val="28"/>
        </w:rPr>
        <w:t>, тогда как когнитивный компонент (</w:t>
      </w:r>
      <w:r w:rsidRPr="001A3F92">
        <w:rPr>
          <w:rFonts w:ascii="Times New Roman" w:hAnsi="Times New Roman" w:cs="Times New Roman"/>
          <w:i/>
          <w:iCs/>
          <w:sz w:val="28"/>
        </w:rPr>
        <w:t>осведомлённость</w:t>
      </w:r>
      <w:r w:rsidRPr="001A3F92">
        <w:rPr>
          <w:rFonts w:ascii="Times New Roman" w:hAnsi="Times New Roman" w:cs="Times New Roman"/>
          <w:sz w:val="28"/>
        </w:rPr>
        <w:t>) и социально-демографический показатель (</w:t>
      </w:r>
      <w:r w:rsidRPr="001A3F92">
        <w:rPr>
          <w:rFonts w:ascii="Times New Roman" w:hAnsi="Times New Roman" w:cs="Times New Roman"/>
          <w:i/>
          <w:iCs/>
          <w:sz w:val="28"/>
        </w:rPr>
        <w:t>пол</w:t>
      </w:r>
      <w:r w:rsidRPr="001A3F92">
        <w:rPr>
          <w:rFonts w:ascii="Times New Roman" w:hAnsi="Times New Roman" w:cs="Times New Roman"/>
          <w:sz w:val="28"/>
        </w:rPr>
        <w:t>) не обладают самостоятельной объяснительной силой.</w:t>
      </w:r>
    </w:p>
    <w:p w:rsidR="001A3F92" w:rsidRPr="001A3F92" w:rsidRDefault="001A3F92" w:rsidP="001A3F92">
      <w:pPr>
        <w:tabs>
          <w:tab w:val="num" w:pos="720"/>
        </w:tabs>
        <w:spacing w:after="0"/>
        <w:ind w:firstLine="709"/>
        <w:jc w:val="both"/>
        <w:rPr>
          <w:rFonts w:ascii="Times New Roman" w:hAnsi="Times New Roman" w:cs="Times New Roman"/>
          <w:sz w:val="28"/>
        </w:rPr>
      </w:pPr>
      <w:r w:rsidRPr="001A3F92">
        <w:rPr>
          <w:rFonts w:ascii="Times New Roman" w:hAnsi="Times New Roman" w:cs="Times New Roman"/>
          <w:sz w:val="28"/>
        </w:rPr>
        <w:t>Модель А4 исключает из анализа нецифровой фактор (</w:t>
      </w:r>
      <w:r w:rsidRPr="001A3F92">
        <w:rPr>
          <w:rFonts w:ascii="Times New Roman" w:hAnsi="Times New Roman" w:cs="Times New Roman"/>
          <w:i/>
          <w:sz w:val="28"/>
        </w:rPr>
        <w:t>х3</w:t>
      </w:r>
      <w:r w:rsidRPr="001A3F92">
        <w:rPr>
          <w:rFonts w:ascii="Times New Roman" w:hAnsi="Times New Roman" w:cs="Times New Roman"/>
          <w:sz w:val="28"/>
        </w:rPr>
        <w:t xml:space="preserve">), сохраняя все остальные: </w:t>
      </w:r>
      <w:r w:rsidRPr="001A3F92">
        <w:rPr>
          <w:rFonts w:ascii="Times New Roman" w:hAnsi="Times New Roman" w:cs="Times New Roman"/>
          <w:i/>
          <w:sz w:val="28"/>
        </w:rPr>
        <w:t>х1, х2, х4, х5, х6</w:t>
      </w:r>
      <w:r w:rsidRPr="001A3F92">
        <w:rPr>
          <w:rFonts w:ascii="Times New Roman" w:hAnsi="Times New Roman" w:cs="Times New Roman"/>
          <w:sz w:val="28"/>
        </w:rPr>
        <w:t xml:space="preserve"> (см. Таблицу 12).</w:t>
      </w:r>
    </w:p>
    <w:p w:rsidR="001A3F92" w:rsidRPr="001A3F92" w:rsidRDefault="001A3F92" w:rsidP="001A3F92">
      <w:pPr>
        <w:tabs>
          <w:tab w:val="num" w:pos="720"/>
        </w:tabs>
        <w:spacing w:after="0"/>
        <w:ind w:firstLine="709"/>
        <w:jc w:val="both"/>
        <w:rPr>
          <w:rFonts w:ascii="Times New Roman" w:hAnsi="Times New Roman" w:cs="Times New Roman"/>
          <w:sz w:val="28"/>
        </w:rPr>
      </w:pPr>
    </w:p>
    <w:p w:rsidR="001A3F92" w:rsidRPr="001A3F92" w:rsidRDefault="001A3F92" w:rsidP="001A3F92">
      <w:pPr>
        <w:tabs>
          <w:tab w:val="num" w:pos="720"/>
        </w:tabs>
        <w:spacing w:after="0"/>
        <w:ind w:firstLine="709"/>
        <w:jc w:val="center"/>
        <w:rPr>
          <w:rFonts w:ascii="Times New Roman" w:hAnsi="Times New Roman" w:cs="Times New Roman"/>
          <w:sz w:val="28"/>
        </w:rPr>
      </w:pPr>
      <w:r w:rsidRPr="001A3F92">
        <w:rPr>
          <w:rFonts w:ascii="Times New Roman" w:hAnsi="Times New Roman" w:cs="Times New Roman"/>
          <w:sz w:val="28"/>
        </w:rPr>
        <w:t>Таблица 12 – Результаты регрессионного анализа данных авторского опроса 2019 года (модель А4). Источник: данные автора</w:t>
      </w:r>
    </w:p>
    <w:p w:rsidR="001A3F92" w:rsidRPr="001A3F92" w:rsidRDefault="001A3F92" w:rsidP="003364FA">
      <w:pPr>
        <w:tabs>
          <w:tab w:val="num" w:pos="720"/>
        </w:tabs>
        <w:spacing w:after="0"/>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870E3A4" wp14:editId="6DD9B1C3">
            <wp:extent cx="5572125" cy="28098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72125" cy="2809875"/>
                    </a:xfrm>
                    <a:prstGeom prst="rect">
                      <a:avLst/>
                    </a:prstGeom>
                  </pic:spPr>
                </pic:pic>
              </a:graphicData>
            </a:graphic>
          </wp:inline>
        </w:drawing>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Построенная модель демонстрирует высокую степень объяснительной способности: коэффициент детерминации составляет </w:t>
      </w:r>
      <w:r w:rsidRPr="001A3F92">
        <w:rPr>
          <w:rFonts w:ascii="Times New Roman" w:hAnsi="Times New Roman" w:cs="Times New Roman"/>
          <w:i/>
          <w:iCs/>
          <w:sz w:val="28"/>
        </w:rPr>
        <w:t>R² = 0,829</w:t>
      </w:r>
      <w:r w:rsidRPr="001A3F92">
        <w:rPr>
          <w:rFonts w:ascii="Times New Roman" w:hAnsi="Times New Roman" w:cs="Times New Roman"/>
          <w:sz w:val="28"/>
        </w:rPr>
        <w:t>, что означает, что 82,9% вариации зависимой переменной (</w:t>
      </w:r>
      <w:r w:rsidRPr="001A3F92">
        <w:rPr>
          <w:rFonts w:ascii="Times New Roman" w:hAnsi="Times New Roman" w:cs="Times New Roman"/>
          <w:i/>
          <w:iCs/>
          <w:sz w:val="28"/>
        </w:rPr>
        <w:t>y</w:t>
      </w:r>
      <w:r w:rsidRPr="001A3F92">
        <w:rPr>
          <w:rFonts w:ascii="Times New Roman" w:hAnsi="Times New Roman" w:cs="Times New Roman"/>
          <w:sz w:val="28"/>
        </w:rPr>
        <w:t>) объясняется включёнными предикторами (</w:t>
      </w:r>
      <w:r w:rsidRPr="001A3F92">
        <w:rPr>
          <w:rFonts w:ascii="Times New Roman" w:hAnsi="Times New Roman" w:cs="Times New Roman"/>
          <w:i/>
          <w:iCs/>
          <w:sz w:val="28"/>
        </w:rPr>
        <w:t>x1, x2, x4, x5, x6</w:t>
      </w:r>
      <w:r w:rsidRPr="001A3F92">
        <w:rPr>
          <w:rFonts w:ascii="Times New Roman" w:hAnsi="Times New Roman" w:cs="Times New Roman"/>
          <w:sz w:val="28"/>
        </w:rPr>
        <w:t xml:space="preserve">). Результаты дисперсионного анализа (ANOVA) </w:t>
      </w:r>
      <w:r w:rsidRPr="001A3F92">
        <w:rPr>
          <w:rFonts w:ascii="Times New Roman" w:hAnsi="Times New Roman" w:cs="Times New Roman"/>
          <w:sz w:val="28"/>
        </w:rPr>
        <w:lastRenderedPageBreak/>
        <w:t xml:space="preserve">подтверждают статистическую значимость модели: </w:t>
      </w:r>
      <w:r w:rsidRPr="001A3F92">
        <w:rPr>
          <w:rFonts w:ascii="Times New Roman" w:hAnsi="Times New Roman" w:cs="Times New Roman"/>
          <w:i/>
          <w:iCs/>
          <w:sz w:val="28"/>
        </w:rPr>
        <w:t>F = 188,703</w:t>
      </w:r>
      <w:r w:rsidRPr="001A3F92">
        <w:rPr>
          <w:rFonts w:ascii="Times New Roman" w:hAnsi="Times New Roman" w:cs="Times New Roman"/>
          <w:sz w:val="28"/>
        </w:rPr>
        <w:t xml:space="preserve"> при </w:t>
      </w:r>
      <w:r w:rsidRPr="001A3F92">
        <w:rPr>
          <w:rFonts w:ascii="Times New Roman" w:hAnsi="Times New Roman" w:cs="Times New Roman"/>
          <w:i/>
          <w:iCs/>
          <w:sz w:val="28"/>
        </w:rPr>
        <w:t xml:space="preserve">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sz w:val="28"/>
        </w:rPr>
        <w:t>. Это свидетельствует о том, что совокупное влияние независимых переменных на уровень офлайн гражданского участия является статистически значимым, а модель в целом адекватно описывает эмпирические данные.</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Анализ коэффициентов показывает, что статистически значимое влияние на зависимую переменную оказывают </w:t>
      </w:r>
      <w:r w:rsidRPr="001A3F92">
        <w:rPr>
          <w:rFonts w:ascii="Times New Roman" w:hAnsi="Times New Roman" w:cs="Times New Roman"/>
          <w:i/>
          <w:iCs/>
          <w:sz w:val="28"/>
        </w:rPr>
        <w:t>x1</w:t>
      </w:r>
      <w:r w:rsidRPr="001A3F92">
        <w:rPr>
          <w:rFonts w:ascii="Times New Roman" w:hAnsi="Times New Roman" w:cs="Times New Roman"/>
          <w:sz w:val="28"/>
        </w:rPr>
        <w:t xml:space="preserve">, </w:t>
      </w:r>
      <w:r w:rsidRPr="001A3F92">
        <w:rPr>
          <w:rFonts w:ascii="Times New Roman" w:hAnsi="Times New Roman" w:cs="Times New Roman"/>
          <w:i/>
          <w:iCs/>
          <w:sz w:val="28"/>
        </w:rPr>
        <w:t>x4</w:t>
      </w:r>
      <w:r w:rsidRPr="001A3F92">
        <w:rPr>
          <w:rFonts w:ascii="Times New Roman" w:hAnsi="Times New Roman" w:cs="Times New Roman"/>
          <w:sz w:val="28"/>
        </w:rPr>
        <w:t xml:space="preserve"> и </w:t>
      </w:r>
      <w:r w:rsidRPr="001A3F92">
        <w:rPr>
          <w:rFonts w:ascii="Times New Roman" w:hAnsi="Times New Roman" w:cs="Times New Roman"/>
          <w:i/>
          <w:iCs/>
          <w:sz w:val="28"/>
        </w:rPr>
        <w:t>x6</w:t>
      </w:r>
      <w:r w:rsidRPr="001A3F92">
        <w:rPr>
          <w:rFonts w:ascii="Times New Roman" w:hAnsi="Times New Roman" w:cs="Times New Roman"/>
          <w:sz w:val="28"/>
        </w:rPr>
        <w:t xml:space="preserve">, тогда как </w:t>
      </w:r>
      <w:r w:rsidRPr="001A3F92">
        <w:rPr>
          <w:rFonts w:ascii="Times New Roman" w:hAnsi="Times New Roman" w:cs="Times New Roman"/>
          <w:i/>
          <w:iCs/>
          <w:sz w:val="28"/>
        </w:rPr>
        <w:t>x2</w:t>
      </w:r>
      <w:r w:rsidRPr="001A3F92">
        <w:rPr>
          <w:rFonts w:ascii="Times New Roman" w:hAnsi="Times New Roman" w:cs="Times New Roman"/>
          <w:sz w:val="28"/>
        </w:rPr>
        <w:t xml:space="preserve"> и </w:t>
      </w:r>
      <w:r w:rsidRPr="001A3F92">
        <w:rPr>
          <w:rFonts w:ascii="Times New Roman" w:hAnsi="Times New Roman" w:cs="Times New Roman"/>
          <w:i/>
          <w:iCs/>
          <w:sz w:val="28"/>
        </w:rPr>
        <w:t>x5</w:t>
      </w:r>
      <w:r w:rsidRPr="001A3F92">
        <w:rPr>
          <w:rFonts w:ascii="Times New Roman" w:hAnsi="Times New Roman" w:cs="Times New Roman"/>
          <w:sz w:val="28"/>
        </w:rPr>
        <w:t xml:space="preserve"> не являются значимыми предикторами.</w:t>
      </w:r>
    </w:p>
    <w:p w:rsidR="001A3F92" w:rsidRPr="001A3F92" w:rsidRDefault="001A3F92" w:rsidP="008465D6">
      <w:pPr>
        <w:numPr>
          <w:ilvl w:val="0"/>
          <w:numId w:val="55"/>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Наличие аккаунта в социальных медиа (</w:t>
      </w:r>
      <w:r w:rsidRPr="001A3F92">
        <w:rPr>
          <w:rFonts w:ascii="Times New Roman" w:hAnsi="Times New Roman" w:cs="Times New Roman"/>
          <w:bCs/>
          <w:i/>
          <w:iCs/>
          <w:sz w:val="28"/>
        </w:rPr>
        <w:t>x1</w:t>
      </w:r>
      <w:r w:rsidRPr="001A3F92">
        <w:rPr>
          <w:rFonts w:ascii="Times New Roman" w:hAnsi="Times New Roman" w:cs="Times New Roman"/>
          <w:bCs/>
          <w:sz w:val="28"/>
        </w:rPr>
        <w:t>)</w:t>
      </w:r>
      <w:r w:rsidRPr="001A3F92">
        <w:rPr>
          <w:rFonts w:ascii="Times New Roman" w:hAnsi="Times New Roman" w:cs="Times New Roman"/>
          <w:sz w:val="28"/>
        </w:rPr>
        <w:t xml:space="preserve"> оказывает положительное и статистически значимое влияние </w:t>
      </w:r>
      <w:r w:rsidRPr="001A3F92">
        <w:rPr>
          <w:rFonts w:ascii="Times New Roman" w:hAnsi="Times New Roman" w:cs="Times New Roman"/>
          <w:i/>
          <w:iCs/>
          <w:sz w:val="28"/>
        </w:rPr>
        <w:t xml:space="preserve">(β = 0,156; t = 4,453; 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i/>
          <w:iCs/>
          <w:sz w:val="28"/>
        </w:rPr>
        <w:t>)</w:t>
      </w:r>
      <w:r w:rsidRPr="001A3F92">
        <w:rPr>
          <w:rFonts w:ascii="Times New Roman" w:hAnsi="Times New Roman" w:cs="Times New Roman"/>
          <w:sz w:val="28"/>
        </w:rPr>
        <w:t xml:space="preserve">. Это указывает на то, что сама включённость в цифровую среду способствует более высокому уровню офлайн гражданского участия, выступая базовым условием вовлечённости. </w:t>
      </w:r>
    </w:p>
    <w:p w:rsidR="001A3F92" w:rsidRPr="001A3F92" w:rsidRDefault="001A3F92" w:rsidP="008465D6">
      <w:pPr>
        <w:numPr>
          <w:ilvl w:val="0"/>
          <w:numId w:val="55"/>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Подписанность на публичные аккаунты молодёжных общественных объединений (</w:t>
      </w:r>
      <w:r w:rsidRPr="001A3F92">
        <w:rPr>
          <w:rFonts w:ascii="Times New Roman" w:hAnsi="Times New Roman" w:cs="Times New Roman"/>
          <w:bCs/>
          <w:i/>
          <w:iCs/>
          <w:sz w:val="28"/>
        </w:rPr>
        <w:t>x4</w:t>
      </w:r>
      <w:r w:rsidRPr="001A3F92">
        <w:rPr>
          <w:rFonts w:ascii="Times New Roman" w:hAnsi="Times New Roman" w:cs="Times New Roman"/>
          <w:bCs/>
          <w:sz w:val="28"/>
        </w:rPr>
        <w:t>)</w:t>
      </w:r>
      <w:r w:rsidRPr="001A3F92">
        <w:rPr>
          <w:rFonts w:ascii="Times New Roman" w:hAnsi="Times New Roman" w:cs="Times New Roman"/>
          <w:sz w:val="28"/>
        </w:rPr>
        <w:t xml:space="preserve"> демонстрирует наиболее сильное положительное влияние</w:t>
      </w:r>
      <w:r w:rsidRPr="001A3F92">
        <w:rPr>
          <w:rFonts w:ascii="Times New Roman" w:hAnsi="Times New Roman" w:cs="Times New Roman"/>
          <w:sz w:val="28"/>
        </w:rPr>
        <w:br/>
      </w:r>
      <w:r w:rsidRPr="001A3F92">
        <w:rPr>
          <w:rFonts w:ascii="Times New Roman" w:hAnsi="Times New Roman" w:cs="Times New Roman"/>
          <w:i/>
          <w:iCs/>
          <w:sz w:val="28"/>
        </w:rPr>
        <w:t>(β = 0,393; t = 8,892; p &lt; 0,001)</w:t>
      </w:r>
      <w:r w:rsidRPr="001A3F92">
        <w:rPr>
          <w:rFonts w:ascii="Times New Roman" w:hAnsi="Times New Roman" w:cs="Times New Roman"/>
          <w:sz w:val="28"/>
        </w:rPr>
        <w:t xml:space="preserve">. Данный результат подтверждает, что в рамках данной модели именно институционализированное цифровое участие выступает ключевым каналом мобилизации молодёжи к офлайн участию. </w:t>
      </w:r>
    </w:p>
    <w:p w:rsidR="001A3F92" w:rsidRPr="001A3F92" w:rsidRDefault="001A3F92" w:rsidP="008465D6">
      <w:pPr>
        <w:numPr>
          <w:ilvl w:val="0"/>
          <w:numId w:val="55"/>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Возраст респондентов (</w:t>
      </w:r>
      <w:r w:rsidRPr="001A3F92">
        <w:rPr>
          <w:rFonts w:ascii="Times New Roman" w:hAnsi="Times New Roman" w:cs="Times New Roman"/>
          <w:bCs/>
          <w:i/>
          <w:iCs/>
          <w:sz w:val="28"/>
        </w:rPr>
        <w:t>x6</w:t>
      </w:r>
      <w:r w:rsidRPr="001A3F92">
        <w:rPr>
          <w:rFonts w:ascii="Times New Roman" w:hAnsi="Times New Roman" w:cs="Times New Roman"/>
          <w:bCs/>
          <w:sz w:val="28"/>
        </w:rPr>
        <w:t>)</w:t>
      </w:r>
      <w:r w:rsidRPr="001A3F92">
        <w:rPr>
          <w:rFonts w:ascii="Times New Roman" w:hAnsi="Times New Roman" w:cs="Times New Roman"/>
          <w:sz w:val="28"/>
        </w:rPr>
        <w:t xml:space="preserve"> оказывает выраженное отрицательное влияние </w:t>
      </w:r>
      <w:r w:rsidRPr="001A3F92">
        <w:rPr>
          <w:rFonts w:ascii="Times New Roman" w:hAnsi="Times New Roman" w:cs="Times New Roman"/>
          <w:i/>
          <w:iCs/>
          <w:sz w:val="28"/>
        </w:rPr>
        <w:t xml:space="preserve">(β = -0,619; t = -14,350; p </w:t>
      </w:r>
      <w:proofErr w:type="gramStart"/>
      <w:r w:rsidRPr="001A3F92">
        <w:rPr>
          <w:rFonts w:ascii="Times New Roman" w:hAnsi="Times New Roman" w:cs="Times New Roman"/>
          <w:i/>
          <w:iCs/>
          <w:sz w:val="28"/>
        </w:rPr>
        <w:t>&lt; 0,001</w:t>
      </w:r>
      <w:proofErr w:type="gramEnd"/>
      <w:r w:rsidRPr="001A3F92">
        <w:rPr>
          <w:rFonts w:ascii="Times New Roman" w:hAnsi="Times New Roman" w:cs="Times New Roman"/>
          <w:i/>
          <w:iCs/>
          <w:sz w:val="28"/>
        </w:rPr>
        <w:t>)</w:t>
      </w:r>
      <w:r w:rsidRPr="001A3F92">
        <w:rPr>
          <w:rFonts w:ascii="Times New Roman" w:hAnsi="Times New Roman" w:cs="Times New Roman"/>
          <w:sz w:val="28"/>
        </w:rPr>
        <w:t xml:space="preserve"> и является наиболее значимым предиктором по абсолютной величине коэффициента. Это означает, что с увеличением возраста наблюдается существенное снижение уровня участия, что отражает как институциональные границы молодёжных организаций, так и эффекты жизненного цикла. </w:t>
      </w:r>
    </w:p>
    <w:p w:rsidR="001A3F92" w:rsidRPr="001A3F92" w:rsidRDefault="001A3F92" w:rsidP="008465D6">
      <w:pPr>
        <w:numPr>
          <w:ilvl w:val="0"/>
          <w:numId w:val="55"/>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Частота посещения аккаунта (</w:t>
      </w:r>
      <w:r w:rsidRPr="001A3F92">
        <w:rPr>
          <w:rFonts w:ascii="Times New Roman" w:hAnsi="Times New Roman" w:cs="Times New Roman"/>
          <w:bCs/>
          <w:i/>
          <w:iCs/>
          <w:sz w:val="28"/>
        </w:rPr>
        <w:t>x2</w:t>
      </w:r>
      <w:r w:rsidRPr="001A3F92">
        <w:rPr>
          <w:rFonts w:ascii="Times New Roman" w:hAnsi="Times New Roman" w:cs="Times New Roman"/>
          <w:bCs/>
          <w:sz w:val="28"/>
        </w:rPr>
        <w:t>)</w:t>
      </w:r>
      <w:r w:rsidRPr="001A3F92">
        <w:rPr>
          <w:rFonts w:ascii="Times New Roman" w:hAnsi="Times New Roman" w:cs="Times New Roman"/>
          <w:sz w:val="28"/>
        </w:rPr>
        <w:t xml:space="preserve"> не оказывает статистически значимого влияния </w:t>
      </w:r>
      <w:r w:rsidRPr="001A3F92">
        <w:rPr>
          <w:rFonts w:ascii="Times New Roman" w:hAnsi="Times New Roman" w:cs="Times New Roman"/>
          <w:i/>
          <w:iCs/>
          <w:sz w:val="28"/>
        </w:rPr>
        <w:t>(β ≈ 0; p = 1,000)</w:t>
      </w:r>
      <w:r w:rsidRPr="001A3F92">
        <w:rPr>
          <w:rFonts w:ascii="Times New Roman" w:hAnsi="Times New Roman" w:cs="Times New Roman"/>
          <w:sz w:val="28"/>
        </w:rPr>
        <w:t xml:space="preserve">. Это позволяет сделать вывод, что интенсивность использования социальных медиа сама по себе не приводит к увеличению гражданского участия без содержательной вовлечённости. </w:t>
      </w:r>
    </w:p>
    <w:p w:rsidR="001A3F92" w:rsidRPr="001A3F92" w:rsidRDefault="001A3F92" w:rsidP="008465D6">
      <w:pPr>
        <w:numPr>
          <w:ilvl w:val="0"/>
          <w:numId w:val="55"/>
        </w:numPr>
        <w:tabs>
          <w:tab w:val="num" w:pos="426"/>
        </w:tabs>
        <w:spacing w:after="0" w:line="240" w:lineRule="auto"/>
        <w:ind w:left="0" w:firstLine="709"/>
        <w:jc w:val="both"/>
        <w:rPr>
          <w:rFonts w:ascii="Times New Roman" w:hAnsi="Times New Roman" w:cs="Times New Roman"/>
          <w:sz w:val="28"/>
        </w:rPr>
      </w:pPr>
      <w:r w:rsidRPr="001A3F92">
        <w:rPr>
          <w:rFonts w:ascii="Times New Roman" w:hAnsi="Times New Roman" w:cs="Times New Roman"/>
          <w:bCs/>
          <w:sz w:val="28"/>
        </w:rPr>
        <w:t>Пол респондентов (</w:t>
      </w:r>
      <w:r w:rsidRPr="001A3F92">
        <w:rPr>
          <w:rFonts w:ascii="Times New Roman" w:hAnsi="Times New Roman" w:cs="Times New Roman"/>
          <w:bCs/>
          <w:i/>
          <w:iCs/>
          <w:sz w:val="28"/>
        </w:rPr>
        <w:t>x5</w:t>
      </w:r>
      <w:r w:rsidRPr="001A3F92">
        <w:rPr>
          <w:rFonts w:ascii="Times New Roman" w:hAnsi="Times New Roman" w:cs="Times New Roman"/>
          <w:bCs/>
          <w:sz w:val="28"/>
        </w:rPr>
        <w:t>)</w:t>
      </w:r>
      <w:r w:rsidRPr="001A3F92">
        <w:rPr>
          <w:rFonts w:ascii="Times New Roman" w:hAnsi="Times New Roman" w:cs="Times New Roman"/>
          <w:sz w:val="28"/>
        </w:rPr>
        <w:t xml:space="preserve"> также не является значимым фактором</w:t>
      </w:r>
      <w:r w:rsidRPr="001A3F92">
        <w:rPr>
          <w:rFonts w:ascii="Times New Roman" w:hAnsi="Times New Roman" w:cs="Times New Roman"/>
          <w:sz w:val="28"/>
        </w:rPr>
        <w:br/>
      </w:r>
      <w:r w:rsidRPr="001A3F92">
        <w:rPr>
          <w:rFonts w:ascii="Times New Roman" w:hAnsi="Times New Roman" w:cs="Times New Roman"/>
          <w:i/>
          <w:iCs/>
          <w:sz w:val="28"/>
        </w:rPr>
        <w:t>(β ≈ 0; p = 1,000)</w:t>
      </w:r>
      <w:r w:rsidRPr="001A3F92">
        <w:rPr>
          <w:rFonts w:ascii="Times New Roman" w:hAnsi="Times New Roman" w:cs="Times New Roman"/>
          <w:sz w:val="28"/>
        </w:rPr>
        <w:t>, что указывает на отсутствие гендерной дифференциации офлайн участия.</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Таким образом, офлайн гражданское участие молодёжи определяется не столько общей цифровой активностью, сколько её направленностью и включённостью в коммуникационные каналы конкретных молодёжных общественных организаций.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 xml:space="preserve">Модель А4 скорее подтверждает теорию технологического детерминизма, </w:t>
      </w:r>
      <w:r w:rsidRPr="001A3F92">
        <w:rPr>
          <w:rFonts w:ascii="Times New Roman" w:hAnsi="Times New Roman" w:cs="Times New Roman"/>
          <w:sz w:val="28"/>
        </w:rPr>
        <w:t>поскольку институционализированное цифровое вовлечение (подписанность на аккаунты организаций в социальных медиа) оказывает наибольшее влияние на зависимую переменную.</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модели A5 (см. Таблицу 13) из анализа исключается фактор пола, что позволяет проверить устойчивость цифровых и когнитивных предикторов при устранении социодемографических переменных.</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Результаты множественного регрессионного анализа свидетельствуют о высокой объясняющей способности построенной модели. Коэффициент детерминации </w:t>
      </w:r>
      <w:r w:rsidRPr="001A3F92">
        <w:rPr>
          <w:rFonts w:ascii="Times New Roman" w:hAnsi="Times New Roman" w:cs="Times New Roman"/>
          <w:i/>
          <w:sz w:val="28"/>
        </w:rPr>
        <w:t>R</w:t>
      </w:r>
      <w:r w:rsidRPr="001A3F92">
        <w:rPr>
          <w:rFonts w:ascii="Times New Roman" w:hAnsi="Times New Roman" w:cs="Times New Roman"/>
          <w:i/>
          <w:sz w:val="28"/>
          <w:vertAlign w:val="superscript"/>
        </w:rPr>
        <w:t>2</w:t>
      </w:r>
      <w:r w:rsidRPr="001A3F92">
        <w:rPr>
          <w:rFonts w:ascii="Times New Roman" w:hAnsi="Times New Roman" w:cs="Times New Roman"/>
          <w:i/>
          <w:sz w:val="28"/>
        </w:rPr>
        <w:t>=0,829</w:t>
      </w:r>
      <w:r w:rsidRPr="001A3F92">
        <w:rPr>
          <w:rFonts w:ascii="Times New Roman" w:hAnsi="Times New Roman" w:cs="Times New Roman"/>
          <w:sz w:val="28"/>
        </w:rPr>
        <w:t xml:space="preserve"> указывает на то, что 82,9% вариации зависимой </w:t>
      </w:r>
      <w:r w:rsidRPr="001A3F92">
        <w:rPr>
          <w:rFonts w:ascii="Times New Roman" w:hAnsi="Times New Roman" w:cs="Times New Roman"/>
          <w:sz w:val="28"/>
        </w:rPr>
        <w:lastRenderedPageBreak/>
        <w:t xml:space="preserve">переменной (офлайн-участия респондентов) объясняется включёнными в модель предикторами. Это позволяет охарактеризовать модель как обладающую значительной прогностической силой. Дисперсионный анализ (ANOVA) подтверждает статистическую значимость модели в целом: </w:t>
      </w:r>
      <w:r w:rsidRPr="001A3F92">
        <w:rPr>
          <w:rFonts w:ascii="Times New Roman" w:hAnsi="Times New Roman" w:cs="Times New Roman"/>
          <w:i/>
          <w:sz w:val="28"/>
        </w:rPr>
        <w:t>F=188,703</w:t>
      </w:r>
      <w:r w:rsidRPr="001A3F92">
        <w:rPr>
          <w:rFonts w:ascii="Times New Roman" w:hAnsi="Times New Roman" w:cs="Times New Roman"/>
          <w:sz w:val="28"/>
        </w:rPr>
        <w:t xml:space="preserve"> при уровне значимости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что означает статистически значимое совокупное влияние независимых переменных на зависимую переменную.</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коэффициентов регрессии показывает дифференцированное влияние отдельных факторов. Наиболее значимыми предикторами офлайн-участия выступают:</w:t>
      </w:r>
    </w:p>
    <w:p w:rsidR="001A3F92" w:rsidRPr="001A3F92" w:rsidRDefault="001A3F92" w:rsidP="008465D6">
      <w:pPr>
        <w:numPr>
          <w:ilvl w:val="0"/>
          <w:numId w:val="56"/>
        </w:numPr>
        <w:spacing w:after="0" w:line="240" w:lineRule="auto"/>
        <w:ind w:left="0" w:firstLine="709"/>
        <w:jc w:val="both"/>
        <w:rPr>
          <w:rFonts w:ascii="Times New Roman" w:hAnsi="Times New Roman" w:cs="Times New Roman"/>
          <w:sz w:val="28"/>
        </w:rPr>
      </w:pPr>
      <w:r w:rsidRPr="001A3F92">
        <w:rPr>
          <w:rFonts w:ascii="Times New Roman" w:hAnsi="Times New Roman" w:cs="Times New Roman"/>
          <w:sz w:val="28"/>
        </w:rPr>
        <w:t>Подписанность на публичные аккаунты молодёжных организаций (</w:t>
      </w:r>
      <w:r w:rsidRPr="001A3F92">
        <w:rPr>
          <w:rFonts w:ascii="Times New Roman" w:hAnsi="Times New Roman" w:cs="Times New Roman"/>
          <w:i/>
          <w:sz w:val="28"/>
        </w:rPr>
        <w:t>x4</w:t>
      </w:r>
      <w:r w:rsidRPr="001A3F92">
        <w:rPr>
          <w:rFonts w:ascii="Times New Roman" w:hAnsi="Times New Roman" w:cs="Times New Roman"/>
          <w:sz w:val="28"/>
        </w:rPr>
        <w:t xml:space="preserve">): коэффициент </w:t>
      </w:r>
      <w:r w:rsidRPr="001A3F92">
        <w:rPr>
          <w:rFonts w:ascii="Times New Roman" w:hAnsi="Times New Roman" w:cs="Times New Roman"/>
          <w:i/>
          <w:sz w:val="28"/>
        </w:rPr>
        <w:t>B=0,429</w:t>
      </w:r>
      <w:r w:rsidRPr="001A3F92">
        <w:rPr>
          <w:rFonts w:ascii="Times New Roman" w:hAnsi="Times New Roman" w:cs="Times New Roman"/>
          <w:sz w:val="28"/>
        </w:rPr>
        <w:t xml:space="preserve">, стандартизованный коэффициент </w:t>
      </w:r>
      <w:r w:rsidRPr="001A3F92">
        <w:rPr>
          <w:rFonts w:ascii="Times New Roman" w:hAnsi="Times New Roman" w:cs="Times New Roman"/>
          <w:i/>
          <w:sz w:val="28"/>
        </w:rPr>
        <w:t xml:space="preserve">β=0,393,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Данный фактор оказывает существенное положительное влияние, указывая на то, что подписка на цифровые ресурсы организаций способствует повышению уровня офлайн-вовлечённости. </w:t>
      </w:r>
    </w:p>
    <w:p w:rsidR="001A3F92" w:rsidRPr="001A3F92" w:rsidRDefault="001A3F92" w:rsidP="008465D6">
      <w:pPr>
        <w:numPr>
          <w:ilvl w:val="0"/>
          <w:numId w:val="56"/>
        </w:numPr>
        <w:spacing w:after="0" w:line="240" w:lineRule="auto"/>
        <w:ind w:left="0" w:firstLine="709"/>
        <w:jc w:val="both"/>
        <w:rPr>
          <w:rFonts w:ascii="Times New Roman" w:hAnsi="Times New Roman" w:cs="Times New Roman"/>
          <w:sz w:val="28"/>
        </w:rPr>
      </w:pPr>
      <w:r w:rsidRPr="001A3F92">
        <w:rPr>
          <w:rFonts w:ascii="Times New Roman" w:hAnsi="Times New Roman" w:cs="Times New Roman"/>
          <w:sz w:val="28"/>
        </w:rPr>
        <w:t>Возраст респондентов (</w:t>
      </w:r>
      <w:r w:rsidRPr="001A3F92">
        <w:rPr>
          <w:rFonts w:ascii="Times New Roman" w:hAnsi="Times New Roman" w:cs="Times New Roman"/>
          <w:i/>
          <w:sz w:val="28"/>
        </w:rPr>
        <w:t>x6</w:t>
      </w:r>
      <w:r w:rsidRPr="001A3F92">
        <w:rPr>
          <w:rFonts w:ascii="Times New Roman" w:hAnsi="Times New Roman" w:cs="Times New Roman"/>
          <w:sz w:val="28"/>
        </w:rPr>
        <w:t xml:space="preserve">): коэффициент </w:t>
      </w:r>
      <w:r w:rsidRPr="001A3F92">
        <w:rPr>
          <w:rFonts w:ascii="Times New Roman" w:hAnsi="Times New Roman" w:cs="Times New Roman"/>
          <w:i/>
          <w:sz w:val="28"/>
        </w:rPr>
        <w:t xml:space="preserve">B=−0,571, β=−0,619,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Переменная демонстрирует сильное отрицательное влияние, что свидетельствует о снижении офлайн-участия с увеличением возраста. </w:t>
      </w:r>
    </w:p>
    <w:p w:rsidR="001A3F92" w:rsidRPr="001A3F92" w:rsidRDefault="001A3F92" w:rsidP="008465D6">
      <w:pPr>
        <w:numPr>
          <w:ilvl w:val="0"/>
          <w:numId w:val="56"/>
        </w:numPr>
        <w:spacing w:after="0" w:line="240" w:lineRule="auto"/>
        <w:ind w:left="0" w:firstLine="709"/>
        <w:jc w:val="both"/>
        <w:rPr>
          <w:rFonts w:ascii="Times New Roman" w:hAnsi="Times New Roman" w:cs="Times New Roman"/>
          <w:sz w:val="28"/>
        </w:rPr>
      </w:pPr>
      <w:r w:rsidRPr="001A3F92">
        <w:rPr>
          <w:rFonts w:ascii="Times New Roman" w:hAnsi="Times New Roman" w:cs="Times New Roman"/>
          <w:sz w:val="28"/>
        </w:rPr>
        <w:t>Наличие аккаунта в социальных медиа (</w:t>
      </w:r>
      <w:r w:rsidRPr="001A3F92">
        <w:rPr>
          <w:rFonts w:ascii="Times New Roman" w:hAnsi="Times New Roman" w:cs="Times New Roman"/>
          <w:i/>
          <w:sz w:val="28"/>
        </w:rPr>
        <w:t>x1</w:t>
      </w:r>
      <w:r w:rsidRPr="001A3F92">
        <w:rPr>
          <w:rFonts w:ascii="Times New Roman" w:hAnsi="Times New Roman" w:cs="Times New Roman"/>
          <w:sz w:val="28"/>
        </w:rPr>
        <w:t xml:space="preserve">): коэффициент </w:t>
      </w:r>
      <w:r w:rsidRPr="001A3F92">
        <w:rPr>
          <w:rFonts w:ascii="Times New Roman" w:hAnsi="Times New Roman" w:cs="Times New Roman"/>
          <w:i/>
          <w:sz w:val="28"/>
        </w:rPr>
        <w:t xml:space="preserve">B=0,857, β=0,156,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Несмотря на относительно меньшую стандартизованную значимость по сравнению с другими факторами, наличие аккаунта статистически значимо повышает вероятность офлайн-участия. </w:t>
      </w:r>
    </w:p>
    <w:p w:rsidR="001A3F92" w:rsidRPr="001A3F92" w:rsidRDefault="001A3F92" w:rsidP="001A3F92">
      <w:pPr>
        <w:spacing w:after="0" w:line="240" w:lineRule="auto"/>
        <w:ind w:left="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13 – Результаты регрессионного анализа данных авторского опроса 2019 года (модель А5). Источник: данные автора</w:t>
      </w:r>
    </w:p>
    <w:p w:rsidR="001A3F92" w:rsidRPr="001A3F92" w:rsidRDefault="001A3F92" w:rsidP="00EF028B">
      <w:pPr>
        <w:spacing w:after="0" w:line="256" w:lineRule="auto"/>
        <w:ind w:firstLine="567"/>
        <w:jc w:val="both"/>
        <w:rPr>
          <w:rFonts w:ascii="Times New Roman" w:eastAsia="Times New Roman" w:hAnsi="Times New Roman" w:cs="Times New Roman"/>
          <w:color w:val="000000"/>
          <w:sz w:val="28"/>
          <w:szCs w:val="28"/>
          <w:lang w:eastAsia="ru-RU"/>
        </w:rPr>
      </w:pPr>
      <w:r w:rsidRPr="001A3F92">
        <w:rPr>
          <w:rFonts w:ascii="Times New Roman" w:eastAsia="Times New Roman" w:hAnsi="Times New Roman" w:cs="Times New Roman"/>
          <w:noProof/>
          <w:color w:val="000000"/>
          <w:sz w:val="28"/>
          <w:szCs w:val="28"/>
          <w:lang w:eastAsia="ru-RU"/>
        </w:rPr>
        <w:drawing>
          <wp:inline distT="0" distB="0" distL="0" distR="0" wp14:anchorId="538585F7" wp14:editId="447145F2">
            <wp:extent cx="5572125" cy="28098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572125" cy="280987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то же время, переменные «частота посещения аккаунта» (</w:t>
      </w:r>
      <w:r w:rsidRPr="001A3F92">
        <w:rPr>
          <w:rFonts w:ascii="Times New Roman" w:hAnsi="Times New Roman" w:cs="Times New Roman"/>
          <w:i/>
          <w:sz w:val="28"/>
        </w:rPr>
        <w:t>x2</w:t>
      </w:r>
      <w:r w:rsidRPr="001A3F92">
        <w:rPr>
          <w:rFonts w:ascii="Times New Roman" w:hAnsi="Times New Roman" w:cs="Times New Roman"/>
          <w:sz w:val="28"/>
        </w:rPr>
        <w:t>) и «осведомлённость о молодёжных общественных организациях» (</w:t>
      </w:r>
      <w:r w:rsidRPr="001A3F92">
        <w:rPr>
          <w:rFonts w:ascii="Times New Roman" w:hAnsi="Times New Roman" w:cs="Times New Roman"/>
          <w:i/>
          <w:sz w:val="28"/>
        </w:rPr>
        <w:t>x3</w:t>
      </w:r>
      <w:r w:rsidRPr="001A3F92">
        <w:rPr>
          <w:rFonts w:ascii="Times New Roman" w:hAnsi="Times New Roman" w:cs="Times New Roman"/>
          <w:sz w:val="28"/>
        </w:rPr>
        <w:t>) не демонстрируют статистически значимого влияния в обоих случаях. Это позволяет заключить, что сами по себе частота взаимодействия с аккаунтами и декларативная осведомлённость не трансформируются в реальные формы офлайн-активности без дополнительных факторов, таких как подписка и вовлечённость.</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lastRenderedPageBreak/>
        <w:t xml:space="preserve">Таким образом, </w:t>
      </w:r>
      <w:r w:rsidRPr="001A3F92">
        <w:rPr>
          <w:rFonts w:ascii="Times New Roman" w:hAnsi="Times New Roman" w:cs="Times New Roman"/>
          <w:i/>
          <w:sz w:val="28"/>
        </w:rPr>
        <w:t>модель А5 скорее поддерживает точку зрения технологического детерминизма</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Модель A6 (см. Таблицу 14) исключает возраст респондентов, что позволяет оценить влияние цифровых и гендерных факторов в максимально «очищенном» виде.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Результаты множественного регрессионного анализа свидетельствуют о высокой объяснительной способности построенной модели. Коэффициент детерминации (</w:t>
      </w:r>
      <w:r w:rsidRPr="001A3F92">
        <w:rPr>
          <w:rFonts w:ascii="Times New Roman" w:hAnsi="Times New Roman" w:cs="Times New Roman"/>
          <w:i/>
          <w:sz w:val="28"/>
        </w:rPr>
        <w:t>R² = 0,679</w:t>
      </w:r>
      <w:r w:rsidRPr="001A3F92">
        <w:rPr>
          <w:rFonts w:ascii="Times New Roman" w:hAnsi="Times New Roman" w:cs="Times New Roman"/>
          <w:sz w:val="28"/>
        </w:rPr>
        <w:t>) указывает на то, что 67,9% вариации зависимой переменной объясняется включёнными в модель предикторами. Это позволяет охарактеризовать модель как обладающую значительной прогностической силой. Необходимо отметить, что коэффициент детерминации данной модели самый низкий из рассмотренных. Дисперсионный анализ (ANOVA) подтверждает статистическую значимость модели в целом</w:t>
      </w:r>
      <w:r w:rsidRPr="001A3F92">
        <w:rPr>
          <w:rFonts w:ascii="Times New Roman" w:hAnsi="Times New Roman" w:cs="Times New Roman"/>
          <w:i/>
          <w:sz w:val="28"/>
        </w:rPr>
        <w:t>: F = 81,898</w:t>
      </w:r>
      <w:r w:rsidRPr="001A3F92">
        <w:rPr>
          <w:rFonts w:ascii="Times New Roman" w:hAnsi="Times New Roman" w:cs="Times New Roman"/>
          <w:sz w:val="28"/>
        </w:rPr>
        <w:t xml:space="preserve"> при </w:t>
      </w:r>
      <w:r w:rsidRPr="001A3F92">
        <w:rPr>
          <w:rFonts w:ascii="Times New Roman" w:hAnsi="Times New Roman" w:cs="Times New Roman"/>
          <w:i/>
          <w:sz w:val="28"/>
        </w:rPr>
        <w:t xml:space="preserve">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Таким образом, модель является статистически значимой и пригодной для интерпретации.</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14 – Результаты регрессионного анализа данных авторского опроса 2019 года (модель А6). Источник: данные автора</w:t>
      </w:r>
    </w:p>
    <w:p w:rsidR="001A3F92" w:rsidRPr="001A3F92" w:rsidRDefault="001A3F92" w:rsidP="00EF028B">
      <w:pPr>
        <w:spacing w:after="0" w:line="240" w:lineRule="auto"/>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895405C" wp14:editId="20D2F565">
            <wp:extent cx="5572125" cy="28098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72125" cy="280987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регрессионных коэффициентов позволяет выявить вклад отдельных факторов. Наиболее значимое положительное влияние на уровень офлайн участия оказывает переменная подписанности на публичные аккаунты молодёжных общественных организаций (</w:t>
      </w:r>
      <w:r w:rsidRPr="001A3F92">
        <w:rPr>
          <w:rFonts w:ascii="Times New Roman" w:hAnsi="Times New Roman" w:cs="Times New Roman"/>
          <w:i/>
          <w:sz w:val="28"/>
        </w:rPr>
        <w:t xml:space="preserve">х4: B = 0,808; β = 0,741;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что указывает на её доминирующую роль среди предикторов. Существенное положительное влияние также демонстрирует наличие у респондентов аккаунта в социальных медиа (</w:t>
      </w:r>
      <w:r w:rsidRPr="001A3F92">
        <w:rPr>
          <w:rFonts w:ascii="Times New Roman" w:hAnsi="Times New Roman" w:cs="Times New Roman"/>
          <w:i/>
          <w:sz w:val="28"/>
        </w:rPr>
        <w:t xml:space="preserve">х1: B = 1,680; β = 0,305;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а также уровень осведомлённости о молодёжных общественных организациях (</w:t>
      </w:r>
      <w:r w:rsidRPr="001A3F92">
        <w:rPr>
          <w:rFonts w:ascii="Times New Roman" w:hAnsi="Times New Roman" w:cs="Times New Roman"/>
          <w:i/>
          <w:sz w:val="28"/>
        </w:rPr>
        <w:t>х3: B = 0,126; β = 0,265; p &lt; 0,001</w:t>
      </w:r>
      <w:r w:rsidRPr="001A3F92">
        <w:rPr>
          <w:rFonts w:ascii="Times New Roman" w:hAnsi="Times New Roman" w:cs="Times New Roman"/>
          <w:sz w:val="28"/>
        </w:rPr>
        <w:t xml:space="preserve">). Эти результаты свидетельствуют о том, что как институционализированное присутствие респондентов в цифровой среде, так и их информированность способствуют вовлечению в офлайн деятельность институтов гражданского общества. В то же время переменная пола </w:t>
      </w:r>
      <w:r w:rsidRPr="001A3F92">
        <w:rPr>
          <w:rFonts w:ascii="Times New Roman" w:hAnsi="Times New Roman" w:cs="Times New Roman"/>
          <w:sz w:val="28"/>
        </w:rPr>
        <w:lastRenderedPageBreak/>
        <w:t>респондентов (</w:t>
      </w:r>
      <w:r w:rsidRPr="001A3F92">
        <w:rPr>
          <w:rFonts w:ascii="Times New Roman" w:hAnsi="Times New Roman" w:cs="Times New Roman"/>
          <w:i/>
          <w:sz w:val="28"/>
        </w:rPr>
        <w:t xml:space="preserve">х5: B = -0,272; β = -0,337;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оказывает статистически значимое отрицательное влияние, что указывает на различия в уровне офлайн участия между гендерными группами. Переменная частоты посещения аккаунта (</w:t>
      </w:r>
      <w:r w:rsidRPr="001A3F92">
        <w:rPr>
          <w:rFonts w:ascii="Times New Roman" w:hAnsi="Times New Roman" w:cs="Times New Roman"/>
          <w:i/>
          <w:sz w:val="28"/>
        </w:rPr>
        <w:t>х2: B = -0,019; β = -0,032</w:t>
      </w:r>
      <w:r w:rsidRPr="001A3F92">
        <w:rPr>
          <w:rFonts w:ascii="Times New Roman" w:hAnsi="Times New Roman" w:cs="Times New Roman"/>
          <w:sz w:val="28"/>
        </w:rPr>
        <w:t>) не является статистически значимой (</w:t>
      </w:r>
      <w:r w:rsidRPr="001A3F92">
        <w:rPr>
          <w:rFonts w:ascii="Times New Roman" w:hAnsi="Times New Roman" w:cs="Times New Roman"/>
          <w:i/>
          <w:sz w:val="28"/>
        </w:rPr>
        <w:t>p = 0,484</w:t>
      </w:r>
      <w:r w:rsidRPr="001A3F92">
        <w:rPr>
          <w:rFonts w:ascii="Times New Roman" w:hAnsi="Times New Roman" w:cs="Times New Roman"/>
          <w:sz w:val="28"/>
        </w:rPr>
        <w:t>), что позволяет заключить об отсутствии её самостоятельного влияния на офлайн участие при контроле других факторов, включённых в модель.</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целом полученные результаты позволяют сделать вывод о том, что ключевыми факторами, определяющими офлайн участие респондентов, являются институционализированная цифровая вовлечённость (подписанность на публичные аккаунты общественных организаций онлайн), наличие аккаунта в социальных медиа и уровень осведомлённости.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модель А6 скорее поддерживает точку зрения технологического детерминизма</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Вывод по результатам множественного корреляционно-регрессионного анализа данных авторского опроса 2019 года</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Прежде всего, результаты исследования демонстрируют устойчивую и воспроизводимую структуру факторов, влияющих на уровень офлайн гражданского участия молодёжи. Независимо от спецификации моделей, ключевыми предикторами выступают институционализированные формы цифрового вовлечения, прежде всего подписанность на публичные аккаунты молодёжных организаций (</w:t>
      </w:r>
      <w:r w:rsidRPr="001A3F92">
        <w:rPr>
          <w:rFonts w:ascii="Times New Roman" w:hAnsi="Times New Roman" w:cs="Times New Roman"/>
          <w:i/>
          <w:sz w:val="28"/>
        </w:rPr>
        <w:t>x4</w:t>
      </w:r>
      <w:r w:rsidRPr="001A3F92">
        <w:rPr>
          <w:rFonts w:ascii="Times New Roman" w:hAnsi="Times New Roman" w:cs="Times New Roman"/>
          <w:sz w:val="28"/>
        </w:rPr>
        <w:t>), а также возраст респондентов (</w:t>
      </w:r>
      <w:r w:rsidRPr="001A3F92">
        <w:rPr>
          <w:rFonts w:ascii="Times New Roman" w:hAnsi="Times New Roman" w:cs="Times New Roman"/>
          <w:i/>
          <w:sz w:val="28"/>
        </w:rPr>
        <w:t>x6</w:t>
      </w:r>
      <w:r w:rsidRPr="001A3F92">
        <w:rPr>
          <w:rFonts w:ascii="Times New Roman" w:hAnsi="Times New Roman" w:cs="Times New Roman"/>
          <w:sz w:val="28"/>
        </w:rPr>
        <w:t xml:space="preserve">). При этом именно возрастной фактор систематически проявляет наиболее сильное влияние по абсолютной величине коэффициентов, что указывает на фундаментальный характер возрастной дифференциации гражданской активности.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Выявлено, что когнитивный компонент, то есть осведомлённость о молодёжных общественных организациях (</w:t>
      </w:r>
      <w:r w:rsidRPr="001A3F92">
        <w:rPr>
          <w:rFonts w:ascii="Times New Roman" w:hAnsi="Times New Roman" w:cs="Times New Roman"/>
          <w:i/>
          <w:sz w:val="28"/>
        </w:rPr>
        <w:t>x3</w:t>
      </w:r>
      <w:r w:rsidRPr="001A3F92">
        <w:rPr>
          <w:rFonts w:ascii="Times New Roman" w:hAnsi="Times New Roman" w:cs="Times New Roman"/>
          <w:sz w:val="28"/>
        </w:rPr>
        <w:t>), в большинстве моделей не обладает самостоятельной объяснительной силой. Это свидетельствует о разрыве между знанием и действием: наличие информации само по себе не трансформируется в участие без включённости в институциональные и коммуникационные сети. Аналогичным образом, частота использования социальных медиа (</w:t>
      </w:r>
      <w:r w:rsidRPr="001A3F92">
        <w:rPr>
          <w:rFonts w:ascii="Times New Roman" w:hAnsi="Times New Roman" w:cs="Times New Roman"/>
          <w:i/>
          <w:sz w:val="28"/>
        </w:rPr>
        <w:t>x2</w:t>
      </w:r>
      <w:r w:rsidRPr="001A3F92">
        <w:rPr>
          <w:rFonts w:ascii="Times New Roman" w:hAnsi="Times New Roman" w:cs="Times New Roman"/>
          <w:sz w:val="28"/>
        </w:rPr>
        <w:t>) не оказывает значимого влияния, что дополнительно подтверждает ограниченность количественных характеристик цифровой активности без учёта её содержательной направленности.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С теоретической точки зрения полученные результаты позволяют сделать вывод о комбинированной природе механизмов гражданского участия.</w:t>
      </w:r>
      <w:r w:rsidRPr="001A3F92">
        <w:rPr>
          <w:rFonts w:ascii="Times New Roman" w:hAnsi="Times New Roman" w:cs="Times New Roman"/>
          <w:sz w:val="28"/>
        </w:rPr>
        <w:t xml:space="preserve"> С одной стороны, данные убедительно подтверждают положения технологического детерминизма, поскольку институционализированное цифровое вовлечение выступает ключевым драйвером офлайн активности. С другой стороны, значимость возрастного фактора и снижение объяснительной способности моделей при его исключении указывают на сохраняющуюся роль социальных структур и жизненного цикла, что соответствует логике теории социальных сил.</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Корреляционный анализ данных оригинального социологического опроса 2023 года</w:t>
      </w:r>
      <w:r w:rsidRPr="001A3F92">
        <w:rPr>
          <w:rFonts w:ascii="Times New Roman" w:hAnsi="Times New Roman" w:cs="Times New Roman"/>
          <w:sz w:val="28"/>
        </w:rPr>
        <w:t xml:space="preserve"> (см. Таблицу 15).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lastRenderedPageBreak/>
        <w:t>Анализ зависимой переменной показывает (</w:t>
      </w:r>
      <w:r w:rsidRPr="001A3F92">
        <w:rPr>
          <w:rFonts w:ascii="Times New Roman" w:hAnsi="Times New Roman" w:cs="Times New Roman"/>
          <w:i/>
          <w:sz w:val="28"/>
        </w:rPr>
        <w:t>у</w:t>
      </w:r>
      <w:r w:rsidRPr="001A3F92">
        <w:rPr>
          <w:rFonts w:ascii="Times New Roman" w:hAnsi="Times New Roman" w:cs="Times New Roman"/>
          <w:sz w:val="28"/>
        </w:rPr>
        <w:t xml:space="preserve">), что статистически значимые корреляции наблюдаются с переменными </w:t>
      </w:r>
      <w:r w:rsidRPr="001A3F92">
        <w:rPr>
          <w:rFonts w:ascii="Times New Roman" w:hAnsi="Times New Roman" w:cs="Times New Roman"/>
          <w:i/>
          <w:sz w:val="28"/>
        </w:rPr>
        <w:t>x2, x4, x5</w:t>
      </w:r>
      <w:r w:rsidRPr="001A3F92">
        <w:rPr>
          <w:rFonts w:ascii="Times New Roman" w:hAnsi="Times New Roman" w:cs="Times New Roman"/>
          <w:sz w:val="28"/>
        </w:rPr>
        <w:t xml:space="preserve"> и </w:t>
      </w:r>
      <w:r w:rsidRPr="001A3F92">
        <w:rPr>
          <w:rFonts w:ascii="Times New Roman" w:hAnsi="Times New Roman" w:cs="Times New Roman"/>
          <w:i/>
          <w:sz w:val="28"/>
        </w:rPr>
        <w:t>x6</w:t>
      </w:r>
      <w:r w:rsidRPr="001A3F92">
        <w:rPr>
          <w:rFonts w:ascii="Times New Roman" w:hAnsi="Times New Roman" w:cs="Times New Roman"/>
          <w:sz w:val="28"/>
        </w:rPr>
        <w:t>. Наиболее сильная положительная связь зафиксирована между офлайн участием и подписанностью на публичные аккаунты молодёжных общественных организаций (</w:t>
      </w:r>
      <w:r w:rsidRPr="001A3F92">
        <w:rPr>
          <w:rFonts w:ascii="Times New Roman" w:hAnsi="Times New Roman" w:cs="Times New Roman"/>
          <w:i/>
          <w:sz w:val="28"/>
        </w:rPr>
        <w:t xml:space="preserve">x4: r = 0,962;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Данный коэффициент указывает на практически функциональную зависимость, что свидетельствует о крайне высокой сопряжённости этих показателей: вовлечённость в цифровые каналы организаций непосредственно связана с уровнем офлайн активности.</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15 – Результаты корреляционного анализа данных авторского опроса 2023 года. Источник: данные автора</w:t>
      </w:r>
    </w:p>
    <w:p w:rsidR="001A3F92" w:rsidRPr="001A3F92" w:rsidRDefault="001A3F92" w:rsidP="001A3F92">
      <w:pPr>
        <w:spacing w:after="0" w:line="240" w:lineRule="auto"/>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581CF3B7" wp14:editId="69BE8D04">
            <wp:extent cx="6120130" cy="524065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524065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Наряду с этим выявлены выраженные отрицательные корреляции офлайн участия с возрастом респондентов (</w:t>
      </w:r>
      <w:r w:rsidRPr="001A3F92">
        <w:rPr>
          <w:rFonts w:ascii="Times New Roman" w:hAnsi="Times New Roman" w:cs="Times New Roman"/>
          <w:i/>
          <w:sz w:val="28"/>
        </w:rPr>
        <w:t xml:space="preserve">x6: r = -0,715;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и полом (</w:t>
      </w:r>
      <w:r w:rsidRPr="001A3F92">
        <w:rPr>
          <w:rFonts w:ascii="Times New Roman" w:hAnsi="Times New Roman" w:cs="Times New Roman"/>
          <w:i/>
          <w:sz w:val="28"/>
        </w:rPr>
        <w:t>x5: r = -0,574; p &lt; 0,001</w:t>
      </w:r>
      <w:r w:rsidRPr="001A3F92">
        <w:rPr>
          <w:rFonts w:ascii="Times New Roman" w:hAnsi="Times New Roman" w:cs="Times New Roman"/>
          <w:sz w:val="28"/>
        </w:rPr>
        <w:t>). Полученные результаты свидетельствуют о значимой возрастной дифференциации: по мере увеличения возраста наблюдается снижение уровня участия. Отрицательная связь с переменной пола указывает на наличие гендерных различий. Также зафиксирована слабая, но статистически значимая отрицательная связь с частотой посещения аккаунта (</w:t>
      </w:r>
      <w:r w:rsidRPr="001A3F92">
        <w:rPr>
          <w:rFonts w:ascii="Times New Roman" w:hAnsi="Times New Roman" w:cs="Times New Roman"/>
          <w:i/>
          <w:sz w:val="28"/>
        </w:rPr>
        <w:t>x2: r = -0,186; p = 0,008</w:t>
      </w:r>
      <w:r w:rsidRPr="001A3F92">
        <w:rPr>
          <w:rFonts w:ascii="Times New Roman" w:hAnsi="Times New Roman" w:cs="Times New Roman"/>
          <w:sz w:val="28"/>
        </w:rPr>
        <w:t xml:space="preserve">), что может свидетельствовать о том, что сама по себе интенсивность </w:t>
      </w:r>
      <w:r w:rsidRPr="001A3F92">
        <w:rPr>
          <w:rFonts w:ascii="Times New Roman" w:hAnsi="Times New Roman" w:cs="Times New Roman"/>
          <w:sz w:val="28"/>
        </w:rPr>
        <w:lastRenderedPageBreak/>
        <w:t>использования социальных медиа не способствует росту офлайн участия и, возможно, отражает замещение офлайн-активности онлайн-практиками.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Переменные наличие аккаунта в социальных медиа (</w:t>
      </w:r>
      <w:r w:rsidRPr="001A3F92">
        <w:rPr>
          <w:rFonts w:ascii="Times New Roman" w:hAnsi="Times New Roman" w:cs="Times New Roman"/>
          <w:i/>
          <w:sz w:val="28"/>
        </w:rPr>
        <w:t>x1: r = -0,043; p = 0,546</w:t>
      </w:r>
      <w:r w:rsidRPr="001A3F92">
        <w:rPr>
          <w:rFonts w:ascii="Times New Roman" w:hAnsi="Times New Roman" w:cs="Times New Roman"/>
          <w:sz w:val="28"/>
        </w:rPr>
        <w:t xml:space="preserve">) и осведомлённость о молодёжных общественных организациях </w:t>
      </w:r>
      <w:r w:rsidRPr="001A3F92">
        <w:rPr>
          <w:rFonts w:ascii="Times New Roman" w:hAnsi="Times New Roman" w:cs="Times New Roman"/>
          <w:i/>
          <w:sz w:val="28"/>
        </w:rPr>
        <w:t>(x3: r = 0,096; p = 0,174</w:t>
      </w:r>
      <w:r w:rsidRPr="001A3F92">
        <w:rPr>
          <w:rFonts w:ascii="Times New Roman" w:hAnsi="Times New Roman" w:cs="Times New Roman"/>
          <w:sz w:val="28"/>
        </w:rPr>
        <w:t>) не демонстрируют статистически значимых связей с зависимой переменной, что позволяет говорить об их ограниченной роли в объяснении вариации офлайн участия на уровне парных корреляций.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межфакторных связей между независимыми переменными выявляет наличие выраженной структуры взаимозависимостей. В частности, наблюдается сильная положительная корреляция между полом и возрастом (</w:t>
      </w:r>
      <w:r w:rsidRPr="001A3F92">
        <w:rPr>
          <w:rFonts w:ascii="Times New Roman" w:hAnsi="Times New Roman" w:cs="Times New Roman"/>
          <w:i/>
          <w:sz w:val="28"/>
        </w:rPr>
        <w:t xml:space="preserve">x5 и x6: r = 0,802;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что может указывать на специфику выборки. Также фиксируется сильная отрицательная связь между подписанностью на аккаунты организаций и возрастом (</w:t>
      </w:r>
      <w:r w:rsidRPr="001A3F92">
        <w:rPr>
          <w:rFonts w:ascii="Times New Roman" w:hAnsi="Times New Roman" w:cs="Times New Roman"/>
          <w:i/>
          <w:sz w:val="28"/>
        </w:rPr>
        <w:t xml:space="preserve">x4 и x6: r = -0,688;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а также между подписанностью и полом (</w:t>
      </w:r>
      <w:r w:rsidRPr="001A3F92">
        <w:rPr>
          <w:rFonts w:ascii="Times New Roman" w:hAnsi="Times New Roman" w:cs="Times New Roman"/>
          <w:i/>
          <w:sz w:val="28"/>
        </w:rPr>
        <w:t>x4 и x5: r = -0,552; p &lt; 0,001</w:t>
      </w:r>
      <w:r w:rsidRPr="001A3F92">
        <w:rPr>
          <w:rFonts w:ascii="Times New Roman" w:hAnsi="Times New Roman" w:cs="Times New Roman"/>
          <w:sz w:val="28"/>
        </w:rPr>
        <w:t>), что свидетельствует о том, что онлайн институционализированная вовлечённость варьируется в зависимости от социодемографических характеристик.</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Дополнительно выявлены умеренные положительные корреляции между частотой посещения социальных медиа и осведомлённостью (</w:t>
      </w:r>
      <w:r w:rsidRPr="001A3F92">
        <w:rPr>
          <w:rFonts w:ascii="Times New Roman" w:hAnsi="Times New Roman" w:cs="Times New Roman"/>
          <w:i/>
          <w:sz w:val="28"/>
        </w:rPr>
        <w:t xml:space="preserve">x2 и x3: r = 0,474;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а также между частотой посещения и полом (</w:t>
      </w:r>
      <w:r w:rsidRPr="001A3F92">
        <w:rPr>
          <w:rFonts w:ascii="Times New Roman" w:hAnsi="Times New Roman" w:cs="Times New Roman"/>
          <w:i/>
          <w:sz w:val="28"/>
        </w:rPr>
        <w:t>x2 и x5: r = 0,324; p &lt; 0,001</w:t>
      </w:r>
      <w:r w:rsidRPr="001A3F92">
        <w:rPr>
          <w:rFonts w:ascii="Times New Roman" w:hAnsi="Times New Roman" w:cs="Times New Roman"/>
          <w:sz w:val="28"/>
        </w:rPr>
        <w:t>) и возрастом (</w:t>
      </w:r>
      <w:r w:rsidRPr="001A3F92">
        <w:rPr>
          <w:rFonts w:ascii="Times New Roman" w:hAnsi="Times New Roman" w:cs="Times New Roman"/>
          <w:i/>
          <w:sz w:val="28"/>
        </w:rPr>
        <w:t>x2 и x6: r = 0,260; p &lt; 0,001</w:t>
      </w:r>
      <w:r w:rsidRPr="001A3F92">
        <w:rPr>
          <w:rFonts w:ascii="Times New Roman" w:hAnsi="Times New Roman" w:cs="Times New Roman"/>
          <w:sz w:val="28"/>
        </w:rPr>
        <w:t>). Это указывает на то, что более активное использование социальных медиа связано с более высоким уровнем информированности, однако данная активность не трансформируется непосредственно в офлайн участие.</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Регрессионный анализ данных оригинального опроса 2023 года</w:t>
      </w:r>
      <w:r w:rsidRPr="001A3F92">
        <w:rPr>
          <w:rFonts w:ascii="Times New Roman" w:hAnsi="Times New Roman" w:cs="Times New Roman"/>
          <w:sz w:val="28"/>
        </w:rPr>
        <w:t>. В данном анализе также составлено шесть моделей с различным набором предикторов, как и в анализе данных опроса 2019 года.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 Модель B1 (см. Таблицу 16) включает полный набор предикторов и отражает комплексное воздействие цифровых, когнитивных и социодемографических факторов на гражданское участие молодёжи.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Результаты множественного регрессионного анализа позволяют сделать вывод о высокой объяснительной способности построенной модели. Коэффициент детерминации, рассчитанный на основе представленных данных (</w:t>
      </w:r>
      <w:r w:rsidRPr="001A3F92">
        <w:rPr>
          <w:rFonts w:ascii="Times New Roman" w:hAnsi="Times New Roman" w:cs="Times New Roman"/>
          <w:i/>
          <w:sz w:val="28"/>
        </w:rPr>
        <w:t>R² ≈ 0,931</w:t>
      </w:r>
      <w:r w:rsidRPr="001A3F92">
        <w:rPr>
          <w:rFonts w:ascii="Times New Roman" w:hAnsi="Times New Roman" w:cs="Times New Roman"/>
          <w:sz w:val="28"/>
        </w:rPr>
        <w:t xml:space="preserve">), свидетельствует о том, что около 93,1% вариации зависимой переменной объясняется совокупностью включённых предикторов. Это указывает на исключительно высокий уровень соответствия модели эмпирическим данным. Дисперсионный анализ (ANOVA) подтверждает статистическую значимость модели в целом: значение критерия Фишера составляет </w:t>
      </w:r>
      <w:r w:rsidRPr="001A3F92">
        <w:rPr>
          <w:rFonts w:ascii="Times New Roman" w:hAnsi="Times New Roman" w:cs="Times New Roman"/>
          <w:i/>
          <w:sz w:val="28"/>
        </w:rPr>
        <w:t>F = 435,873</w:t>
      </w:r>
      <w:r w:rsidRPr="001A3F92">
        <w:rPr>
          <w:rFonts w:ascii="Times New Roman" w:hAnsi="Times New Roman" w:cs="Times New Roman"/>
          <w:sz w:val="28"/>
        </w:rPr>
        <w:t xml:space="preserve"> при </w:t>
      </w:r>
      <w:r w:rsidRPr="001A3F92">
        <w:rPr>
          <w:rFonts w:ascii="Times New Roman" w:hAnsi="Times New Roman" w:cs="Times New Roman"/>
          <w:i/>
          <w:sz w:val="28"/>
        </w:rPr>
        <w:t xml:space="preserve">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Таким образом, совокупное влияние независимых переменных на зависимую является статистически значимым.</w:t>
      </w:r>
    </w:p>
    <w:p w:rsidR="001A3F92" w:rsidRPr="001A3F92" w:rsidRDefault="001A3F92" w:rsidP="001A3F92">
      <w:pPr>
        <w:spacing w:after="0" w:line="240" w:lineRule="auto"/>
        <w:ind w:firstLine="709"/>
        <w:jc w:val="center"/>
        <w:rPr>
          <w:rFonts w:ascii="Times New Roman" w:hAnsi="Times New Roman" w:cs="Times New Roman"/>
          <w:sz w:val="28"/>
        </w:rPr>
      </w:pPr>
    </w:p>
    <w:p w:rsidR="00A2171A" w:rsidRDefault="00A2171A" w:rsidP="001A3F92">
      <w:pPr>
        <w:spacing w:after="0" w:line="240" w:lineRule="auto"/>
        <w:ind w:firstLine="709"/>
        <w:jc w:val="center"/>
        <w:rPr>
          <w:rFonts w:ascii="Times New Roman" w:hAnsi="Times New Roman" w:cs="Times New Roman"/>
          <w:sz w:val="28"/>
        </w:rPr>
      </w:pPr>
    </w:p>
    <w:p w:rsidR="00A2171A" w:rsidRDefault="00A2171A" w:rsidP="001A3F92">
      <w:pPr>
        <w:spacing w:after="0" w:line="240" w:lineRule="auto"/>
        <w:ind w:firstLine="709"/>
        <w:jc w:val="center"/>
        <w:rPr>
          <w:rFonts w:ascii="Times New Roman" w:hAnsi="Times New Roman" w:cs="Times New Roman"/>
          <w:sz w:val="28"/>
        </w:rPr>
      </w:pPr>
    </w:p>
    <w:p w:rsidR="00A2171A" w:rsidRDefault="00A2171A" w:rsidP="001A3F92">
      <w:pPr>
        <w:spacing w:after="0" w:line="240" w:lineRule="auto"/>
        <w:ind w:firstLine="709"/>
        <w:jc w:val="center"/>
        <w:rPr>
          <w:rFonts w:ascii="Times New Roman" w:hAnsi="Times New Roman" w:cs="Times New Roman"/>
          <w:sz w:val="28"/>
        </w:rPr>
      </w:pPr>
    </w:p>
    <w:p w:rsidR="00A2171A" w:rsidRDefault="00A2171A" w:rsidP="001A3F92">
      <w:pPr>
        <w:spacing w:after="0" w:line="240" w:lineRule="auto"/>
        <w:ind w:firstLine="709"/>
        <w:jc w:val="center"/>
        <w:rPr>
          <w:rFonts w:ascii="Times New Roman" w:hAnsi="Times New Roman" w:cs="Times New Roman"/>
          <w:sz w:val="28"/>
        </w:rPr>
      </w:pPr>
    </w:p>
    <w:p w:rsidR="00A2171A" w:rsidRDefault="00A2171A" w:rsidP="001A3F92">
      <w:pPr>
        <w:spacing w:after="0" w:line="240" w:lineRule="auto"/>
        <w:ind w:firstLine="709"/>
        <w:jc w:val="center"/>
        <w:rPr>
          <w:rFonts w:ascii="Times New Roman" w:hAnsi="Times New Roman" w:cs="Times New Roman"/>
          <w:sz w:val="28"/>
        </w:rPr>
      </w:pPr>
    </w:p>
    <w:p w:rsidR="00A2171A" w:rsidRDefault="00A2171A"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16 – Результаты регрессионного анализа данных авторского опроса 2023 года (модель В1). Источник: данные автора</w:t>
      </w:r>
    </w:p>
    <w:p w:rsidR="001A3F92" w:rsidRPr="001A3F92" w:rsidRDefault="001A3F92" w:rsidP="00A2171A">
      <w:pPr>
        <w:spacing w:after="0" w:line="240" w:lineRule="auto"/>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E34D4FA" wp14:editId="5BDB64B1">
            <wp:extent cx="5572125" cy="301942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72125" cy="301942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индивидуальных коэффициентов регрессии демонстрирует крайне неравномерное распределение вклада предикторов. Абсолютно доминирующим фактором выступает подписанность на публичные аккаунты молодёжных общественных организаций (</w:t>
      </w:r>
      <w:r w:rsidRPr="001A3F92">
        <w:rPr>
          <w:rFonts w:ascii="Times New Roman" w:hAnsi="Times New Roman" w:cs="Times New Roman"/>
          <w:i/>
          <w:sz w:val="28"/>
        </w:rPr>
        <w:t>x4</w:t>
      </w:r>
      <w:r w:rsidRPr="001A3F92">
        <w:rPr>
          <w:rFonts w:ascii="Times New Roman" w:hAnsi="Times New Roman" w:cs="Times New Roman"/>
          <w:sz w:val="28"/>
        </w:rPr>
        <w:t>), которая оказывает мощное положительное влияние на уровень офлайн участия (</w:t>
      </w:r>
      <w:r w:rsidRPr="001A3F92">
        <w:rPr>
          <w:rFonts w:ascii="Times New Roman" w:hAnsi="Times New Roman" w:cs="Times New Roman"/>
          <w:i/>
          <w:sz w:val="28"/>
        </w:rPr>
        <w:t xml:space="preserve">B = 0,909; β = 0,892; t = 34,320;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По величине стандартизированного коэффициента данная переменная существенно превосходит все остальные, что указывает на её ключевую роль в объяснении зависимой переменной.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Возраст респондентов (</w:t>
      </w:r>
      <w:r w:rsidRPr="001A3F92">
        <w:rPr>
          <w:rFonts w:ascii="Times New Roman" w:hAnsi="Times New Roman" w:cs="Times New Roman"/>
          <w:i/>
          <w:sz w:val="28"/>
        </w:rPr>
        <w:t>x6</w:t>
      </w:r>
      <w:r w:rsidRPr="001A3F92">
        <w:rPr>
          <w:rFonts w:ascii="Times New Roman" w:hAnsi="Times New Roman" w:cs="Times New Roman"/>
          <w:sz w:val="28"/>
        </w:rPr>
        <w:t>) также оказывает статистически значимое влияние, однако его эффект существенно слабее и имеет отрицательное направление (</w:t>
      </w:r>
      <w:r w:rsidRPr="001A3F92">
        <w:rPr>
          <w:rFonts w:ascii="Times New Roman" w:hAnsi="Times New Roman" w:cs="Times New Roman"/>
          <w:i/>
          <w:sz w:val="28"/>
        </w:rPr>
        <w:t>B = -0,091; β = -0,101; t = -2,713; p = 0,007</w:t>
      </w:r>
      <w:r w:rsidRPr="001A3F92">
        <w:rPr>
          <w:rFonts w:ascii="Times New Roman" w:hAnsi="Times New Roman" w:cs="Times New Roman"/>
          <w:sz w:val="28"/>
        </w:rPr>
        <w:t>). Это свидетельствует о том, что с увеличением возраста наблюдается снижение уровня офлайн гражданского участия, однако данный фактор носит вспомогательный характер по сравнению с влиянием цифровой вовлечённости.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то же время переменные наличие аккаунта в социальных медиа (</w:t>
      </w:r>
      <w:r w:rsidRPr="001A3F92">
        <w:rPr>
          <w:rFonts w:ascii="Times New Roman" w:hAnsi="Times New Roman" w:cs="Times New Roman"/>
          <w:i/>
          <w:sz w:val="28"/>
        </w:rPr>
        <w:t>x1</w:t>
      </w:r>
      <w:r w:rsidRPr="001A3F92">
        <w:rPr>
          <w:rFonts w:ascii="Times New Roman" w:hAnsi="Times New Roman" w:cs="Times New Roman"/>
          <w:sz w:val="28"/>
        </w:rPr>
        <w:t>), частота посещения аккаунта (</w:t>
      </w:r>
      <w:r w:rsidRPr="001A3F92">
        <w:rPr>
          <w:rFonts w:ascii="Times New Roman" w:hAnsi="Times New Roman" w:cs="Times New Roman"/>
          <w:i/>
          <w:sz w:val="28"/>
        </w:rPr>
        <w:t>x2</w:t>
      </w:r>
      <w:r w:rsidRPr="001A3F92">
        <w:rPr>
          <w:rFonts w:ascii="Times New Roman" w:hAnsi="Times New Roman" w:cs="Times New Roman"/>
          <w:sz w:val="28"/>
        </w:rPr>
        <w:t>), осведомлённость об общественных организациях (</w:t>
      </w:r>
      <w:r w:rsidRPr="001A3F92">
        <w:rPr>
          <w:rFonts w:ascii="Times New Roman" w:hAnsi="Times New Roman" w:cs="Times New Roman"/>
          <w:i/>
          <w:sz w:val="28"/>
        </w:rPr>
        <w:t>x3</w:t>
      </w:r>
      <w:r w:rsidRPr="001A3F92">
        <w:rPr>
          <w:rFonts w:ascii="Times New Roman" w:hAnsi="Times New Roman" w:cs="Times New Roman"/>
          <w:sz w:val="28"/>
        </w:rPr>
        <w:t>) и пол респондентов (</w:t>
      </w:r>
      <w:r w:rsidRPr="001A3F92">
        <w:rPr>
          <w:rFonts w:ascii="Times New Roman" w:hAnsi="Times New Roman" w:cs="Times New Roman"/>
          <w:i/>
          <w:sz w:val="28"/>
        </w:rPr>
        <w:t>x5</w:t>
      </w:r>
      <w:r w:rsidRPr="001A3F92">
        <w:rPr>
          <w:rFonts w:ascii="Times New Roman" w:hAnsi="Times New Roman" w:cs="Times New Roman"/>
          <w:sz w:val="28"/>
        </w:rPr>
        <w:t>) не демонстрируют статистически значимого влияния (</w:t>
      </w:r>
      <w:r w:rsidRPr="001A3F92">
        <w:rPr>
          <w:rFonts w:ascii="Times New Roman" w:hAnsi="Times New Roman" w:cs="Times New Roman"/>
          <w:i/>
          <w:sz w:val="28"/>
        </w:rPr>
        <w:t>p = 1,000</w:t>
      </w:r>
      <w:r w:rsidRPr="001A3F92">
        <w:rPr>
          <w:rFonts w:ascii="Times New Roman" w:hAnsi="Times New Roman" w:cs="Times New Roman"/>
          <w:sz w:val="28"/>
        </w:rPr>
        <w:t>). Более того, их коэффициенты практически равны нулю, что указывает на отсутствие самостоятельного вклада этих факторов в объяснение вариации зависимой переменной в рамках данной модели.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Следует обратить особое внимание на то обстоятельство, что сочетание крайне высокого коэффициента детерминации и практически полного отсутствия значимости большинства предикторов может свидетельствовать о наличии сильной мультиколлинеарности или эффектов подавления.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В целом полученные </w:t>
      </w:r>
      <w:r w:rsidRPr="001A3F92">
        <w:rPr>
          <w:rFonts w:ascii="Times New Roman" w:hAnsi="Times New Roman" w:cs="Times New Roman"/>
          <w:i/>
          <w:sz w:val="28"/>
        </w:rPr>
        <w:t>результаты модели В1</w:t>
      </w:r>
      <w:r w:rsidRPr="001A3F92">
        <w:rPr>
          <w:rFonts w:ascii="Times New Roman" w:hAnsi="Times New Roman" w:cs="Times New Roman"/>
          <w:sz w:val="28"/>
        </w:rPr>
        <w:t xml:space="preserve"> подтверждают ключевую роль институционализированной цифровой вовлечённости как основного </w:t>
      </w:r>
      <w:r w:rsidRPr="001A3F92">
        <w:rPr>
          <w:rFonts w:ascii="Times New Roman" w:hAnsi="Times New Roman" w:cs="Times New Roman"/>
          <w:sz w:val="28"/>
        </w:rPr>
        <w:lastRenderedPageBreak/>
        <w:t xml:space="preserve">детерминанта офлайн гражданского участия молодёжи. Подписанность на аккаунты молодёжных общественных организаций в социальных медиа выступает центральным каналом мобилизации, тогда как остальные факторы либо опосредуют данное влияние, либо не обладают самостоятельной объяснительной силой. Одновременно значимость возрастного фактора указывает на сохранение влияния социодемографических характеристик, что позволяет </w:t>
      </w:r>
      <w:r w:rsidRPr="001A3F92">
        <w:rPr>
          <w:rFonts w:ascii="Times New Roman" w:hAnsi="Times New Roman" w:cs="Times New Roman"/>
          <w:i/>
          <w:sz w:val="28"/>
        </w:rPr>
        <w:t>интерпретировать</w:t>
      </w:r>
      <w:r w:rsidRPr="001A3F92">
        <w:rPr>
          <w:rFonts w:ascii="Times New Roman" w:hAnsi="Times New Roman" w:cs="Times New Roman"/>
          <w:sz w:val="28"/>
        </w:rPr>
        <w:t xml:space="preserve"> </w:t>
      </w:r>
      <w:r w:rsidRPr="001A3F92">
        <w:rPr>
          <w:rFonts w:ascii="Times New Roman" w:hAnsi="Times New Roman" w:cs="Times New Roman"/>
          <w:i/>
          <w:sz w:val="28"/>
        </w:rPr>
        <w:t>полученные результаты в рамках комбинированного подхода, сочетающего элементы технологического детерминизма и теории социальных сил</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B2 (см. Таблицу 17) исключает из анализа предикторы, отражающие наличие аккаунта (</w:t>
      </w:r>
      <w:r w:rsidRPr="001A3F92">
        <w:rPr>
          <w:rFonts w:ascii="Times New Roman" w:hAnsi="Times New Roman" w:cs="Times New Roman"/>
          <w:i/>
          <w:sz w:val="28"/>
        </w:rPr>
        <w:t>х1</w:t>
      </w:r>
      <w:r w:rsidRPr="001A3F92">
        <w:rPr>
          <w:rFonts w:ascii="Times New Roman" w:hAnsi="Times New Roman" w:cs="Times New Roman"/>
          <w:sz w:val="28"/>
        </w:rPr>
        <w:t>) и частоту его посещения (</w:t>
      </w:r>
      <w:r w:rsidRPr="001A3F92">
        <w:rPr>
          <w:rFonts w:ascii="Times New Roman" w:hAnsi="Times New Roman" w:cs="Times New Roman"/>
          <w:i/>
          <w:sz w:val="28"/>
        </w:rPr>
        <w:t>х2</w:t>
      </w:r>
      <w:r w:rsidRPr="001A3F92">
        <w:rPr>
          <w:rFonts w:ascii="Times New Roman" w:hAnsi="Times New Roman" w:cs="Times New Roman"/>
          <w:sz w:val="28"/>
        </w:rPr>
        <w:t>), фокусируясь на осведомлённости (</w:t>
      </w:r>
      <w:r w:rsidRPr="001A3F92">
        <w:rPr>
          <w:rFonts w:ascii="Times New Roman" w:hAnsi="Times New Roman" w:cs="Times New Roman"/>
          <w:i/>
          <w:sz w:val="28"/>
        </w:rPr>
        <w:t>х3</w:t>
      </w:r>
      <w:r w:rsidRPr="001A3F92">
        <w:rPr>
          <w:rFonts w:ascii="Times New Roman" w:hAnsi="Times New Roman" w:cs="Times New Roman"/>
          <w:sz w:val="28"/>
        </w:rPr>
        <w:t>), подписанности (</w:t>
      </w:r>
      <w:r w:rsidRPr="001A3F92">
        <w:rPr>
          <w:rFonts w:ascii="Times New Roman" w:hAnsi="Times New Roman" w:cs="Times New Roman"/>
          <w:i/>
          <w:sz w:val="28"/>
        </w:rPr>
        <w:t>х4)</w:t>
      </w:r>
      <w:r w:rsidRPr="001A3F92">
        <w:rPr>
          <w:rFonts w:ascii="Times New Roman" w:hAnsi="Times New Roman" w:cs="Times New Roman"/>
          <w:sz w:val="28"/>
        </w:rPr>
        <w:t xml:space="preserve"> и социодемографических факторах (</w:t>
      </w:r>
      <w:r w:rsidRPr="001A3F92">
        <w:rPr>
          <w:rFonts w:ascii="Times New Roman" w:hAnsi="Times New Roman" w:cs="Times New Roman"/>
          <w:i/>
          <w:sz w:val="28"/>
        </w:rPr>
        <w:t>х5</w:t>
      </w:r>
      <w:r w:rsidRPr="001A3F92">
        <w:rPr>
          <w:rFonts w:ascii="Times New Roman" w:hAnsi="Times New Roman" w:cs="Times New Roman"/>
          <w:sz w:val="28"/>
        </w:rPr>
        <w:t xml:space="preserve"> и </w:t>
      </w:r>
      <w:r w:rsidRPr="001A3F92">
        <w:rPr>
          <w:rFonts w:ascii="Times New Roman" w:hAnsi="Times New Roman" w:cs="Times New Roman"/>
          <w:i/>
          <w:sz w:val="28"/>
        </w:rPr>
        <w:t>х6</w:t>
      </w:r>
      <w:r w:rsidRPr="001A3F92">
        <w:rPr>
          <w:rFonts w:ascii="Times New Roman" w:hAnsi="Times New Roman" w:cs="Times New Roman"/>
          <w:sz w:val="28"/>
        </w:rPr>
        <w:t>). Такая спецификация позволяет оценить влияние цифрового участия в его «содержательной» форме без учёта интенсивности использования платформ.</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17 – Результаты регрессионного анализа данных авторского опроса 2023 года (модель В2). Источник: данные автора</w:t>
      </w:r>
    </w:p>
    <w:p w:rsidR="001A3F92" w:rsidRPr="001A3F92" w:rsidRDefault="001A3F92" w:rsidP="00785DCB">
      <w:pPr>
        <w:spacing w:after="0" w:line="256" w:lineRule="auto"/>
        <w:ind w:firstLine="567"/>
        <w:jc w:val="both"/>
        <w:rPr>
          <w:rFonts w:ascii="Times New Roman" w:eastAsia="Times New Roman" w:hAnsi="Times New Roman" w:cs="Times New Roman"/>
          <w:color w:val="000000"/>
          <w:sz w:val="28"/>
          <w:szCs w:val="28"/>
          <w:lang w:eastAsia="ru-RU"/>
        </w:rPr>
      </w:pPr>
      <w:r w:rsidRPr="001A3F92">
        <w:rPr>
          <w:rFonts w:ascii="Times New Roman" w:eastAsia="Times New Roman" w:hAnsi="Times New Roman" w:cs="Times New Roman"/>
          <w:noProof/>
          <w:color w:val="000000"/>
          <w:sz w:val="28"/>
          <w:szCs w:val="28"/>
          <w:lang w:eastAsia="ru-RU"/>
        </w:rPr>
        <w:drawing>
          <wp:inline distT="0" distB="0" distL="0" distR="0" wp14:anchorId="0AB2CD65" wp14:editId="087E4F2C">
            <wp:extent cx="5572125" cy="26003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72125" cy="260032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Прежде всего, дисперсионный анализ (ANOVA) подтверждает общую значимость модели: </w:t>
      </w:r>
      <w:r w:rsidRPr="001A3F92">
        <w:rPr>
          <w:rFonts w:ascii="Times New Roman" w:hAnsi="Times New Roman" w:cs="Times New Roman"/>
          <w:i/>
          <w:sz w:val="28"/>
        </w:rPr>
        <w:t>F=660,549</w:t>
      </w:r>
      <w:r w:rsidRPr="001A3F92">
        <w:rPr>
          <w:rFonts w:ascii="Times New Roman" w:hAnsi="Times New Roman" w:cs="Times New Roman"/>
          <w:sz w:val="28"/>
        </w:rPr>
        <w:t xml:space="preserve"> при уровне значимости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Это свидетельствует о том, что совокупность включённых предикторов (осведомлённость, подписанность, пол и возраст) в целом существенно объясняет вариацию зависимой переменной. Коэффициент детерминации </w:t>
      </w:r>
      <w:r w:rsidRPr="001A3F92">
        <w:rPr>
          <w:rFonts w:ascii="Times New Roman" w:hAnsi="Times New Roman" w:cs="Times New Roman"/>
          <w:i/>
          <w:sz w:val="28"/>
        </w:rPr>
        <w:t>R</w:t>
      </w:r>
      <w:r w:rsidRPr="001A3F92">
        <w:rPr>
          <w:rFonts w:ascii="Times New Roman" w:hAnsi="Times New Roman" w:cs="Times New Roman"/>
          <w:i/>
          <w:sz w:val="28"/>
          <w:vertAlign w:val="superscript"/>
        </w:rPr>
        <w:t>2</w:t>
      </w:r>
      <w:r w:rsidRPr="001A3F92">
        <w:rPr>
          <w:rFonts w:ascii="Times New Roman" w:hAnsi="Times New Roman" w:cs="Times New Roman"/>
          <w:i/>
          <w:sz w:val="28"/>
        </w:rPr>
        <w:t>=0,931</w:t>
      </w:r>
      <w:r w:rsidRPr="001A3F92">
        <w:rPr>
          <w:rFonts w:ascii="Times New Roman" w:hAnsi="Times New Roman" w:cs="Times New Roman"/>
          <w:sz w:val="28"/>
        </w:rPr>
        <w:t xml:space="preserve"> указывает на то, что 93,1% дисперсии офлайн-гражданского участия объясняется включёнными в модель факторами, что позволяет говорить о крайне высокой объяснительной способности модели.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Наиболее значимым предиктором выступает подписанность молодёжи на аккаунты общественных организаций (</w:t>
      </w:r>
      <w:r w:rsidRPr="001A3F92">
        <w:rPr>
          <w:rFonts w:ascii="Times New Roman" w:hAnsi="Times New Roman" w:cs="Times New Roman"/>
          <w:i/>
          <w:sz w:val="28"/>
        </w:rPr>
        <w:t>x4</w:t>
      </w:r>
      <w:r w:rsidRPr="001A3F92">
        <w:rPr>
          <w:rFonts w:ascii="Times New Roman" w:hAnsi="Times New Roman" w:cs="Times New Roman"/>
          <w:sz w:val="28"/>
        </w:rPr>
        <w:t>). Нестандартизованный коэффициент (</w:t>
      </w:r>
      <w:r w:rsidRPr="001A3F92">
        <w:rPr>
          <w:rFonts w:ascii="Times New Roman" w:hAnsi="Times New Roman" w:cs="Times New Roman"/>
          <w:i/>
          <w:sz w:val="28"/>
        </w:rPr>
        <w:t>B=0,909</w:t>
      </w:r>
      <w:r w:rsidRPr="001A3F92">
        <w:rPr>
          <w:rFonts w:ascii="Times New Roman" w:hAnsi="Times New Roman" w:cs="Times New Roman"/>
          <w:sz w:val="28"/>
        </w:rPr>
        <w:t>) и особенно высокий стандартизованный коэффициент (</w:t>
      </w:r>
      <w:r w:rsidRPr="001A3F92">
        <w:rPr>
          <w:rFonts w:ascii="Times New Roman" w:hAnsi="Times New Roman" w:cs="Times New Roman"/>
          <w:i/>
          <w:sz w:val="28"/>
        </w:rPr>
        <w:t>β=0,892</w:t>
      </w:r>
      <w:r w:rsidRPr="001A3F92">
        <w:rPr>
          <w:rFonts w:ascii="Times New Roman" w:hAnsi="Times New Roman" w:cs="Times New Roman"/>
          <w:sz w:val="28"/>
        </w:rPr>
        <w:t xml:space="preserve">) при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свидетельствуют о сильной положительной связи: увеличение уровня подписанности сопровождается существенным ростом офлайн-гражданского </w:t>
      </w:r>
      <w:r w:rsidRPr="001A3F92">
        <w:rPr>
          <w:rFonts w:ascii="Times New Roman" w:hAnsi="Times New Roman" w:cs="Times New Roman"/>
          <w:sz w:val="28"/>
        </w:rPr>
        <w:lastRenderedPageBreak/>
        <w:t>участия. Это указывает на то, что вовлечённость в цифровые каналы коммуникации организаций тесно связана с офлайн-активностью.</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Переменная возраста (</w:t>
      </w:r>
      <w:r w:rsidRPr="001A3F92">
        <w:rPr>
          <w:rFonts w:ascii="Times New Roman" w:hAnsi="Times New Roman" w:cs="Times New Roman"/>
          <w:i/>
          <w:sz w:val="28"/>
        </w:rPr>
        <w:t>x6</w:t>
      </w:r>
      <w:r w:rsidRPr="001A3F92">
        <w:rPr>
          <w:rFonts w:ascii="Times New Roman" w:hAnsi="Times New Roman" w:cs="Times New Roman"/>
          <w:sz w:val="28"/>
        </w:rPr>
        <w:t>) также оказывает статистически значимое влияние (</w:t>
      </w:r>
      <w:r w:rsidRPr="001A3F92">
        <w:rPr>
          <w:rFonts w:ascii="Times New Roman" w:hAnsi="Times New Roman" w:cs="Times New Roman"/>
          <w:i/>
          <w:sz w:val="28"/>
        </w:rPr>
        <w:t>B=−0,091, β=−0,101, p=0,007</w:t>
      </w:r>
      <w:r w:rsidRPr="001A3F92">
        <w:rPr>
          <w:rFonts w:ascii="Times New Roman" w:hAnsi="Times New Roman" w:cs="Times New Roman"/>
          <w:sz w:val="28"/>
        </w:rPr>
        <w:t>), однако его сила существенно ниже. Отрицательный знак коэффициента указывает на тенденцию снижения уровня офлайн-гражданского участия с увеличением возраста в рамках исследуемой выборки. В то же время осведомлённость о молодёжных организациях (</w:t>
      </w:r>
      <w:r w:rsidRPr="001A3F92">
        <w:rPr>
          <w:rFonts w:ascii="Times New Roman" w:hAnsi="Times New Roman" w:cs="Times New Roman"/>
          <w:i/>
          <w:sz w:val="28"/>
        </w:rPr>
        <w:t>x3</w:t>
      </w:r>
      <w:r w:rsidRPr="001A3F92">
        <w:rPr>
          <w:rFonts w:ascii="Times New Roman" w:hAnsi="Times New Roman" w:cs="Times New Roman"/>
          <w:sz w:val="28"/>
        </w:rPr>
        <w:t>) и пол респондентов (</w:t>
      </w:r>
      <w:r w:rsidRPr="001A3F92">
        <w:rPr>
          <w:rFonts w:ascii="Times New Roman" w:hAnsi="Times New Roman" w:cs="Times New Roman"/>
          <w:i/>
          <w:sz w:val="28"/>
        </w:rPr>
        <w:t>x5</w:t>
      </w:r>
      <w:r w:rsidRPr="001A3F92">
        <w:rPr>
          <w:rFonts w:ascii="Times New Roman" w:hAnsi="Times New Roman" w:cs="Times New Roman"/>
          <w:sz w:val="28"/>
        </w:rPr>
        <w:t>) не демонстрируют статистически значимого влияния (</w:t>
      </w:r>
      <w:r w:rsidRPr="001A3F92">
        <w:rPr>
          <w:rFonts w:ascii="Times New Roman" w:hAnsi="Times New Roman" w:cs="Times New Roman"/>
          <w:i/>
          <w:sz w:val="28"/>
        </w:rPr>
        <w:t>p=1,000</w:t>
      </w:r>
      <w:r w:rsidRPr="001A3F92">
        <w:rPr>
          <w:rFonts w:ascii="Times New Roman" w:hAnsi="Times New Roman" w:cs="Times New Roman"/>
          <w:sz w:val="28"/>
        </w:rPr>
        <w:t>). Их коэффициенты практически равны нулю, что свидетельствует об отсутствии самостоятельного вклада этих факторов в объяснение вариации зависимой переменной при контроле остальных переменных модели.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Полученные результаты модели В2 скорее отражают умеренную форму технологического детерминизма</w:t>
      </w:r>
      <w:r w:rsidRPr="001A3F92">
        <w:rPr>
          <w:rFonts w:ascii="Times New Roman" w:hAnsi="Times New Roman" w:cs="Times New Roman"/>
          <w:sz w:val="28"/>
        </w:rPr>
        <w:t>. Речь идёт не о самом факте наличия социальных медиа, а об активной включённости в них (подписанности), которая и становится значимым механизмом трансформации онлайн-вовлечённости в офлайн-гражданское участие. Таким образом, социальные медиа выступают не автономной причиной, а средой, в рамках которой формируются и усиливаются практики участия.</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B3 (см. Таблицу 18) исключает все цифровые переменные, анализируя гражданское участие исключительно через призму нецифровых факторов (</w:t>
      </w:r>
      <w:r w:rsidRPr="001A3F92">
        <w:rPr>
          <w:rFonts w:ascii="Times New Roman" w:hAnsi="Times New Roman" w:cs="Times New Roman"/>
          <w:i/>
          <w:sz w:val="28"/>
        </w:rPr>
        <w:t>х3</w:t>
      </w:r>
      <w:r w:rsidRPr="001A3F92">
        <w:rPr>
          <w:rFonts w:ascii="Times New Roman" w:hAnsi="Times New Roman" w:cs="Times New Roman"/>
          <w:sz w:val="28"/>
        </w:rPr>
        <w:t xml:space="preserve"> – осведомлённость респондентов, </w:t>
      </w:r>
      <w:r w:rsidRPr="001A3F92">
        <w:rPr>
          <w:rFonts w:ascii="Times New Roman" w:hAnsi="Times New Roman" w:cs="Times New Roman"/>
          <w:i/>
          <w:sz w:val="28"/>
        </w:rPr>
        <w:t>х5</w:t>
      </w:r>
      <w:r w:rsidRPr="001A3F92">
        <w:rPr>
          <w:rFonts w:ascii="Times New Roman" w:hAnsi="Times New Roman" w:cs="Times New Roman"/>
          <w:sz w:val="28"/>
        </w:rPr>
        <w:t xml:space="preserve"> – пол, </w:t>
      </w:r>
      <w:r w:rsidRPr="001A3F92">
        <w:rPr>
          <w:rFonts w:ascii="Times New Roman" w:hAnsi="Times New Roman" w:cs="Times New Roman"/>
          <w:i/>
          <w:sz w:val="28"/>
        </w:rPr>
        <w:t>х6</w:t>
      </w:r>
      <w:r w:rsidRPr="001A3F92">
        <w:rPr>
          <w:rFonts w:ascii="Times New Roman" w:hAnsi="Times New Roman" w:cs="Times New Roman"/>
          <w:sz w:val="28"/>
        </w:rPr>
        <w:t xml:space="preserve"> – возраст). Это позволяет эмпирически проверить тезис о возможности формирования гражданской активности вне цифрового пространства.</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18 – Результаты регрессионного анализа данных авторского опроса 2023 года (модель В3). Источник: данные автора</w:t>
      </w:r>
    </w:p>
    <w:p w:rsidR="001A3F92" w:rsidRPr="001A3F92" w:rsidRDefault="001A3F92" w:rsidP="00785DCB">
      <w:pPr>
        <w:spacing w:after="0" w:line="240" w:lineRule="auto"/>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0AFF64A" wp14:editId="298874A3">
            <wp:extent cx="5572125" cy="23907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572125" cy="239077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В3 в целом является статистически значимой: значение F-критерия (</w:t>
      </w:r>
      <w:r w:rsidRPr="001A3F92">
        <w:rPr>
          <w:rFonts w:ascii="Times New Roman" w:hAnsi="Times New Roman" w:cs="Times New Roman"/>
          <w:i/>
          <w:sz w:val="28"/>
        </w:rPr>
        <w:t xml:space="preserve">F = 68,803;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указывает на то, что совокупность включённых предикторов (осведомлённость о молодёжных организациях, пол, возраст) достоверно объясняет вариацию зависимой переменной. Коэффициент детерминации (</w:t>
      </w:r>
      <w:r w:rsidRPr="001A3F92">
        <w:rPr>
          <w:rFonts w:ascii="Times New Roman" w:hAnsi="Times New Roman" w:cs="Times New Roman"/>
          <w:i/>
          <w:sz w:val="28"/>
        </w:rPr>
        <w:t>R² = 0,512</w:t>
      </w:r>
      <w:r w:rsidRPr="001A3F92">
        <w:rPr>
          <w:rFonts w:ascii="Times New Roman" w:hAnsi="Times New Roman" w:cs="Times New Roman"/>
          <w:sz w:val="28"/>
        </w:rPr>
        <w:t xml:space="preserve">) свидетельствует о том, что 51,2% дисперсии офлайн-гражданского участия объясняется включёнными в модель факторами, что можно оценить, как достаточно высокий показатель объяснительной </w:t>
      </w:r>
      <w:r w:rsidRPr="001A3F92">
        <w:rPr>
          <w:rFonts w:ascii="Times New Roman" w:hAnsi="Times New Roman" w:cs="Times New Roman"/>
          <w:sz w:val="28"/>
        </w:rPr>
        <w:lastRenderedPageBreak/>
        <w:t xml:space="preserve">способности. Тем не менее, данный коэффициент существенно ниже аналогичных показателей в моделях В1 и В2, что может говорить о том, что данные предикторы в меньшей степени оказывают влияние на зависимую переменную </w:t>
      </w:r>
      <w:r w:rsidRPr="001A3F92">
        <w:rPr>
          <w:rFonts w:ascii="Times New Roman" w:hAnsi="Times New Roman" w:cs="Times New Roman"/>
          <w:i/>
          <w:sz w:val="28"/>
        </w:rPr>
        <w:t>у.</w:t>
      </w:r>
    </w:p>
    <w:p w:rsidR="001A3F92" w:rsidRPr="001A3F92" w:rsidRDefault="001A3F92" w:rsidP="001A3F92">
      <w:pPr>
        <w:spacing w:after="0" w:line="240" w:lineRule="auto"/>
        <w:ind w:firstLine="709"/>
        <w:jc w:val="both"/>
        <w:rPr>
          <w:rFonts w:ascii="Times New Roman" w:eastAsia="Times New Roman" w:hAnsi="Times New Roman" w:cs="Times New Roman"/>
          <w:color w:val="000000"/>
          <w:sz w:val="28"/>
          <w:szCs w:val="28"/>
          <w:lang w:eastAsia="ru-RU"/>
        </w:rPr>
      </w:pPr>
      <w:r w:rsidRPr="001A3F92">
        <w:rPr>
          <w:rFonts w:ascii="Times New Roman" w:eastAsia="Times New Roman" w:hAnsi="Times New Roman" w:cs="Times New Roman"/>
          <w:color w:val="000000"/>
          <w:sz w:val="28"/>
          <w:szCs w:val="28"/>
          <w:lang w:eastAsia="ru-RU"/>
        </w:rPr>
        <w:t>Анализ коэффициентов регрессии демонстрирует существенно неоднородный вклад предикторов. Переменная возраста (</w:t>
      </w:r>
      <w:r w:rsidRPr="001A3F92">
        <w:rPr>
          <w:rFonts w:ascii="Times New Roman" w:eastAsia="Times New Roman" w:hAnsi="Times New Roman" w:cs="Times New Roman"/>
          <w:i/>
          <w:color w:val="000000"/>
          <w:sz w:val="28"/>
          <w:szCs w:val="28"/>
          <w:lang w:eastAsia="ru-RU"/>
        </w:rPr>
        <w:t>x6</w:t>
      </w:r>
      <w:r w:rsidRPr="001A3F92">
        <w:rPr>
          <w:rFonts w:ascii="Times New Roman" w:eastAsia="Times New Roman" w:hAnsi="Times New Roman" w:cs="Times New Roman"/>
          <w:color w:val="000000"/>
          <w:sz w:val="28"/>
          <w:szCs w:val="28"/>
          <w:lang w:eastAsia="ru-RU"/>
        </w:rPr>
        <w:t>) является статистически значимой (</w:t>
      </w:r>
      <w:r w:rsidRPr="001A3F92">
        <w:rPr>
          <w:rFonts w:ascii="Times New Roman" w:eastAsia="Times New Roman" w:hAnsi="Times New Roman" w:cs="Times New Roman"/>
          <w:i/>
          <w:color w:val="000000"/>
          <w:sz w:val="28"/>
          <w:szCs w:val="28"/>
          <w:lang w:eastAsia="ru-RU"/>
        </w:rPr>
        <w:t xml:space="preserve">β = -0,715; p </w:t>
      </w:r>
      <w:proofErr w:type="gramStart"/>
      <w:r w:rsidRPr="001A3F92">
        <w:rPr>
          <w:rFonts w:ascii="Times New Roman" w:eastAsia="Times New Roman" w:hAnsi="Times New Roman" w:cs="Times New Roman"/>
          <w:i/>
          <w:color w:val="000000"/>
          <w:sz w:val="28"/>
          <w:szCs w:val="28"/>
          <w:lang w:eastAsia="ru-RU"/>
        </w:rPr>
        <w:t>&lt; 0,001</w:t>
      </w:r>
      <w:proofErr w:type="gramEnd"/>
      <w:r w:rsidRPr="001A3F92">
        <w:rPr>
          <w:rFonts w:ascii="Times New Roman" w:eastAsia="Times New Roman" w:hAnsi="Times New Roman" w:cs="Times New Roman"/>
          <w:color w:val="000000"/>
          <w:sz w:val="28"/>
          <w:szCs w:val="28"/>
          <w:lang w:eastAsia="ru-RU"/>
        </w:rPr>
        <w:t>) и оказывает сильное отрицательное влияние на уровень офлайн-гражданского участия. Это означает, что с увеличением возраста респондентов наблюдается снижение их вовлеченности в офлайн-гражданские практики.</w:t>
      </w:r>
      <w:r w:rsidRPr="001A3F92">
        <w:t xml:space="preserve"> </w:t>
      </w:r>
      <w:r w:rsidRPr="001A3F92">
        <w:rPr>
          <w:rFonts w:ascii="Times New Roman" w:eastAsia="Times New Roman" w:hAnsi="Times New Roman" w:cs="Times New Roman"/>
          <w:color w:val="000000"/>
          <w:sz w:val="28"/>
          <w:szCs w:val="28"/>
          <w:lang w:eastAsia="ru-RU"/>
        </w:rPr>
        <w:t>В то же время переменные осведомлённости о молодёжных организациях (</w:t>
      </w:r>
      <w:r w:rsidRPr="001A3F92">
        <w:rPr>
          <w:rFonts w:ascii="Times New Roman" w:eastAsia="Times New Roman" w:hAnsi="Times New Roman" w:cs="Times New Roman"/>
          <w:i/>
          <w:color w:val="000000"/>
          <w:sz w:val="28"/>
          <w:szCs w:val="28"/>
          <w:lang w:eastAsia="ru-RU"/>
        </w:rPr>
        <w:t>x3</w:t>
      </w:r>
      <w:r w:rsidRPr="001A3F92">
        <w:rPr>
          <w:rFonts w:ascii="Times New Roman" w:eastAsia="Times New Roman" w:hAnsi="Times New Roman" w:cs="Times New Roman"/>
          <w:color w:val="000000"/>
          <w:sz w:val="28"/>
          <w:szCs w:val="28"/>
          <w:lang w:eastAsia="ru-RU"/>
        </w:rPr>
        <w:t>) и пола респондентов (</w:t>
      </w:r>
      <w:r w:rsidRPr="001A3F92">
        <w:rPr>
          <w:rFonts w:ascii="Times New Roman" w:eastAsia="Times New Roman" w:hAnsi="Times New Roman" w:cs="Times New Roman"/>
          <w:i/>
          <w:color w:val="000000"/>
          <w:sz w:val="28"/>
          <w:szCs w:val="28"/>
          <w:lang w:eastAsia="ru-RU"/>
        </w:rPr>
        <w:t>x5</w:t>
      </w:r>
      <w:r w:rsidRPr="001A3F92">
        <w:rPr>
          <w:rFonts w:ascii="Times New Roman" w:eastAsia="Times New Roman" w:hAnsi="Times New Roman" w:cs="Times New Roman"/>
          <w:color w:val="000000"/>
          <w:sz w:val="28"/>
          <w:szCs w:val="28"/>
          <w:lang w:eastAsia="ru-RU"/>
        </w:rPr>
        <w:t>) не демонстрируют статистически значимого влияния (</w:t>
      </w:r>
      <w:r w:rsidRPr="001A3F92">
        <w:rPr>
          <w:rFonts w:ascii="Times New Roman" w:eastAsia="Times New Roman" w:hAnsi="Times New Roman" w:cs="Times New Roman"/>
          <w:i/>
          <w:color w:val="000000"/>
          <w:sz w:val="28"/>
          <w:szCs w:val="28"/>
          <w:lang w:eastAsia="ru-RU"/>
        </w:rPr>
        <w:t>p = 1,000</w:t>
      </w:r>
      <w:r w:rsidRPr="001A3F92">
        <w:rPr>
          <w:rFonts w:ascii="Times New Roman" w:eastAsia="Times New Roman" w:hAnsi="Times New Roman" w:cs="Times New Roman"/>
          <w:color w:val="000000"/>
          <w:sz w:val="28"/>
          <w:szCs w:val="28"/>
          <w:lang w:eastAsia="ru-RU"/>
        </w:rPr>
        <w:t xml:space="preserve"> в обоих случаях). Это означает, что ни уровень информированности о молодёжных общественных организациях, ни гендерная принадлежность респондентов не оказывают самостоятельного значимого влияния на офлайн-гражданское участие.</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С теоретической точки зрения полученные результаты модели В3 в большей степени согласуются с теорией социальных сил. Отсутствие значимого влияния переменной осведомлённости (которая может рассматриваться как прокси-показатель информационной среды, в том числе цифровой) указывает на то, что сам по себе доступ к информации или знание о молодёжных организациях не приводит к росту офлайн-гражданского участия. В то же время значимость возраста как социально-демографического фактора подчёркивает определяющую роль нецифровых, структурных характеристик индивидов.</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модели B4 (см. Таблицу 19) из анализа исключается осведомлённость респондентов (</w:t>
      </w:r>
      <w:r w:rsidRPr="001A3F92">
        <w:rPr>
          <w:rFonts w:ascii="Times New Roman" w:hAnsi="Times New Roman" w:cs="Times New Roman"/>
          <w:i/>
          <w:sz w:val="28"/>
        </w:rPr>
        <w:t>х3</w:t>
      </w:r>
      <w:r w:rsidRPr="001A3F92">
        <w:rPr>
          <w:rFonts w:ascii="Times New Roman" w:hAnsi="Times New Roman" w:cs="Times New Roman"/>
          <w:sz w:val="28"/>
        </w:rPr>
        <w:t xml:space="preserve">), что позволяет оценить, способны ли цифровые практики компенсировать отсутствие когнитивной включённости. </w:t>
      </w:r>
    </w:p>
    <w:p w:rsid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Дисперсионный анализ (ANOVA) демонстрирует, что построенная модель в целом является статистически значимой: </w:t>
      </w:r>
      <w:r w:rsidRPr="001A3F92">
        <w:rPr>
          <w:rFonts w:ascii="Times New Roman" w:hAnsi="Times New Roman" w:cs="Times New Roman"/>
          <w:i/>
          <w:sz w:val="28"/>
        </w:rPr>
        <w:t>F=525,743</w:t>
      </w:r>
      <w:r w:rsidRPr="001A3F92">
        <w:rPr>
          <w:rFonts w:ascii="Times New Roman" w:hAnsi="Times New Roman" w:cs="Times New Roman"/>
          <w:sz w:val="28"/>
        </w:rPr>
        <w:t xml:space="preserve">, при уровне значимости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Это означает, что совокупность включённых предикторов (</w:t>
      </w:r>
      <w:r w:rsidRPr="001A3F92">
        <w:rPr>
          <w:rFonts w:ascii="Times New Roman" w:hAnsi="Times New Roman" w:cs="Times New Roman"/>
          <w:i/>
          <w:sz w:val="28"/>
        </w:rPr>
        <w:t>х1, х2, х4, х5, х6</w:t>
      </w:r>
      <w:r w:rsidRPr="001A3F92">
        <w:rPr>
          <w:rFonts w:ascii="Times New Roman" w:hAnsi="Times New Roman" w:cs="Times New Roman"/>
          <w:sz w:val="28"/>
        </w:rPr>
        <w:t xml:space="preserve">) в значительной степени объясняет вариацию зависимой переменной – уровня офлайн гражданского участия. Высокое значение коэффициента детерминации </w:t>
      </w:r>
      <w:r w:rsidRPr="001A3F92">
        <w:rPr>
          <w:rFonts w:ascii="Times New Roman" w:hAnsi="Times New Roman" w:cs="Times New Roman"/>
          <w:i/>
          <w:sz w:val="28"/>
        </w:rPr>
        <w:t>R</w:t>
      </w:r>
      <w:r w:rsidRPr="001A3F92">
        <w:rPr>
          <w:rFonts w:ascii="Times New Roman" w:hAnsi="Times New Roman" w:cs="Times New Roman"/>
          <w:i/>
          <w:sz w:val="28"/>
          <w:vertAlign w:val="superscript"/>
        </w:rPr>
        <w:t>2</w:t>
      </w:r>
      <w:r w:rsidRPr="001A3F92">
        <w:rPr>
          <w:rFonts w:ascii="Times New Roman" w:hAnsi="Times New Roman" w:cs="Times New Roman"/>
          <w:i/>
          <w:sz w:val="28"/>
        </w:rPr>
        <w:t>=0,931</w:t>
      </w:r>
      <w:r w:rsidRPr="001A3F92">
        <w:rPr>
          <w:rFonts w:ascii="Times New Roman" w:hAnsi="Times New Roman" w:cs="Times New Roman"/>
          <w:sz w:val="28"/>
        </w:rPr>
        <w:t xml:space="preserve"> свидетельствует о том, что модель объясняет 93,1% дисперсии зависимой переменной, что указывает на исключительно высокую объяснительную силу модели. </w:t>
      </w:r>
    </w:p>
    <w:p w:rsidR="00FC7C06" w:rsidRPr="001A3F92" w:rsidRDefault="00FC7C06"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19 – Результаты регрессионного анализа данных авторского опроса 2023 года (модель В4). Источник: данные автора</w:t>
      </w:r>
    </w:p>
    <w:p w:rsidR="001A3F92" w:rsidRPr="001A3F92" w:rsidRDefault="001A3F92" w:rsidP="00F761C0">
      <w:pPr>
        <w:spacing w:after="0" w:line="240" w:lineRule="auto"/>
        <w:ind w:firstLine="567"/>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2EF5F83" wp14:editId="64301DAC">
            <wp:extent cx="3801745" cy="1377921"/>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904556" cy="1415184"/>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lastRenderedPageBreak/>
        <w:t xml:space="preserve">Наиболее значимым предиктором выступает переменная </w:t>
      </w:r>
      <w:r w:rsidRPr="001A3F92">
        <w:rPr>
          <w:rFonts w:ascii="Times New Roman" w:hAnsi="Times New Roman" w:cs="Times New Roman"/>
          <w:i/>
          <w:sz w:val="28"/>
        </w:rPr>
        <w:t>х4</w:t>
      </w:r>
      <w:r w:rsidRPr="001A3F92">
        <w:rPr>
          <w:rFonts w:ascii="Times New Roman" w:hAnsi="Times New Roman" w:cs="Times New Roman"/>
          <w:sz w:val="28"/>
        </w:rPr>
        <w:t xml:space="preserve"> (подписанность респондентов на аккаунты молодёжных общественных организаций в социальных медиа). Её стандартизованный коэффициент </w:t>
      </w:r>
      <w:r w:rsidRPr="001A3F92">
        <w:rPr>
          <w:rFonts w:ascii="Times New Roman" w:hAnsi="Times New Roman" w:cs="Times New Roman"/>
          <w:i/>
          <w:sz w:val="28"/>
        </w:rPr>
        <w:t>β=0,892</w:t>
      </w:r>
      <w:r w:rsidRPr="001A3F92">
        <w:rPr>
          <w:rFonts w:ascii="Times New Roman" w:hAnsi="Times New Roman" w:cs="Times New Roman"/>
          <w:sz w:val="28"/>
        </w:rPr>
        <w:t xml:space="preserve"> при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указывает на сильную положительную связь с офлайн гражданским участием. Это означает, что увеличение уровня вовлеченности в контент организаций в социальных медиа существенно повышает вероятность участия молодёжи в офлайн гражданской активности.</w:t>
      </w:r>
      <w:r w:rsidRPr="001A3F92">
        <w:t xml:space="preserve"> </w:t>
      </w:r>
      <w:r w:rsidRPr="001A3F92">
        <w:rPr>
          <w:rFonts w:ascii="Times New Roman" w:hAnsi="Times New Roman" w:cs="Times New Roman"/>
          <w:sz w:val="28"/>
        </w:rPr>
        <w:t>Переменная возраста (</w:t>
      </w:r>
      <w:r w:rsidRPr="001A3F92">
        <w:rPr>
          <w:rFonts w:ascii="Times New Roman" w:hAnsi="Times New Roman" w:cs="Times New Roman"/>
          <w:i/>
          <w:sz w:val="28"/>
        </w:rPr>
        <w:t>х6</w:t>
      </w:r>
      <w:r w:rsidRPr="001A3F92">
        <w:rPr>
          <w:rFonts w:ascii="Times New Roman" w:hAnsi="Times New Roman" w:cs="Times New Roman"/>
          <w:sz w:val="28"/>
        </w:rPr>
        <w:t>) также демонстрирует статистически значимое влияние (</w:t>
      </w:r>
      <w:r w:rsidRPr="001A3F92">
        <w:rPr>
          <w:rFonts w:ascii="Times New Roman" w:hAnsi="Times New Roman" w:cs="Times New Roman"/>
          <w:i/>
          <w:sz w:val="28"/>
        </w:rPr>
        <w:t>β=−0,101, p=0,006</w:t>
      </w:r>
      <w:r w:rsidRPr="001A3F92">
        <w:rPr>
          <w:rFonts w:ascii="Times New Roman" w:hAnsi="Times New Roman" w:cs="Times New Roman"/>
          <w:sz w:val="28"/>
        </w:rPr>
        <w:t>), однако его эффект значительно слабее и имеет отрицательное направление: с увеличением возраста наблюдается незначительное снижение уровня офлайн гражданского участия в рамках рассматриваемой выборки.</w:t>
      </w:r>
      <w:r w:rsidRPr="001A3F92">
        <w:t xml:space="preserve"> </w:t>
      </w:r>
      <w:r w:rsidRPr="001A3F92">
        <w:rPr>
          <w:rFonts w:ascii="Times New Roman" w:hAnsi="Times New Roman" w:cs="Times New Roman"/>
          <w:sz w:val="28"/>
        </w:rPr>
        <w:t>Переменные, отражающие базовое использование социальных медиа, а именно, наличие аккаунта (</w:t>
      </w:r>
      <w:r w:rsidRPr="001A3F92">
        <w:rPr>
          <w:rFonts w:ascii="Times New Roman" w:hAnsi="Times New Roman" w:cs="Times New Roman"/>
          <w:i/>
          <w:sz w:val="28"/>
        </w:rPr>
        <w:t>х1</w:t>
      </w:r>
      <w:r w:rsidRPr="001A3F92">
        <w:rPr>
          <w:rFonts w:ascii="Times New Roman" w:hAnsi="Times New Roman" w:cs="Times New Roman"/>
          <w:sz w:val="28"/>
        </w:rPr>
        <w:t>) и частота его посещения (</w:t>
      </w:r>
      <w:r w:rsidRPr="001A3F92">
        <w:rPr>
          <w:rFonts w:ascii="Times New Roman" w:hAnsi="Times New Roman" w:cs="Times New Roman"/>
          <w:i/>
          <w:sz w:val="28"/>
        </w:rPr>
        <w:t>х2</w:t>
      </w:r>
      <w:r w:rsidRPr="001A3F92">
        <w:rPr>
          <w:rFonts w:ascii="Times New Roman" w:hAnsi="Times New Roman" w:cs="Times New Roman"/>
          <w:sz w:val="28"/>
        </w:rPr>
        <w:t>), не оказывают статистически значимого влияния на зависимую переменную.</w:t>
      </w:r>
      <w:r w:rsidRPr="001A3F92">
        <w:t xml:space="preserve"> </w:t>
      </w:r>
      <w:r w:rsidRPr="001A3F92">
        <w:rPr>
          <w:rFonts w:ascii="Times New Roman" w:hAnsi="Times New Roman" w:cs="Times New Roman"/>
          <w:sz w:val="28"/>
        </w:rPr>
        <w:t>Переменная пола (</w:t>
      </w:r>
      <w:r w:rsidRPr="001A3F92">
        <w:rPr>
          <w:rFonts w:ascii="Times New Roman" w:hAnsi="Times New Roman" w:cs="Times New Roman"/>
          <w:i/>
          <w:sz w:val="28"/>
        </w:rPr>
        <w:t>х5</w:t>
      </w:r>
      <w:r w:rsidRPr="001A3F92">
        <w:rPr>
          <w:rFonts w:ascii="Times New Roman" w:hAnsi="Times New Roman" w:cs="Times New Roman"/>
          <w:sz w:val="28"/>
        </w:rPr>
        <w:t>) также не демонстрирует значимого эффекта.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Данные модели В4 не подтверждают положения технологического детерминизма</w:t>
      </w:r>
      <w:r w:rsidRPr="001A3F92">
        <w:rPr>
          <w:rFonts w:ascii="Times New Roman" w:hAnsi="Times New Roman" w:cs="Times New Roman"/>
          <w:sz w:val="28"/>
        </w:rPr>
        <w:t xml:space="preserve">, </w:t>
      </w:r>
      <w:r w:rsidRPr="001A3F92">
        <w:rPr>
          <w:rFonts w:ascii="Times New Roman" w:hAnsi="Times New Roman" w:cs="Times New Roman"/>
          <w:i/>
          <w:sz w:val="28"/>
        </w:rPr>
        <w:t>но частично соотносятся с положениями теории социальных сил</w:t>
      </w:r>
      <w:r w:rsidRPr="001A3F92">
        <w:rPr>
          <w:rFonts w:ascii="Times New Roman" w:hAnsi="Times New Roman" w:cs="Times New Roman"/>
          <w:sz w:val="28"/>
        </w:rPr>
        <w:t>. Ключевым фактором оказывается не сам факт присутствия в цифровой среде, а содержательная и социально обусловленная институционализированная вовлечённость, то есть подписанность на публичные аккаунты молодёжных организаций. Это указывает на то, что социальные медиа выступают не автономным драйвером участия, а инструментом, эффективность которого определяется социальным контекстом, институциональными акторами и характером распространяемого контента.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B5 (см. Таблицу 20) исключает фактор пола (</w:t>
      </w:r>
      <w:r w:rsidRPr="001A3F92">
        <w:rPr>
          <w:rFonts w:ascii="Times New Roman" w:hAnsi="Times New Roman" w:cs="Times New Roman"/>
          <w:i/>
          <w:sz w:val="28"/>
        </w:rPr>
        <w:t>х5</w:t>
      </w:r>
      <w:r w:rsidRPr="001A3F92">
        <w:rPr>
          <w:rFonts w:ascii="Times New Roman" w:hAnsi="Times New Roman" w:cs="Times New Roman"/>
          <w:sz w:val="28"/>
        </w:rPr>
        <w:t xml:space="preserve">), что позволяет проверить устойчивость остальных предикторов.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Результаты множественной линейной регрессии демонстрируют высокую объяснительную способность построенной модели: коэффициент детерминации </w:t>
      </w:r>
      <w:r w:rsidRPr="001A3F92">
        <w:rPr>
          <w:rFonts w:ascii="Times New Roman" w:hAnsi="Times New Roman" w:cs="Times New Roman"/>
          <w:i/>
          <w:sz w:val="28"/>
        </w:rPr>
        <w:t>R</w:t>
      </w:r>
      <w:r w:rsidRPr="001A3F92">
        <w:rPr>
          <w:rFonts w:ascii="Times New Roman" w:hAnsi="Times New Roman" w:cs="Times New Roman"/>
          <w:i/>
          <w:sz w:val="28"/>
          <w:vertAlign w:val="superscript"/>
        </w:rPr>
        <w:t>2</w:t>
      </w:r>
      <w:r w:rsidRPr="001A3F92">
        <w:rPr>
          <w:rFonts w:ascii="Times New Roman" w:hAnsi="Times New Roman" w:cs="Times New Roman"/>
          <w:i/>
          <w:sz w:val="28"/>
        </w:rPr>
        <w:t>=0,931</w:t>
      </w:r>
      <w:r w:rsidRPr="001A3F92">
        <w:rPr>
          <w:rFonts w:ascii="Times New Roman" w:hAnsi="Times New Roman" w:cs="Times New Roman"/>
          <w:sz w:val="28"/>
        </w:rPr>
        <w:t xml:space="preserve"> свидетельствует о том, что 93,1% вариации уровня офлайн гражданского участия молодёжи Казахстана объясняется включёнными в модель предикторами. Это указывает на очень высокую согласованность модели с эмпирическими данными. Анализ дисперсии (ANOVA) подтверждает статистическую значимость модели в целом: значение </w:t>
      </w:r>
      <w:r w:rsidRPr="001A3F92">
        <w:rPr>
          <w:rFonts w:ascii="Times New Roman" w:hAnsi="Times New Roman" w:cs="Times New Roman"/>
          <w:i/>
          <w:sz w:val="28"/>
        </w:rPr>
        <w:t>F-критерия</w:t>
      </w:r>
      <w:r w:rsidRPr="001A3F92">
        <w:rPr>
          <w:rFonts w:ascii="Times New Roman" w:hAnsi="Times New Roman" w:cs="Times New Roman"/>
          <w:sz w:val="28"/>
        </w:rPr>
        <w:t xml:space="preserve"> составляет </w:t>
      </w:r>
      <w:r w:rsidRPr="001A3F92">
        <w:rPr>
          <w:rFonts w:ascii="Times New Roman" w:hAnsi="Times New Roman" w:cs="Times New Roman"/>
          <w:i/>
          <w:sz w:val="28"/>
        </w:rPr>
        <w:t>525,743</w:t>
      </w:r>
      <w:r w:rsidRPr="001A3F92">
        <w:rPr>
          <w:rFonts w:ascii="Times New Roman" w:hAnsi="Times New Roman" w:cs="Times New Roman"/>
          <w:sz w:val="28"/>
        </w:rPr>
        <w:t xml:space="preserve"> при уровне значимости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Это позволяет сделать вывод о наличии статистически значимой линейной зависимости между зависимой переменной и совокупностью объясняющих факторов.</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Единственным фактором, оказывающим сильное и статистически значимое влияние на офлайн гражданское участие, является переменная </w:t>
      </w:r>
      <w:r w:rsidRPr="001A3F92">
        <w:rPr>
          <w:rFonts w:ascii="Times New Roman" w:hAnsi="Times New Roman" w:cs="Times New Roman"/>
          <w:i/>
          <w:sz w:val="28"/>
        </w:rPr>
        <w:t>х4</w:t>
      </w:r>
      <w:r w:rsidRPr="001A3F92">
        <w:rPr>
          <w:rFonts w:ascii="Times New Roman" w:hAnsi="Times New Roman" w:cs="Times New Roman"/>
          <w:sz w:val="28"/>
        </w:rPr>
        <w:t xml:space="preserve"> (подписанность на аккаунты молодёжных общественных организаций в социальных медиа​). Её стандартизованный коэффициент </w:t>
      </w:r>
      <w:r w:rsidRPr="001A3F92">
        <w:rPr>
          <w:rFonts w:ascii="Times New Roman" w:hAnsi="Times New Roman" w:cs="Times New Roman"/>
          <w:i/>
          <w:sz w:val="28"/>
        </w:rPr>
        <w:t>β=0,892</w:t>
      </w:r>
      <w:r w:rsidRPr="001A3F92">
        <w:rPr>
          <w:rFonts w:ascii="Times New Roman" w:hAnsi="Times New Roman" w:cs="Times New Roman"/>
          <w:sz w:val="28"/>
        </w:rPr>
        <w:t xml:space="preserve"> при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указывает на очень сильную положительную связь: увеличение данного показателя сопровождается существенным ростом уровня офлайн участия. Это позволяет интерпретировать подписанность как ключевой фактор в данной модели, опосредующий вовлечённость в гражданскую активность.</w:t>
      </w:r>
      <w:r w:rsidRPr="001A3F92">
        <w:rPr>
          <w:rFonts w:ascii="Times New Roman" w:eastAsia="Times New Roman" w:hAnsi="Times New Roman" w:cs="Times New Roman"/>
          <w:sz w:val="24"/>
          <w:szCs w:val="24"/>
          <w:lang w:eastAsia="ru-RU"/>
        </w:rPr>
        <w:t xml:space="preserve"> </w:t>
      </w:r>
      <w:r w:rsidRPr="001A3F92">
        <w:rPr>
          <w:rFonts w:ascii="Times New Roman" w:hAnsi="Times New Roman" w:cs="Times New Roman"/>
          <w:sz w:val="28"/>
        </w:rPr>
        <w:t>Переменная возраста (</w:t>
      </w:r>
      <w:r w:rsidRPr="001A3F92">
        <w:rPr>
          <w:rFonts w:ascii="Times New Roman" w:hAnsi="Times New Roman" w:cs="Times New Roman"/>
          <w:i/>
          <w:sz w:val="28"/>
        </w:rPr>
        <w:t>x6</w:t>
      </w:r>
      <w:r w:rsidRPr="001A3F92">
        <w:rPr>
          <w:rFonts w:ascii="Times New Roman" w:hAnsi="Times New Roman" w:cs="Times New Roman"/>
          <w:sz w:val="28"/>
        </w:rPr>
        <w:t>​) также демонстрирует статистически значимое влияние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w:t>
      </w:r>
      <w:r w:rsidRPr="001A3F92">
        <w:rPr>
          <w:rFonts w:ascii="Times New Roman" w:hAnsi="Times New Roman" w:cs="Times New Roman"/>
          <w:sz w:val="28"/>
        </w:rPr>
        <w:lastRenderedPageBreak/>
        <w:t>однако его характер является отрицательным (</w:t>
      </w:r>
      <w:r w:rsidRPr="001A3F92">
        <w:rPr>
          <w:rFonts w:ascii="Times New Roman" w:hAnsi="Times New Roman" w:cs="Times New Roman"/>
          <w:i/>
          <w:sz w:val="28"/>
        </w:rPr>
        <w:t>β=−0,101</w:t>
      </w:r>
      <w:r w:rsidRPr="001A3F92">
        <w:rPr>
          <w:rFonts w:ascii="Times New Roman" w:hAnsi="Times New Roman" w:cs="Times New Roman"/>
          <w:sz w:val="28"/>
        </w:rPr>
        <w:t>), что свидетельствует о снижении уровня офлайн гражданского участия с увеличением возраста внутри исследуемой возрастной группы молодёжи. Переменные, непосредственно отражающие базовое присутствие и активность в социальных медиа, а именно, наличие аккаунта (</w:t>
      </w:r>
      <w:r w:rsidRPr="001A3F92">
        <w:rPr>
          <w:rFonts w:ascii="Times New Roman" w:hAnsi="Times New Roman" w:cs="Times New Roman"/>
          <w:i/>
          <w:sz w:val="28"/>
        </w:rPr>
        <w:t>x1</w:t>
      </w:r>
      <w:r w:rsidRPr="001A3F92">
        <w:rPr>
          <w:rFonts w:ascii="Times New Roman" w:hAnsi="Times New Roman" w:cs="Times New Roman"/>
          <w:sz w:val="28"/>
        </w:rPr>
        <w:t>​), частота его посещения (</w:t>
      </w:r>
      <w:r w:rsidRPr="001A3F92">
        <w:rPr>
          <w:rFonts w:ascii="Times New Roman" w:hAnsi="Times New Roman" w:cs="Times New Roman"/>
          <w:i/>
          <w:sz w:val="28"/>
        </w:rPr>
        <w:t>x2</w:t>
      </w:r>
      <w:r w:rsidRPr="001A3F92">
        <w:rPr>
          <w:rFonts w:ascii="Times New Roman" w:hAnsi="Times New Roman" w:cs="Times New Roman"/>
          <w:sz w:val="28"/>
        </w:rPr>
        <w:t>​) и осведомлённость о молодёжных организациях (</w:t>
      </w:r>
      <w:r w:rsidRPr="001A3F92">
        <w:rPr>
          <w:rFonts w:ascii="Times New Roman" w:hAnsi="Times New Roman" w:cs="Times New Roman"/>
          <w:i/>
          <w:sz w:val="28"/>
        </w:rPr>
        <w:t>x3</w:t>
      </w:r>
      <w:r w:rsidRPr="001A3F92">
        <w:rPr>
          <w:rFonts w:ascii="Times New Roman" w:hAnsi="Times New Roman" w:cs="Times New Roman"/>
          <w:sz w:val="28"/>
        </w:rPr>
        <w:t xml:space="preserve">​), не являются статистически значимыми (во всех случаях </w:t>
      </w:r>
      <w:r w:rsidRPr="001A3F92">
        <w:rPr>
          <w:rFonts w:ascii="Times New Roman" w:hAnsi="Times New Roman" w:cs="Times New Roman"/>
          <w:i/>
          <w:sz w:val="28"/>
        </w:rPr>
        <w:t>p=1,000</w:t>
      </w:r>
      <w:r w:rsidRPr="001A3F92">
        <w:rPr>
          <w:rFonts w:ascii="Times New Roman" w:hAnsi="Times New Roman" w:cs="Times New Roman"/>
          <w:sz w:val="28"/>
        </w:rPr>
        <w:t>).</w:t>
      </w:r>
    </w:p>
    <w:p w:rsidR="001A3F92" w:rsidRPr="001A3F92" w:rsidRDefault="001A3F92" w:rsidP="001A3F92">
      <w:pPr>
        <w:spacing w:after="0"/>
        <w:ind w:firstLine="709"/>
        <w:jc w:val="both"/>
        <w:rPr>
          <w:rFonts w:ascii="Times New Roman" w:hAnsi="Times New Roman" w:cs="Times New Roman"/>
          <w:sz w:val="28"/>
        </w:rPr>
      </w:pPr>
    </w:p>
    <w:p w:rsidR="001A3F92" w:rsidRPr="001A3F92" w:rsidRDefault="001A3F92" w:rsidP="001A3F92">
      <w:pPr>
        <w:spacing w:after="0"/>
        <w:ind w:firstLine="709"/>
        <w:jc w:val="center"/>
        <w:rPr>
          <w:rFonts w:ascii="Times New Roman" w:hAnsi="Times New Roman" w:cs="Times New Roman"/>
          <w:sz w:val="28"/>
        </w:rPr>
      </w:pPr>
      <w:r w:rsidRPr="001A3F92">
        <w:rPr>
          <w:rFonts w:ascii="Times New Roman" w:hAnsi="Times New Roman" w:cs="Times New Roman"/>
          <w:sz w:val="28"/>
        </w:rPr>
        <w:t>Таблица 20 – Результаты регрессионного анализа данных авторского опроса 2023 года (модель В5). Источник: данные автора</w:t>
      </w:r>
    </w:p>
    <w:p w:rsidR="001A3F92" w:rsidRPr="001A3F92" w:rsidRDefault="001A3F92" w:rsidP="001A3F92">
      <w:pPr>
        <w:spacing w:after="0" w:line="240" w:lineRule="auto"/>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24EF3DB5" wp14:editId="091F03A7">
            <wp:extent cx="5572125" cy="28098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572125" cy="280987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результаты анализа модели В5 демонстрируют, что гипотеза технологического детерминизма не получает эмпирического подтверждения</w:t>
      </w:r>
      <w:r w:rsidRPr="001A3F92">
        <w:rPr>
          <w:rFonts w:ascii="Times New Roman" w:hAnsi="Times New Roman" w:cs="Times New Roman"/>
          <w:sz w:val="28"/>
        </w:rPr>
        <w:t>. Переменные, отражающие неинституционализированное присутствие в цифровой среде и интенсивность её использования, оказываются статистически незначимыми.</w:t>
      </w:r>
      <w:r w:rsidRPr="001A3F92">
        <w:t xml:space="preserve"> </w:t>
      </w:r>
      <w:r w:rsidRPr="001A3F92">
        <w:rPr>
          <w:rFonts w:ascii="Times New Roman" w:hAnsi="Times New Roman" w:cs="Times New Roman"/>
          <w:i/>
          <w:sz w:val="28"/>
        </w:rPr>
        <w:t>Напротив, результаты в большей степени согласуются с теорией социальных сил</w:t>
      </w:r>
      <w:r w:rsidRPr="001A3F92">
        <w:rPr>
          <w:rFonts w:ascii="Times New Roman" w:hAnsi="Times New Roman" w:cs="Times New Roman"/>
          <w:sz w:val="28"/>
        </w:rPr>
        <w:t xml:space="preserve">. Существенным оказывается не сам факт использования социальных медиа, а включённость в конкретные диджитализированные структуры – подписанность респондентов на публичные аккаунты молодёжных общественных объединений в социальных медиа.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B6 (см. Таблицу 21) исключает возраст респондентов (</w:t>
      </w:r>
      <w:r w:rsidRPr="001A3F92">
        <w:rPr>
          <w:rFonts w:ascii="Times New Roman" w:hAnsi="Times New Roman" w:cs="Times New Roman"/>
          <w:i/>
          <w:sz w:val="28"/>
        </w:rPr>
        <w:t>х6</w:t>
      </w:r>
      <w:r w:rsidRPr="001A3F92">
        <w:rPr>
          <w:rFonts w:ascii="Times New Roman" w:hAnsi="Times New Roman" w:cs="Times New Roman"/>
          <w:sz w:val="28"/>
        </w:rPr>
        <w:t xml:space="preserve">), позволяя сосредоточиться на взаимодействии цифровых, недиджитальных и гендерных факторов.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Анализ дисперсии (ANOVA) демонстрирует высокую статистическую значимость модели в целом: </w:t>
      </w:r>
      <w:r w:rsidRPr="001A3F92">
        <w:rPr>
          <w:rFonts w:ascii="Times New Roman" w:hAnsi="Times New Roman" w:cs="Times New Roman"/>
          <w:i/>
          <w:sz w:val="28"/>
        </w:rPr>
        <w:t>F=505,104</w:t>
      </w:r>
      <w:r w:rsidRPr="001A3F92">
        <w:rPr>
          <w:rFonts w:ascii="Times New Roman" w:hAnsi="Times New Roman" w:cs="Times New Roman"/>
          <w:sz w:val="28"/>
        </w:rPr>
        <w:t xml:space="preserve"> при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Это свидетельствует о том, что совокупность включённых предикторов значимо объясняет вариацию зависимой переменной. Коэффициент детерминации </w:t>
      </w:r>
      <w:r w:rsidRPr="001A3F92">
        <w:rPr>
          <w:rFonts w:ascii="Times New Roman" w:hAnsi="Times New Roman" w:cs="Times New Roman"/>
          <w:i/>
          <w:sz w:val="28"/>
        </w:rPr>
        <w:t>R</w:t>
      </w:r>
      <w:r w:rsidRPr="001A3F92">
        <w:rPr>
          <w:rFonts w:ascii="Times New Roman" w:hAnsi="Times New Roman" w:cs="Times New Roman"/>
          <w:i/>
          <w:sz w:val="28"/>
          <w:vertAlign w:val="superscript"/>
        </w:rPr>
        <w:t>2</w:t>
      </w:r>
      <w:r w:rsidRPr="001A3F92">
        <w:rPr>
          <w:rFonts w:ascii="Times New Roman" w:hAnsi="Times New Roman" w:cs="Times New Roman"/>
          <w:i/>
          <w:sz w:val="28"/>
        </w:rPr>
        <w:t>=0,928</w:t>
      </w:r>
      <w:r w:rsidRPr="001A3F92">
        <w:rPr>
          <w:rFonts w:ascii="Times New Roman" w:hAnsi="Times New Roman" w:cs="Times New Roman"/>
          <w:sz w:val="28"/>
        </w:rPr>
        <w:t xml:space="preserve"> указывает на очень высокую объясняющую способность модели В6: 92,8% вариации уровня офлайн-гражданского участия обусловлены включёнными переменными.</w:t>
      </w:r>
    </w:p>
    <w:p w:rsidR="001A3F92" w:rsidRDefault="001A3F92" w:rsidP="001A3F92">
      <w:pPr>
        <w:spacing w:after="0" w:line="240" w:lineRule="auto"/>
        <w:ind w:firstLine="709"/>
        <w:jc w:val="both"/>
        <w:rPr>
          <w:rFonts w:ascii="Times New Roman" w:hAnsi="Times New Roman" w:cs="Times New Roman"/>
          <w:sz w:val="28"/>
        </w:rPr>
      </w:pPr>
    </w:p>
    <w:p w:rsidR="00D6785D" w:rsidRDefault="00D6785D" w:rsidP="001A3F92">
      <w:pPr>
        <w:spacing w:after="0" w:line="240" w:lineRule="auto"/>
        <w:ind w:firstLine="709"/>
        <w:jc w:val="both"/>
        <w:rPr>
          <w:rFonts w:ascii="Times New Roman" w:hAnsi="Times New Roman" w:cs="Times New Roman"/>
          <w:sz w:val="28"/>
        </w:rPr>
      </w:pPr>
    </w:p>
    <w:p w:rsidR="00D6785D" w:rsidRPr="001A3F92" w:rsidRDefault="00D6785D"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21 – Результаты регрессионного анализа данных авторского опроса 2023 года (модель В6). Источник: данные автора</w:t>
      </w:r>
    </w:p>
    <w:p w:rsidR="001A3F92" w:rsidRPr="001A3F92" w:rsidRDefault="001A3F92" w:rsidP="00C53578">
      <w:pPr>
        <w:spacing w:after="0" w:line="240" w:lineRule="auto"/>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5DBC84E" wp14:editId="5BA0195F">
            <wp:extent cx="5572125" cy="28098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572125" cy="280987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Наиболее значимым фактором выступает переменная </w:t>
      </w:r>
      <w:r w:rsidRPr="001A3F92">
        <w:rPr>
          <w:rFonts w:ascii="Times New Roman" w:hAnsi="Times New Roman" w:cs="Times New Roman"/>
          <w:i/>
          <w:sz w:val="28"/>
        </w:rPr>
        <w:t>x4</w:t>
      </w:r>
      <w:r w:rsidRPr="001A3F92">
        <w:rPr>
          <w:rFonts w:ascii="Times New Roman" w:hAnsi="Times New Roman" w:cs="Times New Roman"/>
          <w:sz w:val="28"/>
        </w:rPr>
        <w:t xml:space="preserve"> (подписанность респондента на аккаунты молодёжных общественных организаций в социальных медиа). Её стандартизованный коэффициент </w:t>
      </w:r>
      <w:r w:rsidRPr="001A3F92">
        <w:rPr>
          <w:rFonts w:ascii="Times New Roman" w:hAnsi="Times New Roman" w:cs="Times New Roman"/>
          <w:i/>
          <w:sz w:val="28"/>
        </w:rPr>
        <w:t>β=0,926</w:t>
      </w:r>
      <w:r w:rsidRPr="001A3F92">
        <w:rPr>
          <w:rFonts w:ascii="Times New Roman" w:hAnsi="Times New Roman" w:cs="Times New Roman"/>
          <w:sz w:val="28"/>
        </w:rPr>
        <w:t xml:space="preserve"> при </w:t>
      </w:r>
      <w:proofErr w:type="gramStart"/>
      <w:r w:rsidRPr="001A3F92">
        <w:rPr>
          <w:rFonts w:ascii="Times New Roman" w:hAnsi="Times New Roman" w:cs="Times New Roman"/>
          <w:i/>
          <w:sz w:val="28"/>
        </w:rPr>
        <w:t>p&lt;</w:t>
      </w:r>
      <w:proofErr w:type="gramEnd"/>
      <w:r w:rsidRPr="001A3F92">
        <w:rPr>
          <w:rFonts w:ascii="Times New Roman" w:hAnsi="Times New Roman" w:cs="Times New Roman"/>
          <w:i/>
          <w:sz w:val="28"/>
        </w:rPr>
        <w:t>0,001</w:t>
      </w:r>
      <w:r w:rsidRPr="001A3F92">
        <w:rPr>
          <w:rFonts w:ascii="Times New Roman" w:hAnsi="Times New Roman" w:cs="Times New Roman"/>
          <w:sz w:val="28"/>
        </w:rPr>
        <w:t xml:space="preserve"> свидетельствует о крайне сильной положительной связи с уровнем офлайн-участия.</w:t>
      </w:r>
      <w:r w:rsidRPr="001A3F92">
        <w:t xml:space="preserve"> </w:t>
      </w:r>
      <w:r w:rsidRPr="001A3F92">
        <w:rPr>
          <w:rFonts w:ascii="Times New Roman" w:hAnsi="Times New Roman" w:cs="Times New Roman"/>
          <w:sz w:val="28"/>
        </w:rPr>
        <w:t xml:space="preserve">Переменная </w:t>
      </w:r>
      <w:r w:rsidRPr="001A3F92">
        <w:rPr>
          <w:rFonts w:ascii="Times New Roman" w:hAnsi="Times New Roman" w:cs="Times New Roman"/>
          <w:i/>
          <w:sz w:val="28"/>
        </w:rPr>
        <w:t>x5</w:t>
      </w:r>
      <w:r w:rsidRPr="001A3F92">
        <w:rPr>
          <w:rFonts w:ascii="Times New Roman" w:hAnsi="Times New Roman" w:cs="Times New Roman"/>
          <w:sz w:val="28"/>
        </w:rPr>
        <w:t>​ (пол) также демонстрирует статистическую значимость (</w:t>
      </w:r>
      <w:r w:rsidRPr="001A3F92">
        <w:rPr>
          <w:rFonts w:ascii="Times New Roman" w:hAnsi="Times New Roman" w:cs="Times New Roman"/>
          <w:i/>
          <w:sz w:val="28"/>
        </w:rPr>
        <w:t>β=−0,060, p=0,014</w:t>
      </w:r>
      <w:r w:rsidRPr="001A3F92">
        <w:rPr>
          <w:rFonts w:ascii="Times New Roman" w:hAnsi="Times New Roman" w:cs="Times New Roman"/>
          <w:sz w:val="28"/>
        </w:rPr>
        <w:t>), однако её эффект является слабым по величине. Отрицательный знак коэффициента указывает на наличие гендерных различий в уровне участия, однако их вклад существенно уступает влиянию других факторов</w:t>
      </w:r>
      <w:r w:rsidRPr="001A3F92">
        <w:rPr>
          <w:rFonts w:ascii="Times New Roman" w:hAnsi="Times New Roman" w:cs="Times New Roman"/>
          <w:sz w:val="28"/>
          <w:szCs w:val="28"/>
        </w:rPr>
        <w:t>. Переменные</w:t>
      </w:r>
      <w:r w:rsidRPr="001A3F92">
        <w:rPr>
          <w:rFonts w:ascii="Times New Roman" w:hAnsi="Times New Roman" w:cs="Times New Roman"/>
          <w:sz w:val="28"/>
        </w:rPr>
        <w:t>, непосредственно отражающие базовое использование социальных медиа (</w:t>
      </w:r>
      <w:r w:rsidRPr="001A3F92">
        <w:rPr>
          <w:rFonts w:ascii="Times New Roman" w:hAnsi="Times New Roman" w:cs="Times New Roman"/>
          <w:i/>
          <w:sz w:val="28"/>
        </w:rPr>
        <w:t>х1</w:t>
      </w:r>
      <w:r w:rsidRPr="001A3F92">
        <w:rPr>
          <w:rFonts w:ascii="Times New Roman" w:hAnsi="Times New Roman" w:cs="Times New Roman"/>
          <w:sz w:val="28"/>
        </w:rPr>
        <w:t xml:space="preserve"> и </w:t>
      </w:r>
      <w:r w:rsidRPr="001A3F92">
        <w:rPr>
          <w:rFonts w:ascii="Times New Roman" w:hAnsi="Times New Roman" w:cs="Times New Roman"/>
          <w:i/>
          <w:sz w:val="28"/>
        </w:rPr>
        <w:t>х2</w:t>
      </w:r>
      <w:r w:rsidRPr="001A3F92">
        <w:rPr>
          <w:rFonts w:ascii="Times New Roman" w:hAnsi="Times New Roman" w:cs="Times New Roman"/>
          <w:sz w:val="28"/>
        </w:rPr>
        <w:t xml:space="preserve">), не являются статистически значимыми, так </w:t>
      </w:r>
      <w:proofErr w:type="gramStart"/>
      <w:r w:rsidRPr="001A3F92">
        <w:rPr>
          <w:rFonts w:ascii="Times New Roman" w:hAnsi="Times New Roman" w:cs="Times New Roman"/>
          <w:sz w:val="28"/>
        </w:rPr>
        <w:t>же</w:t>
      </w:r>
      <w:proofErr w:type="gramEnd"/>
      <w:r w:rsidRPr="001A3F92">
        <w:rPr>
          <w:rFonts w:ascii="Times New Roman" w:hAnsi="Times New Roman" w:cs="Times New Roman"/>
          <w:sz w:val="28"/>
        </w:rPr>
        <w:t xml:space="preserve"> как и переменная </w:t>
      </w:r>
      <w:r w:rsidRPr="001A3F92">
        <w:rPr>
          <w:rFonts w:ascii="Times New Roman" w:hAnsi="Times New Roman" w:cs="Times New Roman"/>
          <w:i/>
          <w:sz w:val="28"/>
        </w:rPr>
        <w:t>х3</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с теоретической точки зрения полученные результаты модели В6 в значительно большей степени подтверждают теорию социальных сил, нежели технологический детерминизм</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Рассмотрим результаты корреляционного анализа данных авторского опроса 2025 года (см. Таблицу 22).</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Результаты показывают, что офлайн гражданское участие молодёжи (</w:t>
      </w:r>
      <w:r w:rsidRPr="001A3F92">
        <w:rPr>
          <w:rFonts w:ascii="Times New Roman" w:hAnsi="Times New Roman" w:cs="Times New Roman"/>
          <w:i/>
          <w:sz w:val="28"/>
        </w:rPr>
        <w:t>y</w:t>
      </w:r>
      <w:r w:rsidRPr="001A3F92">
        <w:rPr>
          <w:rFonts w:ascii="Times New Roman" w:hAnsi="Times New Roman" w:cs="Times New Roman"/>
          <w:sz w:val="28"/>
        </w:rPr>
        <w:t>) слабо связано с большинством исследуемых факторов. Статистически значимая, но слабая отрицательная связь обнаружена только с возрастом респондентов (</w:t>
      </w:r>
      <w:r w:rsidRPr="001A3F92">
        <w:rPr>
          <w:rFonts w:ascii="Times New Roman" w:hAnsi="Times New Roman" w:cs="Times New Roman"/>
          <w:i/>
          <w:sz w:val="28"/>
        </w:rPr>
        <w:t xml:space="preserve">x6: r = −0,261, p </w:t>
      </w:r>
      <w:proofErr w:type="gramStart"/>
      <w:r w:rsidRPr="001A3F92">
        <w:rPr>
          <w:rFonts w:ascii="Times New Roman" w:hAnsi="Times New Roman" w:cs="Times New Roman"/>
          <w:i/>
          <w:sz w:val="28"/>
        </w:rPr>
        <w:t>&lt; 0</w:t>
      </w:r>
      <w:proofErr w:type="gramEnd"/>
      <w:r w:rsidRPr="001A3F92">
        <w:rPr>
          <w:rFonts w:ascii="Times New Roman" w:hAnsi="Times New Roman" w:cs="Times New Roman"/>
          <w:i/>
          <w:sz w:val="28"/>
        </w:rPr>
        <w:t>,01</w:t>
      </w:r>
      <w:r w:rsidRPr="001A3F92">
        <w:rPr>
          <w:rFonts w:ascii="Times New Roman" w:hAnsi="Times New Roman" w:cs="Times New Roman"/>
          <w:sz w:val="28"/>
        </w:rPr>
        <w:t>). Это указывает на тенденцию к снижению офлайн гражданской активности с увеличением возраста в рамках рассматриваемой выборки молодёжи. Все остальные связи с зависимой переменной (</w:t>
      </w:r>
      <w:r w:rsidRPr="001A3F92">
        <w:rPr>
          <w:rFonts w:ascii="Times New Roman" w:hAnsi="Times New Roman" w:cs="Times New Roman"/>
          <w:i/>
          <w:sz w:val="28"/>
        </w:rPr>
        <w:t>x1–x5</w:t>
      </w:r>
      <w:r w:rsidRPr="001A3F92">
        <w:rPr>
          <w:rFonts w:ascii="Times New Roman" w:hAnsi="Times New Roman" w:cs="Times New Roman"/>
          <w:sz w:val="28"/>
        </w:rPr>
        <w:t>) оказались статистически незначимыми (</w:t>
      </w:r>
      <w:proofErr w:type="gramStart"/>
      <w:r w:rsidRPr="001A3F92">
        <w:rPr>
          <w:rFonts w:ascii="Times New Roman" w:hAnsi="Times New Roman" w:cs="Times New Roman"/>
          <w:i/>
          <w:sz w:val="28"/>
        </w:rPr>
        <w:t>p &gt;</w:t>
      </w:r>
      <w:proofErr w:type="gramEnd"/>
      <w:r w:rsidRPr="001A3F92">
        <w:rPr>
          <w:rFonts w:ascii="Times New Roman" w:hAnsi="Times New Roman" w:cs="Times New Roman"/>
          <w:i/>
          <w:sz w:val="28"/>
        </w:rPr>
        <w:t xml:space="preserve"> 0,05</w:t>
      </w:r>
      <w:r w:rsidRPr="001A3F92">
        <w:rPr>
          <w:rFonts w:ascii="Times New Roman" w:hAnsi="Times New Roman" w:cs="Times New Roman"/>
          <w:sz w:val="28"/>
        </w:rPr>
        <w:t>), что свидетельствует об отсутствии линейной зависимости между офлайн участием и наличием аккаунта в социальных медиа, частотой их использования, осведомлённостью о молодёжных организациях, подпиской на их аккаунты, а также полом респондентов.</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22 – Результаты корреляционного анализа данных авторского опроса 2025 года. Источник: данные автора</w:t>
      </w:r>
    </w:p>
    <w:p w:rsidR="001A3F92" w:rsidRPr="001A3F92" w:rsidRDefault="001A3F92" w:rsidP="00C53578">
      <w:pPr>
        <w:spacing w:after="0" w:line="240" w:lineRule="auto"/>
        <w:ind w:firstLine="567"/>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27FA44D4" wp14:editId="472F4165">
            <wp:extent cx="4310655" cy="3702387"/>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35780" cy="3723967"/>
                    </a:xfrm>
                    <a:prstGeom prst="rect">
                      <a:avLst/>
                    </a:prstGeom>
                  </pic:spPr>
                </pic:pic>
              </a:graphicData>
            </a:graphic>
          </wp:inline>
        </w:drawing>
      </w:r>
    </w:p>
    <w:p w:rsidR="001A3F92" w:rsidRPr="001A3F92" w:rsidRDefault="001A3F92" w:rsidP="001A3F92">
      <w:pPr>
        <w:spacing w:after="0"/>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взаимосвязей между независимыми переменными позволяет выявить ряд структурных закономерностей. Наличие аккаунта в социальных медиа (</w:t>
      </w:r>
      <w:r w:rsidRPr="001A3F92">
        <w:rPr>
          <w:rFonts w:ascii="Times New Roman" w:hAnsi="Times New Roman" w:cs="Times New Roman"/>
          <w:i/>
          <w:sz w:val="28"/>
        </w:rPr>
        <w:t>x1</w:t>
      </w:r>
      <w:r w:rsidRPr="001A3F92">
        <w:rPr>
          <w:rFonts w:ascii="Times New Roman" w:hAnsi="Times New Roman" w:cs="Times New Roman"/>
          <w:sz w:val="28"/>
        </w:rPr>
        <w:t>) положительно связано с частотой его посещения (</w:t>
      </w:r>
      <w:r w:rsidRPr="001A3F92">
        <w:rPr>
          <w:rFonts w:ascii="Times New Roman" w:hAnsi="Times New Roman" w:cs="Times New Roman"/>
          <w:i/>
          <w:sz w:val="28"/>
        </w:rPr>
        <w:t xml:space="preserve">x2: r = 0,146, p </w:t>
      </w:r>
      <w:proofErr w:type="gramStart"/>
      <w:r w:rsidRPr="001A3F92">
        <w:rPr>
          <w:rFonts w:ascii="Times New Roman" w:hAnsi="Times New Roman" w:cs="Times New Roman"/>
          <w:i/>
          <w:sz w:val="28"/>
        </w:rPr>
        <w:t>&lt; 0</w:t>
      </w:r>
      <w:proofErr w:type="gramEnd"/>
      <w:r w:rsidRPr="001A3F92">
        <w:rPr>
          <w:rFonts w:ascii="Times New Roman" w:hAnsi="Times New Roman" w:cs="Times New Roman"/>
          <w:i/>
          <w:sz w:val="28"/>
        </w:rPr>
        <w:t>,05</w:t>
      </w:r>
      <w:r w:rsidRPr="001A3F92">
        <w:rPr>
          <w:rFonts w:ascii="Times New Roman" w:hAnsi="Times New Roman" w:cs="Times New Roman"/>
          <w:sz w:val="28"/>
        </w:rPr>
        <w:t>), однако демонстрирует отрицательную связь с подписанностью на аккаунты молодёжных общественных организаций (</w:t>
      </w:r>
      <w:r w:rsidRPr="001A3F92">
        <w:rPr>
          <w:rFonts w:ascii="Times New Roman" w:hAnsi="Times New Roman" w:cs="Times New Roman"/>
          <w:i/>
          <w:sz w:val="28"/>
        </w:rPr>
        <w:t>x4: r = −0,395, p &lt; 0,01</w:t>
      </w:r>
      <w:r w:rsidRPr="001A3F92">
        <w:rPr>
          <w:rFonts w:ascii="Times New Roman" w:hAnsi="Times New Roman" w:cs="Times New Roman"/>
          <w:sz w:val="28"/>
        </w:rPr>
        <w:t>). Это может указывать на различия в характере цифровой вовлечённости: формальное присутствие в социальных медиа не обязательно сопряжено с включённостью в контент, ориентированный на гражданское участие. Частота посещения аккаунта (</w:t>
      </w:r>
      <w:r w:rsidRPr="001A3F92">
        <w:rPr>
          <w:rFonts w:ascii="Times New Roman" w:hAnsi="Times New Roman" w:cs="Times New Roman"/>
          <w:i/>
          <w:sz w:val="28"/>
        </w:rPr>
        <w:t>x2</w:t>
      </w:r>
      <w:r w:rsidRPr="001A3F92">
        <w:rPr>
          <w:rFonts w:ascii="Times New Roman" w:hAnsi="Times New Roman" w:cs="Times New Roman"/>
          <w:sz w:val="28"/>
        </w:rPr>
        <w:t>) демонстрирует положительную связь с осведомлённостью о молодёжных организациях (</w:t>
      </w:r>
      <w:r w:rsidRPr="001A3F92">
        <w:rPr>
          <w:rFonts w:ascii="Times New Roman" w:hAnsi="Times New Roman" w:cs="Times New Roman"/>
          <w:i/>
          <w:sz w:val="28"/>
        </w:rPr>
        <w:t xml:space="preserve">x3: r = 0,261, p </w:t>
      </w:r>
      <w:proofErr w:type="gramStart"/>
      <w:r w:rsidRPr="001A3F92">
        <w:rPr>
          <w:rFonts w:ascii="Times New Roman" w:hAnsi="Times New Roman" w:cs="Times New Roman"/>
          <w:i/>
          <w:sz w:val="28"/>
        </w:rPr>
        <w:t>&lt; 0</w:t>
      </w:r>
      <w:proofErr w:type="gramEnd"/>
      <w:r w:rsidRPr="001A3F92">
        <w:rPr>
          <w:rFonts w:ascii="Times New Roman" w:hAnsi="Times New Roman" w:cs="Times New Roman"/>
          <w:i/>
          <w:sz w:val="28"/>
        </w:rPr>
        <w:t>,01</w:t>
      </w:r>
      <w:r w:rsidRPr="001A3F92">
        <w:rPr>
          <w:rFonts w:ascii="Times New Roman" w:hAnsi="Times New Roman" w:cs="Times New Roman"/>
          <w:sz w:val="28"/>
        </w:rPr>
        <w:t>) и возрастом (</w:t>
      </w:r>
      <w:r w:rsidRPr="001A3F92">
        <w:rPr>
          <w:rFonts w:ascii="Times New Roman" w:hAnsi="Times New Roman" w:cs="Times New Roman"/>
          <w:i/>
          <w:sz w:val="28"/>
        </w:rPr>
        <w:t>x6: r = 0,142, p &lt; 0,05</w:t>
      </w:r>
      <w:r w:rsidRPr="001A3F92">
        <w:rPr>
          <w:rFonts w:ascii="Times New Roman" w:hAnsi="Times New Roman" w:cs="Times New Roman"/>
          <w:sz w:val="28"/>
        </w:rPr>
        <w:t>), а также отрицательную связь с подписанностью на аккаунты молодёжных организаций (</w:t>
      </w:r>
      <w:r w:rsidRPr="001A3F92">
        <w:rPr>
          <w:rFonts w:ascii="Times New Roman" w:hAnsi="Times New Roman" w:cs="Times New Roman"/>
          <w:i/>
          <w:sz w:val="28"/>
        </w:rPr>
        <w:t>x4: r = −0,145, p &lt; 0,05</w:t>
      </w:r>
      <w:r w:rsidRPr="001A3F92">
        <w:rPr>
          <w:rFonts w:ascii="Times New Roman" w:hAnsi="Times New Roman" w:cs="Times New Roman"/>
          <w:sz w:val="28"/>
        </w:rPr>
        <w:t>) и полом (</w:t>
      </w:r>
      <w:r w:rsidRPr="001A3F92">
        <w:rPr>
          <w:rFonts w:ascii="Times New Roman" w:hAnsi="Times New Roman" w:cs="Times New Roman"/>
          <w:i/>
          <w:sz w:val="28"/>
        </w:rPr>
        <w:t>x5: r = −0,252, p &lt; 0,01</w:t>
      </w:r>
      <w:r w:rsidRPr="001A3F92">
        <w:rPr>
          <w:rFonts w:ascii="Times New Roman" w:hAnsi="Times New Roman" w:cs="Times New Roman"/>
          <w:sz w:val="28"/>
        </w:rPr>
        <w:t>). Это может свидетельствовать о неоднородности цифрового поведения, где более активное потребление социальных медиа не обязательно трансформируется в гражданскую или организационную вовлечённость.</w:t>
      </w:r>
      <w:r w:rsidRPr="001A3F92">
        <w:t xml:space="preserve"> </w:t>
      </w:r>
      <w:r w:rsidRPr="001A3F92">
        <w:rPr>
          <w:rFonts w:ascii="Times New Roman" w:hAnsi="Times New Roman" w:cs="Times New Roman"/>
          <w:sz w:val="28"/>
        </w:rPr>
        <w:t>Осведомлённость о молодёжных общественных организациях (</w:t>
      </w:r>
      <w:r w:rsidRPr="001A3F92">
        <w:rPr>
          <w:rFonts w:ascii="Times New Roman" w:hAnsi="Times New Roman" w:cs="Times New Roman"/>
          <w:i/>
          <w:sz w:val="28"/>
        </w:rPr>
        <w:t>x3</w:t>
      </w:r>
      <w:r w:rsidRPr="001A3F92">
        <w:rPr>
          <w:rFonts w:ascii="Times New Roman" w:hAnsi="Times New Roman" w:cs="Times New Roman"/>
          <w:sz w:val="28"/>
        </w:rPr>
        <w:t>) положительно связана с подписанностью на их аккаунты (</w:t>
      </w:r>
      <w:r w:rsidRPr="001A3F92">
        <w:rPr>
          <w:rFonts w:ascii="Times New Roman" w:hAnsi="Times New Roman" w:cs="Times New Roman"/>
          <w:i/>
          <w:sz w:val="28"/>
        </w:rPr>
        <w:t xml:space="preserve">x4: r = 0,232, p </w:t>
      </w:r>
      <w:proofErr w:type="gramStart"/>
      <w:r w:rsidRPr="001A3F92">
        <w:rPr>
          <w:rFonts w:ascii="Times New Roman" w:hAnsi="Times New Roman" w:cs="Times New Roman"/>
          <w:i/>
          <w:sz w:val="28"/>
        </w:rPr>
        <w:t>&lt; 0</w:t>
      </w:r>
      <w:proofErr w:type="gramEnd"/>
      <w:r w:rsidRPr="001A3F92">
        <w:rPr>
          <w:rFonts w:ascii="Times New Roman" w:hAnsi="Times New Roman" w:cs="Times New Roman"/>
          <w:i/>
          <w:sz w:val="28"/>
        </w:rPr>
        <w:t>,01</w:t>
      </w:r>
      <w:r w:rsidRPr="001A3F92">
        <w:rPr>
          <w:rFonts w:ascii="Times New Roman" w:hAnsi="Times New Roman" w:cs="Times New Roman"/>
          <w:sz w:val="28"/>
        </w:rPr>
        <w:t>) и возрастом (</w:t>
      </w:r>
      <w:r w:rsidRPr="001A3F92">
        <w:rPr>
          <w:rFonts w:ascii="Times New Roman" w:hAnsi="Times New Roman" w:cs="Times New Roman"/>
          <w:i/>
          <w:sz w:val="28"/>
        </w:rPr>
        <w:t>x6: r = 0,323, p &lt; 0,01</w:t>
      </w:r>
      <w:r w:rsidRPr="001A3F92">
        <w:rPr>
          <w:rFonts w:ascii="Times New Roman" w:hAnsi="Times New Roman" w:cs="Times New Roman"/>
          <w:sz w:val="28"/>
        </w:rPr>
        <w:t>), что логично отражает накопительный эффект социального и информационного опыта. В то же время значимых связей с полом и наличием аккаунта в социальных медиа не выявлено.</w:t>
      </w:r>
      <w:r w:rsidRPr="001A3F92">
        <w:rPr>
          <w:rFonts w:ascii="Times New Roman" w:eastAsia="Times New Roman" w:hAnsi="Times New Roman" w:cs="Times New Roman"/>
          <w:sz w:val="24"/>
          <w:szCs w:val="24"/>
          <w:lang w:eastAsia="ru-RU"/>
        </w:rPr>
        <w:t xml:space="preserve"> </w:t>
      </w:r>
      <w:r w:rsidRPr="001A3F92">
        <w:rPr>
          <w:rFonts w:ascii="Times New Roman" w:hAnsi="Times New Roman" w:cs="Times New Roman"/>
          <w:sz w:val="28"/>
        </w:rPr>
        <w:t>Подписанность на аккаунты молодёжных организаций (</w:t>
      </w:r>
      <w:r w:rsidRPr="001A3F92">
        <w:rPr>
          <w:rFonts w:ascii="Times New Roman" w:hAnsi="Times New Roman" w:cs="Times New Roman"/>
          <w:i/>
          <w:sz w:val="28"/>
        </w:rPr>
        <w:t>x4</w:t>
      </w:r>
      <w:r w:rsidRPr="001A3F92">
        <w:rPr>
          <w:rFonts w:ascii="Times New Roman" w:hAnsi="Times New Roman" w:cs="Times New Roman"/>
          <w:sz w:val="28"/>
        </w:rPr>
        <w:t>) статистически не связана с возрастом (</w:t>
      </w:r>
      <w:r w:rsidRPr="001A3F92">
        <w:rPr>
          <w:rFonts w:ascii="Times New Roman" w:hAnsi="Times New Roman" w:cs="Times New Roman"/>
          <w:i/>
          <w:sz w:val="28"/>
        </w:rPr>
        <w:t xml:space="preserve">x6: r = 0,107, </w:t>
      </w:r>
      <w:proofErr w:type="gramStart"/>
      <w:r w:rsidRPr="001A3F92">
        <w:rPr>
          <w:rFonts w:ascii="Times New Roman" w:hAnsi="Times New Roman" w:cs="Times New Roman"/>
          <w:i/>
          <w:sz w:val="28"/>
        </w:rPr>
        <w:t>p &gt;</w:t>
      </w:r>
      <w:proofErr w:type="gramEnd"/>
      <w:r w:rsidRPr="001A3F92">
        <w:rPr>
          <w:rFonts w:ascii="Times New Roman" w:hAnsi="Times New Roman" w:cs="Times New Roman"/>
          <w:i/>
          <w:sz w:val="28"/>
        </w:rPr>
        <w:t xml:space="preserve"> 0,05</w:t>
      </w:r>
      <w:r w:rsidRPr="001A3F92">
        <w:rPr>
          <w:rFonts w:ascii="Times New Roman" w:hAnsi="Times New Roman" w:cs="Times New Roman"/>
          <w:sz w:val="28"/>
        </w:rPr>
        <w:t>) и полом (</w:t>
      </w:r>
      <w:r w:rsidRPr="001A3F92">
        <w:rPr>
          <w:rFonts w:ascii="Times New Roman" w:hAnsi="Times New Roman" w:cs="Times New Roman"/>
          <w:i/>
          <w:sz w:val="28"/>
        </w:rPr>
        <w:t>x5: r = 0,024, p &gt; 0,05</w:t>
      </w:r>
      <w:r w:rsidRPr="001A3F92">
        <w:rPr>
          <w:rFonts w:ascii="Times New Roman" w:hAnsi="Times New Roman" w:cs="Times New Roman"/>
          <w:sz w:val="28"/>
        </w:rPr>
        <w:t xml:space="preserve">), что может указывать на слабую </w:t>
      </w:r>
      <w:r w:rsidRPr="001A3F92">
        <w:rPr>
          <w:rFonts w:ascii="Times New Roman" w:hAnsi="Times New Roman" w:cs="Times New Roman"/>
          <w:sz w:val="28"/>
        </w:rPr>
        <w:lastRenderedPageBreak/>
        <w:t>демографическую детерминированность данного показателя. Переменные пола (</w:t>
      </w:r>
      <w:r w:rsidRPr="001A3F92">
        <w:rPr>
          <w:rFonts w:ascii="Times New Roman" w:hAnsi="Times New Roman" w:cs="Times New Roman"/>
          <w:i/>
          <w:sz w:val="28"/>
        </w:rPr>
        <w:t>x5</w:t>
      </w:r>
      <w:r w:rsidRPr="001A3F92">
        <w:rPr>
          <w:rFonts w:ascii="Times New Roman" w:hAnsi="Times New Roman" w:cs="Times New Roman"/>
          <w:sz w:val="28"/>
        </w:rPr>
        <w:t>) и возраста (</w:t>
      </w:r>
      <w:r w:rsidRPr="001A3F92">
        <w:rPr>
          <w:rFonts w:ascii="Times New Roman" w:hAnsi="Times New Roman" w:cs="Times New Roman"/>
          <w:i/>
          <w:sz w:val="28"/>
        </w:rPr>
        <w:t>x6</w:t>
      </w:r>
      <w:r w:rsidRPr="001A3F92">
        <w:rPr>
          <w:rFonts w:ascii="Times New Roman" w:hAnsi="Times New Roman" w:cs="Times New Roman"/>
          <w:sz w:val="28"/>
        </w:rPr>
        <w:t>) демонстрируют ограниченные взаимосвязи: возраст положительно связан с осведомлённостью о молодёжных организациях (</w:t>
      </w:r>
      <w:r w:rsidRPr="001A3F92">
        <w:rPr>
          <w:rFonts w:ascii="Times New Roman" w:hAnsi="Times New Roman" w:cs="Times New Roman"/>
          <w:i/>
          <w:sz w:val="28"/>
        </w:rPr>
        <w:t>x3</w:t>
      </w:r>
      <w:r w:rsidRPr="001A3F92">
        <w:rPr>
          <w:rFonts w:ascii="Times New Roman" w:hAnsi="Times New Roman" w:cs="Times New Roman"/>
          <w:sz w:val="28"/>
        </w:rPr>
        <w:t>), но отрицательно – с общим офлайн гражданским участием (</w:t>
      </w:r>
      <w:r w:rsidRPr="001A3F92">
        <w:rPr>
          <w:rFonts w:ascii="Times New Roman" w:hAnsi="Times New Roman" w:cs="Times New Roman"/>
          <w:i/>
          <w:sz w:val="28"/>
        </w:rPr>
        <w:t>y</w:t>
      </w:r>
      <w:r w:rsidRPr="001A3F92">
        <w:rPr>
          <w:rFonts w:ascii="Times New Roman" w:hAnsi="Times New Roman" w:cs="Times New Roman"/>
          <w:sz w:val="28"/>
        </w:rPr>
        <w:t>), что в совокупности может отражать возрастную дифференциацию форм гражданской активности в пределах молодёжной группы.</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Рассматривается регрессионный анализ данных оригинального опроса 2025 года. Как и в двух предыдущих случаях было составлено шесть моделей с разным набором переменных.</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С1 включает полный набор предикторов (</w:t>
      </w:r>
      <w:r w:rsidRPr="001A3F92">
        <w:rPr>
          <w:rFonts w:ascii="Times New Roman" w:hAnsi="Times New Roman" w:cs="Times New Roman"/>
          <w:i/>
          <w:sz w:val="28"/>
        </w:rPr>
        <w:t>х1-х6</w:t>
      </w:r>
      <w:r w:rsidRPr="001A3F92">
        <w:rPr>
          <w:rFonts w:ascii="Times New Roman" w:hAnsi="Times New Roman" w:cs="Times New Roman"/>
          <w:sz w:val="28"/>
        </w:rPr>
        <w:t>) (см. Таблицу 23).</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Результаты дисперсионного анализа (ANOVA) показывают, что модель в целом является статистически значимой: </w:t>
      </w:r>
      <w:r w:rsidRPr="001A3F92">
        <w:rPr>
          <w:rFonts w:ascii="Times New Roman" w:hAnsi="Times New Roman" w:cs="Times New Roman"/>
          <w:i/>
          <w:sz w:val="28"/>
        </w:rPr>
        <w:t>F = 3,719, p = 0,002</w:t>
      </w:r>
      <w:r w:rsidRPr="001A3F92">
        <w:rPr>
          <w:rFonts w:ascii="Times New Roman" w:hAnsi="Times New Roman" w:cs="Times New Roman"/>
          <w:sz w:val="28"/>
        </w:rPr>
        <w:t>. Это означает, что совокупность включённых предикторов объясняет вариацию офлайн гражданского участия значимо лучше, чем модель без предикторов. Однако при этом доля объяснённой дисперсии остаётся относительно невысокой (</w:t>
      </w:r>
      <w:r w:rsidRPr="001A3F92">
        <w:rPr>
          <w:rFonts w:ascii="Times New Roman" w:hAnsi="Times New Roman" w:cs="Times New Roman"/>
          <w:i/>
          <w:sz w:val="28"/>
        </w:rPr>
        <w:t>R² ≈ 0,104</w:t>
      </w:r>
      <w:r w:rsidRPr="001A3F92">
        <w:rPr>
          <w:rFonts w:ascii="Times New Roman" w:hAnsi="Times New Roman" w:cs="Times New Roman"/>
          <w:sz w:val="28"/>
        </w:rPr>
        <w:t>; приблизительно 10,4%), что указывает на ограниченную объяснительную силу модели и наличие значимых факторов, не включённых в анализ.</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отдельных предикторов показывает, что статистически значимое влияние на офлайн гражданское участие оказывают только два фактора: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1)</w:t>
      </w:r>
      <w:r w:rsidRPr="001A3F92">
        <w:rPr>
          <w:rFonts w:ascii="Times New Roman" w:hAnsi="Times New Roman" w:cs="Times New Roman"/>
          <w:sz w:val="28"/>
        </w:rPr>
        <w:tab/>
        <w:t>Подписанность на аккаунты молодёжных общественных организаций (x4) демонстрирует положительный и значимый эффект (B = 0,081; β = 0,185; t = 2,389; p = 0,018). Это означает, что более высокая включённость в цифровые каналы молодёжных организаций ассоциирована с увеличением уровня офлайн гражданского участия. Данный результат указывает на наличие связи между онлайн-гражданской вовлечённостью и офлайн-активностью.</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2)</w:t>
      </w:r>
      <w:r w:rsidRPr="001A3F92">
        <w:rPr>
          <w:rFonts w:ascii="Times New Roman" w:hAnsi="Times New Roman" w:cs="Times New Roman"/>
          <w:sz w:val="28"/>
        </w:rPr>
        <w:tab/>
        <w:t xml:space="preserve">Возраст (x6) оказывает статистически значимое отрицательное влияние (B = −0,181; β = −0,293; t = −4,023; p </w:t>
      </w:r>
      <w:proofErr w:type="gramStart"/>
      <w:r w:rsidRPr="001A3F92">
        <w:rPr>
          <w:rFonts w:ascii="Times New Roman" w:hAnsi="Times New Roman" w:cs="Times New Roman"/>
          <w:sz w:val="28"/>
        </w:rPr>
        <w:t>&lt; 0,001</w:t>
      </w:r>
      <w:proofErr w:type="gramEnd"/>
      <w:r w:rsidRPr="001A3F92">
        <w:rPr>
          <w:rFonts w:ascii="Times New Roman" w:hAnsi="Times New Roman" w:cs="Times New Roman"/>
          <w:sz w:val="28"/>
        </w:rPr>
        <w:t>). Это свидетельствует о снижении уровня офлайн гражданского участия с увеличением возраста внутри молодёжной когорты, что может отражать возрастную дифференциацию форм гражданской активности.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Остальные переменные не демонстрируют статистически значимого влияния.</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23 – Результаты регрессионного анализа данных авторского опроса 2025 года (модель С1). Источник: данные автора</w:t>
      </w:r>
    </w:p>
    <w:p w:rsidR="001A3F92" w:rsidRPr="001A3F92" w:rsidRDefault="001A3F92" w:rsidP="00C53578">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AECAB5C" wp14:editId="6476E94C">
            <wp:extent cx="2946400" cy="1603486"/>
            <wp:effectExtent l="0" t="0" r="635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967270" cy="1614844"/>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lastRenderedPageBreak/>
        <w:t>В целом, модель С1 не подтверждает радикальную версию технологического детерминизма</w:t>
      </w:r>
      <w:r w:rsidRPr="001A3F92">
        <w:rPr>
          <w:rFonts w:ascii="Times New Roman" w:hAnsi="Times New Roman" w:cs="Times New Roman"/>
          <w:sz w:val="28"/>
        </w:rPr>
        <w:t xml:space="preserve">. Большинство показателей цифрового поведения (наличие аккаунта, частота использования социальных медиа, общая осведомлённость) не оказывают значимого влияния на офлайн участие. Более того, объяснительная сила модели ограничена, а ключевым устойчивым предиктором наряду с одним цифровым фактором выступает возраст, то есть социально-демографическая переменная. Следовательно, </w:t>
      </w:r>
      <w:r w:rsidRPr="001A3F92">
        <w:rPr>
          <w:rFonts w:ascii="Times New Roman" w:hAnsi="Times New Roman" w:cs="Times New Roman"/>
          <w:i/>
          <w:sz w:val="28"/>
        </w:rPr>
        <w:t xml:space="preserve">эмпирические данные в большей степени подтверждают </w:t>
      </w:r>
      <w:r w:rsidRPr="001A3F92">
        <w:rPr>
          <w:rFonts w:ascii="Times New Roman" w:hAnsi="Times New Roman" w:cs="Times New Roman"/>
          <w:bCs/>
          <w:i/>
          <w:sz w:val="28"/>
        </w:rPr>
        <w:t>теорию социальных сил</w:t>
      </w:r>
      <w:r w:rsidRPr="001A3F92">
        <w:rPr>
          <w:rFonts w:ascii="Times New Roman" w:hAnsi="Times New Roman" w:cs="Times New Roman"/>
          <w:bCs/>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С2 (см. Таблицу 24) исключает цифровые неинституционализированные предикторы (</w:t>
      </w:r>
      <w:r w:rsidRPr="001A3F92">
        <w:rPr>
          <w:rFonts w:ascii="Times New Roman" w:hAnsi="Times New Roman" w:cs="Times New Roman"/>
          <w:i/>
          <w:sz w:val="28"/>
        </w:rPr>
        <w:t>х1</w:t>
      </w:r>
      <w:r w:rsidRPr="001A3F92">
        <w:rPr>
          <w:rFonts w:ascii="Times New Roman" w:hAnsi="Times New Roman" w:cs="Times New Roman"/>
          <w:sz w:val="28"/>
        </w:rPr>
        <w:t xml:space="preserve"> и </w:t>
      </w:r>
      <w:r w:rsidRPr="001A3F92">
        <w:rPr>
          <w:rFonts w:ascii="Times New Roman" w:hAnsi="Times New Roman" w:cs="Times New Roman"/>
          <w:i/>
          <w:sz w:val="28"/>
        </w:rPr>
        <w:t>х2</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Результаты дисперсионного анализа (ANOVA) показывают, что модель в целом является статистически значимой: </w:t>
      </w:r>
      <w:r w:rsidRPr="001A3F92">
        <w:rPr>
          <w:rFonts w:ascii="Times New Roman" w:hAnsi="Times New Roman" w:cs="Times New Roman"/>
          <w:i/>
          <w:sz w:val="28"/>
        </w:rPr>
        <w:t>F = 5,062, p = 0,001</w:t>
      </w:r>
      <w:r w:rsidRPr="001A3F92">
        <w:rPr>
          <w:rFonts w:ascii="Times New Roman" w:hAnsi="Times New Roman" w:cs="Times New Roman"/>
          <w:sz w:val="28"/>
        </w:rPr>
        <w:t>. Это означает, что совокупность включённых предикторов позволяет статистически значимо объяснять вариацию офлайн гражданского участия молодёжи. При этом объяснённая дисперсия остаётся умеренной (</w:t>
      </w:r>
      <w:r w:rsidRPr="001A3F92">
        <w:rPr>
          <w:rFonts w:ascii="Times New Roman" w:hAnsi="Times New Roman" w:cs="Times New Roman"/>
          <w:i/>
          <w:sz w:val="28"/>
        </w:rPr>
        <w:t>R² ≈ 0,094</w:t>
      </w:r>
      <w:r w:rsidRPr="001A3F92">
        <w:rPr>
          <w:rFonts w:ascii="Times New Roman" w:hAnsi="Times New Roman" w:cs="Times New Roman"/>
          <w:sz w:val="28"/>
        </w:rPr>
        <w:t>), что указывает на ограниченную, но содержательную предсказательную силу модели.</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Наиболее сильным и устойчивым предиктором выступает возраст (</w:t>
      </w:r>
      <w:r w:rsidRPr="001A3F92">
        <w:rPr>
          <w:rFonts w:ascii="Times New Roman" w:hAnsi="Times New Roman" w:cs="Times New Roman"/>
          <w:i/>
          <w:sz w:val="28"/>
        </w:rPr>
        <w:t>x6</w:t>
      </w:r>
      <w:r w:rsidRPr="001A3F92">
        <w:rPr>
          <w:rFonts w:ascii="Times New Roman" w:hAnsi="Times New Roman" w:cs="Times New Roman"/>
          <w:sz w:val="28"/>
        </w:rPr>
        <w:t>), который демонстрирует статистически значимое отрицательное влияние на офлайн гражданское участие (</w:t>
      </w:r>
      <w:r w:rsidRPr="001A3F92">
        <w:rPr>
          <w:rFonts w:ascii="Times New Roman" w:hAnsi="Times New Roman" w:cs="Times New Roman"/>
          <w:i/>
          <w:sz w:val="28"/>
        </w:rPr>
        <w:t xml:space="preserve">B = −0,178; β = −0,289;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Это означает, что с увеличением возраста в пределах молодёжной выборки уровень офлайн гражданской активности систематически снижается. Данный эффект сохраняется при контроле всех остальных переменных, что подчёркивает его независимый характер. Подписанность на аккаунты молодёжных общественных организаций (</w:t>
      </w:r>
      <w:r w:rsidRPr="001A3F92">
        <w:rPr>
          <w:rFonts w:ascii="Times New Roman" w:hAnsi="Times New Roman" w:cs="Times New Roman"/>
          <w:i/>
          <w:sz w:val="28"/>
        </w:rPr>
        <w:t>x4</w:t>
      </w:r>
      <w:r w:rsidRPr="001A3F92">
        <w:rPr>
          <w:rFonts w:ascii="Times New Roman" w:hAnsi="Times New Roman" w:cs="Times New Roman"/>
          <w:sz w:val="28"/>
        </w:rPr>
        <w:t>) демонстрирует положительную связь с зависимой переменной на уровне пограничной статистической значимости (</w:t>
      </w:r>
      <w:r w:rsidRPr="001A3F92">
        <w:rPr>
          <w:rFonts w:ascii="Times New Roman" w:hAnsi="Times New Roman" w:cs="Times New Roman"/>
          <w:i/>
          <w:sz w:val="28"/>
        </w:rPr>
        <w:t>B = 0,061; β = 0,138; p = 0,050</w:t>
      </w:r>
      <w:r w:rsidRPr="001A3F92">
        <w:rPr>
          <w:rFonts w:ascii="Times New Roman" w:hAnsi="Times New Roman" w:cs="Times New Roman"/>
          <w:sz w:val="28"/>
        </w:rPr>
        <w:t>). Это может свидетельствовать о том, что включённость в цифровые каналы молодёжных организаций потенциально способствует повышению офлайн гражданской активности, однако эффект является слабым и требует осторожной интерпретации.</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24 – Результаты регрессионного анализа данных авторского опроса 2025 года (модель С2). Источник: данные автора</w:t>
      </w:r>
    </w:p>
    <w:p w:rsidR="001A3F92" w:rsidRPr="001A3F92" w:rsidRDefault="001A3F92" w:rsidP="00E545E0">
      <w:pPr>
        <w:spacing w:after="0" w:line="240" w:lineRule="auto"/>
        <w:ind w:firstLine="567"/>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40E0F2A2" wp14:editId="10C90B85">
            <wp:extent cx="5572125" cy="26003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572125" cy="2600325"/>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lastRenderedPageBreak/>
        <w:t>Осведомлённость о молодёжных общественных организациях (</w:t>
      </w:r>
      <w:r w:rsidRPr="001A3F92">
        <w:rPr>
          <w:rFonts w:ascii="Times New Roman" w:hAnsi="Times New Roman" w:cs="Times New Roman"/>
          <w:i/>
          <w:sz w:val="28"/>
        </w:rPr>
        <w:t>x3</w:t>
      </w:r>
      <w:r w:rsidRPr="001A3F92">
        <w:rPr>
          <w:rFonts w:ascii="Times New Roman" w:hAnsi="Times New Roman" w:cs="Times New Roman"/>
          <w:sz w:val="28"/>
        </w:rPr>
        <w:t>) не оказывает статистически значимого влияния на офлайн участие (</w:t>
      </w:r>
      <w:r w:rsidRPr="001A3F92">
        <w:rPr>
          <w:rFonts w:ascii="Times New Roman" w:hAnsi="Times New Roman" w:cs="Times New Roman"/>
          <w:i/>
          <w:sz w:val="28"/>
        </w:rPr>
        <w:t>B = 0,009; β = 0,024; p = 0,747</w:t>
      </w:r>
      <w:r w:rsidRPr="001A3F92">
        <w:rPr>
          <w:rFonts w:ascii="Times New Roman" w:hAnsi="Times New Roman" w:cs="Times New Roman"/>
          <w:sz w:val="28"/>
        </w:rPr>
        <w:t>), что указывает на отсутствие прямого эффекта когнитивного уровня информированности при контроле других факторов модели. Пол (</w:t>
      </w:r>
      <w:r w:rsidRPr="001A3F92">
        <w:rPr>
          <w:rFonts w:ascii="Times New Roman" w:hAnsi="Times New Roman" w:cs="Times New Roman"/>
          <w:i/>
          <w:sz w:val="28"/>
        </w:rPr>
        <w:t>x5</w:t>
      </w:r>
      <w:r w:rsidRPr="001A3F92">
        <w:rPr>
          <w:rFonts w:ascii="Times New Roman" w:hAnsi="Times New Roman" w:cs="Times New Roman"/>
          <w:sz w:val="28"/>
        </w:rPr>
        <w:t>) также не демонстрирует значимого влияния (</w:t>
      </w:r>
      <w:r w:rsidRPr="001A3F92">
        <w:rPr>
          <w:rFonts w:ascii="Times New Roman" w:hAnsi="Times New Roman" w:cs="Times New Roman"/>
          <w:i/>
          <w:sz w:val="28"/>
        </w:rPr>
        <w:t>B = 0,047; β = 0,073; p = 0,289</w:t>
      </w:r>
      <w:r w:rsidRPr="001A3F92">
        <w:rPr>
          <w:rFonts w:ascii="Times New Roman" w:hAnsi="Times New Roman" w:cs="Times New Roman"/>
          <w:sz w:val="28"/>
        </w:rPr>
        <w:t>), что свидетельствует об отсутствии устойчивых гендерных различий в уровне офлайн гражданского участия в данной выборке.</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данные модели С2 в большей степени подтверждают теорию социальных сил. Технологический детерминизм получает лишь ограниченную и слабую поддержку через частичный эффект подписанности на аккаунты молодёжных организаций</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модели С3 (см. Таблицу 25) из анализа исключены все цифровые предикторы, как институционализированного, так и неинституционализированного характера.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в целом является статистически значимой</w:t>
      </w:r>
      <w:r w:rsidRPr="001A3F92">
        <w:rPr>
          <w:rFonts w:ascii="Times New Roman" w:hAnsi="Times New Roman" w:cs="Times New Roman"/>
          <w:i/>
          <w:sz w:val="28"/>
        </w:rPr>
        <w:t>: F = 5,377, p = 0,001</w:t>
      </w:r>
      <w:r w:rsidRPr="001A3F92">
        <w:rPr>
          <w:rFonts w:ascii="Times New Roman" w:hAnsi="Times New Roman" w:cs="Times New Roman"/>
          <w:sz w:val="28"/>
        </w:rPr>
        <w:t>, что свидетельствует о наличии линейной зависимости между совокупностью предикторов и зависимой переменной. Коэффициент детерминации (</w:t>
      </w:r>
      <w:r w:rsidRPr="001A3F92">
        <w:rPr>
          <w:rFonts w:ascii="Times New Roman" w:hAnsi="Times New Roman" w:cs="Times New Roman"/>
          <w:i/>
          <w:sz w:val="28"/>
        </w:rPr>
        <w:t>R² ≈ 0,076</w:t>
      </w:r>
      <w:r w:rsidRPr="001A3F92">
        <w:rPr>
          <w:rFonts w:ascii="Times New Roman" w:hAnsi="Times New Roman" w:cs="Times New Roman"/>
          <w:sz w:val="28"/>
        </w:rPr>
        <w:t>) указывает на то, что модель С3 объясняет около 7,6% вариации офлайн гражданского участия, что свидетельствует о слабой, но статистически значимой объясняющей способности включённых переменных.</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регрессионных коэффициентов показывает, что только возраст (</w:t>
      </w:r>
      <w:r w:rsidRPr="001A3F92">
        <w:rPr>
          <w:rFonts w:ascii="Times New Roman" w:hAnsi="Times New Roman" w:cs="Times New Roman"/>
          <w:i/>
          <w:sz w:val="28"/>
        </w:rPr>
        <w:t>x6</w:t>
      </w:r>
      <w:r w:rsidRPr="001A3F92">
        <w:rPr>
          <w:rFonts w:ascii="Times New Roman" w:hAnsi="Times New Roman" w:cs="Times New Roman"/>
          <w:sz w:val="28"/>
        </w:rPr>
        <w:t>) оказывает статистически значимое влияние на офлайн гражданское участие молодёжи (</w:t>
      </w:r>
      <w:r w:rsidRPr="001A3F92">
        <w:rPr>
          <w:rFonts w:ascii="Times New Roman" w:hAnsi="Times New Roman" w:cs="Times New Roman"/>
          <w:i/>
          <w:sz w:val="28"/>
        </w:rPr>
        <w:t xml:space="preserve">B = −0,176; β = −0,285; t = −3,899;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Отрицательный знак коэффициента указывает на устойчивую тенденцию к снижению уровня офлайн гражданской активности с увеличением возраста в пределах исследуемой молодёжной выборки. Данный результат согласуется с ранее выявленной корреляционной зависимостью и подтверждает возраст как ключевой индивидуальный предиктор гражданского участия в данной модели. В то же время осведомлённость о молодёжных общественных организациях (</w:t>
      </w:r>
      <w:r w:rsidRPr="001A3F92">
        <w:rPr>
          <w:rFonts w:ascii="Times New Roman" w:hAnsi="Times New Roman" w:cs="Times New Roman"/>
          <w:i/>
          <w:sz w:val="28"/>
        </w:rPr>
        <w:t>x3</w:t>
      </w:r>
      <w:r w:rsidRPr="001A3F92">
        <w:rPr>
          <w:rFonts w:ascii="Times New Roman" w:hAnsi="Times New Roman" w:cs="Times New Roman"/>
          <w:sz w:val="28"/>
        </w:rPr>
        <w:t>) (</w:t>
      </w:r>
      <w:r w:rsidRPr="001A3F92">
        <w:rPr>
          <w:rFonts w:ascii="Times New Roman" w:hAnsi="Times New Roman" w:cs="Times New Roman"/>
          <w:i/>
          <w:sz w:val="28"/>
        </w:rPr>
        <w:t>B = 0,021; β = 0,055; p = 0,451</w:t>
      </w:r>
      <w:r w:rsidRPr="001A3F92">
        <w:rPr>
          <w:rFonts w:ascii="Times New Roman" w:hAnsi="Times New Roman" w:cs="Times New Roman"/>
          <w:sz w:val="28"/>
        </w:rPr>
        <w:t>) и пол (</w:t>
      </w:r>
      <w:r w:rsidRPr="001A3F92">
        <w:rPr>
          <w:rFonts w:ascii="Times New Roman" w:hAnsi="Times New Roman" w:cs="Times New Roman"/>
          <w:i/>
          <w:sz w:val="28"/>
        </w:rPr>
        <w:t>x5</w:t>
      </w:r>
      <w:r w:rsidRPr="001A3F92">
        <w:rPr>
          <w:rFonts w:ascii="Times New Roman" w:hAnsi="Times New Roman" w:cs="Times New Roman"/>
          <w:sz w:val="28"/>
        </w:rPr>
        <w:t>) (</w:t>
      </w:r>
      <w:r w:rsidRPr="001A3F92">
        <w:rPr>
          <w:rFonts w:ascii="Times New Roman" w:hAnsi="Times New Roman" w:cs="Times New Roman"/>
          <w:i/>
          <w:sz w:val="28"/>
        </w:rPr>
        <w:t>B = 0,051; β = 0,079; p = 0,255</w:t>
      </w:r>
      <w:r w:rsidRPr="001A3F92">
        <w:rPr>
          <w:rFonts w:ascii="Times New Roman" w:hAnsi="Times New Roman" w:cs="Times New Roman"/>
          <w:sz w:val="28"/>
        </w:rPr>
        <w:t>) не демонстрируют статистически значимого влияния на зависимую переменную. Это указывает на то, что информационная осведомлённость и гендерная принадлежность в данной модели не являются значимыми предикторами офлайн гражданского участия при контроле других факторов.</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25 – Результаты регрессионного анализа данных авторского опроса 2025 года (модель С3). Источник: данные автора</w:t>
      </w:r>
    </w:p>
    <w:p w:rsidR="001A3F92" w:rsidRPr="001A3F92" w:rsidRDefault="001A3F92" w:rsidP="00103708">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BCB988E" wp14:editId="1CA82BA5">
            <wp:extent cx="4051300" cy="1473005"/>
            <wp:effectExtent l="0" t="0" r="635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114869" cy="1496118"/>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lastRenderedPageBreak/>
        <w:t xml:space="preserve">С теоретической точки зрения полученные результаты модели С3 в большей степени подтверждают </w:t>
      </w:r>
      <w:r w:rsidRPr="001A3F92">
        <w:rPr>
          <w:rFonts w:ascii="Times New Roman" w:hAnsi="Times New Roman" w:cs="Times New Roman"/>
          <w:bCs/>
          <w:i/>
          <w:sz w:val="28"/>
        </w:rPr>
        <w:t>теорию социальных сил</w:t>
      </w:r>
      <w:r w:rsidRPr="001A3F92">
        <w:rPr>
          <w:rFonts w:ascii="Times New Roman" w:hAnsi="Times New Roman" w:cs="Times New Roman"/>
          <w:sz w:val="28"/>
        </w:rPr>
        <w:t>. В частности, отсутствие значимого эффекта переменных, связанных с осведомлённостью и потенциальной цифровой вовлечённостью, указывает на ограниченность объяснительного потенциала технологического детерминизма в данном эмпирическом контексте.</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Модель С4 исключает из анализа когнитивный недиджитальный компонент – </w:t>
      </w:r>
      <w:r w:rsidRPr="001A3F92">
        <w:rPr>
          <w:rFonts w:ascii="Times New Roman" w:hAnsi="Times New Roman" w:cs="Times New Roman"/>
          <w:i/>
          <w:sz w:val="28"/>
        </w:rPr>
        <w:t>х3</w:t>
      </w:r>
      <w:r w:rsidRPr="001A3F92">
        <w:rPr>
          <w:rFonts w:ascii="Times New Roman" w:hAnsi="Times New Roman" w:cs="Times New Roman"/>
          <w:sz w:val="28"/>
        </w:rPr>
        <w:t xml:space="preserve"> (осведомлённость респондентов о молодёжных общественных организациях) (см. Таблицу 26).</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Результаты дисперсионного анализа модели (ANOVA) показывают, что регрессионная модель в целом является статистически значимой: </w:t>
      </w:r>
      <w:r w:rsidRPr="001A3F92">
        <w:rPr>
          <w:rFonts w:ascii="Times New Roman" w:hAnsi="Times New Roman" w:cs="Times New Roman"/>
          <w:i/>
          <w:sz w:val="28"/>
        </w:rPr>
        <w:t>F = 4,480, p = 0,001</w:t>
      </w:r>
      <w:r w:rsidRPr="001A3F92">
        <w:rPr>
          <w:rFonts w:ascii="Times New Roman" w:hAnsi="Times New Roman" w:cs="Times New Roman"/>
          <w:sz w:val="28"/>
        </w:rPr>
        <w:t>. Это означает, что совокупность предикторов объясняет значимую долю вариации офлайн гражданского участия молодёжи. Однако, коэффициент детерминации (</w:t>
      </w:r>
      <w:r w:rsidRPr="001A3F92">
        <w:rPr>
          <w:rFonts w:ascii="Times New Roman" w:hAnsi="Times New Roman" w:cs="Times New Roman"/>
          <w:i/>
          <w:sz w:val="28"/>
        </w:rPr>
        <w:t>R² ≈ 0,104</w:t>
      </w:r>
      <w:r w:rsidRPr="001A3F92">
        <w:rPr>
          <w:rFonts w:ascii="Times New Roman" w:hAnsi="Times New Roman" w:cs="Times New Roman"/>
          <w:sz w:val="28"/>
        </w:rPr>
        <w:t>) указывает на то, что модель С4 объясняет около 10,4% вариации офлайн гражданского участия, что свидетельствует о слабой, но статистически значимой объясняющей способности включённых переменных.</w:t>
      </w:r>
    </w:p>
    <w:p w:rsidR="001A3F92" w:rsidRPr="001A3F92" w:rsidRDefault="001A3F92" w:rsidP="001A3F92">
      <w:pPr>
        <w:spacing w:after="0" w:line="240" w:lineRule="auto"/>
        <w:ind w:firstLine="709"/>
        <w:jc w:val="center"/>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26 – Результаты регрессионного анализа данных авторского опроса 2025 года (модель С4). Источник: данные автора</w:t>
      </w:r>
    </w:p>
    <w:p w:rsidR="001A3F92" w:rsidRPr="001A3F92" w:rsidRDefault="001A3F92" w:rsidP="00333281">
      <w:pPr>
        <w:spacing w:after="0" w:line="240" w:lineRule="auto"/>
        <w:ind w:firstLine="567"/>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7A9F2B49" wp14:editId="474C8143">
            <wp:extent cx="3562350" cy="1805409"/>
            <wp:effectExtent l="0" t="0" r="0" b="444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576867" cy="1812766"/>
                    </a:xfrm>
                    <a:prstGeom prst="rect">
                      <a:avLst/>
                    </a:prstGeom>
                  </pic:spPr>
                </pic:pic>
              </a:graphicData>
            </a:graphic>
          </wp:inline>
        </w:drawing>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Наиболее значимым предиктором офлайн гражданского участия оказался возраст респондентов (</w:t>
      </w:r>
      <w:r w:rsidRPr="001A3F92">
        <w:rPr>
          <w:rFonts w:ascii="Times New Roman" w:hAnsi="Times New Roman" w:cs="Times New Roman"/>
          <w:i/>
          <w:sz w:val="28"/>
        </w:rPr>
        <w:t>x6</w:t>
      </w:r>
      <w:r w:rsidRPr="001A3F92">
        <w:rPr>
          <w:rFonts w:ascii="Times New Roman" w:hAnsi="Times New Roman" w:cs="Times New Roman"/>
          <w:sz w:val="28"/>
        </w:rPr>
        <w:t xml:space="preserve">): </w:t>
      </w:r>
      <w:r w:rsidRPr="001A3F92">
        <w:rPr>
          <w:rFonts w:ascii="Times New Roman" w:hAnsi="Times New Roman" w:cs="Times New Roman"/>
          <w:i/>
          <w:sz w:val="28"/>
        </w:rPr>
        <w:t xml:space="preserve">β = −0,290, t = −4,156,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Отрицательный знак коэффициента свидетельствует о том, что с увеличением возраста в пределах молодёжной выборки наблюдается снижение уровня офлайн гражданской активности. Данный эффект является устойчивым и сохраняется при контроле других переменных модели. Вторым значимым фактором выступает подписанность на аккаунты молодёжных общественных организаций (</w:t>
      </w:r>
      <w:r w:rsidRPr="001A3F92">
        <w:rPr>
          <w:rFonts w:ascii="Times New Roman" w:hAnsi="Times New Roman" w:cs="Times New Roman"/>
          <w:i/>
          <w:sz w:val="28"/>
        </w:rPr>
        <w:t>x4</w:t>
      </w:r>
      <w:r w:rsidRPr="001A3F92">
        <w:rPr>
          <w:rFonts w:ascii="Times New Roman" w:hAnsi="Times New Roman" w:cs="Times New Roman"/>
          <w:sz w:val="28"/>
        </w:rPr>
        <w:t xml:space="preserve">): </w:t>
      </w:r>
      <w:r w:rsidRPr="001A3F92">
        <w:rPr>
          <w:rFonts w:ascii="Times New Roman" w:hAnsi="Times New Roman" w:cs="Times New Roman"/>
          <w:i/>
          <w:sz w:val="28"/>
        </w:rPr>
        <w:t>β = 0,188, t = 2,508, p = 0,013</w:t>
      </w:r>
      <w:r w:rsidRPr="001A3F92">
        <w:rPr>
          <w:rFonts w:ascii="Times New Roman" w:hAnsi="Times New Roman" w:cs="Times New Roman"/>
          <w:sz w:val="28"/>
        </w:rPr>
        <w:t>. Положительный коэффициент указывает на то, что вовлечённость в информационное пространство молодёжных организаций в социальных медиа способствует росту офлайн гражданского участия, что отражает наличие связки между онлайн-экспозицией гражданского контента и офлайн-активностью. Остальные переменные не демонстрируют статистически значимого влияния на зависимую переменную. Наличие аккаунта в социальных медиа (</w:t>
      </w:r>
      <w:r w:rsidRPr="001A3F92">
        <w:rPr>
          <w:rFonts w:ascii="Times New Roman" w:hAnsi="Times New Roman" w:cs="Times New Roman"/>
          <w:i/>
          <w:sz w:val="28"/>
        </w:rPr>
        <w:t>x1: β = 0,098, p = 0,188</w:t>
      </w:r>
      <w:r w:rsidRPr="001A3F92">
        <w:rPr>
          <w:rFonts w:ascii="Times New Roman" w:hAnsi="Times New Roman" w:cs="Times New Roman"/>
          <w:sz w:val="28"/>
        </w:rPr>
        <w:t>) и частота его использования (</w:t>
      </w:r>
      <w:r w:rsidRPr="001A3F92">
        <w:rPr>
          <w:rFonts w:ascii="Times New Roman" w:hAnsi="Times New Roman" w:cs="Times New Roman"/>
          <w:i/>
          <w:sz w:val="28"/>
        </w:rPr>
        <w:t>x2: β = 0,037, p = 0,611</w:t>
      </w:r>
      <w:r w:rsidRPr="001A3F92">
        <w:rPr>
          <w:rFonts w:ascii="Times New Roman" w:hAnsi="Times New Roman" w:cs="Times New Roman"/>
          <w:sz w:val="28"/>
        </w:rPr>
        <w:t>) не оказывают значимого влияния на офлайн гражданское участие. Аналогично, пол респондента (</w:t>
      </w:r>
      <w:r w:rsidRPr="001A3F92">
        <w:rPr>
          <w:rFonts w:ascii="Times New Roman" w:hAnsi="Times New Roman" w:cs="Times New Roman"/>
          <w:i/>
          <w:sz w:val="28"/>
        </w:rPr>
        <w:t>x5: β = 0,083, p = 0,242</w:t>
      </w:r>
      <w:r w:rsidRPr="001A3F92">
        <w:rPr>
          <w:rFonts w:ascii="Times New Roman" w:hAnsi="Times New Roman" w:cs="Times New Roman"/>
          <w:sz w:val="28"/>
        </w:rPr>
        <w:t>) также не является значимым предиктором.</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lastRenderedPageBreak/>
        <w:t xml:space="preserve">Таким образом, </w:t>
      </w:r>
      <w:r w:rsidRPr="001A3F92">
        <w:rPr>
          <w:rFonts w:ascii="Times New Roman" w:hAnsi="Times New Roman" w:cs="Times New Roman"/>
          <w:i/>
          <w:sz w:val="28"/>
        </w:rPr>
        <w:t>модель С4 скорее подтверждает теорию социальных сил, а не технологический детерминизм</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В модели С5 (см. Таблицу 27) из анализа исключена переменная пола респондентов.</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Качество модели С5 оказалось статистически значимым (</w:t>
      </w:r>
      <w:r w:rsidRPr="001A3F92">
        <w:rPr>
          <w:rFonts w:ascii="Times New Roman" w:hAnsi="Times New Roman" w:cs="Times New Roman"/>
          <w:i/>
          <w:sz w:val="28"/>
        </w:rPr>
        <w:t>F = 4,177; p = 0,001</w:t>
      </w:r>
      <w:r w:rsidRPr="001A3F92">
        <w:rPr>
          <w:rFonts w:ascii="Times New Roman" w:hAnsi="Times New Roman" w:cs="Times New Roman"/>
          <w:sz w:val="28"/>
        </w:rPr>
        <w:t>), что указывает на наличие совокупного влияния предикторов на зависимую переменную. Однако объяснённая дисперсия остаётся относительно низкой (</w:t>
      </w:r>
      <w:r w:rsidRPr="001A3F92">
        <w:rPr>
          <w:rFonts w:ascii="Times New Roman" w:hAnsi="Times New Roman" w:cs="Times New Roman"/>
          <w:i/>
          <w:sz w:val="28"/>
        </w:rPr>
        <w:t>R² = 0,097</w:t>
      </w:r>
      <w:r w:rsidRPr="001A3F92">
        <w:rPr>
          <w:rFonts w:ascii="Times New Roman" w:hAnsi="Times New Roman" w:cs="Times New Roman"/>
          <w:sz w:val="28"/>
        </w:rPr>
        <w:t>), это означает, что модель объясняет лишь 9,7% вариации офлайн гражданского участия.</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коэффициентов регрессии показывает, что большинство цифровых характеристик не оказывают статистически значимого влияния на офлайн гражданское участие. Так, наличие аккаунта в социальных медиа (</w:t>
      </w:r>
      <w:r w:rsidRPr="001A3F92">
        <w:rPr>
          <w:rFonts w:ascii="Times New Roman" w:hAnsi="Times New Roman" w:cs="Times New Roman"/>
          <w:i/>
          <w:sz w:val="28"/>
        </w:rPr>
        <w:t>x1: β = 0,098; p = 0,192</w:t>
      </w:r>
      <w:r w:rsidRPr="001A3F92">
        <w:rPr>
          <w:rFonts w:ascii="Times New Roman" w:hAnsi="Times New Roman" w:cs="Times New Roman"/>
          <w:sz w:val="28"/>
        </w:rPr>
        <w:t>), частота посещения аккаунта (</w:t>
      </w:r>
      <w:r w:rsidRPr="001A3F92">
        <w:rPr>
          <w:rFonts w:ascii="Times New Roman" w:hAnsi="Times New Roman" w:cs="Times New Roman"/>
          <w:i/>
          <w:sz w:val="28"/>
        </w:rPr>
        <w:t>x2: β = 0,013; p = 0,862</w:t>
      </w:r>
      <w:r w:rsidRPr="001A3F92">
        <w:rPr>
          <w:rFonts w:ascii="Times New Roman" w:hAnsi="Times New Roman" w:cs="Times New Roman"/>
          <w:sz w:val="28"/>
        </w:rPr>
        <w:t>) и осведомлённость о молодёжных организациях (</w:t>
      </w:r>
      <w:r w:rsidRPr="001A3F92">
        <w:rPr>
          <w:rFonts w:ascii="Times New Roman" w:hAnsi="Times New Roman" w:cs="Times New Roman"/>
          <w:i/>
          <w:sz w:val="28"/>
        </w:rPr>
        <w:t>x3: β = 0,006; p = 0,933</w:t>
      </w:r>
      <w:r w:rsidRPr="001A3F92">
        <w:rPr>
          <w:rFonts w:ascii="Times New Roman" w:hAnsi="Times New Roman" w:cs="Times New Roman"/>
          <w:sz w:val="28"/>
        </w:rPr>
        <w:t>) не демонстрируют значимого влияния на зависимую переменную. Это свидетельствует о том, что сама по себе неинституционализированная вовлечённость или нецифровая осведомлённость не трансформируются напрямую в офлайн гражданскую активность. В то же время подписанность на аккаунты молодёжных общественных организаций (</w:t>
      </w:r>
      <w:r w:rsidRPr="001A3F92">
        <w:rPr>
          <w:rFonts w:ascii="Times New Roman" w:hAnsi="Times New Roman" w:cs="Times New Roman"/>
          <w:i/>
          <w:sz w:val="28"/>
        </w:rPr>
        <w:t>x4</w:t>
      </w:r>
      <w:r w:rsidRPr="001A3F92">
        <w:rPr>
          <w:rFonts w:ascii="Times New Roman" w:hAnsi="Times New Roman" w:cs="Times New Roman"/>
          <w:sz w:val="28"/>
        </w:rPr>
        <w:t>) демонстрирует статистически значимый положительный эффект (</w:t>
      </w:r>
      <w:r w:rsidRPr="001A3F92">
        <w:rPr>
          <w:rFonts w:ascii="Times New Roman" w:hAnsi="Times New Roman" w:cs="Times New Roman"/>
          <w:i/>
          <w:sz w:val="28"/>
        </w:rPr>
        <w:t>β = 0,184; p = 0,019</w:t>
      </w:r>
      <w:r w:rsidRPr="001A3F92">
        <w:rPr>
          <w:rFonts w:ascii="Times New Roman" w:hAnsi="Times New Roman" w:cs="Times New Roman"/>
          <w:sz w:val="28"/>
        </w:rPr>
        <w:t>), что указывает на то, что именно вовлечённость в институционализированные цифровые сети коммуникации связана с более высоким уровнем офлайн участия. Напротив, возраст (</w:t>
      </w:r>
      <w:r w:rsidRPr="001A3F92">
        <w:rPr>
          <w:rFonts w:ascii="Times New Roman" w:hAnsi="Times New Roman" w:cs="Times New Roman"/>
          <w:i/>
          <w:sz w:val="28"/>
        </w:rPr>
        <w:t>x6</w:t>
      </w:r>
      <w:r w:rsidRPr="001A3F92">
        <w:rPr>
          <w:rFonts w:ascii="Times New Roman" w:hAnsi="Times New Roman" w:cs="Times New Roman"/>
          <w:sz w:val="28"/>
        </w:rPr>
        <w:t>) оказывает значимое отрицательное влияние на гражданское участие (</w:t>
      </w:r>
      <w:r w:rsidRPr="001A3F92">
        <w:rPr>
          <w:rFonts w:ascii="Times New Roman" w:hAnsi="Times New Roman" w:cs="Times New Roman"/>
          <w:i/>
          <w:sz w:val="28"/>
        </w:rPr>
        <w:t xml:space="preserve">β = −0,282; p </w:t>
      </w:r>
      <w:proofErr w:type="gramStart"/>
      <w:r w:rsidRPr="001A3F92">
        <w:rPr>
          <w:rFonts w:ascii="Times New Roman" w:hAnsi="Times New Roman" w:cs="Times New Roman"/>
          <w:i/>
          <w:sz w:val="28"/>
        </w:rPr>
        <w:t>&lt; 0,001</w:t>
      </w:r>
      <w:proofErr w:type="gramEnd"/>
      <w:r w:rsidRPr="001A3F92">
        <w:rPr>
          <w:rFonts w:ascii="Times New Roman" w:hAnsi="Times New Roman" w:cs="Times New Roman"/>
          <w:sz w:val="28"/>
        </w:rPr>
        <w:t>), что подтверждает тенденцию к снижению офлайн активности с увеличением возраста в рамках молодёжной группы.</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27 – Результаты регрессионного анализа данных авторского опроса 2025 года (модель С5). Источник: данные автора</w:t>
      </w:r>
    </w:p>
    <w:p w:rsidR="001A3F92" w:rsidRPr="001A3F92" w:rsidRDefault="001A3F92" w:rsidP="00FA1411">
      <w:pPr>
        <w:spacing w:after="0" w:line="240" w:lineRule="auto"/>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5D07B6FD" wp14:editId="0C03E4F9">
            <wp:extent cx="3276600" cy="166059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288548" cy="1666645"/>
                    </a:xfrm>
                    <a:prstGeom prst="rect">
                      <a:avLst/>
                    </a:prstGeom>
                  </pic:spPr>
                </pic:pic>
              </a:graphicData>
            </a:graphic>
          </wp:inline>
        </w:drawing>
      </w:r>
    </w:p>
    <w:p w:rsidR="00665284"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w:t>
      </w:r>
      <w:r w:rsidRPr="001A3F92">
        <w:rPr>
          <w:rFonts w:ascii="Times New Roman" w:hAnsi="Times New Roman" w:cs="Times New Roman"/>
          <w:i/>
          <w:sz w:val="28"/>
        </w:rPr>
        <w:t>полученные данные не подтверждают гипотезу технологического детерминизма</w:t>
      </w:r>
      <w:r w:rsidRPr="001A3F92">
        <w:rPr>
          <w:rFonts w:ascii="Times New Roman" w:hAnsi="Times New Roman" w:cs="Times New Roman"/>
          <w:sz w:val="28"/>
        </w:rPr>
        <w:t>.</w:t>
      </w:r>
    </w:p>
    <w:p w:rsidR="001A3F92" w:rsidRPr="001A3F92" w:rsidRDefault="001A3F92" w:rsidP="00333281">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Модель С6 исключает из анализа возраст респондентов (</w:t>
      </w:r>
      <w:r w:rsidRPr="001A3F92">
        <w:rPr>
          <w:rFonts w:ascii="Times New Roman" w:hAnsi="Times New Roman" w:cs="Times New Roman"/>
          <w:i/>
          <w:sz w:val="28"/>
        </w:rPr>
        <w:t>х6</w:t>
      </w:r>
      <w:r w:rsidRPr="001A3F92">
        <w:rPr>
          <w:rFonts w:ascii="Times New Roman" w:hAnsi="Times New Roman" w:cs="Times New Roman"/>
          <w:sz w:val="28"/>
        </w:rPr>
        <w:t>) (см. Таблицу 28).</w:t>
      </w:r>
    </w:p>
    <w:p w:rsidR="001A3F92" w:rsidRPr="001A3F92" w:rsidRDefault="001A3F92" w:rsidP="00333281">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Результаты дисперсионного анализа модели (ANOVA) показывают, что модель в целом не является статистически значимой: </w:t>
      </w:r>
      <w:r w:rsidRPr="001A3F92">
        <w:rPr>
          <w:rFonts w:ascii="Times New Roman" w:hAnsi="Times New Roman" w:cs="Times New Roman"/>
          <w:i/>
          <w:sz w:val="28"/>
        </w:rPr>
        <w:t>F = 1,136, p = 0,342</w:t>
      </w:r>
      <w:r w:rsidRPr="001A3F92">
        <w:rPr>
          <w:rFonts w:ascii="Times New Roman" w:hAnsi="Times New Roman" w:cs="Times New Roman"/>
          <w:sz w:val="28"/>
        </w:rPr>
        <w:t xml:space="preserve">. Это означает, что совокупность предикторов не объясняет вариацию зависимой </w:t>
      </w:r>
      <w:r w:rsidRPr="001A3F92">
        <w:rPr>
          <w:rFonts w:ascii="Times New Roman" w:hAnsi="Times New Roman" w:cs="Times New Roman"/>
          <w:sz w:val="28"/>
        </w:rPr>
        <w:lastRenderedPageBreak/>
        <w:t xml:space="preserve">переменной на статистически значимом уровне. Коэффициент детерминации составляет </w:t>
      </w:r>
      <w:r w:rsidRPr="001A3F92">
        <w:rPr>
          <w:rFonts w:ascii="Times New Roman" w:hAnsi="Times New Roman" w:cs="Times New Roman"/>
          <w:i/>
          <w:sz w:val="28"/>
        </w:rPr>
        <w:t>R² = 0,028</w:t>
      </w:r>
      <w:r w:rsidRPr="001A3F92">
        <w:rPr>
          <w:rFonts w:ascii="Times New Roman" w:hAnsi="Times New Roman" w:cs="Times New Roman"/>
          <w:sz w:val="28"/>
        </w:rPr>
        <w:t>, что указывает на крайне низкую объяснительную способность модели: включённые переменные объясняют лишь 2,8% вариации офлайн гражданского участия молодёжи.</w:t>
      </w:r>
    </w:p>
    <w:p w:rsidR="001A3F92" w:rsidRPr="001A3F92" w:rsidRDefault="001A3F92" w:rsidP="00333281">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Анализ коэффициентов регрессии показывает, что из всех включённых предикторов статистически значимым оказался только один фактор – подписанность на аккаунты молодёжных общественных организаций (</w:t>
      </w:r>
      <w:r w:rsidRPr="001A3F92">
        <w:rPr>
          <w:rFonts w:ascii="Times New Roman" w:hAnsi="Times New Roman" w:cs="Times New Roman"/>
          <w:i/>
          <w:sz w:val="28"/>
        </w:rPr>
        <w:t>x4: B = 0,075; β = 0,170; t = 2,119; p = 0,035</w:t>
      </w:r>
      <w:r w:rsidRPr="001A3F92">
        <w:rPr>
          <w:rFonts w:ascii="Times New Roman" w:hAnsi="Times New Roman" w:cs="Times New Roman"/>
          <w:sz w:val="28"/>
        </w:rPr>
        <w:t>). Данный результат свидетельствует о том, что включённость респондента в цифровые каналы молодёжных организаций ассоциируется с более высоким уровнем офлайн гражданского участия. При этом эффект носит слабый, но положительный характер. Остальные переменные не продемонстрировали статистически значимого влияния на зависимую переменную: наличие аккаунта в социальных медиа (</w:t>
      </w:r>
      <w:r w:rsidRPr="001A3F92">
        <w:rPr>
          <w:rFonts w:ascii="Times New Roman" w:hAnsi="Times New Roman" w:cs="Times New Roman"/>
          <w:i/>
          <w:sz w:val="28"/>
        </w:rPr>
        <w:t>x1: p = 0,208</w:t>
      </w:r>
      <w:r w:rsidRPr="001A3F92">
        <w:rPr>
          <w:rFonts w:ascii="Times New Roman" w:hAnsi="Times New Roman" w:cs="Times New Roman"/>
          <w:sz w:val="28"/>
        </w:rPr>
        <w:t>), частота его использования (</w:t>
      </w:r>
      <w:r w:rsidRPr="001A3F92">
        <w:rPr>
          <w:rFonts w:ascii="Times New Roman" w:hAnsi="Times New Roman" w:cs="Times New Roman"/>
          <w:i/>
          <w:sz w:val="28"/>
        </w:rPr>
        <w:t>x2: p = 0,964</w:t>
      </w:r>
      <w:r w:rsidRPr="001A3F92">
        <w:rPr>
          <w:rFonts w:ascii="Times New Roman" w:hAnsi="Times New Roman" w:cs="Times New Roman"/>
          <w:sz w:val="28"/>
        </w:rPr>
        <w:t>), осведомлённость о молодёжных организациях (</w:t>
      </w:r>
      <w:r w:rsidRPr="001A3F92">
        <w:rPr>
          <w:rFonts w:ascii="Times New Roman" w:hAnsi="Times New Roman" w:cs="Times New Roman"/>
          <w:i/>
          <w:sz w:val="28"/>
        </w:rPr>
        <w:t>x3: p = 0,331</w:t>
      </w:r>
      <w:r w:rsidRPr="001A3F92">
        <w:rPr>
          <w:rFonts w:ascii="Times New Roman" w:hAnsi="Times New Roman" w:cs="Times New Roman"/>
          <w:sz w:val="28"/>
        </w:rPr>
        <w:t>), а также пол респондента (</w:t>
      </w:r>
      <w:r w:rsidRPr="001A3F92">
        <w:rPr>
          <w:rFonts w:ascii="Times New Roman" w:hAnsi="Times New Roman" w:cs="Times New Roman"/>
          <w:i/>
          <w:sz w:val="28"/>
        </w:rPr>
        <w:t>x5: p = 0,523</w:t>
      </w:r>
      <w:r w:rsidRPr="001A3F92">
        <w:rPr>
          <w:rFonts w:ascii="Times New Roman" w:hAnsi="Times New Roman" w:cs="Times New Roman"/>
          <w:sz w:val="28"/>
        </w:rPr>
        <w:t>). Это указывает на отсутствие прямого линейного влияния базовой цифровой вовлечённости и данной демографической характеристики на уровень офлайн гражданского участия.</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sz w:val="28"/>
        </w:rPr>
        <w:t>Таблица 28 – Результаты регрессионного анализа данных авторского опроса 2025 года (модель С6). Источник: данные автора</w:t>
      </w:r>
    </w:p>
    <w:p w:rsidR="001A3F92" w:rsidRPr="001A3F92" w:rsidRDefault="001A3F92" w:rsidP="0019543B">
      <w:pPr>
        <w:spacing w:after="0" w:line="240" w:lineRule="auto"/>
        <w:ind w:firstLine="567"/>
        <w:jc w:val="both"/>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0C73EEDD" wp14:editId="569F55EC">
            <wp:extent cx="5572125" cy="280987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572125" cy="2809875"/>
                    </a:xfrm>
                    <a:prstGeom prst="rect">
                      <a:avLst/>
                    </a:prstGeom>
                  </pic:spPr>
                </pic:pic>
              </a:graphicData>
            </a:graphic>
          </wp:inline>
        </w:drawing>
      </w:r>
    </w:p>
    <w:p w:rsid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низкое значение </w:t>
      </w:r>
      <w:r w:rsidRPr="001A3F92">
        <w:rPr>
          <w:rFonts w:ascii="Times New Roman" w:hAnsi="Times New Roman" w:cs="Times New Roman"/>
          <w:i/>
          <w:sz w:val="28"/>
        </w:rPr>
        <w:t>R²</w:t>
      </w:r>
      <w:r w:rsidRPr="001A3F92">
        <w:rPr>
          <w:rFonts w:ascii="Times New Roman" w:hAnsi="Times New Roman" w:cs="Times New Roman"/>
          <w:sz w:val="28"/>
        </w:rPr>
        <w:t xml:space="preserve"> и отсутствие значимого влияния ключевых цифровых переменных (</w:t>
      </w:r>
      <w:r w:rsidRPr="001A3F92">
        <w:rPr>
          <w:rFonts w:ascii="Times New Roman" w:hAnsi="Times New Roman" w:cs="Times New Roman"/>
          <w:i/>
          <w:sz w:val="28"/>
        </w:rPr>
        <w:t>x1, x2</w:t>
      </w:r>
      <w:r w:rsidRPr="001A3F92">
        <w:rPr>
          <w:rFonts w:ascii="Times New Roman" w:hAnsi="Times New Roman" w:cs="Times New Roman"/>
          <w:sz w:val="28"/>
        </w:rPr>
        <w:t xml:space="preserve">) свидетельствуют о том, что </w:t>
      </w:r>
      <w:r w:rsidRPr="001A3F92">
        <w:rPr>
          <w:rFonts w:ascii="Times New Roman" w:hAnsi="Times New Roman" w:cs="Times New Roman"/>
          <w:i/>
          <w:sz w:val="28"/>
        </w:rPr>
        <w:t>предположения теории технологического детерминизма не получают эмпирической поддержки в рамках данной модели</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Выводы</w:t>
      </w:r>
      <w:r w:rsidRPr="001A3F92">
        <w:rPr>
          <w:rFonts w:ascii="Times New Roman" w:hAnsi="Times New Roman" w:cs="Times New Roman"/>
          <w:sz w:val="28"/>
        </w:rPr>
        <w:t>:</w:t>
      </w:r>
    </w:p>
    <w:p w:rsidR="001A3F92" w:rsidRPr="001A3F92" w:rsidRDefault="001A3F92" w:rsidP="008465D6">
      <w:pPr>
        <w:numPr>
          <w:ilvl w:val="0"/>
          <w:numId w:val="57"/>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bCs/>
          <w:sz w:val="28"/>
        </w:rPr>
        <w:t>Наиболее статистически значимыми и объяснительно сильными являются модели с включением институционализированной цифровой вовлечённости и возрастного фактора (А1, А2, А4, А5; B1, B2, B4, B5).</w:t>
      </w:r>
      <w:r w:rsidRPr="001A3F92">
        <w:rPr>
          <w:rFonts w:ascii="Times New Roman" w:hAnsi="Times New Roman" w:cs="Times New Roman"/>
          <w:sz w:val="28"/>
        </w:rPr>
        <w:br/>
        <w:t>Данные модели демонстрируют максимально высокие значения коэффициента детерминации (</w:t>
      </w:r>
      <w:r w:rsidRPr="001A3F92">
        <w:rPr>
          <w:rFonts w:ascii="Times New Roman" w:hAnsi="Times New Roman" w:cs="Times New Roman"/>
          <w:i/>
          <w:sz w:val="28"/>
        </w:rPr>
        <w:t>R² ≈ 0,81-0,93</w:t>
      </w:r>
      <w:r w:rsidRPr="001A3F92">
        <w:rPr>
          <w:rFonts w:ascii="Times New Roman" w:hAnsi="Times New Roman" w:cs="Times New Roman"/>
          <w:sz w:val="28"/>
        </w:rPr>
        <w:t>) и устойчивую статистическую значимость (</w:t>
      </w:r>
      <w:r w:rsidRPr="001A3F92">
        <w:rPr>
          <w:rFonts w:ascii="Times New Roman" w:hAnsi="Times New Roman" w:cs="Times New Roman"/>
          <w:i/>
          <w:sz w:val="28"/>
        </w:rPr>
        <w:t>p &lt; 0,001</w:t>
      </w:r>
      <w:r w:rsidRPr="001A3F92">
        <w:rPr>
          <w:rFonts w:ascii="Times New Roman" w:hAnsi="Times New Roman" w:cs="Times New Roman"/>
          <w:sz w:val="28"/>
        </w:rPr>
        <w:t xml:space="preserve">), что свидетельствует о высокой степени соответствия эмпирическим </w:t>
      </w:r>
      <w:r w:rsidRPr="001A3F92">
        <w:rPr>
          <w:rFonts w:ascii="Times New Roman" w:hAnsi="Times New Roman" w:cs="Times New Roman"/>
          <w:sz w:val="28"/>
        </w:rPr>
        <w:lastRenderedPageBreak/>
        <w:t xml:space="preserve">данным. Их общая характеристика – наличие в модели переменной </w:t>
      </w:r>
      <w:r w:rsidRPr="001A3F92">
        <w:rPr>
          <w:rFonts w:ascii="Times New Roman" w:hAnsi="Times New Roman" w:cs="Times New Roman"/>
          <w:i/>
          <w:sz w:val="28"/>
        </w:rPr>
        <w:t>x4</w:t>
      </w:r>
      <w:r w:rsidRPr="001A3F92">
        <w:rPr>
          <w:rFonts w:ascii="Times New Roman" w:hAnsi="Times New Roman" w:cs="Times New Roman"/>
          <w:sz w:val="28"/>
        </w:rPr>
        <w:t xml:space="preserve"> (подписанность на аккаунты молодёжных организаций) и </w:t>
      </w:r>
      <w:r w:rsidRPr="001A3F92">
        <w:rPr>
          <w:rFonts w:ascii="Times New Roman" w:hAnsi="Times New Roman" w:cs="Times New Roman"/>
          <w:i/>
          <w:sz w:val="28"/>
        </w:rPr>
        <w:t>x6</w:t>
      </w:r>
      <w:r w:rsidRPr="001A3F92">
        <w:rPr>
          <w:rFonts w:ascii="Times New Roman" w:hAnsi="Times New Roman" w:cs="Times New Roman"/>
          <w:sz w:val="28"/>
        </w:rPr>
        <w:t xml:space="preserve"> (возраст респондента). Это указывает на то, что именно сочетание институционализированного цифрового участия и социодемографического фактора обеспечивает наибольшую объяснительную способность моделей.</w:t>
      </w:r>
    </w:p>
    <w:p w:rsidR="001A3F92" w:rsidRPr="001A3F92" w:rsidRDefault="001A3F92" w:rsidP="008465D6">
      <w:pPr>
        <w:numPr>
          <w:ilvl w:val="0"/>
          <w:numId w:val="57"/>
        </w:numPr>
        <w:spacing w:after="0" w:line="240" w:lineRule="auto"/>
        <w:ind w:left="0" w:firstLine="709"/>
        <w:contextualSpacing/>
        <w:jc w:val="both"/>
        <w:rPr>
          <w:rFonts w:ascii="Times New Roman" w:hAnsi="Times New Roman" w:cs="Times New Roman"/>
          <w:sz w:val="36"/>
        </w:rPr>
      </w:pPr>
      <w:r w:rsidRPr="001A3F92">
        <w:rPr>
          <w:rFonts w:ascii="Times New Roman" w:hAnsi="Times New Roman" w:cs="Times New Roman"/>
          <w:bCs/>
          <w:sz w:val="28"/>
        </w:rPr>
        <w:t>Ключевым предиктором офлайн гражданского участия систематически выступает подписанность на аккаунты молодёжных общественных организаций (</w:t>
      </w:r>
      <w:r w:rsidRPr="001A3F92">
        <w:rPr>
          <w:rFonts w:ascii="Times New Roman" w:hAnsi="Times New Roman" w:cs="Times New Roman"/>
          <w:bCs/>
          <w:i/>
          <w:sz w:val="28"/>
        </w:rPr>
        <w:t>x4</w:t>
      </w:r>
      <w:r w:rsidRPr="001A3F92">
        <w:rPr>
          <w:rFonts w:ascii="Times New Roman" w:hAnsi="Times New Roman" w:cs="Times New Roman"/>
          <w:bCs/>
          <w:sz w:val="28"/>
        </w:rPr>
        <w:t xml:space="preserve">). </w:t>
      </w:r>
      <w:r w:rsidRPr="001A3F92">
        <w:rPr>
          <w:rFonts w:ascii="Times New Roman" w:hAnsi="Times New Roman" w:cs="Times New Roman"/>
          <w:sz w:val="28"/>
        </w:rPr>
        <w:t xml:space="preserve">Во всех временных срезах (2019, 2023, 2025 годы) и практически во всех моделях данная переменная демонстрирует устойчивое положительное и статистически значимое влияние, зачастую с наибольшими значениями стандартизированных коэффициентов (до </w:t>
      </w:r>
      <w:r w:rsidRPr="001A3F92">
        <w:rPr>
          <w:rFonts w:ascii="Times New Roman" w:hAnsi="Times New Roman" w:cs="Times New Roman"/>
          <w:i/>
          <w:sz w:val="28"/>
        </w:rPr>
        <w:t>β ≈ 0,89</w:t>
      </w:r>
      <w:r w:rsidRPr="001A3F92">
        <w:rPr>
          <w:rFonts w:ascii="Times New Roman" w:hAnsi="Times New Roman" w:cs="Times New Roman"/>
          <w:sz w:val="28"/>
        </w:rPr>
        <w:t xml:space="preserve">). Это позволяет интерпретировать </w:t>
      </w:r>
      <w:r w:rsidRPr="001A3F92">
        <w:rPr>
          <w:rFonts w:ascii="Times New Roman" w:hAnsi="Times New Roman" w:cs="Times New Roman"/>
          <w:i/>
          <w:sz w:val="28"/>
        </w:rPr>
        <w:t>x4</w:t>
      </w:r>
      <w:r w:rsidRPr="001A3F92">
        <w:rPr>
          <w:rFonts w:ascii="Times New Roman" w:hAnsi="Times New Roman" w:cs="Times New Roman"/>
          <w:sz w:val="28"/>
        </w:rPr>
        <w:t xml:space="preserve"> как центральный механизм трансляции онлайн-вовлечённости в офлайн-гражданскую активность. В отличие от других цифровых переменных, она отражает не просто присутствие в цифровой среде, а включённость в институциональные коммуникационные сети, что принципиально повышает её объяснительный потенциал.</w:t>
      </w:r>
    </w:p>
    <w:p w:rsidR="001A3F92" w:rsidRPr="001A3F92" w:rsidRDefault="001A3F92" w:rsidP="008465D6">
      <w:pPr>
        <w:numPr>
          <w:ilvl w:val="0"/>
          <w:numId w:val="57"/>
        </w:numPr>
        <w:spacing w:after="0" w:line="240" w:lineRule="auto"/>
        <w:ind w:left="0" w:firstLine="709"/>
        <w:contextualSpacing/>
        <w:jc w:val="both"/>
        <w:rPr>
          <w:rFonts w:ascii="Times New Roman" w:hAnsi="Times New Roman" w:cs="Times New Roman"/>
          <w:sz w:val="28"/>
          <w:szCs w:val="28"/>
        </w:rPr>
      </w:pPr>
      <w:r w:rsidRPr="001A3F92">
        <w:rPr>
          <w:rFonts w:ascii="Times New Roman" w:hAnsi="Times New Roman" w:cs="Times New Roman"/>
          <w:bCs/>
          <w:sz w:val="28"/>
          <w:szCs w:val="28"/>
        </w:rPr>
        <w:t>Возраст (</w:t>
      </w:r>
      <w:r w:rsidRPr="001A3F92">
        <w:rPr>
          <w:rFonts w:ascii="Times New Roman" w:hAnsi="Times New Roman" w:cs="Times New Roman"/>
          <w:bCs/>
          <w:i/>
          <w:sz w:val="28"/>
          <w:szCs w:val="28"/>
        </w:rPr>
        <w:t>x6</w:t>
      </w:r>
      <w:r w:rsidRPr="001A3F92">
        <w:rPr>
          <w:rFonts w:ascii="Times New Roman" w:hAnsi="Times New Roman" w:cs="Times New Roman"/>
          <w:bCs/>
          <w:sz w:val="28"/>
          <w:szCs w:val="28"/>
        </w:rPr>
        <w:t xml:space="preserve">) является наиболее мощным нецифровым предиктором и демонстрирует устойчивое отрицательное влияние. </w:t>
      </w:r>
      <w:r w:rsidRPr="001A3F92">
        <w:rPr>
          <w:rFonts w:ascii="Times New Roman" w:hAnsi="Times New Roman" w:cs="Times New Roman"/>
          <w:sz w:val="28"/>
          <w:szCs w:val="28"/>
        </w:rPr>
        <w:t>Во всех моделях, где переменная возраста включена, она оказывает статистически значимое и, как правило, наиболее сильное влияние по абсолютной величине (</w:t>
      </w:r>
      <w:r w:rsidRPr="001A3F92">
        <w:rPr>
          <w:rFonts w:ascii="Times New Roman" w:hAnsi="Times New Roman" w:cs="Times New Roman"/>
          <w:i/>
          <w:sz w:val="28"/>
          <w:szCs w:val="28"/>
        </w:rPr>
        <w:t>β до −0,87</w:t>
      </w:r>
      <w:r w:rsidRPr="001A3F92">
        <w:rPr>
          <w:rFonts w:ascii="Times New Roman" w:hAnsi="Times New Roman" w:cs="Times New Roman"/>
          <w:sz w:val="28"/>
          <w:szCs w:val="28"/>
        </w:rPr>
        <w:t>). Это указывает на фундаментальную роль возрастной дифференциации в объяснении гражданского участия: по мере увеличения возраста внутри молодёжной группы наблюдается снижение офлайн активности. Данный эффект отражает как институциональные ограничения (ориентация общественных организаций на более молодые группы), так и жизненный цикл (снижение вовлечённости с переходом к иным социальным ролям).</w:t>
      </w:r>
    </w:p>
    <w:p w:rsidR="001A3F92" w:rsidRPr="001A3F92" w:rsidRDefault="001A3F92" w:rsidP="008465D6">
      <w:pPr>
        <w:numPr>
          <w:ilvl w:val="0"/>
          <w:numId w:val="57"/>
        </w:numPr>
        <w:spacing w:after="0" w:line="240" w:lineRule="auto"/>
        <w:ind w:left="0" w:firstLine="709"/>
        <w:contextualSpacing/>
        <w:jc w:val="both"/>
        <w:rPr>
          <w:rFonts w:ascii="Times New Roman" w:hAnsi="Times New Roman" w:cs="Times New Roman"/>
          <w:sz w:val="36"/>
          <w:szCs w:val="28"/>
        </w:rPr>
      </w:pPr>
      <w:r w:rsidRPr="001A3F92">
        <w:rPr>
          <w:rFonts w:ascii="Times New Roman" w:hAnsi="Times New Roman" w:cs="Times New Roman"/>
          <w:bCs/>
          <w:sz w:val="28"/>
        </w:rPr>
        <w:t xml:space="preserve">Неинституционализированные цифровые практики (наличие аккаунта – </w:t>
      </w:r>
      <w:r w:rsidRPr="001A3F92">
        <w:rPr>
          <w:rFonts w:ascii="Times New Roman" w:hAnsi="Times New Roman" w:cs="Times New Roman"/>
          <w:bCs/>
          <w:i/>
          <w:sz w:val="28"/>
        </w:rPr>
        <w:t>x1</w:t>
      </w:r>
      <w:r w:rsidRPr="001A3F92">
        <w:rPr>
          <w:rFonts w:ascii="Times New Roman" w:hAnsi="Times New Roman" w:cs="Times New Roman"/>
          <w:bCs/>
          <w:sz w:val="28"/>
        </w:rPr>
        <w:t xml:space="preserve">, частота использования – </w:t>
      </w:r>
      <w:r w:rsidRPr="001A3F92">
        <w:rPr>
          <w:rFonts w:ascii="Times New Roman" w:hAnsi="Times New Roman" w:cs="Times New Roman"/>
          <w:bCs/>
          <w:i/>
          <w:sz w:val="28"/>
        </w:rPr>
        <w:t>x2</w:t>
      </w:r>
      <w:r w:rsidRPr="001A3F92">
        <w:rPr>
          <w:rFonts w:ascii="Times New Roman" w:hAnsi="Times New Roman" w:cs="Times New Roman"/>
          <w:bCs/>
          <w:sz w:val="28"/>
        </w:rPr>
        <w:t xml:space="preserve">) не обладают самостоятельной объяснительной силой. </w:t>
      </w:r>
      <w:r w:rsidRPr="001A3F92">
        <w:rPr>
          <w:rFonts w:ascii="Times New Roman" w:hAnsi="Times New Roman" w:cs="Times New Roman"/>
          <w:sz w:val="28"/>
        </w:rPr>
        <w:t>Во всех моделях, включая наиболее сильные, данные переменные либо незначимы, либо демонстрируют крайне слабые эффекты. Это указывает на принципиальное различие между «доступом к технологиям» и «содержательной вовлечённостью». Сам факт присутствия в социальных медиа и интенсивность их использования не приводят к росту офлайн гражданского участия без включённости в конкретные социальные и организационные структуры. Таким образом, количественные характеристики цифрового поведения оказываются недостаточными для объяснения гражданской активности, следовательно, теория технологического детерминизма не подтверждается.</w:t>
      </w:r>
    </w:p>
    <w:p w:rsidR="001A3F92" w:rsidRPr="001A3F92" w:rsidRDefault="001A3F92" w:rsidP="008465D6">
      <w:pPr>
        <w:numPr>
          <w:ilvl w:val="0"/>
          <w:numId w:val="57"/>
        </w:numPr>
        <w:spacing w:after="0" w:line="240" w:lineRule="auto"/>
        <w:ind w:left="0" w:firstLine="709"/>
        <w:contextualSpacing/>
        <w:jc w:val="both"/>
        <w:rPr>
          <w:rFonts w:ascii="Times New Roman" w:hAnsi="Times New Roman" w:cs="Times New Roman"/>
          <w:sz w:val="28"/>
          <w:szCs w:val="28"/>
        </w:rPr>
      </w:pPr>
      <w:r w:rsidRPr="001A3F92">
        <w:rPr>
          <w:rFonts w:ascii="Times New Roman" w:hAnsi="Times New Roman" w:cs="Times New Roman"/>
          <w:sz w:val="28"/>
          <w:szCs w:val="28"/>
        </w:rPr>
        <w:t xml:space="preserve">Низкие значения </w:t>
      </w:r>
      <w:r w:rsidRPr="001A3F92">
        <w:rPr>
          <w:rFonts w:ascii="Times New Roman" w:hAnsi="Times New Roman" w:cs="Times New Roman"/>
          <w:i/>
          <w:sz w:val="28"/>
          <w:szCs w:val="28"/>
        </w:rPr>
        <w:t>R²</w:t>
      </w:r>
      <w:r w:rsidRPr="001A3F92">
        <w:rPr>
          <w:rFonts w:ascii="Times New Roman" w:hAnsi="Times New Roman" w:cs="Times New Roman"/>
          <w:sz w:val="28"/>
          <w:szCs w:val="28"/>
        </w:rPr>
        <w:t xml:space="preserve"> в моделях C1-C6 (особенно C3 и C6) свидетельствуют о структурной трансформации факторов гражданского участия и снижении объяснительной силы включённых переменных. В моделях 2025 года коэффициенты детерминации варьируются в диапазоне </w:t>
      </w:r>
      <w:r w:rsidRPr="001A3F92">
        <w:rPr>
          <w:rFonts w:ascii="Times New Roman" w:hAnsi="Times New Roman" w:cs="Times New Roman"/>
          <w:i/>
          <w:sz w:val="28"/>
          <w:szCs w:val="28"/>
        </w:rPr>
        <w:t>R² ≈ 0,028–0,104</w:t>
      </w:r>
      <w:r w:rsidRPr="001A3F92">
        <w:rPr>
          <w:rFonts w:ascii="Times New Roman" w:hAnsi="Times New Roman" w:cs="Times New Roman"/>
          <w:sz w:val="28"/>
          <w:szCs w:val="28"/>
        </w:rPr>
        <w:t xml:space="preserve">, что радикально ниже показателей моделей 2019 и 2023 годов. Это может означать: 1) ослабление прямой связи между цифровой вовлечённостью и </w:t>
      </w:r>
      <w:r w:rsidRPr="001A3F92">
        <w:rPr>
          <w:rFonts w:ascii="Times New Roman" w:hAnsi="Times New Roman" w:cs="Times New Roman"/>
          <w:sz w:val="28"/>
          <w:szCs w:val="28"/>
        </w:rPr>
        <w:lastRenderedPageBreak/>
        <w:t>офлайн участием; 2) фрагментацию и усложнение механизмов гражданской активности; 3) появление новых, неучтённых факторов, влияющих на зависимую переменную; 4) снижение роли формализованных каналов (например, подписок) в мобилизации участия. Особенно показателен случай модели C6, где исключение возраста приводит к полной статистической незначимости модели (</w:t>
      </w:r>
      <w:r w:rsidRPr="001A3F92">
        <w:rPr>
          <w:rFonts w:ascii="Times New Roman" w:hAnsi="Times New Roman" w:cs="Times New Roman"/>
          <w:i/>
          <w:sz w:val="28"/>
          <w:szCs w:val="28"/>
        </w:rPr>
        <w:t>p = 0,342</w:t>
      </w:r>
      <w:r w:rsidRPr="001A3F92">
        <w:rPr>
          <w:rFonts w:ascii="Times New Roman" w:hAnsi="Times New Roman" w:cs="Times New Roman"/>
          <w:sz w:val="28"/>
          <w:szCs w:val="28"/>
        </w:rPr>
        <w:t>), что подтверждает критическую роль данного фактора.</w:t>
      </w:r>
    </w:p>
    <w:p w:rsidR="001A3F92" w:rsidRPr="001A3F92" w:rsidRDefault="001A3F92" w:rsidP="008465D6">
      <w:pPr>
        <w:numPr>
          <w:ilvl w:val="0"/>
          <w:numId w:val="57"/>
        </w:numPr>
        <w:spacing w:after="0" w:line="240" w:lineRule="auto"/>
        <w:ind w:left="0" w:firstLine="709"/>
        <w:contextualSpacing/>
        <w:jc w:val="both"/>
        <w:rPr>
          <w:rFonts w:ascii="Times New Roman" w:eastAsia="Times New Roman" w:hAnsi="Times New Roman" w:cs="Times New Roman"/>
          <w:sz w:val="28"/>
          <w:szCs w:val="24"/>
          <w:lang w:eastAsia="ru-RU"/>
        </w:rPr>
      </w:pPr>
      <w:r w:rsidRPr="001A3F92">
        <w:rPr>
          <w:rFonts w:ascii="Times New Roman" w:eastAsia="Times New Roman" w:hAnsi="Times New Roman" w:cs="Times New Roman"/>
          <w:bCs/>
          <w:sz w:val="28"/>
          <w:szCs w:val="24"/>
          <w:lang w:eastAsia="ru-RU"/>
        </w:rPr>
        <w:t xml:space="preserve">Ограниченная объяснительная способность моделей 2025 года указывает на наличие значимого набора латентных факторов, не включённых в анализ. </w:t>
      </w:r>
      <w:r w:rsidRPr="001A3F92">
        <w:rPr>
          <w:rFonts w:ascii="Times New Roman" w:eastAsia="Times New Roman" w:hAnsi="Times New Roman" w:cs="Times New Roman"/>
          <w:sz w:val="28"/>
          <w:szCs w:val="24"/>
          <w:lang w:eastAsia="ru-RU"/>
        </w:rPr>
        <w:t xml:space="preserve">Снижение </w:t>
      </w:r>
      <w:r w:rsidRPr="001A3F92">
        <w:rPr>
          <w:rFonts w:ascii="Times New Roman" w:eastAsia="Times New Roman" w:hAnsi="Times New Roman" w:cs="Times New Roman"/>
          <w:i/>
          <w:sz w:val="28"/>
          <w:szCs w:val="24"/>
          <w:lang w:eastAsia="ru-RU"/>
        </w:rPr>
        <w:t>R²</w:t>
      </w:r>
      <w:r w:rsidRPr="001A3F92">
        <w:rPr>
          <w:rFonts w:ascii="Times New Roman" w:eastAsia="Times New Roman" w:hAnsi="Times New Roman" w:cs="Times New Roman"/>
          <w:sz w:val="28"/>
          <w:szCs w:val="24"/>
          <w:lang w:eastAsia="ru-RU"/>
        </w:rPr>
        <w:t xml:space="preserve"> свидетельствует о том, что офлайн гражданское участие молодёжи в современных условиях определяется более сложной совокупностью переменных. К числу потенциально значимых факторов можно отнести: уровень эффективности молодёжных общественных организаций; доверие к государственным и общественным институтам; социальный капитал (сетевые связи, участие в сообществах); ценностные ориентации (гражданская ответственность, коллективизм/индивидуализм); экономическое положение и занятость; влияние неформальных сетей и офлайн-сообществ; тип потребляемого цифрового контента (развлекательный vs гражданский); уровень политической социализации и образования. Данная проблема указывает на необходимость расширения теоретико-эмпирической рамки исследования.</w:t>
      </w:r>
    </w:p>
    <w:p w:rsidR="001A3F92" w:rsidRPr="001A3F92" w:rsidRDefault="001A3F92" w:rsidP="008465D6">
      <w:pPr>
        <w:numPr>
          <w:ilvl w:val="0"/>
          <w:numId w:val="57"/>
        </w:numPr>
        <w:spacing w:after="0" w:line="240" w:lineRule="auto"/>
        <w:ind w:left="0" w:firstLine="709"/>
        <w:contextualSpacing/>
        <w:jc w:val="both"/>
        <w:rPr>
          <w:rFonts w:ascii="Times New Roman" w:eastAsia="Times New Roman" w:hAnsi="Times New Roman" w:cs="Times New Roman"/>
          <w:sz w:val="28"/>
          <w:szCs w:val="24"/>
          <w:lang w:eastAsia="ru-RU"/>
        </w:rPr>
      </w:pPr>
      <w:r w:rsidRPr="001A3F92">
        <w:rPr>
          <w:rFonts w:ascii="Times New Roman" w:eastAsia="Times New Roman" w:hAnsi="Times New Roman" w:cs="Times New Roman"/>
          <w:sz w:val="28"/>
          <w:szCs w:val="24"/>
          <w:lang w:eastAsia="ru-RU"/>
        </w:rPr>
        <w:t>Проводя сопоставление между теоретическим анализом (см. Главу 1) и результатами корреляционно-регрессионного анализа, можно заметить, что институты гражданского общества на примере молодёжных общественных объединений являются слабым инструментом общественного контроля, так как интерес и вовлечение у молодёжи не растёт, соответственно, функциональные возможности молодёжных общественных организаций снижаются. В отношении стимулирования институционализированного гражданского участия, усилия, предпринимаемые государством в последние годы (после 2022 года) не имеют долгосрочного и системного эффекта, поскольку в 2025 году проявился фактор неинституционализированного гражданского участия молодёжи (по результатам авторского социологического опроса), а также высокая значимость иных факторов, не включённых в аналитические модели регрессии. Это может говорить о том, что, с одной стороны, есть определённый запрос на гражданское участие, с другой стороны, молодёжь стремится реализовать его не по тем каналам, на которые ей указывает государство, а по тем, которые ей кажутся наиболее интересными и полезными. Более того, в качестве институционализированных площадок вовлечения молодёжь предпочитает иностранные молодёжные общественные объединения (</w:t>
      </w:r>
      <w:r w:rsidRPr="001A3F92">
        <w:rPr>
          <w:rFonts w:ascii="Times New Roman" w:eastAsia="Times New Roman" w:hAnsi="Times New Roman" w:cs="Times New Roman"/>
          <w:sz w:val="28"/>
          <w:szCs w:val="24"/>
          <w:lang w:val="en-US" w:eastAsia="ru-RU"/>
        </w:rPr>
        <w:t>AIESEC</w:t>
      </w:r>
      <w:r w:rsidRPr="001A3F92">
        <w:rPr>
          <w:rFonts w:ascii="Times New Roman" w:eastAsia="Times New Roman" w:hAnsi="Times New Roman" w:cs="Times New Roman"/>
          <w:sz w:val="28"/>
          <w:szCs w:val="24"/>
          <w:lang w:eastAsia="ru-RU"/>
        </w:rPr>
        <w:t xml:space="preserve">, </w:t>
      </w:r>
      <w:r w:rsidRPr="001A3F92">
        <w:rPr>
          <w:rFonts w:ascii="Times New Roman" w:eastAsia="Times New Roman" w:hAnsi="Times New Roman" w:cs="Times New Roman"/>
          <w:sz w:val="28"/>
          <w:szCs w:val="24"/>
          <w:lang w:val="en-US" w:eastAsia="ru-RU"/>
        </w:rPr>
        <w:t>ESN</w:t>
      </w:r>
      <w:r w:rsidRPr="001A3F92">
        <w:rPr>
          <w:rFonts w:ascii="Times New Roman" w:eastAsia="Times New Roman" w:hAnsi="Times New Roman" w:cs="Times New Roman"/>
          <w:sz w:val="28"/>
          <w:szCs w:val="24"/>
          <w:lang w:eastAsia="ru-RU"/>
        </w:rPr>
        <w:t xml:space="preserve">), что может говорить о проблемах работы на данном треке, как государства, так и институтов гражданского общества, связанных с привлекательностью отечественных молодёжных общественных организаций для молодёжи. Молодёжь по-прежнему настороженно относится как к </w:t>
      </w:r>
      <w:r w:rsidRPr="001A3F92">
        <w:rPr>
          <w:rFonts w:ascii="Times New Roman" w:eastAsia="Times New Roman" w:hAnsi="Times New Roman" w:cs="Times New Roman"/>
          <w:sz w:val="28"/>
          <w:szCs w:val="24"/>
          <w:lang w:val="en-US" w:eastAsia="ru-RU"/>
        </w:rPr>
        <w:t>GONGO</w:t>
      </w:r>
      <w:r w:rsidRPr="001A3F92">
        <w:rPr>
          <w:rFonts w:ascii="Times New Roman" w:eastAsia="Times New Roman" w:hAnsi="Times New Roman" w:cs="Times New Roman"/>
          <w:sz w:val="28"/>
          <w:szCs w:val="24"/>
          <w:lang w:eastAsia="ru-RU"/>
        </w:rPr>
        <w:t xml:space="preserve">, так и к иным инициативам в сфере гражданского общества, продвигаемым государством. При этом молодёжь стремится к участию в неполитической сфере, выбирая развлечение, нетворкинг и волонтёрство. В то же время, государство стремится </w:t>
      </w:r>
      <w:r w:rsidRPr="001A3F92">
        <w:rPr>
          <w:rFonts w:ascii="Times New Roman" w:eastAsia="Times New Roman" w:hAnsi="Times New Roman" w:cs="Times New Roman"/>
          <w:sz w:val="28"/>
          <w:szCs w:val="24"/>
          <w:lang w:eastAsia="ru-RU"/>
        </w:rPr>
        <w:lastRenderedPageBreak/>
        <w:t>направить запрос на участие у молодёжи в политическую и гуманитарную сферу (добровольчество и благотворительность). Если с последней всё достаточно неплохо: молодёжь охотно участвует в подобных инициативах, как институционализированного, так и неинституционализированного характера, то с первой существенного прогресса нет.</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В этой связи наиболее релевантной для анализа офлайн гражданского вовлечения молодёжи Казахстана представляется модель, построенная на расширенных предположениях теории социальных сил, смещающая акценты с цифрового компонента на иные, особенно не проявленные при первичном анализе</w:t>
      </w:r>
      <w:r w:rsidRPr="001A3F92">
        <w:rPr>
          <w:rFonts w:ascii="Times New Roman" w:hAnsi="Times New Roman" w:cs="Times New Roman"/>
          <w:sz w:val="28"/>
        </w:rPr>
        <w:t>.</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Таким образом, множественный корреляционно-регрессионный анализ выявил тенденцию на имеющийся потенциал онлайн институционализированного участия в трансформацию в офлайн участие. Однако, существенной проблемой является снижение участия с ростом возраста респондентов, что сужает временной диапазон для системного рекрутирования участников в институты гражданского общества. К 22-25 годам наблюдается снижение офлайн гражданского вовлечения, хотя возраст молодёжи в Казахстане определён с 14 до 35 лет. Соответственно, для вовлечения молодёжи разного возрастного диапазона институты гражданского общества должны применять различающиеся техники рекрутинга, но этого не происходит. Все эти тенденции характеризуют отсутствие системного видения институтами гражданского общества своей деятельности в долгосрочной перспективе, а также отсутствия систематической поддержки государства, которая не воспринималась бы через призму контроля и давления, но как медийная и финансовая платформа.</w:t>
      </w:r>
    </w:p>
    <w:p w:rsidR="001A3F92" w:rsidRPr="001A3F92" w:rsidRDefault="001A3F92" w:rsidP="001A3F92">
      <w:pPr>
        <w:spacing w:after="0" w:line="240" w:lineRule="auto"/>
        <w:ind w:firstLine="709"/>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b/>
          <w:sz w:val="28"/>
        </w:rPr>
        <w:t>3.2 Качественный анализ влияния социальных медиа на деятельность молодёжных общественных организаций Казахстана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b/>
          <w:sz w:val="28"/>
        </w:rPr>
        <w:t>3.2.1 Анализ результатов глубинного интервью казахстанских экспертов на предмет места социальных медиа в развитии молодёжных общественных организаций</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В процессе диссертационного исследования нами было проведено глубинное полуструктурированное экспертное интервью с десятью экспертами-политологами Казахстана. Персональные данные экспертов не обнародуются, поскольку не было получено на то их принципиального согласия. Интервью проводилось посредством личных встреч и переписки в мессенджерах в период января-апреля 2020 и 2025 годов.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Согласно мнению опрошенных экспертов, цели молодёжи в социальных медиа достаточно сильно варьируются (см. Рисунок 41). Развлечение не является доминирующим, что не совпадает с результатами авторского социологического опроса молодёжи (см. Рисунок 19). Общение расположилось на втором месте, по мнению экспертов, что совпадает с результатами опроса молодёжи РК. Эксперты упомянули параметр «самовыражение», сочтя его одним из основных. Нетворкинг не настолько востребован молодёжью, как и потребление товаров и услуг. Относительно получения информации общественно-политического </w:t>
      </w:r>
      <w:r w:rsidRPr="001A3F92">
        <w:rPr>
          <w:rFonts w:ascii="Times New Roman" w:hAnsi="Times New Roman" w:cs="Times New Roman"/>
          <w:sz w:val="28"/>
        </w:rPr>
        <w:lastRenderedPageBreak/>
        <w:t xml:space="preserve">характера, эксперты настроены достаточно скептически, поскольку данный параметр не упоминался некоторыми опрошенными, а другие характеризовали его с достаточно высокой долей сомнения (см. Рисунок 41). Однако, опрос молодёжи показал, что она использует социальные медиа и с этой целью, хотя она не является наиболее приоритетной (см. Рисунок 19).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Эксперты, в целом, сдержанно оценили потенциал социальных медиа в воздействии на гражданское участие молодёжи, в частности, её вовлечение в деятельность молодёжных общественных объединений. Эксперты 1 и 4 утверждают, что, если информационный повод для участия резонансный (референдум, техногенная катастрофа, спортивное или развлекательное мероприятие), молодёжь вовлекается. Однако, чаще всего, это одноактное участие, не перерастающее в системное действие. Эксперты 3, 5 и 7 полагают, что воздействие социальных медиа сводится лишь к информированию молодёжи о происходящем, в том числе о мероприятиях, проводимых общественными объединениями, что не трансформируется в офлайн участие. Эксперты 6 и 9 упомянули проблему «кликтивизма», при которой онлайн активность молодёжи может быть весьма высокой, как и демонстрируемый интерес к офлайн вовлечению.</w:t>
      </w:r>
    </w:p>
    <w:p w:rsidR="001A3F92" w:rsidRPr="001A3F92" w:rsidRDefault="001A3F92" w:rsidP="001A3F92">
      <w:pPr>
        <w:spacing w:after="0" w:line="240" w:lineRule="auto"/>
        <w:ind w:firstLine="709"/>
        <w:jc w:val="center"/>
        <w:rPr>
          <w:rFonts w:ascii="Times New Roman" w:hAnsi="Times New Roman" w:cs="Times New Roman"/>
          <w:sz w:val="28"/>
        </w:rPr>
      </w:pPr>
      <w:r w:rsidRPr="001A3F92">
        <w:rPr>
          <w:rFonts w:ascii="Times New Roman" w:hAnsi="Times New Roman" w:cs="Times New Roman"/>
          <w:noProof/>
          <w:sz w:val="28"/>
          <w:lang w:eastAsia="ru-RU"/>
        </w:rPr>
        <w:drawing>
          <wp:inline distT="0" distB="0" distL="0" distR="0" wp14:anchorId="39B01D12" wp14:editId="34580951">
            <wp:extent cx="5486400" cy="3200400"/>
            <wp:effectExtent l="0" t="0" r="0" b="0"/>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A3F92" w:rsidRPr="001A3F92" w:rsidRDefault="001A3F92" w:rsidP="001A3F92">
      <w:pPr>
        <w:spacing w:after="0" w:line="240" w:lineRule="auto"/>
        <w:ind w:firstLine="709"/>
        <w:contextualSpacing/>
        <w:jc w:val="center"/>
        <w:rPr>
          <w:rFonts w:ascii="Times New Roman" w:hAnsi="Times New Roman" w:cs="Times New Roman"/>
          <w:sz w:val="28"/>
        </w:rPr>
      </w:pPr>
      <w:r w:rsidRPr="001A3F92">
        <w:rPr>
          <w:rFonts w:ascii="Times New Roman" w:hAnsi="Times New Roman" w:cs="Times New Roman"/>
          <w:sz w:val="28"/>
        </w:rPr>
        <w:t>Рисунок 41 – Цели молодёжи в социальных медиа (мнение опрошенных экспертов). Источник: данные автора</w:t>
      </w:r>
    </w:p>
    <w:p w:rsidR="001A3F92" w:rsidRPr="001A3F92" w:rsidRDefault="001A3F92" w:rsidP="001A3F92">
      <w:pPr>
        <w:spacing w:line="240" w:lineRule="auto"/>
        <w:ind w:firstLine="709"/>
        <w:contextualSpacing/>
        <w:jc w:val="center"/>
        <w:rPr>
          <w:rFonts w:ascii="Times New Roman" w:hAnsi="Times New Roman" w:cs="Times New Roman"/>
          <w:sz w:val="28"/>
        </w:rPr>
      </w:pP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Однако, реальная офлайн активность, при этом, остаётся крайне невысокой. Лишь эксперт 2 очень положительно отозвалась о воздействии социальных медиа на гражданское участие молодёжи, приведя пример молодого человека, который узнав о молодёжной общественной организации, увлёкся её деятельностью, после чего улучшилась его успеваемость в ВУЗе, он стал более коммуникабельным и менее конфликтным. </w:t>
      </w:r>
    </w:p>
    <w:p w:rsidR="001A3F92" w:rsidRPr="001A3F92" w:rsidRDefault="001A3F92" w:rsidP="001A3F92">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Эксперты весьма скептически оценили уровень участия молодёжи в деятельности молодёжных общественных объединений. В основном, они </w:t>
      </w:r>
      <w:r w:rsidRPr="001A3F92">
        <w:rPr>
          <w:rFonts w:ascii="Times New Roman" w:hAnsi="Times New Roman" w:cs="Times New Roman"/>
          <w:sz w:val="28"/>
        </w:rPr>
        <w:lastRenderedPageBreak/>
        <w:t>отметили пассивность молодёжи, её нежелание вникать в общественно-политические проблемы и прилагать усилия по их решению. В частности, эксперт 10 упомянул, что у молодёжи нет доверия к государственной власти и общественным организациям, что в сознании молодёжи является одним и тем же. Кроме того, молодёжь, участвуя, не видит существенных положительных изменений в общественно-политической повестке, поэтому участие несистемное. Эксперт 8 подчеркнул, что решающую роль играет предыдущий опыт участия. Если он негативный, молодой человек не будет продолжать вовлечение. Экспертом 4 была высказана интересная мысль: «активным быть не модно» (интервью, март 2025 год), что подразумевает отсутствие в молодёжной среде трендов на социально-политическую активность, ответственность, проявленность, как гражданина. Эксперт 9 полагает, что в Казахстане существует эффект «номинального гражданского сектора» (интервью, февраль 2025 год), при котором количество молодёжных общественных организаций очень велико (около 20 тысяч, по словам эксперта), однако реально эффективных лишь несколько десятков. Данный факт негативно влияет на гражданское участие молодёжи, так как общественные организации дублируют друг друга, не связаны друг с другом, нет эффекта «заражения» (очень быстрое распространение каких-либо идей или информации посредством передачи её по неформальным каналам) гражданским участием. Эксперты 3 и 6 считают, что молодёжь участвует в основном в деятельности неполитических общественных организаций, поскольку опасается политической сферы и стремится самоустраниться от любых острых тем или сфер активности.</w:t>
      </w:r>
    </w:p>
    <w:p w:rsidR="001A3F92" w:rsidRPr="001A3F92" w:rsidRDefault="001A3F92" w:rsidP="00665284">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sz w:val="28"/>
        </w:rPr>
        <w:t xml:space="preserve">Эксперты достаточно негативно оценили уровень использования молодёжными общественными организациями социальных медиа. Эксперт 2 оказалась единственной из опрошенных, кто заявил, что общественные объединения используют социальные медиа очень активно для рекламирования и промоутинга своей деятельности. Однако, их проблема, по словам эксперта, в том, что подавляющее большинство молодёжных общественных объединений не имеет стратегического планирования. Их деятельность не рассчитана на поколения, а лишь на несколько месяцев. Эксперт 4 утверждает, что </w:t>
      </w:r>
      <w:r w:rsidRPr="001A3F92">
        <w:rPr>
          <w:rFonts w:ascii="Times New Roman" w:hAnsi="Times New Roman" w:cs="Times New Roman"/>
          <w:sz w:val="28"/>
          <w:lang w:val="en-US"/>
        </w:rPr>
        <w:t>GONGO</w:t>
      </w:r>
      <w:r w:rsidRPr="001A3F92">
        <w:rPr>
          <w:rFonts w:ascii="Times New Roman" w:hAnsi="Times New Roman" w:cs="Times New Roman"/>
          <w:sz w:val="28"/>
        </w:rPr>
        <w:t xml:space="preserve"> очень активны в социальных медиа, что создаёт определённый дисбаланс по сравнению с другими молодёжными общественными организациями. Проблема в том, что молодёжь воспринимает </w:t>
      </w:r>
      <w:r w:rsidRPr="001A3F92">
        <w:rPr>
          <w:rFonts w:ascii="Times New Roman" w:hAnsi="Times New Roman" w:cs="Times New Roman"/>
          <w:sz w:val="28"/>
          <w:lang w:val="en-US"/>
        </w:rPr>
        <w:t>GONGO</w:t>
      </w:r>
      <w:r w:rsidRPr="001A3F92">
        <w:rPr>
          <w:rFonts w:ascii="Times New Roman" w:hAnsi="Times New Roman" w:cs="Times New Roman"/>
          <w:sz w:val="28"/>
        </w:rPr>
        <w:t xml:space="preserve"> как инструмент государственной пропаганды и давления, поэтому весьма неохотно на них подписывается онлайн и участвует офлайн. Эксперт 9 заметил, что политические молодёжные общественные организации мало представлены в социальных медиа, в отличие от волонтёрских. Эксперт 8 полагает, что молодёжные общественные организации Казахстана в целом не функционируют как инструмент давления «снизу» на государственную власть и не оказывают существенного влияния на процесс принятия политических решений. Поэтому в социальных медиа представлены преимущественно небольшие организации неполитического характера деятельности.</w:t>
      </w:r>
    </w:p>
    <w:p w:rsidR="001A3F92" w:rsidRPr="001A3F92" w:rsidRDefault="001A3F92" w:rsidP="00921990">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i/>
          <w:sz w:val="28"/>
        </w:rPr>
        <w:lastRenderedPageBreak/>
        <w:t>Таким образом, опрошенные эксперты скорее согласились с предположениями теории социальных сил, нежели с технологическим детерминизмом</w:t>
      </w:r>
      <w:r w:rsidRPr="001A3F92">
        <w:rPr>
          <w:rFonts w:ascii="Times New Roman" w:hAnsi="Times New Roman" w:cs="Times New Roman"/>
          <w:sz w:val="28"/>
        </w:rPr>
        <w:t xml:space="preserve">. По их мнению, социально-политическая среда, воспитание в семье, окружение в университете, как виртуальные, так и </w:t>
      </w:r>
      <w:proofErr w:type="gramStart"/>
      <w:r w:rsidRPr="001A3F92">
        <w:rPr>
          <w:rFonts w:ascii="Times New Roman" w:hAnsi="Times New Roman" w:cs="Times New Roman"/>
          <w:sz w:val="28"/>
        </w:rPr>
        <w:t>реальные друзья</w:t>
      </w:r>
      <w:proofErr w:type="gramEnd"/>
      <w:r w:rsidRPr="001A3F92">
        <w:rPr>
          <w:rFonts w:ascii="Times New Roman" w:hAnsi="Times New Roman" w:cs="Times New Roman"/>
          <w:sz w:val="28"/>
        </w:rPr>
        <w:t xml:space="preserve"> и их ценности оказывают решающее влияние на гражданское участие молодёжи. С одной стороны, молодёжь не испытывает доверия к государству, власти и общественным организациям, не разграничивая гражданское общество и государство. С другой стороны, сами молодёжные объединения работают в преимущественно неполитической сфере, поскольку не являются акторами активного воздействия на политический процесс и предпочитают ограничиваться неполитическими сферами. Мобилизационный потенциал социальных медиа может быть достаточно высоким лишь в случае резонансных событий или мероприятий, однако, при необходимости упрочить систематическое вовлечение молодёжи, их эффект невысок. Наряду с избеганием вовлечения в политическую сферу молодёжными общественными организациями, существует проблема отсутствия у них стратегического системного подхода по мобилизации участников и промоутингу своей деятельности как онлайн, так и офлайн. Также весьма значимой является проблема фрагментированности молодёжных общественных объединений, их разобщённости и нежелания формировать сетевой характер работы.</w:t>
      </w:r>
    </w:p>
    <w:p w:rsidR="001A3F92" w:rsidRPr="001A3F92" w:rsidRDefault="001A3F92" w:rsidP="00921990">
      <w:pPr>
        <w:spacing w:line="240" w:lineRule="auto"/>
        <w:ind w:firstLine="709"/>
        <w:contextualSpacing/>
        <w:jc w:val="both"/>
        <w:rPr>
          <w:rFonts w:ascii="Times New Roman" w:hAnsi="Times New Roman" w:cs="Times New Roman"/>
          <w:sz w:val="28"/>
        </w:rPr>
      </w:pPr>
      <w:r w:rsidRPr="001A3F92">
        <w:rPr>
          <w:rFonts w:ascii="Times New Roman" w:hAnsi="Times New Roman" w:cs="Times New Roman"/>
          <w:i/>
          <w:sz w:val="28"/>
        </w:rPr>
        <w:t>Таким образом, гражданское участие молодёжи Казахстана и место в нём социальных медиа можно охарактеризовать термином «кликтивизм» - онлайн вовлечение может быть велико, однако офлайн вовлечение крайне низко</w:t>
      </w:r>
      <w:r w:rsidRPr="001A3F92">
        <w:rPr>
          <w:rFonts w:ascii="Times New Roman" w:hAnsi="Times New Roman" w:cs="Times New Roman"/>
          <w:sz w:val="28"/>
        </w:rPr>
        <w:t>.</w:t>
      </w:r>
    </w:p>
    <w:p w:rsidR="001A3F92" w:rsidRPr="001A3F92" w:rsidRDefault="001A3F92" w:rsidP="00921990">
      <w:pPr>
        <w:spacing w:after="0" w:line="240" w:lineRule="auto"/>
        <w:ind w:left="709"/>
        <w:contextualSpacing/>
        <w:jc w:val="both"/>
        <w:rPr>
          <w:rFonts w:ascii="Times New Roman" w:hAnsi="Times New Roman" w:cs="Times New Roman"/>
          <w:sz w:val="28"/>
        </w:rPr>
      </w:pP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b/>
          <w:sz w:val="28"/>
        </w:rPr>
        <w:t>3.2.2 Анализ результатов глубинного интервью с представителями молодёжных общественных организаций Казахстана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В ходе исследования нами было проведено глубинное полуструктурированное интервью с председателем </w:t>
      </w:r>
      <w:r w:rsidRPr="001A3F92">
        <w:rPr>
          <w:rFonts w:ascii="Times New Roman" w:hAnsi="Times New Roman" w:cs="Times New Roman"/>
          <w:i/>
          <w:sz w:val="28"/>
        </w:rPr>
        <w:t>Лиги Волонтёров</w:t>
      </w:r>
      <w:r w:rsidRPr="001A3F92">
        <w:rPr>
          <w:rFonts w:ascii="Times New Roman" w:hAnsi="Times New Roman" w:cs="Times New Roman"/>
          <w:sz w:val="28"/>
        </w:rPr>
        <w:t xml:space="preserve"> Айсулу Ерниязовой, председателем </w:t>
      </w:r>
      <w:r w:rsidRPr="001A3F92">
        <w:rPr>
          <w:rFonts w:ascii="Times New Roman" w:hAnsi="Times New Roman" w:cs="Times New Roman"/>
          <w:i/>
          <w:sz w:val="28"/>
        </w:rPr>
        <w:t xml:space="preserve">Жас Отан </w:t>
      </w:r>
      <w:r w:rsidRPr="001A3F92">
        <w:rPr>
          <w:rFonts w:ascii="Times New Roman" w:hAnsi="Times New Roman" w:cs="Times New Roman"/>
          <w:sz w:val="28"/>
        </w:rPr>
        <w:t xml:space="preserve">Мади Ахметовым и президентом </w:t>
      </w:r>
      <w:r w:rsidRPr="001A3F92">
        <w:rPr>
          <w:rFonts w:ascii="Times New Roman" w:hAnsi="Times New Roman" w:cs="Times New Roman"/>
          <w:i/>
          <w:sz w:val="28"/>
        </w:rPr>
        <w:t>AIESEC</w:t>
      </w:r>
      <w:r w:rsidRPr="001A3F92">
        <w:rPr>
          <w:rFonts w:ascii="Times New Roman" w:hAnsi="Times New Roman" w:cs="Times New Roman"/>
          <w:sz w:val="28"/>
        </w:rPr>
        <w:t xml:space="preserve"> в Алматы Тамиром Садвакасовым. Интервью, состоящее из шести вопросов, проводилось в ноябре-декабре 2020 года посредством мессенджеров What’s App и Telegram.</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Первый вопрос предлагает оценить готовность молодёжи Казахстана к гражданскому вовлечению в деятельность общественных организаций. По мнению Айсулу Ерниязовой, на момент интервью заинтересованность молодёжи в гражданском участии увеличивается. Например, в 2015 году оно было меньших масштабов и достаточно далеко от политических проблем. Сейчас молодёжь всё больше проявляет заинтересованность в политике, общественных делах и гражданском вовлечении. В частности, спортивные события типа «Азиады-2011» и «Универсиады-2017» стимулируют интерес к волонтёрству. Мади Ахметов полагает, что, в целом, готовность молодёжи к участию в деятельности общественных объединений невысока. Подтолкнуть к волонтёрской активности способны различные события, причём не только положительного характера. Например, взрывы боеприпасов в Арыси в 2019 году или наводнение в </w:t>
      </w:r>
      <w:r w:rsidRPr="001A3F92">
        <w:rPr>
          <w:rFonts w:ascii="Times New Roman" w:hAnsi="Times New Roman" w:cs="Times New Roman"/>
          <w:sz w:val="28"/>
        </w:rPr>
        <w:lastRenderedPageBreak/>
        <w:t xml:space="preserve">Мактааральском районе в 2020 году побудили многих молодых людей помогать пострадавшим безвозмездно. Сейчас общественные организации сталкиваются с определёнными сложностями, несмотря на то, что их количество достаточно велико. В частности, они сфокусированы на реализацию социального государственного заказа, поскольку это даёт им финансирование. Однако, в этом случае общественные ассоциации ограничены рамками проекта, вынуждены нанимать специалистов вместо волонтёров и развивать иерархические отношения в организации вместо горизонтальных. Кроме того, молодёжь в значительной степени ориентирована на материальный аспект деятельности. Молодые люди имеют возможность работать и зарабатывать деньги, поэтому неохотно участвуют в неоплачиваемой деятельности, зачастую не имея на неё свободного времени. Тамир Садвакасов предполагает, что по десятибалльной шкале готовность молодёжи к участию можно оценить в 6-7 баллов. Причина в том, что молодёжь не готова работать на безвозмездной основе на благо общества. Потенциальные участники часто задают вопрос: «Почему я должен тратить 15-20 часов в неделю на работу, которая не приносит мне дохода?». Количество заявок на участие в </w:t>
      </w:r>
      <w:r w:rsidRPr="001A3F92">
        <w:rPr>
          <w:rFonts w:ascii="Times New Roman" w:hAnsi="Times New Roman" w:cs="Times New Roman"/>
          <w:i/>
          <w:sz w:val="28"/>
        </w:rPr>
        <w:t>AIESEC</w:t>
      </w:r>
      <w:r w:rsidRPr="001A3F92">
        <w:rPr>
          <w:rFonts w:ascii="Times New Roman" w:hAnsi="Times New Roman" w:cs="Times New Roman"/>
          <w:sz w:val="28"/>
        </w:rPr>
        <w:t xml:space="preserve"> ежегодно составляет 300-400 в год. Это очень мало для организации.  </w:t>
      </w:r>
    </w:p>
    <w:p w:rsidR="001A3F92" w:rsidRPr="001A3F92" w:rsidRDefault="001A3F92" w:rsidP="00921990">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Второй вопрос фокусируется на влиянии социальных медиа на гражданское участие молодёжи. Айсулу Ерниязова полагает, что социальные медиа один из основных каналов коммуникации с молодёжью. С их помощью молодые люди видят, что существует интересная деятельность, помимо учёбы и работы. Мади Ахметов уверен в положительном влиянии социальных медиа на реальное гражданское участие. Проблема в том, что общественные объединения не способны донести до молодёжи информацию о своей деятельности в интересной для неё форме. Тамир Садвакасов считает, что особенность социальных медиа в том, что в ленте новостей информация постоянно обновляется и пользователю трудно зафиксировать что-либо определённое. Далеко не каждый пользователь будет прицельно следить за событиями конкретного паблика, особенно среди молодёжи. Хотя, для людей действительно заинтересованных, социальные медиа способны стать дополнительным стимулирующим фактором.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Третий вопрос имеет целью выяснить, сколько новых членов организациям удалось рекрутировать при помощи социальных медиа. Айсулу Ерниязова признала, что статистики такого рода в </w:t>
      </w:r>
      <w:r w:rsidRPr="001A3F92">
        <w:rPr>
          <w:rFonts w:ascii="Times New Roman" w:hAnsi="Times New Roman" w:cs="Times New Roman"/>
          <w:i/>
          <w:sz w:val="28"/>
        </w:rPr>
        <w:t>Лиге Волонтёров</w:t>
      </w:r>
      <w:r w:rsidRPr="001A3F92">
        <w:rPr>
          <w:rFonts w:ascii="Times New Roman" w:hAnsi="Times New Roman" w:cs="Times New Roman"/>
          <w:sz w:val="28"/>
        </w:rPr>
        <w:t xml:space="preserve"> не ведётся. Однако, в 2019 году организация проводила масштабную кампанию по рекрутированию. Удалось привлечь около 3000 новых членов. До этого самое большое количество участников было в Алматы – 5000 человек, хотя, активистов всё же меньше. Социальные медиа весьма полезны в рекрутировании для этой общественной организации. Мади Ахметов утверждает, что </w:t>
      </w:r>
      <w:r w:rsidRPr="001A3F92">
        <w:rPr>
          <w:rFonts w:ascii="Times New Roman" w:hAnsi="Times New Roman" w:cs="Times New Roman"/>
          <w:i/>
          <w:sz w:val="28"/>
        </w:rPr>
        <w:t>Жас Отан</w:t>
      </w:r>
      <w:r w:rsidRPr="001A3F92">
        <w:rPr>
          <w:rFonts w:ascii="Times New Roman" w:hAnsi="Times New Roman" w:cs="Times New Roman"/>
          <w:sz w:val="28"/>
        </w:rPr>
        <w:t xml:space="preserve"> ведёт подобную статистику. В 2019 году организации удалось привлечь 1500 новых участников при помощи как социальных медиа, так и офлайн мероприятий. Безусловно, социальные медиа не способны полностью заменить «живые» встречи, однако, без их помощи привлечь и заинтересовать молодёжь и вовсе невозможно в </w:t>
      </w:r>
      <w:r w:rsidRPr="001A3F92">
        <w:rPr>
          <w:rFonts w:ascii="Times New Roman" w:hAnsi="Times New Roman" w:cs="Times New Roman"/>
          <w:sz w:val="28"/>
        </w:rPr>
        <w:lastRenderedPageBreak/>
        <w:t>современном мире. Тамир Садвакасов подчеркнул, что, хотя, точных данных в организации нет, в год приходит около 100 новых членов. Основной процент вновь прибывших именно из тех, кто узнал об организации в социальных медиа или посредством участия в проектах.</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Четвёртый вопрос предлагает интервьюируемым расставить следующие каналы информации по приоритетности в смысле эффективности при рекламе и рекрутировании: 1) социальные медиа; 2) филиалы организации при университетах и колледжах; 3) интернет и телевидение; 4) «сарафанное радио»; 5) иной канал. Айсулу Ерниязова расположила предложенные способы коммуникации следующим образом: на первом месте для </w:t>
      </w:r>
      <w:r w:rsidRPr="001A3F92">
        <w:rPr>
          <w:rFonts w:ascii="Times New Roman" w:hAnsi="Times New Roman" w:cs="Times New Roman"/>
          <w:i/>
          <w:sz w:val="28"/>
        </w:rPr>
        <w:t>Лиги Волонтёров</w:t>
      </w:r>
      <w:r w:rsidRPr="001A3F92">
        <w:rPr>
          <w:rFonts w:ascii="Times New Roman" w:hAnsi="Times New Roman" w:cs="Times New Roman"/>
          <w:sz w:val="28"/>
        </w:rPr>
        <w:t xml:space="preserve"> находятся филиалы при ВУЗах и колледжах, а также офисы в городах республики, поскольку они создают возможность прямого общения офлайн; на втором месте расположились социальные медиа и «сарафанное радио». Здесь работает принцип «друзья приводят друзей». В организации существует геймифицированная система продвижения членов – чтобы набрать баллы и подняться на следующую ступень, он должен создать свою команду. Затем они должны размещать в своих аккаунтах и в пабликах </w:t>
      </w:r>
      <w:r w:rsidRPr="001A3F92">
        <w:rPr>
          <w:rFonts w:ascii="Times New Roman" w:hAnsi="Times New Roman" w:cs="Times New Roman"/>
          <w:i/>
          <w:sz w:val="28"/>
        </w:rPr>
        <w:t>Лиги Волонтёров</w:t>
      </w:r>
      <w:r w:rsidRPr="001A3F92">
        <w:rPr>
          <w:rFonts w:ascii="Times New Roman" w:hAnsi="Times New Roman" w:cs="Times New Roman"/>
          <w:sz w:val="28"/>
        </w:rPr>
        <w:t xml:space="preserve"> посты о сделанных добрых делах в интерактивной форме. На третьем месте – освещение в СМИ, в интернете и по телевидению. Мади Ахметов полагает, что социальные медиа всё же эффективнее для </w:t>
      </w:r>
      <w:r w:rsidRPr="001A3F92">
        <w:rPr>
          <w:rFonts w:ascii="Times New Roman" w:hAnsi="Times New Roman" w:cs="Times New Roman"/>
          <w:i/>
          <w:sz w:val="28"/>
        </w:rPr>
        <w:t>Жас Отан</w:t>
      </w:r>
      <w:r w:rsidRPr="001A3F92">
        <w:rPr>
          <w:rFonts w:ascii="Times New Roman" w:hAnsi="Times New Roman" w:cs="Times New Roman"/>
          <w:sz w:val="28"/>
        </w:rPr>
        <w:t xml:space="preserve">, чем другие каналы. Организация, по его словам, больше других использует Instagram, так как обратная связь там лучше, чем на других платформах. С 2019 года </w:t>
      </w:r>
      <w:r w:rsidRPr="001A3F92">
        <w:rPr>
          <w:rFonts w:ascii="Times New Roman" w:hAnsi="Times New Roman" w:cs="Times New Roman"/>
          <w:i/>
          <w:sz w:val="28"/>
        </w:rPr>
        <w:t>Жас Отан</w:t>
      </w:r>
      <w:r w:rsidRPr="001A3F92">
        <w:rPr>
          <w:rFonts w:ascii="Times New Roman" w:hAnsi="Times New Roman" w:cs="Times New Roman"/>
          <w:sz w:val="28"/>
        </w:rPr>
        <w:t xml:space="preserve"> экспериментирует с TikTok. Результат положительный, поэтому организация собирается использовать эту платформу и дальше. Безусловно, телевидение и интернет тоже задействуются для рекрутирования, но они более эффективны для старшего поколения, чем для молодёжи. По словам Тамира Садвакасова, основными каналами рекрутирования </w:t>
      </w:r>
      <w:r w:rsidRPr="001A3F92">
        <w:rPr>
          <w:rFonts w:ascii="Times New Roman" w:hAnsi="Times New Roman" w:cs="Times New Roman"/>
          <w:i/>
          <w:sz w:val="28"/>
        </w:rPr>
        <w:t>AIESEC</w:t>
      </w:r>
      <w:r w:rsidRPr="001A3F92">
        <w:rPr>
          <w:rFonts w:ascii="Times New Roman" w:hAnsi="Times New Roman" w:cs="Times New Roman"/>
          <w:sz w:val="28"/>
        </w:rPr>
        <w:t xml:space="preserve"> являются социальные медиа, а именно Instagram. На втором месте – проекты, организовываемые ассоциацией, обеспечивающие живое общение членов и потенциальных участников и погружение последних в процесс. На третьем месте – сарафанное радио – около 5-8% новых участников пришло по рекомендации друзей, уже принимавших участие раньше.   </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Пятый вопрос интервью рассматривает основные мотивационные факторы, способные стимулировать молодёжь к гражданскому участию.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использует следующие способы мотивации: 1) сертификат участника или благодарственное письмо, что может послужить бонусом при поступлении на работу или учёбу, в том числе за рубежом; 2) потенциальный участник может испытывать симпатию к лидеру организации или к кому-либо из членов; 3) посты участников показывают всем, как интересна волонтёрская деятельность, что вполне способно побудить к участию. </w:t>
      </w:r>
      <w:r w:rsidRPr="001A3F92">
        <w:rPr>
          <w:rFonts w:ascii="Times New Roman" w:hAnsi="Times New Roman" w:cs="Times New Roman"/>
          <w:i/>
          <w:sz w:val="28"/>
        </w:rPr>
        <w:t>Жас Отан</w:t>
      </w:r>
      <w:r w:rsidRPr="001A3F92">
        <w:rPr>
          <w:rFonts w:ascii="Times New Roman" w:hAnsi="Times New Roman" w:cs="Times New Roman"/>
          <w:sz w:val="28"/>
        </w:rPr>
        <w:t xml:space="preserve"> также использует различные проекты для мотивации. Например, выделяются образовательные гранты для участников из социально уязвимых групп на обучение в ВУЗах Алматы. Кроме того, желание оказывать безвозмездную помощь людям в команде единомышленников может служить весьма </w:t>
      </w:r>
      <w:r w:rsidRPr="001A3F92">
        <w:rPr>
          <w:rFonts w:ascii="Times New Roman" w:hAnsi="Times New Roman" w:cs="Times New Roman"/>
          <w:sz w:val="28"/>
        </w:rPr>
        <w:lastRenderedPageBreak/>
        <w:t xml:space="preserve">действенной неформальной мотивировкой. </w:t>
      </w:r>
      <w:r w:rsidRPr="001A3F92">
        <w:rPr>
          <w:rFonts w:ascii="Times New Roman" w:hAnsi="Times New Roman" w:cs="Times New Roman"/>
          <w:i/>
          <w:sz w:val="28"/>
        </w:rPr>
        <w:t>AIESEC</w:t>
      </w:r>
      <w:r w:rsidRPr="001A3F92">
        <w:rPr>
          <w:rFonts w:ascii="Times New Roman" w:hAnsi="Times New Roman" w:cs="Times New Roman"/>
          <w:sz w:val="28"/>
        </w:rPr>
        <w:t xml:space="preserve"> предлагает участие в проектах, позволяющих развить те навыки, которые едва ли можно получить в университете, а также предоставляет участникам возможности для саморазвития. Члены могут внести пункт об участии в резюме, что может быть положительно оценено работодателем. Организация даёт возможность работы в команде единомышленников, которая помогает развивать творческий и лидерский потенциал новичков.</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При ответе на шестой вопрос интервьюируемым предлагается оценить популярность их организации среди молодёжи. По словам Айсулу Ерниязовой,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хорошо известна той части молодёжи, которая занимается волонтёрством. В этой связи основная задача организации – привлечь и информировать тех, кто не практикует такой род деятельности. В процессе вовлечения </w:t>
      </w:r>
      <w:r w:rsidRPr="001A3F92">
        <w:rPr>
          <w:rFonts w:ascii="Times New Roman" w:hAnsi="Times New Roman" w:cs="Times New Roman"/>
          <w:i/>
          <w:sz w:val="28"/>
        </w:rPr>
        <w:t>Лига Волонтёров</w:t>
      </w:r>
      <w:r w:rsidRPr="001A3F92">
        <w:rPr>
          <w:rFonts w:ascii="Times New Roman" w:hAnsi="Times New Roman" w:cs="Times New Roman"/>
          <w:sz w:val="28"/>
        </w:rPr>
        <w:t xml:space="preserve"> старается заинтересовать молодых людей из разных социальных, возрастных, языковых, религиозных групп, исповедующих разные ценности для того, чтобы сделать общение молодёжи небанальным, а обмен опытом – эффективным. По мнению Мади Ахметова, </w:t>
      </w:r>
      <w:r w:rsidRPr="001A3F92">
        <w:rPr>
          <w:rFonts w:ascii="Times New Roman" w:hAnsi="Times New Roman" w:cs="Times New Roman"/>
          <w:i/>
          <w:sz w:val="28"/>
        </w:rPr>
        <w:t>Жас Отан</w:t>
      </w:r>
      <w:r w:rsidRPr="001A3F92">
        <w:rPr>
          <w:rFonts w:ascii="Times New Roman" w:hAnsi="Times New Roman" w:cs="Times New Roman"/>
          <w:sz w:val="28"/>
        </w:rPr>
        <w:t xml:space="preserve"> – это единственная общественная организация в Казахстане, которая имеет офисы во всех регионах страны и работает на регулярной основе уже в течение двадцати лет. Организация предоставляет активным участникам возможности карьерного роста и социальные лифты. Будучи членом ассоциации, молодой человек практикует и развивает коммуникационные навыки, лидерские качества, аналитические и ораторские способности. Эта организация хорошо известна в Казахстане. Представитель </w:t>
      </w:r>
      <w:r w:rsidRPr="001A3F92">
        <w:rPr>
          <w:rFonts w:ascii="Times New Roman" w:hAnsi="Times New Roman" w:cs="Times New Roman"/>
          <w:i/>
          <w:sz w:val="28"/>
        </w:rPr>
        <w:t>AIESEC</w:t>
      </w:r>
      <w:r w:rsidRPr="001A3F92">
        <w:rPr>
          <w:rFonts w:ascii="Times New Roman" w:hAnsi="Times New Roman" w:cs="Times New Roman"/>
          <w:sz w:val="28"/>
        </w:rPr>
        <w:t xml:space="preserve"> полагает, что данная организация достаточно популярна среди молодёжи, так как в проектах, проводимых ею, ежегодно участвует около 1000 человек. В социальных медиа более 7000 подписчиков. Это говорит о том, что у молодёжи есть интерес к организации и тому роду деятельности, которым она занимается. </w:t>
      </w:r>
    </w:p>
    <w:p w:rsidR="001A3F92" w:rsidRPr="001A3F92" w:rsidRDefault="001A3F92" w:rsidP="001A3F92">
      <w:pPr>
        <w:spacing w:after="0" w:line="240" w:lineRule="auto"/>
        <w:ind w:firstLine="709"/>
        <w:jc w:val="both"/>
        <w:rPr>
          <w:rFonts w:ascii="Times New Roman" w:hAnsi="Times New Roman" w:cs="Times New Roman"/>
          <w:b/>
          <w:sz w:val="28"/>
        </w:rPr>
      </w:pPr>
      <w:r w:rsidRPr="001A3F92">
        <w:rPr>
          <w:rFonts w:ascii="Times New Roman" w:hAnsi="Times New Roman" w:cs="Times New Roman"/>
          <w:i/>
          <w:sz w:val="28"/>
        </w:rPr>
        <w:t>Выводы по итогам глубинного интервью</w:t>
      </w:r>
      <w:r w:rsidRPr="001A3F92">
        <w:rPr>
          <w:rFonts w:ascii="Times New Roman" w:hAnsi="Times New Roman" w:cs="Times New Roman"/>
          <w:b/>
          <w:sz w:val="28"/>
        </w:rPr>
        <w:t>:</w:t>
      </w:r>
    </w:p>
    <w:p w:rsidR="001A3F92" w:rsidRPr="001A3F92" w:rsidRDefault="001A3F92" w:rsidP="008465D6">
      <w:pPr>
        <w:numPr>
          <w:ilvl w:val="0"/>
          <w:numId w:val="49"/>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В целом, заинтересованность молодёжи в гражданском участии невысока. Причин тому может быть несколько: сфокусированность молодёжи на материальных аспектах; низкий уровень гражданской политической культуры молодёжи; недостаточная эффективность работы общественных объединений при довольно большом их количестве.</w:t>
      </w:r>
    </w:p>
    <w:p w:rsidR="001A3F92" w:rsidRPr="001A3F92" w:rsidRDefault="001A3F92" w:rsidP="008465D6">
      <w:pPr>
        <w:numPr>
          <w:ilvl w:val="0"/>
          <w:numId w:val="49"/>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Социальные медиа являются весьма значимым каналом рекрутирования. Однако, при всех их положительных чертах, они не способны полностью заменить традиционный офлайн формат общения. С другой стороны, полностью игнорировать социальные медиа при выстраивании коммуникации с молодёжью нельзя. Следовательно, для людей, заинтересованных в участии, социальные медиа способны стать стимулирующим фактором.</w:t>
      </w:r>
    </w:p>
    <w:p w:rsidR="001A3F92" w:rsidRPr="001A3F92" w:rsidRDefault="001A3F92" w:rsidP="008465D6">
      <w:pPr>
        <w:numPr>
          <w:ilvl w:val="0"/>
          <w:numId w:val="49"/>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Количество привлечённых новичков варьируется в зависимости от кампаний по рекрутированию, проводимых организациями, а также от степени популярности ассоциаций.</w:t>
      </w:r>
    </w:p>
    <w:p w:rsidR="001A3F92" w:rsidRPr="001A3F92" w:rsidRDefault="001A3F92" w:rsidP="008465D6">
      <w:pPr>
        <w:numPr>
          <w:ilvl w:val="0"/>
          <w:numId w:val="49"/>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lastRenderedPageBreak/>
        <w:t>По эффективности для рекрутирования и коммуникации с молодёжью социальные медиа делят первое место с офлайн способами, такими как мероприятия, проводимые организацией и «сарафанное радио».</w:t>
      </w:r>
    </w:p>
    <w:p w:rsidR="001A3F92" w:rsidRPr="001A3F92" w:rsidRDefault="001A3F92" w:rsidP="008465D6">
      <w:pPr>
        <w:numPr>
          <w:ilvl w:val="0"/>
          <w:numId w:val="49"/>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В основном, мотивирующими факторами для молодёжи служат те преимущества, которые участник получит по итогу деятельности в виде сертификатов, грантов на обучение или записи в резюме. Также желание заниматься интересным и необычным делом в свободное время в группе единомышленников.</w:t>
      </w:r>
    </w:p>
    <w:p w:rsidR="001A3F92" w:rsidRPr="001A3F92" w:rsidRDefault="001A3F92" w:rsidP="008465D6">
      <w:pPr>
        <w:numPr>
          <w:ilvl w:val="0"/>
          <w:numId w:val="49"/>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 xml:space="preserve">Рассмотренные организации достаточно популярны среди молодёжи, вовлечённой в волонтёрскую гражданскую активность. Основная сложность для молодёжных общественных объединений состоит в том, чтобы заинтересовать тех, кто не участвует или не знает о них. </w:t>
      </w:r>
    </w:p>
    <w:p w:rsidR="001A3F92" w:rsidRPr="001A3F92" w:rsidRDefault="001A3F92" w:rsidP="001A3F92">
      <w:pPr>
        <w:spacing w:after="0" w:line="240" w:lineRule="auto"/>
        <w:ind w:firstLine="709"/>
        <w:jc w:val="both"/>
        <w:rPr>
          <w:rFonts w:ascii="Times New Roman" w:hAnsi="Times New Roman" w:cs="Times New Roman"/>
          <w:i/>
          <w:sz w:val="28"/>
        </w:rPr>
      </w:pPr>
      <w:r w:rsidRPr="001A3F92">
        <w:rPr>
          <w:rFonts w:ascii="Times New Roman" w:hAnsi="Times New Roman" w:cs="Times New Roman"/>
          <w:sz w:val="28"/>
        </w:rPr>
        <w:t xml:space="preserve">     </w:t>
      </w:r>
      <w:r w:rsidRPr="001A3F92">
        <w:rPr>
          <w:rFonts w:ascii="Times New Roman" w:hAnsi="Times New Roman" w:cs="Times New Roman"/>
          <w:i/>
          <w:sz w:val="28"/>
        </w:rPr>
        <w:t>Общие выводы по главе 3:</w:t>
      </w:r>
    </w:p>
    <w:p w:rsidR="001A3F92" w:rsidRPr="001A3F92" w:rsidRDefault="001A3F92" w:rsidP="008465D6">
      <w:pPr>
        <w:numPr>
          <w:ilvl w:val="0"/>
          <w:numId w:val="50"/>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Цифровая неинституционализированная вовлеченность молодёжи в социальные медиа высока. Молодёжь, в основном, использует социальные медиа для развлечения, хотя в последнее время (2025 год) наблюдается рост тенденций цифрового детокса и отказа молодёжи от чрезмерного потребления цифрового контента.</w:t>
      </w:r>
    </w:p>
    <w:p w:rsidR="001A3F92" w:rsidRPr="001A3F92" w:rsidRDefault="001A3F92" w:rsidP="008465D6">
      <w:pPr>
        <w:numPr>
          <w:ilvl w:val="0"/>
          <w:numId w:val="50"/>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Институционализированное знание молодёжи о институтах гражданского общества (молодёжных общественных организациях) практически отсутствует в 2025 году, распыляясь на сферы деятельности, но не на институты, как и институционализированная подписанность на публичные аккаунты молодёжных общественных объединений в социальных медиа. Кроме того, негативным фактором является то, что в 2025 году молодёжь охотнее подписывалась на публичные онлайн аккаунты иностранных общественных организаций (</w:t>
      </w:r>
      <w:r w:rsidRPr="001A3F92">
        <w:rPr>
          <w:rFonts w:ascii="Times New Roman" w:hAnsi="Times New Roman" w:cs="Times New Roman"/>
          <w:i/>
          <w:sz w:val="28"/>
          <w:lang w:val="en-US"/>
        </w:rPr>
        <w:t>AIESEC</w:t>
      </w:r>
      <w:r w:rsidRPr="001A3F92">
        <w:rPr>
          <w:rFonts w:ascii="Times New Roman" w:hAnsi="Times New Roman" w:cs="Times New Roman"/>
          <w:i/>
          <w:sz w:val="28"/>
        </w:rPr>
        <w:t xml:space="preserve">, </w:t>
      </w:r>
      <w:r w:rsidRPr="001A3F92">
        <w:rPr>
          <w:rFonts w:ascii="Times New Roman" w:hAnsi="Times New Roman" w:cs="Times New Roman"/>
          <w:i/>
          <w:sz w:val="28"/>
          <w:lang w:val="en-US"/>
        </w:rPr>
        <w:t>ESN</w:t>
      </w:r>
      <w:r w:rsidRPr="001A3F92">
        <w:rPr>
          <w:rFonts w:ascii="Times New Roman" w:hAnsi="Times New Roman" w:cs="Times New Roman"/>
          <w:sz w:val="28"/>
        </w:rPr>
        <w:t>), что снижает влияние отечественных институтов гражданского общества. Сравнение иностранных и отечественных молодёжных общественных организаций часто оказывается не в пользу последних, так как они выглядят скучными, неинтересными и игнорирующими интересы и озабоченности молодёжи.</w:t>
      </w:r>
    </w:p>
    <w:p w:rsidR="001A3F92" w:rsidRPr="001A3F92" w:rsidRDefault="001A3F92" w:rsidP="008465D6">
      <w:pPr>
        <w:numPr>
          <w:ilvl w:val="0"/>
          <w:numId w:val="50"/>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 xml:space="preserve">Согласно результатам регрессионного анализа, институционализированное цифровое участие и возраст респондентов являются ключевыми переменными, оказывающими влияние на офлайн гражданское вовлечение. При этом, в 2025 году проявилась значимость иных факторов, не учтённых моделями анализа, поскольку их </w:t>
      </w:r>
      <w:r w:rsidRPr="001A3F92">
        <w:rPr>
          <w:rFonts w:ascii="Times New Roman" w:hAnsi="Times New Roman" w:cs="Times New Roman"/>
          <w:i/>
          <w:sz w:val="28"/>
          <w:lang w:val="en-US"/>
        </w:rPr>
        <w:t>R</w:t>
      </w:r>
      <w:r w:rsidRPr="001A3F92">
        <w:rPr>
          <w:rFonts w:ascii="Times New Roman" w:hAnsi="Times New Roman" w:cs="Times New Roman"/>
          <w:i/>
          <w:sz w:val="28"/>
          <w:vertAlign w:val="superscript"/>
        </w:rPr>
        <w:t xml:space="preserve">2 </w:t>
      </w:r>
      <w:r w:rsidRPr="001A3F92">
        <w:rPr>
          <w:rFonts w:ascii="Times New Roman" w:hAnsi="Times New Roman" w:cs="Times New Roman"/>
          <w:sz w:val="28"/>
        </w:rPr>
        <w:t>невысокий. Это может говорить о росте тревожности и недоверия к политической сфере, связанной как с последствиями событий внутри страны (Январские события 2022 года), так и с ростом напряжённости на международной арене (война России и Украины 2022 года, мало предсказуемая политика Д. Трампа). Политические реформы, начатые в Казахстане в 2022 и 2023 годах, не оказали существенного положительного воздействия на гражданскую активность молодёжи и на эффективность институтов гражданского общества.</w:t>
      </w:r>
    </w:p>
    <w:p w:rsidR="001A3F92" w:rsidRPr="001A3F92" w:rsidRDefault="001A3F92" w:rsidP="008465D6">
      <w:pPr>
        <w:numPr>
          <w:ilvl w:val="0"/>
          <w:numId w:val="50"/>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 xml:space="preserve">Эксперты выявили такую особенность гражданского вовлечения молодёжи как кликтивизм, что подтверждается результатами авторских </w:t>
      </w:r>
      <w:r w:rsidRPr="001A3F92">
        <w:rPr>
          <w:rFonts w:ascii="Times New Roman" w:hAnsi="Times New Roman" w:cs="Times New Roman"/>
          <w:sz w:val="28"/>
        </w:rPr>
        <w:lastRenderedPageBreak/>
        <w:t xml:space="preserve">социологических исследований. Негативной тенденцией является отсутствие «моды на участие», при которой на уровне государства, институтов образования, семьи и гражданского общества проводится системная работа по стимулировании молодых людей к вовлечению. Эксперты приводили примеры авторитарного Китая и относительно демократической Южной Кореи, где такая «мода» существует и прививается с детства. Этому уделяется большое внимание государства через онлайн и офлайн агитацию, привлечение селебрити или лидеров молодёжного общественного мнения (групп </w:t>
      </w:r>
      <w:r w:rsidRPr="001A3F92">
        <w:rPr>
          <w:rFonts w:ascii="Times New Roman" w:hAnsi="Times New Roman" w:cs="Times New Roman"/>
          <w:sz w:val="28"/>
          <w:lang w:val="en-US"/>
        </w:rPr>
        <w:t>K</w:t>
      </w:r>
      <w:r w:rsidRPr="001A3F92">
        <w:rPr>
          <w:rFonts w:ascii="Times New Roman" w:hAnsi="Times New Roman" w:cs="Times New Roman"/>
          <w:sz w:val="28"/>
        </w:rPr>
        <w:t>-</w:t>
      </w:r>
      <w:r w:rsidRPr="001A3F92">
        <w:rPr>
          <w:rFonts w:ascii="Times New Roman" w:hAnsi="Times New Roman" w:cs="Times New Roman"/>
          <w:sz w:val="28"/>
          <w:lang w:val="en-US"/>
        </w:rPr>
        <w:t>pop</w:t>
      </w:r>
      <w:r w:rsidRPr="001A3F92">
        <w:rPr>
          <w:rFonts w:ascii="Times New Roman" w:hAnsi="Times New Roman" w:cs="Times New Roman"/>
          <w:sz w:val="28"/>
        </w:rPr>
        <w:t xml:space="preserve"> в случае Кореи), формирование у молодёжи положительного опыта участия. Казахстанская же молодёжь скорее воспринимает гражданское участие как ещё один вариант развлечения и не стремится прилагать усилия для его развития. В свою очередь, государство и институты гражданского общества используют неэффективные кампании по мобилизации, не учитывающие образ мышления молодёжи, её интересы и не применяют методики, которые могли бы трансформировать развлечение в систематическое гражданское участие.</w:t>
      </w:r>
    </w:p>
    <w:p w:rsidR="001A3F92" w:rsidRPr="001A3F92" w:rsidRDefault="001A3F92" w:rsidP="008465D6">
      <w:pPr>
        <w:numPr>
          <w:ilvl w:val="0"/>
          <w:numId w:val="50"/>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Выявлен ценностно-содержательный разрыв между институтами гражданского общества, молодёжью и государством. Первые не способны предоставить качественные возможности для участия на системной основе, а последнее не воспринимает молодёжь как субъекта общественно-политических отношений и выстраивает соответствующим образом кампании по мобилизации или пропаганде ценностей гражданского участия. В результате у молодёжи отсутствует системное доверие как к институтам гражданского общества, так и к государству, что порождает аполитичность, усталость и систематическое избегание гражданского участия. Конституция РК 2026 года объявляет НПО субъектом политики, а не объектом, как было ранее. Возможно, данный факт, подкреплённый систематической политикой, окажет положительное влияние, однако, эта тема для будущих исследований.</w:t>
      </w:r>
    </w:p>
    <w:p w:rsidR="001A3F92" w:rsidRPr="001A3F92" w:rsidRDefault="001A3F92" w:rsidP="008465D6">
      <w:pPr>
        <w:numPr>
          <w:ilvl w:val="0"/>
          <w:numId w:val="50"/>
        </w:numPr>
        <w:spacing w:after="0" w:line="240" w:lineRule="auto"/>
        <w:ind w:left="0" w:firstLine="709"/>
        <w:contextualSpacing/>
        <w:jc w:val="both"/>
        <w:rPr>
          <w:rFonts w:ascii="Times New Roman" w:hAnsi="Times New Roman" w:cs="Times New Roman"/>
          <w:sz w:val="28"/>
        </w:rPr>
      </w:pPr>
      <w:r w:rsidRPr="001A3F92">
        <w:rPr>
          <w:rFonts w:ascii="Times New Roman" w:hAnsi="Times New Roman" w:cs="Times New Roman"/>
          <w:sz w:val="28"/>
        </w:rPr>
        <w:t xml:space="preserve">Что касается функции институтов гражданского общества как площадки для рекрутирования новых членов в политическую элиту, в Казахстане отсутствует какая-либо статистическая база по этому направлению. Из опрошенных нами представителей молодёжных общественных организаций, Мади Ахметов (в 2017-2020 годах – председатель Алматинского филиала «Жас Отан» [195]), в 2021 году был избран депутатом Мажилиса Парламента РК </w:t>
      </w:r>
      <w:r w:rsidRPr="001A3F92">
        <w:rPr>
          <w:rFonts w:ascii="Times New Roman" w:hAnsi="Times New Roman" w:cs="Times New Roman"/>
          <w:sz w:val="28"/>
          <w:lang w:val="en-US"/>
        </w:rPr>
        <w:t>VII</w:t>
      </w:r>
      <w:r w:rsidRPr="001A3F92">
        <w:rPr>
          <w:rFonts w:ascii="Times New Roman" w:hAnsi="Times New Roman" w:cs="Times New Roman"/>
          <w:sz w:val="28"/>
        </w:rPr>
        <w:t xml:space="preserve"> созыва, в 2023 году назначен руководителем управления по вопросам молодёжной политики Алматинской области [196]. Айсулу Ерниязова (в 2019-2020 годах – председатель «Лиги Волонтёров»), в 2022-2024 годах являлась студенческим омбудсменом, а также вошла в состав Национального Курултая; с февраля 2025 года назначена руководителем управления по вопросам молодёжной политики Карагандинской области [196]. Таким образом, наблюдается следующая тенденция: с одной стороны, институты гражданского общества в Казахстане способны выступать как площадки для рекрутирования в члены политической элиты и государственного управления, однако, это достаточно сложно увидеть – статистика практически отсутствует, данные несистематизированы, есть положительные примеры (М. Ахметов, А. </w:t>
      </w:r>
      <w:r w:rsidRPr="001A3F92">
        <w:rPr>
          <w:rFonts w:ascii="Times New Roman" w:hAnsi="Times New Roman" w:cs="Times New Roman"/>
          <w:sz w:val="28"/>
        </w:rPr>
        <w:lastRenderedPageBreak/>
        <w:t xml:space="preserve">Ерниязова). С другой стороны, государство предпринимает усилия по рекрутингу через увеличение возраста молодёжи с 29 до 35 лет в 2023 году, что позволяет молодёжным активистам легче преодолевать возрастной ценз и иные барьеры в органы власти, особенно в местные Маслихаты [197]. Кроме того, в 2020 году законодательно закреплена квота в 30% для женщин и молодёжи в избирательных списках партий [198]. При этом роста гражданского участия молодёжи не зафиксировано (результаты авторского социологического опроса), а также молодёжь не проявляет системного и массового желания участвовать в деятельности политических молодёжных общественных объединений (результаты авторского социологического опроса и глубинного интервью с экспертами). Соответственно, можно сделать вывод о том, что государству и институтам гражданского общества необходимо сделать политическую сферу гражданского активизма привлекательной для молодёжи и продолжать политику квотирования, возможно, увеличить возраст молодёжи до 40 лет. Достаточно существенной проблемой, как представляется, является преодоление недоверия молодёжи к </w:t>
      </w:r>
      <w:r w:rsidRPr="001A3F92">
        <w:rPr>
          <w:rFonts w:ascii="Times New Roman" w:hAnsi="Times New Roman" w:cs="Times New Roman"/>
          <w:sz w:val="28"/>
          <w:lang w:val="en-US"/>
        </w:rPr>
        <w:t>GONGO</w:t>
      </w:r>
      <w:r w:rsidRPr="001A3F92">
        <w:rPr>
          <w:rFonts w:ascii="Times New Roman" w:hAnsi="Times New Roman" w:cs="Times New Roman"/>
          <w:sz w:val="28"/>
        </w:rPr>
        <w:t xml:space="preserve"> и государственным инициативам в сфере стимулирования гражданского участия, уменьшение кликтивизма, распространённого в молодёжной среде. Для этого, вероятно, необходимо расширять взаимодействие с молодёжью по горизонтальному принципу, отказавшиьс от образа патрона, диктующего принципы, правила и нормы.</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i/>
          <w:sz w:val="28"/>
        </w:rPr>
        <w:t xml:space="preserve">Результаты проведённого диссертационного исследования показывают, что для анализа развития институтов гражданского общества в Казахстане в наибольшей степени адекватной является точка зрения теории социальных сил. </w:t>
      </w:r>
      <w:r w:rsidRPr="001A3F92">
        <w:rPr>
          <w:rFonts w:ascii="Times New Roman" w:hAnsi="Times New Roman" w:cs="Times New Roman"/>
          <w:sz w:val="28"/>
        </w:rPr>
        <w:t>С одной стороны, эмпирические данные убедительно опровергают ключевое допущение технологического детерминизма о прямой и автоматической трансформации цифровой активности в офлайн-гражданское участие. Практически полная вовлечённость молодёжи в социальные медиа, высокая частота их использования и расширение функциональных целей не приводят к сопоставимому росту участия в деятельности молодёжных общественных объединений. Это свидетельствует о том, что цифровые технологии сами по себе не являются автономным драйвером развития институтов гражданского общества и не способны компенсировать дефицит гражданской культуры, мотивации и институционального доверия.</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С другой стороны, исследование не подтверждает и радикальный вариант теории социальных сил, согласно которому социальные медиа играют лишь второстепенную, маргинальную роль. Регрессионный и корреляционный анализы демонстрируют устойчивую и воспроизводимую значимость институционализированного цифрового участия. Во всех статистически значимых моделях именно этот фактор выступает ключевым предиктором реального гражданского участия, что указывает на мобилизационный потенциал социальных медиа при наличии организационной структуры и содержательного контента.</w:t>
      </w:r>
    </w:p>
    <w:p w:rsidR="001A3F92" w:rsidRPr="001A3F92" w:rsidRDefault="001A3F92" w:rsidP="001A3F92">
      <w:pPr>
        <w:spacing w:after="0" w:line="240" w:lineRule="auto"/>
        <w:ind w:firstLine="709"/>
        <w:jc w:val="both"/>
        <w:rPr>
          <w:rFonts w:ascii="Times New Roman" w:hAnsi="Times New Roman" w:cs="Times New Roman"/>
          <w:sz w:val="28"/>
        </w:rPr>
      </w:pPr>
      <w:r w:rsidRPr="001A3F92">
        <w:rPr>
          <w:rFonts w:ascii="Times New Roman" w:hAnsi="Times New Roman" w:cs="Times New Roman"/>
          <w:sz w:val="28"/>
        </w:rPr>
        <w:t xml:space="preserve">Таким образом, социальные медиа в казахстанском контексте выступают условно-мобилизующим фактором: они усиливают гражданскую активность не </w:t>
      </w:r>
      <w:r w:rsidRPr="001A3F92">
        <w:rPr>
          <w:rFonts w:ascii="Times New Roman" w:hAnsi="Times New Roman" w:cs="Times New Roman"/>
          <w:sz w:val="28"/>
        </w:rPr>
        <w:lastRenderedPageBreak/>
        <w:t>самостоятельно, а лишь тогда, когда встроены в институциональные практики общественных организаций, подкреплены офлайн-деятельностью, устойчивыми горизонтальными связями и позитивным коллективным опытом участия. В условиях слабой укоренённости гражданской культуры и доминирования сильных офлайн-сетей (друзья, университетская среда) цифровые инструменты выполняют преимущественно вспомогательную, а не структурообразующую функцию.</w:t>
      </w:r>
    </w:p>
    <w:p w:rsidR="001A3F92" w:rsidRPr="001A3F92" w:rsidRDefault="001A3F92" w:rsidP="001A3F92">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A833C9" w:rsidRDefault="00A833C9" w:rsidP="00DF0F2D">
      <w:pPr>
        <w:spacing w:after="0" w:line="240" w:lineRule="auto"/>
        <w:ind w:firstLine="709"/>
        <w:jc w:val="center"/>
        <w:rPr>
          <w:rFonts w:ascii="Times New Roman" w:hAnsi="Times New Roman" w:cs="Times New Roman"/>
          <w:sz w:val="28"/>
          <w:szCs w:val="28"/>
        </w:rPr>
      </w:pPr>
    </w:p>
    <w:p w:rsidR="00DF0F2D" w:rsidRDefault="00DF0F2D" w:rsidP="00DF0F2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017838" w:rsidRDefault="00017838" w:rsidP="00DF0F2D">
      <w:pPr>
        <w:spacing w:after="0" w:line="240" w:lineRule="auto"/>
        <w:ind w:firstLine="709"/>
        <w:jc w:val="center"/>
        <w:rPr>
          <w:rFonts w:ascii="Times New Roman" w:hAnsi="Times New Roman" w:cs="Times New Roman"/>
          <w:sz w:val="28"/>
          <w:szCs w:val="28"/>
        </w:rPr>
      </w:pPr>
    </w:p>
    <w:p w:rsidR="00DF0F2D" w:rsidRPr="001F7C74" w:rsidRDefault="00DF0F2D" w:rsidP="00DF0F2D">
      <w:pPr>
        <w:spacing w:after="0" w:line="240" w:lineRule="auto"/>
        <w:ind w:firstLine="709"/>
        <w:jc w:val="both"/>
        <w:rPr>
          <w:rFonts w:ascii="Times New Roman" w:hAnsi="Times New Roman" w:cs="Times New Roman"/>
          <w:i/>
          <w:sz w:val="28"/>
          <w:szCs w:val="28"/>
        </w:rPr>
      </w:pPr>
      <w:r w:rsidRPr="001F7C74">
        <w:rPr>
          <w:rFonts w:ascii="Times New Roman" w:hAnsi="Times New Roman" w:cs="Times New Roman"/>
          <w:i/>
          <w:sz w:val="28"/>
          <w:szCs w:val="28"/>
        </w:rPr>
        <w:t>По итогам диссертационного исследования, автор пришёл к следующим выводам:</w:t>
      </w:r>
    </w:p>
    <w:p w:rsidR="00DF0F2D" w:rsidRDefault="00DF0F2D" w:rsidP="008465D6">
      <w:pPr>
        <w:pStyle w:val="a3"/>
        <w:numPr>
          <w:ilvl w:val="0"/>
          <w:numId w:val="58"/>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Теоретико-методологический анализ концепции «гражданское общество», проведённый в данном диссертационном исследовании, показал, что гражданское общество и его институты являются динамическим явлением, зависящим от историко-культурного, социо-экономического и политико-правового контекста. Исследование выявило невозможность использования универсальной модели концептуализации терминов «гражданское общество» и «институты гражданского общества», в связи с чем автором были разработаны оригинальные дефиниции данных терминов.</w:t>
      </w:r>
    </w:p>
    <w:p w:rsidR="00DF0F2D" w:rsidRDefault="00DF0F2D" w:rsidP="008465D6">
      <w:pPr>
        <w:pStyle w:val="a3"/>
        <w:numPr>
          <w:ilvl w:val="0"/>
          <w:numId w:val="58"/>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Значение общественных организаций как институтов гражданского общества Казахстана заключается в формировании коллективной идентичности участников, что в дальнейшем способно перерасти в действенную, самовоспроизводящуюся гражданскую культуру и придать гражданской активности системный характер.</w:t>
      </w:r>
    </w:p>
    <w:p w:rsidR="00DF0F2D" w:rsidRDefault="00DF0F2D" w:rsidP="008465D6">
      <w:pPr>
        <w:pStyle w:val="a3"/>
        <w:numPr>
          <w:ilvl w:val="0"/>
          <w:numId w:val="58"/>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Выраженной проблемой институтов гражданского общества в РК является их большое формальное количество при общем низком уровне эффективности. Значительная их часть функционирует в неполитической сфере, что может говорить о стратегиях выживания и избегания вовлечения в политическую сферу, которые институты гражданского общества избирают в качестве рабочей. Это, однако, является серьёзным препятствием к функционированию гражданского общества как субъекта общественного контроля. Кроме того, институты гражданского общества находятся под серьёзным давлением со стороны государства, как в сфере финансирования, так и в сфере лояльности. Несмотря на то, что после 2022 года государство пытается улучшить возможности для институтов гражданского общества через расширение финансирования (гранты), либерализацию регистрационных процедур, на данный момент, тенденция невысокой эффективности</w:t>
      </w:r>
      <w:r w:rsidRPr="00802A81">
        <w:rPr>
          <w:rFonts w:ascii="Times New Roman" w:hAnsi="Times New Roman" w:cs="Times New Roman"/>
          <w:sz w:val="28"/>
        </w:rPr>
        <w:t xml:space="preserve"> </w:t>
      </w:r>
      <w:r>
        <w:rPr>
          <w:rFonts w:ascii="Times New Roman" w:hAnsi="Times New Roman" w:cs="Times New Roman"/>
          <w:sz w:val="28"/>
        </w:rPr>
        <w:t>институтов гражданского общества как инструмента общественного контроля, инструмента рекрутинга в члены политической элиты и органов государственного управления, платформы для воспитания гражданской культуры участия сохраняется.</w:t>
      </w:r>
    </w:p>
    <w:p w:rsidR="00DF0F2D" w:rsidRDefault="00DF0F2D" w:rsidP="008465D6">
      <w:pPr>
        <w:pStyle w:val="a3"/>
        <w:numPr>
          <w:ilvl w:val="0"/>
          <w:numId w:val="58"/>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Казахстан является весьма диджитализированным государством с высоким охватом населения информационными технологиями. Молодёжь страны очень активно вовлечена в онлайн практики, хотя в последнее время (после 2025 года) намечается тенденция «цифровой усталости», при которой молодёжь игнорирует онлайн активность (в том числе негражданскую) и переключается на офлайн. Исследование выявило проблему неосведомлённости молодёжи об отечественном мессенджере </w:t>
      </w:r>
      <w:r>
        <w:rPr>
          <w:rFonts w:ascii="Times New Roman" w:hAnsi="Times New Roman" w:cs="Times New Roman"/>
          <w:sz w:val="28"/>
          <w:lang w:val="en-US"/>
        </w:rPr>
        <w:t>Aitu</w:t>
      </w:r>
      <w:r>
        <w:rPr>
          <w:rFonts w:ascii="Times New Roman" w:hAnsi="Times New Roman" w:cs="Times New Roman"/>
          <w:sz w:val="28"/>
        </w:rPr>
        <w:t xml:space="preserve">. В основном, используются иностранные платформы – </w:t>
      </w:r>
      <w:r>
        <w:rPr>
          <w:rFonts w:ascii="Times New Roman" w:hAnsi="Times New Roman" w:cs="Times New Roman"/>
          <w:sz w:val="28"/>
          <w:lang w:val="en-US"/>
        </w:rPr>
        <w:t>Instagram</w:t>
      </w:r>
      <w:r w:rsidRPr="006D770A">
        <w:rPr>
          <w:rFonts w:ascii="Times New Roman" w:hAnsi="Times New Roman" w:cs="Times New Roman"/>
          <w:sz w:val="28"/>
        </w:rPr>
        <w:t xml:space="preserve"> </w:t>
      </w:r>
      <w:r>
        <w:rPr>
          <w:rFonts w:ascii="Times New Roman" w:hAnsi="Times New Roman" w:cs="Times New Roman"/>
          <w:sz w:val="28"/>
        </w:rPr>
        <w:t xml:space="preserve">и </w:t>
      </w:r>
      <w:r>
        <w:rPr>
          <w:rFonts w:ascii="Times New Roman" w:hAnsi="Times New Roman" w:cs="Times New Roman"/>
          <w:sz w:val="28"/>
          <w:lang w:val="en-US"/>
        </w:rPr>
        <w:t>What</w:t>
      </w:r>
      <w:r w:rsidRPr="006D770A">
        <w:rPr>
          <w:rFonts w:ascii="Times New Roman" w:hAnsi="Times New Roman" w:cs="Times New Roman"/>
          <w:sz w:val="28"/>
        </w:rPr>
        <w:t>’</w:t>
      </w:r>
      <w:r>
        <w:rPr>
          <w:rFonts w:ascii="Times New Roman" w:hAnsi="Times New Roman" w:cs="Times New Roman"/>
          <w:sz w:val="28"/>
          <w:lang w:val="en-US"/>
        </w:rPr>
        <w:t>s</w:t>
      </w:r>
      <w:r w:rsidRPr="006D770A">
        <w:rPr>
          <w:rFonts w:ascii="Times New Roman" w:hAnsi="Times New Roman" w:cs="Times New Roman"/>
          <w:sz w:val="28"/>
        </w:rPr>
        <w:t xml:space="preserve"> </w:t>
      </w:r>
      <w:r>
        <w:rPr>
          <w:rFonts w:ascii="Times New Roman" w:hAnsi="Times New Roman" w:cs="Times New Roman"/>
          <w:sz w:val="28"/>
          <w:lang w:val="en-US"/>
        </w:rPr>
        <w:t>App</w:t>
      </w:r>
      <w:r w:rsidRPr="006D770A">
        <w:rPr>
          <w:rFonts w:ascii="Times New Roman" w:hAnsi="Times New Roman" w:cs="Times New Roman"/>
          <w:sz w:val="28"/>
        </w:rPr>
        <w:t xml:space="preserve"> </w:t>
      </w:r>
      <w:r>
        <w:rPr>
          <w:rFonts w:ascii="Times New Roman" w:hAnsi="Times New Roman" w:cs="Times New Roman"/>
          <w:sz w:val="28"/>
        </w:rPr>
        <w:t xml:space="preserve">(продукты компании </w:t>
      </w:r>
      <w:r>
        <w:rPr>
          <w:rFonts w:ascii="Times New Roman" w:hAnsi="Times New Roman" w:cs="Times New Roman"/>
          <w:sz w:val="28"/>
          <w:lang w:val="en-US"/>
        </w:rPr>
        <w:t>Meta</w:t>
      </w:r>
      <w:r w:rsidRPr="006D770A">
        <w:rPr>
          <w:rFonts w:ascii="Times New Roman" w:hAnsi="Times New Roman" w:cs="Times New Roman"/>
          <w:sz w:val="28"/>
        </w:rPr>
        <w:t>)</w:t>
      </w:r>
      <w:r>
        <w:rPr>
          <w:rFonts w:ascii="Times New Roman" w:hAnsi="Times New Roman" w:cs="Times New Roman"/>
          <w:sz w:val="28"/>
        </w:rPr>
        <w:t xml:space="preserve">, </w:t>
      </w:r>
      <w:r>
        <w:rPr>
          <w:rFonts w:ascii="Times New Roman" w:hAnsi="Times New Roman" w:cs="Times New Roman"/>
          <w:sz w:val="28"/>
          <w:lang w:val="en-US"/>
        </w:rPr>
        <w:t>Tiktok</w:t>
      </w:r>
      <w:r>
        <w:rPr>
          <w:rFonts w:ascii="Times New Roman" w:hAnsi="Times New Roman" w:cs="Times New Roman"/>
          <w:sz w:val="28"/>
        </w:rPr>
        <w:t xml:space="preserve"> и </w:t>
      </w:r>
      <w:r>
        <w:rPr>
          <w:rFonts w:ascii="Times New Roman" w:hAnsi="Times New Roman" w:cs="Times New Roman"/>
          <w:sz w:val="28"/>
          <w:lang w:val="en-US"/>
        </w:rPr>
        <w:t>Telegram</w:t>
      </w:r>
      <w:r w:rsidRPr="006D770A">
        <w:rPr>
          <w:rFonts w:ascii="Times New Roman" w:hAnsi="Times New Roman" w:cs="Times New Roman"/>
          <w:sz w:val="28"/>
        </w:rPr>
        <w:t>.</w:t>
      </w:r>
      <w:r>
        <w:rPr>
          <w:rFonts w:ascii="Times New Roman" w:hAnsi="Times New Roman" w:cs="Times New Roman"/>
          <w:sz w:val="28"/>
        </w:rPr>
        <w:t xml:space="preserve"> Данный факт, безусловно, негативно влияет на цифровой суверенитет РК, так как иностранные платформы неподотчётны казахстанской </w:t>
      </w:r>
      <w:r>
        <w:rPr>
          <w:rFonts w:ascii="Times New Roman" w:hAnsi="Times New Roman" w:cs="Times New Roman"/>
          <w:sz w:val="28"/>
        </w:rPr>
        <w:lastRenderedPageBreak/>
        <w:t>юрисдикции и могут поставить под угрозу информационную и кибербезопасность пользователей и государства, а также гипотетически могут служить каналом распространения чужеродных ценностных установок. В условиях незрелой гражданской политической культуры и дисфункционального гражданского общества, особенно политических институтов гражданского общества, это потенциально может привести к внутренней нестабильности, росту протестных настроений и усилению авторитарных политических решений по контролю контента и трафика социальных медиа.</w:t>
      </w:r>
    </w:p>
    <w:p w:rsidR="00DF0F2D" w:rsidRDefault="00DF0F2D" w:rsidP="008465D6">
      <w:pPr>
        <w:pStyle w:val="a3"/>
        <w:numPr>
          <w:ilvl w:val="0"/>
          <w:numId w:val="58"/>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Гражданское участие молодёжи в деятельности молодёжных общественных организаций можно охарактеризовать термином «кликтивизм», при которым онлайн гражданское вовлечение велико, однако, трансформации в офлайн систематическое и осознанное гражданское участие у молодёжи РК не происходит. Осведомлённость молодёжи о молодёжных общественных объединениях не влияет на её офлайн гражданское вовлечение, что выглядит парадоксально, однако, может быть объяснено высокой ролью иных факторов как </w:t>
      </w:r>
      <w:r w:rsidRPr="00030F5B">
        <w:rPr>
          <w:rFonts w:ascii="Times New Roman" w:hAnsi="Times New Roman" w:cs="Times New Roman"/>
          <w:sz w:val="28"/>
        </w:rPr>
        <w:t>социо-демографического</w:t>
      </w:r>
      <w:r>
        <w:rPr>
          <w:rFonts w:ascii="Times New Roman" w:hAnsi="Times New Roman" w:cs="Times New Roman"/>
          <w:sz w:val="28"/>
        </w:rPr>
        <w:t xml:space="preserve"> характера (отрицательная зависимость между офлайн вовлечением и возрастом), так и недиджитальной природы (низкое доверие к институтам гражданского общества, негативный опыт предыдущего участия, безынициативность и пассивность молодёжных общественных организаций, чья деятельность сильно персонифицирована: если лидер организации активен, она функционирует на высоком уровне, - показателен пример </w:t>
      </w:r>
      <w:r w:rsidRPr="009B7075">
        <w:rPr>
          <w:rFonts w:ascii="Times New Roman" w:hAnsi="Times New Roman" w:cs="Times New Roman"/>
          <w:i/>
          <w:sz w:val="28"/>
        </w:rPr>
        <w:t>Лиги Волонтёров</w:t>
      </w:r>
      <w:r>
        <w:rPr>
          <w:rFonts w:ascii="Times New Roman" w:hAnsi="Times New Roman" w:cs="Times New Roman"/>
          <w:i/>
          <w:sz w:val="28"/>
        </w:rPr>
        <w:t>,</w:t>
      </w:r>
      <w:r>
        <w:rPr>
          <w:rFonts w:ascii="Times New Roman" w:hAnsi="Times New Roman" w:cs="Times New Roman"/>
          <w:sz w:val="28"/>
        </w:rPr>
        <w:t xml:space="preserve"> большая значимость ценностей выживания (материалистических) над ценностями самовыражения (постматериалистических) в терминологии </w:t>
      </w:r>
      <w:r>
        <w:rPr>
          <w:rFonts w:ascii="Times New Roman" w:hAnsi="Times New Roman" w:cs="Times New Roman"/>
          <w:sz w:val="28"/>
          <w:lang w:val="en-US"/>
        </w:rPr>
        <w:t>Inglehart</w:t>
      </w:r>
      <w:r w:rsidRPr="00B67175">
        <w:rPr>
          <w:rFonts w:ascii="Times New Roman" w:hAnsi="Times New Roman" w:cs="Times New Roman"/>
          <w:sz w:val="28"/>
        </w:rPr>
        <w:t>-</w:t>
      </w:r>
      <w:r>
        <w:rPr>
          <w:rFonts w:ascii="Times New Roman" w:hAnsi="Times New Roman" w:cs="Times New Roman"/>
          <w:sz w:val="28"/>
          <w:lang w:val="en-US"/>
        </w:rPr>
        <w:t>Welzel</w:t>
      </w:r>
      <w:r>
        <w:rPr>
          <w:rFonts w:ascii="Times New Roman" w:hAnsi="Times New Roman" w:cs="Times New Roman"/>
          <w:sz w:val="28"/>
        </w:rPr>
        <w:t>. Результаты авторского опроса 2025 года весьма выраженно демонстрируют слабо развитую институциональность молодёжных общественных организаций, так как молодёжь достаточно активна в волонтёрской деятельности, однако, реализует её вне институтов гражданского общества. Кроме того, серьёзной проблемой является известность и востребованность среди молодёжи иностранных молодёжных общественных организаций (</w:t>
      </w:r>
      <w:r w:rsidRPr="001564C9">
        <w:rPr>
          <w:rFonts w:ascii="Times New Roman" w:hAnsi="Times New Roman" w:cs="Times New Roman"/>
          <w:i/>
          <w:sz w:val="28"/>
          <w:lang w:val="en-US"/>
        </w:rPr>
        <w:t>AIESEC</w:t>
      </w:r>
      <w:r>
        <w:rPr>
          <w:rFonts w:ascii="Times New Roman" w:hAnsi="Times New Roman" w:cs="Times New Roman"/>
          <w:sz w:val="28"/>
        </w:rPr>
        <w:t>), либо движений (</w:t>
      </w:r>
      <w:r w:rsidRPr="001564C9">
        <w:rPr>
          <w:rFonts w:ascii="Times New Roman" w:hAnsi="Times New Roman" w:cs="Times New Roman"/>
          <w:i/>
          <w:sz w:val="28"/>
          <w:lang w:val="en-US"/>
        </w:rPr>
        <w:t>ESN</w:t>
      </w:r>
      <w:r w:rsidRPr="001564C9">
        <w:rPr>
          <w:rFonts w:ascii="Times New Roman" w:hAnsi="Times New Roman" w:cs="Times New Roman"/>
          <w:sz w:val="28"/>
        </w:rPr>
        <w:t>)</w:t>
      </w:r>
      <w:r>
        <w:rPr>
          <w:rFonts w:ascii="Times New Roman" w:hAnsi="Times New Roman" w:cs="Times New Roman"/>
          <w:sz w:val="28"/>
        </w:rPr>
        <w:t>, которые создают привлекательные возможности для нетворкинга. Отечественные институты гражданского общества зачастую характеризуются молодёжью как «скучные». Это подводит нас к подобной проблеме, которую мы описали в связи с доминированием иностранных социальных медиа. Зарубежные молодёжные общественные объединения, будучи гораздо привлекательнее для молодёжи, потенциально могут использовать её мобилизационный потенциал в целях, противоречащих существующей политике РК. Безусловно, работа иностранных молодёжных общественных организаций может стимулировать положительные изменения в молодёжном политическом сознании и гражданской культуре, однако, риски игнорировать невозможно. Необходимо отметить, что государство предпринимает усилия по преодолению данных тенденций, однако, временной период на данный момент слишком мал (2022-2025 год), чтобы оценить долгосрочный эффект этих усилий.</w:t>
      </w:r>
    </w:p>
    <w:p w:rsidR="00017838" w:rsidRDefault="00017838" w:rsidP="00017838">
      <w:pPr>
        <w:spacing w:after="0" w:line="240" w:lineRule="auto"/>
        <w:jc w:val="both"/>
        <w:rPr>
          <w:rFonts w:ascii="Times New Roman" w:hAnsi="Times New Roman" w:cs="Times New Roman"/>
          <w:sz w:val="28"/>
        </w:rPr>
      </w:pPr>
    </w:p>
    <w:p w:rsidR="00017838" w:rsidRPr="00017838" w:rsidRDefault="00017838" w:rsidP="00017838">
      <w:pPr>
        <w:spacing w:after="0" w:line="240" w:lineRule="auto"/>
        <w:jc w:val="both"/>
        <w:rPr>
          <w:rFonts w:ascii="Times New Roman" w:hAnsi="Times New Roman" w:cs="Times New Roman"/>
          <w:sz w:val="28"/>
        </w:rPr>
      </w:pPr>
    </w:p>
    <w:p w:rsidR="00DF0F2D" w:rsidRDefault="00DF0F2D" w:rsidP="00DF0F2D">
      <w:pPr>
        <w:pStyle w:val="a3"/>
        <w:spacing w:after="0" w:line="240" w:lineRule="auto"/>
        <w:ind w:left="0" w:firstLine="709"/>
        <w:jc w:val="both"/>
        <w:rPr>
          <w:rFonts w:ascii="Times New Roman" w:hAnsi="Times New Roman" w:cs="Times New Roman"/>
          <w:sz w:val="28"/>
        </w:rPr>
      </w:pPr>
      <w:r>
        <w:rPr>
          <w:rFonts w:ascii="Times New Roman" w:hAnsi="Times New Roman" w:cs="Times New Roman"/>
          <w:sz w:val="28"/>
        </w:rPr>
        <w:t>На основании проведённого диссертационного исследования были подтверждены следующие гипотезы:</w:t>
      </w:r>
    </w:p>
    <w:p w:rsidR="00DF0F2D" w:rsidRPr="008E1427" w:rsidRDefault="00DF0F2D" w:rsidP="008465D6">
      <w:pPr>
        <w:pStyle w:val="a3"/>
        <w:numPr>
          <w:ilvl w:val="0"/>
          <w:numId w:val="12"/>
        </w:numPr>
        <w:spacing w:after="0" w:line="240" w:lineRule="auto"/>
        <w:ind w:left="0" w:firstLine="709"/>
        <w:jc w:val="both"/>
        <w:rPr>
          <w:rFonts w:ascii="Times New Roman" w:eastAsia="Calibri" w:hAnsi="Times New Roman" w:cs="Times New Roman"/>
          <w:sz w:val="28"/>
        </w:rPr>
      </w:pPr>
      <w:r>
        <w:rPr>
          <w:rFonts w:ascii="Times New Roman" w:hAnsi="Times New Roman" w:cs="Times New Roman"/>
          <w:sz w:val="28"/>
        </w:rPr>
        <w:t xml:space="preserve"> </w:t>
      </w:r>
      <w:r w:rsidRPr="008E1427">
        <w:rPr>
          <w:rFonts w:ascii="Times New Roman" w:eastAsia="Calibri" w:hAnsi="Times New Roman" w:cs="Times New Roman"/>
          <w:sz w:val="28"/>
        </w:rPr>
        <w:t>предполагается, что уровень вовлечения молодёжи современного Казахстана в социальные медиа сохраняет стабильно высокий показатель вне зависимости от внешних факторов (пандемия, январские события 2022 года). Востребованность российских онлайн-платформ снизилась после российско-украинского конфликта 2022 года.</w:t>
      </w:r>
      <w:r>
        <w:rPr>
          <w:rFonts w:ascii="Times New Roman" w:eastAsia="Calibri" w:hAnsi="Times New Roman" w:cs="Times New Roman"/>
          <w:sz w:val="28"/>
        </w:rPr>
        <w:t xml:space="preserve"> </w:t>
      </w:r>
      <w:r w:rsidRPr="00CA7BDB">
        <w:rPr>
          <w:rFonts w:ascii="Times New Roman" w:eastAsia="Calibri" w:hAnsi="Times New Roman" w:cs="Times New Roman"/>
          <w:sz w:val="28"/>
        </w:rPr>
        <w:t>Это свидетельствует о структурной укоренённости цифровых практик в повседневной жизни молодёжи и их относительной автономности от краткосрочных политико-социальных кризисов. Вместе с тем выявлено снижение востребованности российских онлайн-платформ после начала российско-украинского конфликта 2022 года, что указывает на чувствительность цифровых предпочтений молодёжи к геополитическим изменениям и информационной конъюнктуре.</w:t>
      </w:r>
    </w:p>
    <w:p w:rsidR="00DF0F2D" w:rsidRPr="00D63C6B" w:rsidRDefault="00DF0F2D" w:rsidP="008465D6">
      <w:pPr>
        <w:pStyle w:val="a3"/>
        <w:numPr>
          <w:ilvl w:val="0"/>
          <w:numId w:val="59"/>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 </w:t>
      </w:r>
      <w:r w:rsidRPr="00D63C6B">
        <w:rPr>
          <w:rFonts w:ascii="Times New Roman" w:hAnsi="Times New Roman" w:cs="Times New Roman"/>
          <w:sz w:val="28"/>
        </w:rPr>
        <w:t>предполагается, что молодёжные общественные объединения интенсивно применяют социальные медиа для вовлечения молодёжи в офлайн гражданскую активность.</w:t>
      </w:r>
      <w:r w:rsidRPr="008A01FF">
        <w:t xml:space="preserve"> </w:t>
      </w:r>
      <w:r w:rsidRPr="008A01FF">
        <w:rPr>
          <w:rFonts w:ascii="Times New Roman" w:hAnsi="Times New Roman" w:cs="Times New Roman"/>
          <w:sz w:val="28"/>
        </w:rPr>
        <w:t>Это позволяет говорить о высокой степени институционализации цифровых каналов коммуникации в деятельности данных организаций.</w:t>
      </w:r>
    </w:p>
    <w:p w:rsidR="00DF0F2D" w:rsidRDefault="00DF0F2D" w:rsidP="00DF0F2D">
      <w:pPr>
        <w:pStyle w:val="a3"/>
        <w:spacing w:after="0" w:line="240" w:lineRule="auto"/>
        <w:ind w:left="0" w:firstLine="709"/>
        <w:jc w:val="both"/>
        <w:rPr>
          <w:rFonts w:ascii="Times New Roman" w:hAnsi="Times New Roman" w:cs="Times New Roman"/>
          <w:sz w:val="28"/>
        </w:rPr>
      </w:pPr>
      <w:r w:rsidRPr="00917127">
        <w:rPr>
          <w:rFonts w:ascii="Times New Roman" w:hAnsi="Times New Roman" w:cs="Times New Roman"/>
          <w:sz w:val="28"/>
        </w:rPr>
        <w:t>Следующие гипотезы были опровергнуты:</w:t>
      </w:r>
    </w:p>
    <w:p w:rsidR="00DF0F2D" w:rsidRPr="005D3FA8" w:rsidRDefault="00DF0F2D" w:rsidP="008465D6">
      <w:pPr>
        <w:pStyle w:val="a3"/>
        <w:numPr>
          <w:ilvl w:val="0"/>
          <w:numId w:val="60"/>
        </w:numPr>
        <w:ind w:left="0" w:firstLine="709"/>
        <w:jc w:val="both"/>
        <w:rPr>
          <w:rFonts w:ascii="Times New Roman" w:hAnsi="Times New Roman" w:cs="Times New Roman"/>
          <w:sz w:val="28"/>
        </w:rPr>
      </w:pPr>
      <w:r w:rsidRPr="005D3FA8">
        <w:rPr>
          <w:rFonts w:ascii="Times New Roman" w:hAnsi="Times New Roman" w:cs="Times New Roman"/>
          <w:sz w:val="28"/>
        </w:rPr>
        <w:t xml:space="preserve">предполагается, что уровень офлайн гражданского участия молодёжи в деятельности молодёжных общественных объединений повысился после 2020 года (пандемия </w:t>
      </w:r>
      <w:r w:rsidRPr="005D3FA8">
        <w:rPr>
          <w:rFonts w:ascii="Times New Roman" w:hAnsi="Times New Roman" w:cs="Times New Roman"/>
          <w:sz w:val="28"/>
          <w:lang w:val="en-US"/>
        </w:rPr>
        <w:t>COVID</w:t>
      </w:r>
      <w:r w:rsidRPr="005D3FA8">
        <w:rPr>
          <w:rFonts w:ascii="Times New Roman" w:hAnsi="Times New Roman" w:cs="Times New Roman"/>
          <w:sz w:val="28"/>
        </w:rPr>
        <w:t>-19) и 2022 года (после январских событий в Казахстане).</w:t>
      </w:r>
      <w:r w:rsidRPr="00BF6CB7">
        <w:t xml:space="preserve"> </w:t>
      </w:r>
      <w:r w:rsidRPr="00BF6CB7">
        <w:rPr>
          <w:rFonts w:ascii="Times New Roman" w:hAnsi="Times New Roman" w:cs="Times New Roman"/>
          <w:sz w:val="28"/>
        </w:rPr>
        <w:t>Напротив, полученные данные указывают на отсутствие значимого увеличения офлайн-активности, что может свидетельствовать о сохраняющихся барьерах институционального, психологического и организационного характера, препятствующих переходу от цифровой активности к непосредственному участию.</w:t>
      </w:r>
    </w:p>
    <w:p w:rsidR="00DF0F2D" w:rsidRDefault="00DF0F2D" w:rsidP="008465D6">
      <w:pPr>
        <w:pStyle w:val="a3"/>
        <w:numPr>
          <w:ilvl w:val="0"/>
          <w:numId w:val="61"/>
        </w:numPr>
        <w:spacing w:after="0" w:line="240" w:lineRule="auto"/>
        <w:ind w:left="0" w:firstLine="709"/>
        <w:jc w:val="both"/>
        <w:rPr>
          <w:rFonts w:ascii="Times New Roman" w:hAnsi="Times New Roman" w:cs="Times New Roman"/>
          <w:sz w:val="28"/>
        </w:rPr>
      </w:pPr>
      <w:r w:rsidRPr="00643566">
        <w:rPr>
          <w:rFonts w:ascii="Times New Roman" w:hAnsi="Times New Roman" w:cs="Times New Roman"/>
          <w:sz w:val="28"/>
        </w:rPr>
        <w:t>предполагается, что онлайн гражданское участие молодёжи Казахстана успешно трансформируется в офлайн гражданское вовлечение в рамках молодёжных общественных ассоциаций.</w:t>
      </w:r>
      <w:r w:rsidRPr="00584055">
        <w:t xml:space="preserve"> </w:t>
      </w:r>
      <w:r w:rsidRPr="00584055">
        <w:rPr>
          <w:rFonts w:ascii="Times New Roman" w:hAnsi="Times New Roman" w:cs="Times New Roman"/>
          <w:sz w:val="28"/>
        </w:rPr>
        <w:t>Данный разрыв может быть обусловлен ограниченными возможностями организаций по удержанию и перенаправлению цифровой аудитории в устойчивые формы офлайн-вовлечённости.</w:t>
      </w:r>
    </w:p>
    <w:p w:rsidR="00DF0F2D" w:rsidRDefault="00DF0F2D" w:rsidP="00DF0F2D">
      <w:pPr>
        <w:spacing w:after="0" w:line="240" w:lineRule="auto"/>
        <w:ind w:firstLine="709"/>
        <w:jc w:val="both"/>
        <w:rPr>
          <w:rFonts w:ascii="Times New Roman" w:hAnsi="Times New Roman" w:cs="Times New Roman"/>
          <w:sz w:val="28"/>
        </w:rPr>
      </w:pPr>
      <w:r w:rsidRPr="00F646F0">
        <w:rPr>
          <w:rFonts w:ascii="Times New Roman" w:hAnsi="Times New Roman" w:cs="Times New Roman"/>
          <w:sz w:val="28"/>
        </w:rPr>
        <w:t xml:space="preserve">В совокупности результаты диссертационного исследования демонстрируют, что устойчивое гражданское участие </w:t>
      </w:r>
      <w:r>
        <w:rPr>
          <w:rFonts w:ascii="Times New Roman" w:hAnsi="Times New Roman" w:cs="Times New Roman"/>
          <w:sz w:val="28"/>
        </w:rPr>
        <w:t>способно с</w:t>
      </w:r>
      <w:r w:rsidRPr="00F646F0">
        <w:rPr>
          <w:rFonts w:ascii="Times New Roman" w:hAnsi="Times New Roman" w:cs="Times New Roman"/>
          <w:sz w:val="28"/>
        </w:rPr>
        <w:t>формир</w:t>
      </w:r>
      <w:r>
        <w:rPr>
          <w:rFonts w:ascii="Times New Roman" w:hAnsi="Times New Roman" w:cs="Times New Roman"/>
          <w:sz w:val="28"/>
        </w:rPr>
        <w:t>овать</w:t>
      </w:r>
      <w:r w:rsidRPr="00F646F0">
        <w:rPr>
          <w:rFonts w:ascii="Times New Roman" w:hAnsi="Times New Roman" w:cs="Times New Roman"/>
          <w:sz w:val="28"/>
        </w:rPr>
        <w:t xml:space="preserve">ся на стыке институциональной среды, коллективной идентичности и гибридных (онлайн-офлайн) практик, но не за счёт физического наличия </w:t>
      </w:r>
      <w:r>
        <w:rPr>
          <w:rFonts w:ascii="Times New Roman" w:hAnsi="Times New Roman" w:cs="Times New Roman"/>
          <w:sz w:val="28"/>
        </w:rPr>
        <w:t xml:space="preserve">информационных технологий как таковых, </w:t>
      </w:r>
      <w:r w:rsidRPr="009D67AB">
        <w:rPr>
          <w:rFonts w:ascii="Times New Roman" w:hAnsi="Times New Roman" w:cs="Times New Roman"/>
          <w:sz w:val="28"/>
        </w:rPr>
        <w:t>что подтверждает релевантность теории</w:t>
      </w:r>
      <w:r>
        <w:rPr>
          <w:rFonts w:ascii="Times New Roman" w:hAnsi="Times New Roman" w:cs="Times New Roman"/>
          <w:sz w:val="28"/>
        </w:rPr>
        <w:t xml:space="preserve"> социальных сил.</w:t>
      </w:r>
    </w:p>
    <w:p w:rsidR="00DF0F2D" w:rsidRDefault="00DF0F2D" w:rsidP="00DF0F2D">
      <w:pPr>
        <w:spacing w:after="0" w:line="240" w:lineRule="auto"/>
        <w:ind w:firstLine="709"/>
        <w:jc w:val="both"/>
        <w:rPr>
          <w:rFonts w:ascii="Times New Roman" w:hAnsi="Times New Roman" w:cs="Times New Roman"/>
          <w:sz w:val="28"/>
        </w:rPr>
      </w:pPr>
      <w:r>
        <w:rPr>
          <w:rFonts w:ascii="Times New Roman" w:hAnsi="Times New Roman" w:cs="Times New Roman"/>
          <w:sz w:val="28"/>
        </w:rPr>
        <w:t>Исследование выявило следующие проблемы институтов гражданского общества в современном Казахстане:</w:t>
      </w:r>
    </w:p>
    <w:p w:rsidR="00DF0F2D" w:rsidRDefault="00DF0F2D" w:rsidP="008465D6">
      <w:pPr>
        <w:pStyle w:val="a3"/>
        <w:numPr>
          <w:ilvl w:val="0"/>
          <w:numId w:val="67"/>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фрагментарность, большое количество молодёжных общественных организаций, которые существенно не воздействуют на трансформацию </w:t>
      </w:r>
      <w:r>
        <w:rPr>
          <w:rFonts w:ascii="Times New Roman" w:hAnsi="Times New Roman" w:cs="Times New Roman"/>
          <w:sz w:val="28"/>
        </w:rPr>
        <w:lastRenderedPageBreak/>
        <w:t>институтов гражданского общества в систему взаимодополняющих друг друга ассоциаций;</w:t>
      </w:r>
    </w:p>
    <w:p w:rsidR="00DF0F2D" w:rsidRDefault="00DF0F2D" w:rsidP="008465D6">
      <w:pPr>
        <w:pStyle w:val="a3"/>
        <w:numPr>
          <w:ilvl w:val="0"/>
          <w:numId w:val="67"/>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зависимость от государственного финансирования. Это может создать ситуацию, при которой институты гражданского общества избегают критики государства, что способствует снижению функции общественного контроля, работают в рамках «безопасной» повестки и трансформируются в «сервисные» институты гражданского общества, которые служат скорее формальным признаком демократии, нежели фактически самостоятельным актором политики;</w:t>
      </w:r>
    </w:p>
    <w:p w:rsidR="00DF0F2D" w:rsidRDefault="00DF0F2D" w:rsidP="008465D6">
      <w:pPr>
        <w:pStyle w:val="a3"/>
        <w:numPr>
          <w:ilvl w:val="0"/>
          <w:numId w:val="67"/>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персонифицированность и слабая институционализированность институтов гражданского общества, при которой в случае личной заинтересованности и активности лидера, общественная организация функционирует эффективно. В случае отсутствия личного интереса, эффективность падает;</w:t>
      </w:r>
    </w:p>
    <w:p w:rsidR="00DF0F2D" w:rsidRDefault="00DF0F2D" w:rsidP="008465D6">
      <w:pPr>
        <w:pStyle w:val="a3"/>
        <w:numPr>
          <w:ilvl w:val="0"/>
          <w:numId w:val="67"/>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неспособность эффективно вовлекать молодёжь на системной основе и трансформировать кликтивизм в регулярное гражданское вовлечение;</w:t>
      </w:r>
    </w:p>
    <w:p w:rsidR="00DF0F2D" w:rsidRDefault="00DF0F2D" w:rsidP="008465D6">
      <w:pPr>
        <w:pStyle w:val="a3"/>
        <w:numPr>
          <w:ilvl w:val="0"/>
          <w:numId w:val="67"/>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ограниченное политическое влияние, так как зачастую общественные советы имеют ограниченные полномочия, обсуждения носят формальный характер и широко не освещаются в социальных медиа;</w:t>
      </w:r>
    </w:p>
    <w:p w:rsidR="00DF0F2D" w:rsidRPr="009424FC" w:rsidRDefault="00DF0F2D" w:rsidP="008465D6">
      <w:pPr>
        <w:pStyle w:val="a3"/>
        <w:numPr>
          <w:ilvl w:val="0"/>
          <w:numId w:val="67"/>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низкий уровень гражданского участия молодёжи, связанный с недоверием к институтам гражданского общества, аполитичностью, «усталостью» как от онлайн активности, так и от плотности офлайн политических событий в мире и Казахстане после 2022 года. Это создаёт необычный парадокс: государство активизируется на треке увеличения гражданской активности молодёжи, её более интенсивного вовлечения в политику и институты гражданского общества, а молодёжь реагирует тем, что устраняется от институциональной активности как онлайн, так и офлайн. Положительным промежуточным результатом является государственная инициатива квотирования и увеличения возрастного лимита для молодёжи, однако, долгосрочный эффект ещё предстоит оценить. </w:t>
      </w:r>
    </w:p>
    <w:p w:rsidR="00DF0F2D" w:rsidRPr="002C7304" w:rsidRDefault="00DF0F2D" w:rsidP="00DF0F2D">
      <w:pPr>
        <w:spacing w:after="0" w:line="240" w:lineRule="auto"/>
        <w:ind w:firstLine="709"/>
        <w:jc w:val="both"/>
        <w:rPr>
          <w:rFonts w:ascii="Times New Roman" w:hAnsi="Times New Roman" w:cs="Times New Roman"/>
          <w:sz w:val="28"/>
          <w:szCs w:val="28"/>
        </w:rPr>
      </w:pPr>
      <w:r w:rsidRPr="00992C0B">
        <w:rPr>
          <w:rFonts w:ascii="Times New Roman" w:hAnsi="Times New Roman" w:cs="Times New Roman"/>
          <w:i/>
          <w:sz w:val="28"/>
          <w:szCs w:val="28"/>
        </w:rPr>
        <w:t>Полнота</w:t>
      </w:r>
      <w:r w:rsidRPr="002C7304">
        <w:rPr>
          <w:rFonts w:ascii="Times New Roman" w:hAnsi="Times New Roman" w:cs="Times New Roman"/>
          <w:i/>
          <w:sz w:val="28"/>
          <w:szCs w:val="28"/>
        </w:rPr>
        <w:t xml:space="preserve"> решения поставленных задач</w:t>
      </w:r>
      <w:r w:rsidRPr="002C7304">
        <w:rPr>
          <w:rFonts w:ascii="Times New Roman" w:hAnsi="Times New Roman" w:cs="Times New Roman"/>
          <w:sz w:val="28"/>
          <w:szCs w:val="28"/>
        </w:rPr>
        <w:t>. По итогам исследования выполнены следующие задачи:</w:t>
      </w:r>
    </w:p>
    <w:p w:rsidR="00DF0F2D" w:rsidRPr="002C7304" w:rsidRDefault="00DF0F2D" w:rsidP="008465D6">
      <w:pPr>
        <w:numPr>
          <w:ilvl w:val="0"/>
          <w:numId w:val="62"/>
        </w:numPr>
        <w:spacing w:after="0" w:line="240" w:lineRule="auto"/>
        <w:ind w:left="0" w:firstLine="709"/>
        <w:jc w:val="both"/>
        <w:rPr>
          <w:rFonts w:ascii="Times New Roman" w:hAnsi="Times New Roman" w:cs="Times New Roman"/>
          <w:sz w:val="28"/>
          <w:szCs w:val="28"/>
        </w:rPr>
      </w:pPr>
      <w:r w:rsidRPr="002C7304">
        <w:rPr>
          <w:rFonts w:ascii="Times New Roman" w:hAnsi="Times New Roman" w:cs="Times New Roman"/>
          <w:sz w:val="28"/>
          <w:szCs w:val="28"/>
        </w:rPr>
        <w:t xml:space="preserve">изучена теоретическая база </w:t>
      </w:r>
      <w:r>
        <w:rPr>
          <w:rFonts w:ascii="Times New Roman" w:hAnsi="Times New Roman" w:cs="Times New Roman"/>
          <w:sz w:val="28"/>
          <w:szCs w:val="28"/>
        </w:rPr>
        <w:t>гражданского общества</w:t>
      </w:r>
      <w:r w:rsidRPr="002C7304">
        <w:rPr>
          <w:rFonts w:ascii="Times New Roman" w:hAnsi="Times New Roman" w:cs="Times New Roman"/>
          <w:sz w:val="28"/>
          <w:szCs w:val="28"/>
        </w:rPr>
        <w:t xml:space="preserve"> в мир</w:t>
      </w:r>
      <w:r>
        <w:rPr>
          <w:rFonts w:ascii="Times New Roman" w:hAnsi="Times New Roman" w:cs="Times New Roman"/>
          <w:sz w:val="28"/>
          <w:szCs w:val="28"/>
        </w:rPr>
        <w:t>овой и отечественной литературе;</w:t>
      </w:r>
    </w:p>
    <w:p w:rsidR="00DF0F2D" w:rsidRPr="002C7304" w:rsidRDefault="00DF0F2D" w:rsidP="008465D6">
      <w:pPr>
        <w:numPr>
          <w:ilvl w:val="0"/>
          <w:numId w:val="62"/>
        </w:numPr>
        <w:spacing w:after="0" w:line="240" w:lineRule="auto"/>
        <w:ind w:left="0" w:firstLine="709"/>
        <w:jc w:val="both"/>
        <w:rPr>
          <w:rFonts w:ascii="Times New Roman" w:hAnsi="Times New Roman" w:cs="Times New Roman"/>
          <w:sz w:val="28"/>
          <w:szCs w:val="28"/>
        </w:rPr>
      </w:pPr>
      <w:r w:rsidRPr="002C7304">
        <w:rPr>
          <w:rFonts w:ascii="Times New Roman" w:hAnsi="Times New Roman" w:cs="Times New Roman"/>
          <w:sz w:val="28"/>
          <w:szCs w:val="28"/>
        </w:rPr>
        <w:t xml:space="preserve">рассмотрено развитие социальных медиа и мессенджеров в </w:t>
      </w:r>
      <w:r>
        <w:rPr>
          <w:rFonts w:ascii="Times New Roman" w:hAnsi="Times New Roman" w:cs="Times New Roman"/>
          <w:sz w:val="28"/>
          <w:szCs w:val="28"/>
        </w:rPr>
        <w:t>постсоветском суверенном Казахстане;</w:t>
      </w:r>
    </w:p>
    <w:p w:rsidR="00DF0F2D" w:rsidRPr="002C7304" w:rsidRDefault="00DF0F2D" w:rsidP="008465D6">
      <w:pPr>
        <w:numPr>
          <w:ilvl w:val="0"/>
          <w:numId w:val="62"/>
        </w:numPr>
        <w:spacing w:after="0" w:line="240" w:lineRule="auto"/>
        <w:ind w:left="0" w:firstLine="709"/>
        <w:jc w:val="both"/>
        <w:rPr>
          <w:rFonts w:ascii="Times New Roman" w:hAnsi="Times New Roman" w:cs="Times New Roman"/>
          <w:sz w:val="28"/>
          <w:szCs w:val="28"/>
        </w:rPr>
      </w:pPr>
      <w:r w:rsidRPr="002C7304">
        <w:rPr>
          <w:rFonts w:ascii="Times New Roman" w:hAnsi="Times New Roman" w:cs="Times New Roman"/>
          <w:sz w:val="28"/>
          <w:szCs w:val="28"/>
        </w:rPr>
        <w:t xml:space="preserve">проведено оригинальное социологическое исследование молодёжи Казахстана на предмет активности в социальных медиа и в деятельности </w:t>
      </w:r>
      <w:r>
        <w:rPr>
          <w:rFonts w:ascii="Times New Roman" w:hAnsi="Times New Roman" w:cs="Times New Roman"/>
          <w:sz w:val="28"/>
          <w:szCs w:val="28"/>
        </w:rPr>
        <w:t>молодёжных общественных объединений Казахстана;</w:t>
      </w:r>
    </w:p>
    <w:p w:rsidR="00DF0F2D" w:rsidRPr="002C7304" w:rsidRDefault="00DF0F2D" w:rsidP="008465D6">
      <w:pPr>
        <w:numPr>
          <w:ilvl w:val="0"/>
          <w:numId w:val="62"/>
        </w:numPr>
        <w:spacing w:after="0" w:line="240" w:lineRule="auto"/>
        <w:ind w:left="0" w:firstLine="709"/>
        <w:jc w:val="both"/>
        <w:rPr>
          <w:rFonts w:ascii="Times New Roman" w:hAnsi="Times New Roman" w:cs="Times New Roman"/>
          <w:sz w:val="28"/>
          <w:szCs w:val="28"/>
        </w:rPr>
      </w:pPr>
      <w:r w:rsidRPr="002C7304">
        <w:rPr>
          <w:rFonts w:ascii="Times New Roman" w:hAnsi="Times New Roman" w:cs="Times New Roman"/>
          <w:sz w:val="28"/>
          <w:szCs w:val="28"/>
        </w:rPr>
        <w:t xml:space="preserve">проведено интервью с экспертами в области </w:t>
      </w:r>
      <w:r>
        <w:rPr>
          <w:rFonts w:ascii="Times New Roman" w:hAnsi="Times New Roman" w:cs="Times New Roman"/>
          <w:sz w:val="28"/>
          <w:szCs w:val="28"/>
        </w:rPr>
        <w:t>общественных организаций и социальных медиа;</w:t>
      </w:r>
    </w:p>
    <w:p w:rsidR="00DF0F2D" w:rsidRPr="002C7304" w:rsidRDefault="00DF0F2D" w:rsidP="008465D6">
      <w:pPr>
        <w:numPr>
          <w:ilvl w:val="0"/>
          <w:numId w:val="62"/>
        </w:numPr>
        <w:spacing w:after="0" w:line="240" w:lineRule="auto"/>
        <w:ind w:left="0" w:firstLine="709"/>
        <w:jc w:val="both"/>
        <w:rPr>
          <w:rFonts w:ascii="Times New Roman" w:hAnsi="Times New Roman" w:cs="Times New Roman"/>
          <w:sz w:val="28"/>
          <w:szCs w:val="28"/>
        </w:rPr>
      </w:pPr>
      <w:r w:rsidRPr="002C7304">
        <w:rPr>
          <w:rFonts w:ascii="Times New Roman" w:hAnsi="Times New Roman" w:cs="Times New Roman"/>
          <w:sz w:val="28"/>
          <w:szCs w:val="28"/>
        </w:rPr>
        <w:t xml:space="preserve">проведён множественный корреляционно-регрессионный анализ с целью математической верификации теоретических концепций, касающихся места социальных медиа в развитии </w:t>
      </w:r>
      <w:r>
        <w:rPr>
          <w:rFonts w:ascii="Times New Roman" w:hAnsi="Times New Roman" w:cs="Times New Roman"/>
          <w:sz w:val="28"/>
          <w:szCs w:val="28"/>
        </w:rPr>
        <w:t>гражданского общества;</w:t>
      </w:r>
    </w:p>
    <w:p w:rsidR="00DF0F2D" w:rsidRPr="002C7304" w:rsidRDefault="00DF0F2D" w:rsidP="008465D6">
      <w:pPr>
        <w:numPr>
          <w:ilvl w:val="0"/>
          <w:numId w:val="62"/>
        </w:numPr>
        <w:spacing w:after="0" w:line="240" w:lineRule="auto"/>
        <w:ind w:left="0" w:firstLine="709"/>
        <w:jc w:val="both"/>
        <w:rPr>
          <w:rFonts w:ascii="Times New Roman" w:hAnsi="Times New Roman" w:cs="Times New Roman"/>
          <w:sz w:val="28"/>
          <w:szCs w:val="28"/>
        </w:rPr>
      </w:pPr>
      <w:r w:rsidRPr="002C7304">
        <w:rPr>
          <w:rFonts w:ascii="Times New Roman" w:hAnsi="Times New Roman" w:cs="Times New Roman"/>
          <w:sz w:val="28"/>
          <w:szCs w:val="28"/>
        </w:rPr>
        <w:lastRenderedPageBreak/>
        <w:t>сделаны выводы относительно эффективности социальных медиа как инс</w:t>
      </w:r>
      <w:r>
        <w:rPr>
          <w:rFonts w:ascii="Times New Roman" w:hAnsi="Times New Roman" w:cs="Times New Roman"/>
          <w:sz w:val="28"/>
          <w:szCs w:val="28"/>
        </w:rPr>
        <w:t>трумента стимулирования активности молодёжных общественных организаций;</w:t>
      </w:r>
    </w:p>
    <w:p w:rsidR="00DF0F2D" w:rsidRPr="002C7304" w:rsidRDefault="00DF0F2D" w:rsidP="008465D6">
      <w:pPr>
        <w:numPr>
          <w:ilvl w:val="0"/>
          <w:numId w:val="62"/>
        </w:numPr>
        <w:spacing w:after="0" w:line="240" w:lineRule="auto"/>
        <w:ind w:left="0" w:firstLine="709"/>
        <w:jc w:val="both"/>
        <w:rPr>
          <w:rFonts w:ascii="Times New Roman" w:hAnsi="Times New Roman" w:cs="Times New Roman"/>
          <w:sz w:val="28"/>
          <w:szCs w:val="28"/>
        </w:rPr>
      </w:pPr>
      <w:r w:rsidRPr="002C7304">
        <w:rPr>
          <w:rFonts w:ascii="Times New Roman" w:hAnsi="Times New Roman" w:cs="Times New Roman"/>
          <w:sz w:val="28"/>
          <w:szCs w:val="28"/>
        </w:rPr>
        <w:t xml:space="preserve">разработаны рекомендации для </w:t>
      </w:r>
      <w:r>
        <w:rPr>
          <w:rFonts w:ascii="Times New Roman" w:hAnsi="Times New Roman" w:cs="Times New Roman"/>
          <w:sz w:val="28"/>
          <w:szCs w:val="28"/>
        </w:rPr>
        <w:t>молодёжных общественных организаций</w:t>
      </w:r>
      <w:r w:rsidRPr="002C7304">
        <w:rPr>
          <w:rFonts w:ascii="Times New Roman" w:hAnsi="Times New Roman" w:cs="Times New Roman"/>
          <w:sz w:val="28"/>
          <w:szCs w:val="28"/>
        </w:rPr>
        <w:t>, профильных министерств и комитетов, направленные на улучшение ситуации.</w:t>
      </w:r>
    </w:p>
    <w:p w:rsidR="00DF0F2D" w:rsidRPr="002C7304" w:rsidRDefault="00DF0F2D" w:rsidP="00DF0F2D">
      <w:pPr>
        <w:spacing w:after="0" w:line="240" w:lineRule="auto"/>
        <w:ind w:firstLine="709"/>
        <w:jc w:val="both"/>
        <w:rPr>
          <w:rFonts w:ascii="Times New Roman" w:hAnsi="Times New Roman" w:cs="Times New Roman"/>
          <w:sz w:val="28"/>
          <w:szCs w:val="28"/>
        </w:rPr>
      </w:pPr>
      <w:r w:rsidRPr="002C7304">
        <w:rPr>
          <w:rFonts w:ascii="Times New Roman" w:hAnsi="Times New Roman" w:cs="Times New Roman"/>
          <w:sz w:val="28"/>
          <w:szCs w:val="28"/>
        </w:rPr>
        <w:t>По результатам исследования все поставленные задачи выполнены в полном объёме.</w:t>
      </w:r>
    </w:p>
    <w:p w:rsidR="00DF0F2D" w:rsidRPr="00BB120D" w:rsidRDefault="00DF0F2D" w:rsidP="00DF0F2D">
      <w:pPr>
        <w:spacing w:after="0" w:line="240" w:lineRule="auto"/>
        <w:ind w:firstLine="709"/>
        <w:jc w:val="both"/>
        <w:rPr>
          <w:rFonts w:ascii="Times New Roman" w:hAnsi="Times New Roman" w:cs="Times New Roman"/>
          <w:sz w:val="28"/>
          <w:szCs w:val="28"/>
        </w:rPr>
      </w:pPr>
      <w:r w:rsidRPr="00BB120D">
        <w:rPr>
          <w:rFonts w:ascii="Times New Roman" w:hAnsi="Times New Roman" w:cs="Times New Roman"/>
          <w:i/>
          <w:sz w:val="28"/>
          <w:szCs w:val="28"/>
        </w:rPr>
        <w:t>Рекомендации и исходные данные по практическому использованию результатов.</w:t>
      </w:r>
      <w:r w:rsidRPr="00BB120D">
        <w:rPr>
          <w:rFonts w:ascii="Times New Roman" w:hAnsi="Times New Roman" w:cs="Times New Roman"/>
          <w:sz w:val="28"/>
          <w:szCs w:val="28"/>
        </w:rPr>
        <w:t xml:space="preserve"> </w:t>
      </w:r>
    </w:p>
    <w:p w:rsidR="00DF0F2D" w:rsidRPr="00BB120D" w:rsidRDefault="00DF0F2D" w:rsidP="00DF0F2D">
      <w:pPr>
        <w:spacing w:after="0" w:line="240" w:lineRule="auto"/>
        <w:ind w:firstLine="709"/>
        <w:jc w:val="both"/>
        <w:rPr>
          <w:rFonts w:ascii="Times New Roman" w:hAnsi="Times New Roman" w:cs="Times New Roman"/>
          <w:sz w:val="28"/>
          <w:szCs w:val="28"/>
        </w:rPr>
      </w:pPr>
      <w:r w:rsidRPr="00BB120D">
        <w:rPr>
          <w:rFonts w:ascii="Times New Roman" w:hAnsi="Times New Roman" w:cs="Times New Roman"/>
          <w:i/>
          <w:sz w:val="28"/>
          <w:szCs w:val="28"/>
        </w:rPr>
        <w:t xml:space="preserve">Для </w:t>
      </w:r>
      <w:r>
        <w:rPr>
          <w:rFonts w:ascii="Times New Roman" w:hAnsi="Times New Roman" w:cs="Times New Roman"/>
          <w:i/>
          <w:sz w:val="28"/>
          <w:szCs w:val="28"/>
        </w:rPr>
        <w:t>институтов гражданского общества</w:t>
      </w:r>
      <w:r w:rsidRPr="00BB120D">
        <w:rPr>
          <w:rFonts w:ascii="Times New Roman" w:hAnsi="Times New Roman" w:cs="Times New Roman"/>
          <w:sz w:val="28"/>
          <w:szCs w:val="28"/>
        </w:rPr>
        <w:t>:</w:t>
      </w:r>
    </w:p>
    <w:p w:rsidR="00DF0F2D" w:rsidRPr="00BB120D" w:rsidRDefault="00DF0F2D" w:rsidP="008465D6">
      <w:pPr>
        <w:numPr>
          <w:ilvl w:val="0"/>
          <w:numId w:val="63"/>
        </w:numPr>
        <w:spacing w:after="0"/>
        <w:ind w:left="0" w:firstLine="709"/>
        <w:jc w:val="both"/>
        <w:rPr>
          <w:rFonts w:ascii="Times New Roman" w:hAnsi="Times New Roman" w:cs="Times New Roman"/>
          <w:sz w:val="28"/>
          <w:szCs w:val="28"/>
        </w:rPr>
      </w:pPr>
      <w:r w:rsidRPr="00BB120D">
        <w:rPr>
          <w:rFonts w:ascii="Times New Roman" w:hAnsi="Times New Roman" w:cs="Times New Roman"/>
          <w:sz w:val="28"/>
          <w:szCs w:val="28"/>
        </w:rPr>
        <w:t>обновлять информацию регулярно, использовать интерактивные возможности платформы W</w:t>
      </w:r>
      <w:r>
        <w:rPr>
          <w:rFonts w:ascii="Times New Roman" w:hAnsi="Times New Roman" w:cs="Times New Roman"/>
          <w:sz w:val="28"/>
          <w:szCs w:val="28"/>
        </w:rPr>
        <w:t>eb 2.0 – видео, музыку и другое;</w:t>
      </w:r>
    </w:p>
    <w:p w:rsidR="00DF0F2D" w:rsidRPr="00BB120D" w:rsidRDefault="00DF0F2D" w:rsidP="008465D6">
      <w:pPr>
        <w:numPr>
          <w:ilvl w:val="0"/>
          <w:numId w:val="63"/>
        </w:numPr>
        <w:spacing w:after="0" w:line="240" w:lineRule="auto"/>
        <w:ind w:left="0" w:firstLine="709"/>
        <w:contextualSpacing/>
        <w:jc w:val="both"/>
        <w:rPr>
          <w:rFonts w:ascii="Times New Roman" w:hAnsi="Times New Roman" w:cs="Times New Roman"/>
          <w:sz w:val="28"/>
          <w:szCs w:val="28"/>
        </w:rPr>
      </w:pPr>
      <w:r w:rsidRPr="00BB120D">
        <w:rPr>
          <w:rFonts w:ascii="Times New Roman" w:hAnsi="Times New Roman" w:cs="Times New Roman"/>
          <w:sz w:val="28"/>
          <w:szCs w:val="28"/>
        </w:rPr>
        <w:t>проработать темы публикуемых сообщений, сделать их более интересными для молодёжной аудитории, используя определённый лексик</w:t>
      </w:r>
      <w:r>
        <w:rPr>
          <w:rFonts w:ascii="Times New Roman" w:hAnsi="Times New Roman" w:cs="Times New Roman"/>
          <w:sz w:val="28"/>
          <w:szCs w:val="28"/>
        </w:rPr>
        <w:t>он, креативную подачу материала;</w:t>
      </w:r>
    </w:p>
    <w:p w:rsidR="00DF0F2D" w:rsidRDefault="00DF0F2D" w:rsidP="008465D6">
      <w:pPr>
        <w:numPr>
          <w:ilvl w:val="0"/>
          <w:numId w:val="63"/>
        </w:numPr>
        <w:spacing w:after="0" w:line="240" w:lineRule="auto"/>
        <w:ind w:left="0" w:firstLine="709"/>
        <w:contextualSpacing/>
        <w:jc w:val="both"/>
        <w:rPr>
          <w:rFonts w:ascii="Times New Roman" w:hAnsi="Times New Roman" w:cs="Times New Roman"/>
          <w:sz w:val="28"/>
          <w:szCs w:val="28"/>
        </w:rPr>
      </w:pPr>
      <w:r w:rsidRPr="00BB120D">
        <w:rPr>
          <w:rFonts w:ascii="Times New Roman" w:hAnsi="Times New Roman" w:cs="Times New Roman"/>
          <w:sz w:val="28"/>
          <w:szCs w:val="28"/>
        </w:rPr>
        <w:t xml:space="preserve">интегрировать онлайн-коммуникацию </w:t>
      </w:r>
      <w:r>
        <w:rPr>
          <w:rFonts w:ascii="Times New Roman" w:hAnsi="Times New Roman" w:cs="Times New Roman"/>
          <w:sz w:val="28"/>
          <w:szCs w:val="28"/>
        </w:rPr>
        <w:t>с регулярными офлайн-практиками;</w:t>
      </w:r>
    </w:p>
    <w:p w:rsidR="00DF0F2D" w:rsidRDefault="00DF0F2D" w:rsidP="008465D6">
      <w:pPr>
        <w:numPr>
          <w:ilvl w:val="0"/>
          <w:numId w:val="63"/>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работать на системной основе, отказаться от персонификации, перейдя на институциональную основу при рекрутинге новых членов;</w:t>
      </w:r>
    </w:p>
    <w:p w:rsidR="00DF0F2D" w:rsidRPr="00BB120D" w:rsidRDefault="00DF0F2D" w:rsidP="008465D6">
      <w:pPr>
        <w:numPr>
          <w:ilvl w:val="0"/>
          <w:numId w:val="63"/>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активизировать работу по продвижению активистов институтов гражданского общества в число членов политической элиты.</w:t>
      </w:r>
    </w:p>
    <w:p w:rsidR="00DF0F2D" w:rsidRPr="00BB120D" w:rsidRDefault="00DF0F2D" w:rsidP="00DF0F2D">
      <w:pPr>
        <w:spacing w:after="0" w:line="240" w:lineRule="auto"/>
        <w:ind w:firstLine="709"/>
        <w:jc w:val="both"/>
        <w:rPr>
          <w:rFonts w:ascii="Times New Roman" w:hAnsi="Times New Roman" w:cs="Times New Roman"/>
          <w:sz w:val="28"/>
          <w:szCs w:val="28"/>
        </w:rPr>
      </w:pPr>
      <w:r w:rsidRPr="00BB120D">
        <w:rPr>
          <w:rFonts w:ascii="Times New Roman" w:hAnsi="Times New Roman" w:cs="Times New Roman"/>
          <w:i/>
          <w:sz w:val="28"/>
          <w:szCs w:val="28"/>
        </w:rPr>
        <w:t>Для государственных и квазигосударственных институтов</w:t>
      </w:r>
      <w:r w:rsidRPr="00BB120D">
        <w:rPr>
          <w:rFonts w:ascii="Times New Roman" w:hAnsi="Times New Roman" w:cs="Times New Roman"/>
          <w:sz w:val="28"/>
          <w:szCs w:val="28"/>
        </w:rPr>
        <w:t>:</w:t>
      </w:r>
    </w:p>
    <w:p w:rsidR="00DF0F2D" w:rsidRPr="00BB120D" w:rsidRDefault="00DF0F2D" w:rsidP="008465D6">
      <w:pPr>
        <w:numPr>
          <w:ilvl w:val="0"/>
          <w:numId w:val="64"/>
        </w:numPr>
        <w:spacing w:after="0" w:line="240" w:lineRule="auto"/>
        <w:ind w:left="0" w:firstLine="709"/>
        <w:contextualSpacing/>
        <w:jc w:val="both"/>
        <w:rPr>
          <w:rFonts w:ascii="Times New Roman" w:hAnsi="Times New Roman" w:cs="Times New Roman"/>
          <w:sz w:val="28"/>
          <w:szCs w:val="28"/>
        </w:rPr>
      </w:pPr>
      <w:r w:rsidRPr="00BB120D">
        <w:rPr>
          <w:rFonts w:ascii="Times New Roman" w:hAnsi="Times New Roman" w:cs="Times New Roman"/>
          <w:sz w:val="28"/>
          <w:szCs w:val="28"/>
        </w:rPr>
        <w:t>пересмотреть регуляторные барьеры, ограничивающие деятельно</w:t>
      </w:r>
      <w:r>
        <w:rPr>
          <w:rFonts w:ascii="Times New Roman" w:hAnsi="Times New Roman" w:cs="Times New Roman"/>
          <w:sz w:val="28"/>
          <w:szCs w:val="28"/>
        </w:rPr>
        <w:t>сть малых и локальных инициатив;</w:t>
      </w:r>
    </w:p>
    <w:p w:rsidR="00DF0F2D" w:rsidRPr="00BB120D" w:rsidRDefault="00DF0F2D" w:rsidP="008465D6">
      <w:pPr>
        <w:numPr>
          <w:ilvl w:val="0"/>
          <w:numId w:val="64"/>
        </w:numPr>
        <w:spacing w:after="0" w:line="240" w:lineRule="auto"/>
        <w:ind w:left="0" w:firstLine="709"/>
        <w:contextualSpacing/>
        <w:jc w:val="both"/>
        <w:rPr>
          <w:rFonts w:ascii="Times New Roman" w:hAnsi="Times New Roman" w:cs="Times New Roman"/>
          <w:sz w:val="28"/>
          <w:szCs w:val="28"/>
        </w:rPr>
      </w:pPr>
      <w:r w:rsidRPr="00BB120D">
        <w:rPr>
          <w:rFonts w:ascii="Times New Roman" w:hAnsi="Times New Roman" w:cs="Times New Roman"/>
          <w:sz w:val="28"/>
          <w:szCs w:val="28"/>
        </w:rPr>
        <w:t>поддерживать гибридные форматы гражданского участия, а не исключит</w:t>
      </w:r>
      <w:r>
        <w:rPr>
          <w:rFonts w:ascii="Times New Roman" w:hAnsi="Times New Roman" w:cs="Times New Roman"/>
          <w:sz w:val="28"/>
          <w:szCs w:val="28"/>
        </w:rPr>
        <w:t>ельно формализованные структуры;</w:t>
      </w:r>
    </w:p>
    <w:p w:rsidR="00DF0F2D" w:rsidRPr="00BB120D" w:rsidRDefault="00DF0F2D" w:rsidP="008465D6">
      <w:pPr>
        <w:numPr>
          <w:ilvl w:val="0"/>
          <w:numId w:val="64"/>
        </w:numPr>
        <w:spacing w:after="0" w:line="240" w:lineRule="auto"/>
        <w:ind w:left="0" w:firstLine="709"/>
        <w:contextualSpacing/>
        <w:jc w:val="both"/>
        <w:rPr>
          <w:rFonts w:ascii="Times New Roman" w:hAnsi="Times New Roman" w:cs="Times New Roman"/>
          <w:sz w:val="28"/>
        </w:rPr>
      </w:pPr>
      <w:r w:rsidRPr="00BB120D">
        <w:rPr>
          <w:rFonts w:ascii="Times New Roman" w:hAnsi="Times New Roman" w:cs="Times New Roman"/>
          <w:sz w:val="28"/>
        </w:rPr>
        <w:t xml:space="preserve">стимулировать интерес бизнес-структур к деятельности </w:t>
      </w:r>
      <w:r>
        <w:rPr>
          <w:rFonts w:ascii="Times New Roman" w:hAnsi="Times New Roman" w:cs="Times New Roman"/>
          <w:sz w:val="28"/>
        </w:rPr>
        <w:t>гражданского общества в Казахстане;</w:t>
      </w:r>
    </w:p>
    <w:p w:rsidR="00DF0F2D" w:rsidRPr="003D7979" w:rsidRDefault="00DF0F2D" w:rsidP="008465D6">
      <w:pPr>
        <w:numPr>
          <w:ilvl w:val="0"/>
          <w:numId w:val="64"/>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rPr>
        <w:t xml:space="preserve">активнее </w:t>
      </w:r>
      <w:r w:rsidRPr="00BB120D">
        <w:rPr>
          <w:rFonts w:ascii="Times New Roman" w:hAnsi="Times New Roman" w:cs="Times New Roman"/>
          <w:sz w:val="28"/>
        </w:rPr>
        <w:t xml:space="preserve">привлекать </w:t>
      </w:r>
      <w:r>
        <w:rPr>
          <w:rFonts w:ascii="Times New Roman" w:hAnsi="Times New Roman" w:cs="Times New Roman"/>
          <w:sz w:val="28"/>
        </w:rPr>
        <w:t>институты гражданского общества</w:t>
      </w:r>
      <w:r w:rsidRPr="00BB120D">
        <w:rPr>
          <w:rFonts w:ascii="Times New Roman" w:hAnsi="Times New Roman" w:cs="Times New Roman"/>
          <w:sz w:val="28"/>
        </w:rPr>
        <w:t xml:space="preserve"> для решения локальных проблем по подобию волонтёрских организаций, которые активно проявили себя в период чрезвычайного положения и карантина в Казахстане, оказывая помощь медика</w:t>
      </w:r>
      <w:r>
        <w:rPr>
          <w:rFonts w:ascii="Times New Roman" w:hAnsi="Times New Roman" w:cs="Times New Roman"/>
          <w:sz w:val="28"/>
        </w:rPr>
        <w:t>м и самоизолированным гражданам;</w:t>
      </w:r>
    </w:p>
    <w:p w:rsidR="00DF0F2D" w:rsidRPr="00BB120D" w:rsidRDefault="00DF0F2D" w:rsidP="008465D6">
      <w:pPr>
        <w:numPr>
          <w:ilvl w:val="0"/>
          <w:numId w:val="64"/>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трансформировать кампании по развитию молодёжного гражданского вовлечения в интерактивный формат, который молодёжь найдёт привлекательным.</w:t>
      </w:r>
    </w:p>
    <w:p w:rsidR="00DF0F2D" w:rsidRPr="00BB120D" w:rsidRDefault="00DF0F2D" w:rsidP="00DF0F2D">
      <w:pPr>
        <w:spacing w:after="0" w:line="240" w:lineRule="auto"/>
        <w:ind w:firstLine="709"/>
        <w:jc w:val="both"/>
        <w:rPr>
          <w:rFonts w:ascii="Times New Roman" w:hAnsi="Times New Roman" w:cs="Times New Roman"/>
          <w:sz w:val="28"/>
          <w:szCs w:val="28"/>
        </w:rPr>
      </w:pPr>
      <w:r w:rsidRPr="00BB120D">
        <w:rPr>
          <w:rFonts w:ascii="Times New Roman" w:hAnsi="Times New Roman" w:cs="Times New Roman"/>
          <w:i/>
          <w:sz w:val="28"/>
          <w:szCs w:val="28"/>
        </w:rPr>
        <w:t>Для образовательной политики</w:t>
      </w:r>
      <w:r w:rsidRPr="00BB120D">
        <w:rPr>
          <w:rFonts w:ascii="Times New Roman" w:hAnsi="Times New Roman" w:cs="Times New Roman"/>
          <w:sz w:val="28"/>
          <w:szCs w:val="28"/>
        </w:rPr>
        <w:t>:</w:t>
      </w:r>
    </w:p>
    <w:p w:rsidR="00DF0F2D" w:rsidRPr="00BB120D" w:rsidRDefault="00DF0F2D" w:rsidP="008465D6">
      <w:pPr>
        <w:numPr>
          <w:ilvl w:val="0"/>
          <w:numId w:val="65"/>
        </w:numPr>
        <w:spacing w:after="0" w:line="240" w:lineRule="auto"/>
        <w:ind w:left="0" w:firstLine="709"/>
        <w:contextualSpacing/>
        <w:jc w:val="both"/>
        <w:rPr>
          <w:rFonts w:ascii="Times New Roman" w:hAnsi="Times New Roman" w:cs="Times New Roman"/>
          <w:sz w:val="28"/>
          <w:szCs w:val="28"/>
        </w:rPr>
      </w:pPr>
      <w:r w:rsidRPr="00BB120D">
        <w:rPr>
          <w:rFonts w:ascii="Times New Roman" w:hAnsi="Times New Roman" w:cs="Times New Roman"/>
          <w:sz w:val="28"/>
          <w:szCs w:val="28"/>
        </w:rPr>
        <w:t xml:space="preserve">использовать </w:t>
      </w:r>
      <w:r>
        <w:rPr>
          <w:rFonts w:ascii="Times New Roman" w:hAnsi="Times New Roman" w:cs="Times New Roman"/>
          <w:sz w:val="28"/>
        </w:rPr>
        <w:t>институты гражданского общества</w:t>
      </w:r>
      <w:r w:rsidRPr="00BB120D">
        <w:rPr>
          <w:rFonts w:ascii="Times New Roman" w:hAnsi="Times New Roman" w:cs="Times New Roman"/>
          <w:sz w:val="28"/>
          <w:szCs w:val="28"/>
        </w:rPr>
        <w:t xml:space="preserve"> как партнёров в формировании практико-ориентированно</w:t>
      </w:r>
      <w:r>
        <w:rPr>
          <w:rFonts w:ascii="Times New Roman" w:hAnsi="Times New Roman" w:cs="Times New Roman"/>
          <w:sz w:val="28"/>
          <w:szCs w:val="28"/>
        </w:rPr>
        <w:t>й гражданской культуры молодёжи;</w:t>
      </w:r>
    </w:p>
    <w:p w:rsidR="00DF0F2D" w:rsidRPr="00BB120D" w:rsidRDefault="00DF0F2D" w:rsidP="008465D6">
      <w:pPr>
        <w:numPr>
          <w:ilvl w:val="0"/>
          <w:numId w:val="65"/>
        </w:numPr>
        <w:spacing w:after="0" w:line="240" w:lineRule="auto"/>
        <w:ind w:left="0" w:firstLine="709"/>
        <w:contextualSpacing/>
        <w:jc w:val="both"/>
        <w:rPr>
          <w:rFonts w:ascii="Times New Roman" w:hAnsi="Times New Roman" w:cs="Times New Roman"/>
          <w:sz w:val="28"/>
        </w:rPr>
      </w:pPr>
      <w:r w:rsidRPr="00BB120D">
        <w:rPr>
          <w:rFonts w:ascii="Times New Roman" w:hAnsi="Times New Roman" w:cs="Times New Roman"/>
          <w:sz w:val="28"/>
        </w:rPr>
        <w:t xml:space="preserve">проводить просветительскую работу среди молодых людей по проблематике </w:t>
      </w:r>
      <w:r>
        <w:rPr>
          <w:rFonts w:ascii="Times New Roman" w:hAnsi="Times New Roman" w:cs="Times New Roman"/>
          <w:sz w:val="28"/>
        </w:rPr>
        <w:t>гражданского общества</w:t>
      </w:r>
      <w:r w:rsidRPr="00BB120D">
        <w:rPr>
          <w:rFonts w:ascii="Times New Roman" w:hAnsi="Times New Roman" w:cs="Times New Roman"/>
          <w:sz w:val="28"/>
        </w:rPr>
        <w:t xml:space="preserve">, поскольку наблюдается некоторая путаница в понимании молодыми людьми </w:t>
      </w:r>
      <w:r>
        <w:rPr>
          <w:rFonts w:ascii="Times New Roman" w:hAnsi="Times New Roman" w:cs="Times New Roman"/>
          <w:sz w:val="28"/>
        </w:rPr>
        <w:t>институтов гражданского общества</w:t>
      </w:r>
      <w:r w:rsidRPr="00BB120D">
        <w:rPr>
          <w:rFonts w:ascii="Times New Roman" w:hAnsi="Times New Roman" w:cs="Times New Roman"/>
          <w:sz w:val="28"/>
        </w:rPr>
        <w:t>, их целей, функций и роли в обществ</w:t>
      </w:r>
      <w:r>
        <w:rPr>
          <w:rFonts w:ascii="Times New Roman" w:hAnsi="Times New Roman" w:cs="Times New Roman"/>
          <w:sz w:val="28"/>
        </w:rPr>
        <w:t>енно-политической жизни граждан;</w:t>
      </w:r>
    </w:p>
    <w:p w:rsidR="00DF0F2D" w:rsidRPr="00BB120D" w:rsidRDefault="00DF0F2D" w:rsidP="008465D6">
      <w:pPr>
        <w:numPr>
          <w:ilvl w:val="0"/>
          <w:numId w:val="65"/>
        </w:numPr>
        <w:spacing w:after="0" w:line="240" w:lineRule="auto"/>
        <w:ind w:left="0" w:firstLine="709"/>
        <w:contextualSpacing/>
        <w:jc w:val="both"/>
        <w:rPr>
          <w:rFonts w:ascii="Times New Roman" w:hAnsi="Times New Roman" w:cs="Times New Roman"/>
          <w:sz w:val="28"/>
          <w:szCs w:val="28"/>
        </w:rPr>
      </w:pPr>
      <w:r w:rsidRPr="00BB120D">
        <w:rPr>
          <w:rFonts w:ascii="Times New Roman" w:hAnsi="Times New Roman" w:cs="Times New Roman"/>
          <w:sz w:val="28"/>
          <w:szCs w:val="28"/>
        </w:rPr>
        <w:lastRenderedPageBreak/>
        <w:t>развивать программы, усиливающие н</w:t>
      </w:r>
      <w:r>
        <w:rPr>
          <w:rFonts w:ascii="Times New Roman" w:hAnsi="Times New Roman" w:cs="Times New Roman"/>
          <w:sz w:val="28"/>
          <w:szCs w:val="28"/>
        </w:rPr>
        <w:t>ематериальную мотивацию участия;</w:t>
      </w:r>
    </w:p>
    <w:p w:rsidR="00DF0F2D" w:rsidRPr="00BB120D" w:rsidRDefault="00DF0F2D" w:rsidP="008465D6">
      <w:pPr>
        <w:numPr>
          <w:ilvl w:val="0"/>
          <w:numId w:val="65"/>
        </w:numPr>
        <w:spacing w:after="0" w:line="240" w:lineRule="auto"/>
        <w:ind w:left="0" w:firstLine="709"/>
        <w:contextualSpacing/>
        <w:jc w:val="both"/>
        <w:rPr>
          <w:rFonts w:ascii="Times New Roman" w:hAnsi="Times New Roman" w:cs="Times New Roman"/>
          <w:sz w:val="28"/>
          <w:szCs w:val="28"/>
        </w:rPr>
      </w:pPr>
      <w:r w:rsidRPr="00BB120D">
        <w:rPr>
          <w:rFonts w:ascii="Times New Roman" w:hAnsi="Times New Roman" w:cs="Times New Roman"/>
          <w:sz w:val="28"/>
        </w:rPr>
        <w:t>увеличить количество часов по дисциплинам «Политология» и «Социология» для студентов ВУЗов, а также по предметам типа «Человек и общество» для школьников средней и старшей школы.</w:t>
      </w:r>
    </w:p>
    <w:p w:rsidR="00DF0F2D" w:rsidRPr="00BB120D" w:rsidRDefault="00DF0F2D" w:rsidP="00DF0F2D">
      <w:pPr>
        <w:spacing w:after="0" w:line="240" w:lineRule="auto"/>
        <w:ind w:firstLine="709"/>
        <w:jc w:val="both"/>
        <w:rPr>
          <w:rFonts w:ascii="Times New Roman" w:hAnsi="Times New Roman" w:cs="Times New Roman"/>
          <w:sz w:val="28"/>
          <w:szCs w:val="28"/>
        </w:rPr>
      </w:pPr>
      <w:r w:rsidRPr="00BB120D">
        <w:rPr>
          <w:rFonts w:ascii="Times New Roman" w:hAnsi="Times New Roman" w:cs="Times New Roman"/>
          <w:i/>
          <w:sz w:val="28"/>
          <w:szCs w:val="28"/>
        </w:rPr>
        <w:t>Для дальнейших исследований</w:t>
      </w:r>
      <w:r w:rsidRPr="00BB120D">
        <w:rPr>
          <w:rFonts w:ascii="Times New Roman" w:hAnsi="Times New Roman" w:cs="Times New Roman"/>
          <w:sz w:val="28"/>
          <w:szCs w:val="28"/>
        </w:rPr>
        <w:t>:</w:t>
      </w:r>
    </w:p>
    <w:p w:rsidR="00DF0F2D" w:rsidRDefault="00DF0F2D" w:rsidP="008465D6">
      <w:pPr>
        <w:pStyle w:val="a3"/>
        <w:numPr>
          <w:ilvl w:val="0"/>
          <w:numId w:val="66"/>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изучить иные факторы, не учтённые в моделях множественного корреляционно-регрессионного анализа в данном исследовании;</w:t>
      </w:r>
    </w:p>
    <w:p w:rsidR="00DF0F2D" w:rsidRDefault="00DF0F2D" w:rsidP="008465D6">
      <w:pPr>
        <w:pStyle w:val="a3"/>
        <w:numPr>
          <w:ilvl w:val="0"/>
          <w:numId w:val="66"/>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используя метод включённого наблюдения исследовать деятельность молодёжных общественных объединений, выявить проблемные точки, связанные с невысокой эффективностью;</w:t>
      </w:r>
    </w:p>
    <w:p w:rsidR="00DF0F2D" w:rsidRDefault="00DF0F2D" w:rsidP="008465D6">
      <w:pPr>
        <w:pStyle w:val="a3"/>
        <w:numPr>
          <w:ilvl w:val="0"/>
          <w:numId w:val="66"/>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провести компаративное исследование и сравнить состояние и развитие институтов гражданского общества и роли социальных медиа в гражданском участии молодёжи в странах Центральной Азии.</w:t>
      </w:r>
    </w:p>
    <w:p w:rsidR="00DF0F2D" w:rsidRPr="00123502" w:rsidRDefault="00DF0F2D" w:rsidP="00DF0F2D">
      <w:pPr>
        <w:spacing w:after="0" w:line="240" w:lineRule="auto"/>
        <w:ind w:firstLine="709"/>
        <w:jc w:val="both"/>
        <w:rPr>
          <w:rFonts w:ascii="Times New Roman" w:hAnsi="Times New Roman" w:cs="Times New Roman"/>
          <w:i/>
          <w:sz w:val="28"/>
        </w:rPr>
      </w:pPr>
      <w:r w:rsidRPr="00123502">
        <w:rPr>
          <w:rFonts w:ascii="Times New Roman" w:hAnsi="Times New Roman" w:cs="Times New Roman"/>
          <w:i/>
          <w:sz w:val="28"/>
        </w:rPr>
        <w:t>Оценка научного уровня выполненной работы в сравнении с лучшими достижениями в данной области</w:t>
      </w:r>
    </w:p>
    <w:p w:rsidR="00DF0F2D" w:rsidRPr="00123502" w:rsidRDefault="00DF0F2D" w:rsidP="00DF0F2D">
      <w:pPr>
        <w:spacing w:after="0" w:line="240" w:lineRule="auto"/>
        <w:ind w:firstLine="709"/>
        <w:jc w:val="both"/>
        <w:rPr>
          <w:rFonts w:ascii="Times New Roman" w:hAnsi="Times New Roman" w:cs="Times New Roman"/>
          <w:sz w:val="28"/>
        </w:rPr>
      </w:pPr>
      <w:r w:rsidRPr="00123502">
        <w:rPr>
          <w:rFonts w:ascii="Times New Roman" w:hAnsi="Times New Roman" w:cs="Times New Roman"/>
          <w:sz w:val="28"/>
        </w:rPr>
        <w:t>Диссертационная работа выполнена на высоком теоретическом и методологическом уровне, соответствует требованиям, предъявляемым к диссертациям PhD в области политической науки.</w:t>
      </w:r>
      <w:r>
        <w:rPr>
          <w:rFonts w:ascii="Times New Roman" w:hAnsi="Times New Roman" w:cs="Times New Roman"/>
          <w:sz w:val="28"/>
        </w:rPr>
        <w:t xml:space="preserve"> </w:t>
      </w:r>
      <w:r w:rsidRPr="00123502">
        <w:rPr>
          <w:rFonts w:ascii="Times New Roman" w:hAnsi="Times New Roman" w:cs="Times New Roman"/>
          <w:sz w:val="28"/>
        </w:rPr>
        <w:t>По уровню теоретической рефлексии, корректности операционализации понятий и качеству эмпирического анализа данное диссертационное исследование сопоставимо с лучшими современными работами, опирающимися на неоинституционализм, теорию гражданской культуры и критические подходы к цифровым медиа (Bennett, Papacharissi, Putnam, Habermas).</w:t>
      </w:r>
    </w:p>
    <w:p w:rsidR="00DF0F2D" w:rsidRPr="00123502" w:rsidRDefault="00DF0F2D" w:rsidP="00DF0F2D">
      <w:pPr>
        <w:spacing w:after="0" w:line="240" w:lineRule="auto"/>
        <w:ind w:firstLine="709"/>
        <w:jc w:val="both"/>
        <w:rPr>
          <w:rFonts w:ascii="Times New Roman" w:hAnsi="Times New Roman" w:cs="Times New Roman"/>
          <w:sz w:val="28"/>
        </w:rPr>
      </w:pPr>
      <w:r w:rsidRPr="00123502">
        <w:rPr>
          <w:rFonts w:ascii="Times New Roman" w:hAnsi="Times New Roman" w:cs="Times New Roman"/>
          <w:sz w:val="28"/>
        </w:rPr>
        <w:t xml:space="preserve">Особую научную ценность представляет синтез теории </w:t>
      </w:r>
      <w:r>
        <w:rPr>
          <w:rFonts w:ascii="Times New Roman" w:hAnsi="Times New Roman" w:cs="Times New Roman"/>
          <w:sz w:val="28"/>
        </w:rPr>
        <w:t>неоинституционализма</w:t>
      </w:r>
      <w:r w:rsidRPr="00123502">
        <w:rPr>
          <w:rFonts w:ascii="Times New Roman" w:hAnsi="Times New Roman" w:cs="Times New Roman"/>
          <w:sz w:val="28"/>
        </w:rPr>
        <w:t xml:space="preserve"> с эмпирическим анализом цифровых практик, что позволяет преодолеть упрощённую дихотомию «</w:t>
      </w:r>
      <w:r>
        <w:rPr>
          <w:rFonts w:ascii="Times New Roman" w:hAnsi="Times New Roman" w:cs="Times New Roman"/>
          <w:sz w:val="28"/>
        </w:rPr>
        <w:t>технологический детерминизм</w:t>
      </w:r>
      <w:r w:rsidRPr="00123502">
        <w:rPr>
          <w:rFonts w:ascii="Times New Roman" w:hAnsi="Times New Roman" w:cs="Times New Roman"/>
          <w:sz w:val="28"/>
        </w:rPr>
        <w:t xml:space="preserve"> –  </w:t>
      </w:r>
      <w:r>
        <w:rPr>
          <w:rFonts w:ascii="Times New Roman" w:hAnsi="Times New Roman" w:cs="Times New Roman"/>
          <w:sz w:val="28"/>
        </w:rPr>
        <w:t>теория социальных сил</w:t>
      </w:r>
      <w:r w:rsidRPr="00123502">
        <w:rPr>
          <w:rFonts w:ascii="Times New Roman" w:hAnsi="Times New Roman" w:cs="Times New Roman"/>
          <w:sz w:val="28"/>
        </w:rPr>
        <w:t xml:space="preserve">» и внести самостоятельный вклад в развитие исследований </w:t>
      </w:r>
      <w:r>
        <w:rPr>
          <w:rFonts w:ascii="Times New Roman" w:hAnsi="Times New Roman" w:cs="Times New Roman"/>
          <w:sz w:val="28"/>
        </w:rPr>
        <w:t>гражданского общества</w:t>
      </w:r>
      <w:r w:rsidRPr="00123502">
        <w:rPr>
          <w:rFonts w:ascii="Times New Roman" w:hAnsi="Times New Roman" w:cs="Times New Roman"/>
          <w:sz w:val="28"/>
        </w:rPr>
        <w:t xml:space="preserve"> в </w:t>
      </w:r>
      <w:r>
        <w:rPr>
          <w:rFonts w:ascii="Times New Roman" w:hAnsi="Times New Roman" w:cs="Times New Roman"/>
          <w:sz w:val="28"/>
        </w:rPr>
        <w:t>постсоветских</w:t>
      </w:r>
      <w:r w:rsidRPr="00123502">
        <w:rPr>
          <w:rFonts w:ascii="Times New Roman" w:hAnsi="Times New Roman" w:cs="Times New Roman"/>
          <w:sz w:val="28"/>
        </w:rPr>
        <w:t xml:space="preserve"> государствах бывшего СССР.</w:t>
      </w:r>
    </w:p>
    <w:p w:rsidR="00DF0F2D" w:rsidRPr="00123502" w:rsidRDefault="00DF0F2D" w:rsidP="00DF0F2D">
      <w:pPr>
        <w:spacing w:after="0" w:line="240" w:lineRule="auto"/>
        <w:ind w:firstLine="709"/>
        <w:jc w:val="both"/>
        <w:rPr>
          <w:rFonts w:ascii="Times New Roman" w:hAnsi="Times New Roman" w:cs="Times New Roman"/>
          <w:sz w:val="28"/>
        </w:rPr>
      </w:pPr>
      <w:r w:rsidRPr="00123502">
        <w:rPr>
          <w:rFonts w:ascii="Times New Roman" w:hAnsi="Times New Roman" w:cs="Times New Roman"/>
          <w:sz w:val="28"/>
        </w:rPr>
        <w:t xml:space="preserve">Выполненная работа находится на уровне высших достижений в данной области. Работа может стать хорошей базой для дополнительных эмпирических исследований, касающихся влияния внутренних и внешних факторов на </w:t>
      </w:r>
      <w:r>
        <w:rPr>
          <w:rFonts w:ascii="Times New Roman" w:hAnsi="Times New Roman" w:cs="Times New Roman"/>
          <w:sz w:val="28"/>
        </w:rPr>
        <w:t>институты гражданского общества</w:t>
      </w:r>
      <w:r w:rsidRPr="00123502">
        <w:rPr>
          <w:rFonts w:ascii="Times New Roman" w:hAnsi="Times New Roman" w:cs="Times New Roman"/>
          <w:sz w:val="28"/>
        </w:rPr>
        <w:t xml:space="preserve">, как-то: гражданская культура, гражданская и институциональная идентичность, гражданское сознание, ценности, особенности политической системы. В дальнейшем работа может послужить основой для дополнительных исследований роли социальных медиа в развитии </w:t>
      </w:r>
      <w:r>
        <w:rPr>
          <w:rFonts w:ascii="Times New Roman" w:hAnsi="Times New Roman" w:cs="Times New Roman"/>
          <w:sz w:val="28"/>
        </w:rPr>
        <w:t>институтов гражданского общества</w:t>
      </w:r>
      <w:r w:rsidRPr="00123502">
        <w:rPr>
          <w:rFonts w:ascii="Times New Roman" w:hAnsi="Times New Roman" w:cs="Times New Roman"/>
          <w:sz w:val="28"/>
        </w:rPr>
        <w:t xml:space="preserve"> в Казахстане.</w:t>
      </w: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31CBF" w:rsidRDefault="00C31CBF" w:rsidP="00C4083E">
      <w:pPr>
        <w:spacing w:after="0" w:line="240" w:lineRule="auto"/>
        <w:ind w:firstLine="709"/>
        <w:jc w:val="both"/>
        <w:rPr>
          <w:rFonts w:ascii="Times New Roman" w:hAnsi="Times New Roman" w:cs="Times New Roman"/>
          <w:sz w:val="28"/>
        </w:rPr>
      </w:pPr>
    </w:p>
    <w:p w:rsidR="00CE2B36" w:rsidRPr="00CE2B36" w:rsidRDefault="00CE2B36" w:rsidP="00CE2B36">
      <w:pPr>
        <w:shd w:val="clear" w:color="auto" w:fill="FFFFFF"/>
        <w:tabs>
          <w:tab w:val="left" w:pos="709"/>
        </w:tabs>
        <w:spacing w:after="0" w:line="240" w:lineRule="auto"/>
        <w:jc w:val="center"/>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lastRenderedPageBreak/>
        <w:t xml:space="preserve">СПИСОК ИСПОЛЬЗОВАННЫХ ИСТОЧНИКОВ </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sz w:val="28"/>
          <w:szCs w:val="28"/>
          <w:lang w:eastAsia="ru-RU"/>
        </w:rPr>
        <w:t xml:space="preserve">1 Послание Президента Республики Казахстан К.-Ж. Токаева народу Казахстана «Казахстан в эпоху искусственного интеллекта: актуальные задачи и их решения через цифровую трансформацию»: официальный текст выступления // Официальный сайт Президента Республики Казахстан “Ак Орда”. — URL: </w:t>
      </w:r>
      <w:hyperlink r:id="rId72" w:tgtFrame="_new" w:history="1">
        <w:r w:rsidRPr="00CE2B36">
          <w:rPr>
            <w:rFonts w:ascii="Times New Roman" w:eastAsiaTheme="minorEastAsia" w:hAnsi="Times New Roman" w:cs="Times New Roman"/>
            <w:color w:val="DE2D24"/>
            <w:sz w:val="28"/>
            <w:szCs w:val="28"/>
            <w:u w:val="single"/>
            <w:lang w:eastAsia="ru-RU"/>
          </w:rPr>
          <w:t>https://www.akorda.kz/ru/poslanie-glavy-gosudarstva-kasym-zhomarta-tokaeva-narodu-kazahstana-kazahstan-v-epohu-iskusstvennogo-intellekta-aktualnye-zadachi-i-ih-resheniya-cherez-cifrovuyu-transformaciyu-885145</w:t>
        </w:r>
      </w:hyperlink>
      <w:r w:rsidRPr="00CE2B36">
        <w:rPr>
          <w:rFonts w:ascii="Times New Roman" w:eastAsiaTheme="minorEastAsia" w:hAnsi="Times New Roman" w:cs="Times New Roman"/>
          <w:sz w:val="28"/>
          <w:szCs w:val="28"/>
          <w:lang w:eastAsia="ru-RU"/>
        </w:rPr>
        <w:t xml:space="preserve"> (дата обращения: 4.01.2026). — дата публикации/выступления: </w:t>
      </w:r>
      <w:r w:rsidRPr="00CE2B36">
        <w:rPr>
          <w:rFonts w:ascii="Times New Roman" w:eastAsiaTheme="minorEastAsia" w:hAnsi="Times New Roman" w:cs="Times New Roman"/>
          <w:bCs/>
          <w:sz w:val="28"/>
          <w:szCs w:val="28"/>
          <w:lang w:eastAsia="ru-RU"/>
        </w:rPr>
        <w:t>8 сентября 2025 г.</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bCs/>
          <w:sz w:val="28"/>
          <w:szCs w:val="28"/>
          <w:lang w:eastAsia="ru-RU"/>
        </w:rPr>
        <w:t>2 Закон Республики Казахстан «Об общественном контроле» от 2 октября 2023 года № 30-VIII ЗРК</w:t>
      </w:r>
      <w:r w:rsidRPr="00CE2B36">
        <w:rPr>
          <w:rFonts w:ascii="Times New Roman" w:eastAsiaTheme="minorEastAsia" w:hAnsi="Times New Roman" w:cs="Times New Roman"/>
          <w:b/>
          <w:sz w:val="28"/>
          <w:szCs w:val="28"/>
          <w:lang w:eastAsia="ru-RU"/>
        </w:rPr>
        <w:t>.</w:t>
      </w:r>
      <w:r w:rsidRPr="00CE2B36">
        <w:rPr>
          <w:rFonts w:ascii="Times New Roman" w:eastAsiaTheme="minorEastAsia" w:hAnsi="Times New Roman" w:cs="Times New Roman"/>
          <w:b/>
          <w:sz w:val="28"/>
          <w:szCs w:val="28"/>
          <w:lang w:eastAsia="ru-RU"/>
        </w:rPr>
        <w:br/>
      </w:r>
      <w:r w:rsidRPr="00CE2B36">
        <w:rPr>
          <w:rFonts w:ascii="Times New Roman" w:eastAsiaTheme="minorEastAsia" w:hAnsi="Times New Roman" w:cs="Times New Roman"/>
          <w:sz w:val="28"/>
          <w:szCs w:val="28"/>
          <w:lang w:eastAsia="ru-RU"/>
        </w:rPr>
        <w:t xml:space="preserve">Электронный ресурс: </w:t>
      </w:r>
      <w:hyperlink r:id="rId73" w:tgtFrame="_new" w:history="1">
        <w:r w:rsidRPr="00CE2B36">
          <w:rPr>
            <w:rFonts w:ascii="Times New Roman" w:eastAsiaTheme="minorEastAsia" w:hAnsi="Times New Roman" w:cs="Times New Roman"/>
            <w:color w:val="DE2D24"/>
            <w:sz w:val="28"/>
            <w:szCs w:val="28"/>
            <w:u w:val="single"/>
            <w:lang w:eastAsia="ru-RU"/>
          </w:rPr>
          <w:t>https://adilet.zan.kz/rus/docs/Z2300000030</w:t>
        </w:r>
      </w:hyperlink>
      <w:r w:rsidRPr="00CE2B36">
        <w:rPr>
          <w:rFonts w:ascii="Times New Roman" w:eastAsiaTheme="minorEastAsia" w:hAnsi="Times New Roman" w:cs="Times New Roman"/>
          <w:sz w:val="28"/>
          <w:szCs w:val="28"/>
          <w:lang w:eastAsia="ru-RU"/>
        </w:rPr>
        <w:t xml:space="preserve"> (дата обращения: 5.01.2026).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3 Квале С. Исследовательское интервью. – М: Смысл, 2003. – 301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4</w:t>
      </w:r>
      <w:proofErr w:type="gramEnd"/>
      <w:r w:rsidRPr="00CE2B36">
        <w:rPr>
          <w:rFonts w:ascii="Times New Roman" w:eastAsiaTheme="minorEastAsia" w:hAnsi="Times New Roman" w:cs="Times New Roman"/>
          <w:sz w:val="28"/>
          <w:szCs w:val="28"/>
          <w:lang w:val="en-US" w:eastAsia="ru-RU"/>
        </w:rPr>
        <w:t xml:space="preserve"> Hamilton W. H. The institutional approach to economic theory // American Economic Review. – 1919. – Vol. 9, No. 1. – P. 309–318.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5 Попова О. В. Теория и история политических институтов. – Санкт-Петербург: Изд-во СПбГУ, 2014. – 344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6</w:t>
      </w:r>
      <w:proofErr w:type="gramEnd"/>
      <w:r w:rsidRPr="00CE2B36">
        <w:rPr>
          <w:rFonts w:ascii="Times New Roman" w:eastAsiaTheme="minorEastAsia" w:hAnsi="Times New Roman" w:cs="Times New Roman"/>
          <w:sz w:val="28"/>
          <w:szCs w:val="28"/>
          <w:lang w:val="en-US" w:eastAsia="ru-RU"/>
        </w:rPr>
        <w:t xml:space="preserve"> March J. G., Olsen J. P. Rediscovering institutions: the organizational basis of politics. – London: Collier Macmillan Publishers, 1989. – 203 p.</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w:t>
      </w:r>
      <w:proofErr w:type="gramEnd"/>
      <w:r w:rsidRPr="00CE2B36">
        <w:rPr>
          <w:rFonts w:ascii="Times New Roman" w:eastAsiaTheme="minorEastAsia" w:hAnsi="Times New Roman" w:cs="Times New Roman"/>
          <w:sz w:val="28"/>
          <w:szCs w:val="28"/>
          <w:lang w:val="en-US" w:eastAsia="ru-RU"/>
        </w:rPr>
        <w:t xml:space="preserve"> Putnam R. Making democracy work: civic traditions in modern Italy. – Princeton, NJ: Princeton University Press, 1993. – 258 p.</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8</w:t>
      </w:r>
      <w:proofErr w:type="gramEnd"/>
      <w:r w:rsidRPr="00CE2B36">
        <w:rPr>
          <w:rFonts w:ascii="Times New Roman" w:eastAsiaTheme="minorEastAsia" w:hAnsi="Times New Roman" w:cs="Times New Roman"/>
          <w:sz w:val="28"/>
          <w:szCs w:val="28"/>
          <w:lang w:val="en-US" w:eastAsia="ru-RU"/>
        </w:rPr>
        <w:t xml:space="preserve"> Marks M. P. Metaphors in international relations theory. – New York: Palgrave Macmillan, 2011. – 274 p.</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w:t>
      </w:r>
      <w:proofErr w:type="gramEnd"/>
      <w:r w:rsidRPr="00CE2B36">
        <w:rPr>
          <w:rFonts w:ascii="Times New Roman" w:eastAsiaTheme="minorEastAsia" w:hAnsi="Times New Roman" w:cs="Times New Roman"/>
          <w:sz w:val="28"/>
          <w:szCs w:val="28"/>
          <w:lang w:val="en-US" w:eastAsia="ru-RU"/>
        </w:rPr>
        <w:t xml:space="preserve"> Della Porta D., Diani M. Social movements: an introduction. – Oxford: Blackwell Publishing, 2006. – 356 p.</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10 Булуктаев Ю. О. Партийно-политическое строительство в Республике Казахстан (1991–2012 гг.). Кн. 1: Становление многопартийности. 1990-е гг. – Алматы: КИСИ при Президенте РК, 2012. – 240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11 Аристотель. Сочинения: в 4 т. – Москва: Мысль, 1983. – Т. 4. – 830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12 </w:t>
      </w:r>
      <w:r w:rsidRPr="00CE2B36">
        <w:rPr>
          <w:rFonts w:ascii="Times New Roman" w:eastAsiaTheme="minorEastAsia" w:hAnsi="Times New Roman" w:cs="Times New Roman"/>
          <w:iCs/>
          <w:sz w:val="28"/>
          <w:szCs w:val="28"/>
          <w:lang w:eastAsia="ru-RU"/>
        </w:rPr>
        <w:t>Кальной, И. Н. Лопушанский</w:t>
      </w:r>
      <w:r w:rsidRPr="00CE2B36">
        <w:rPr>
          <w:rFonts w:ascii="Times New Roman" w:eastAsiaTheme="minorEastAsia" w:hAnsi="Times New Roman" w:cs="Times New Roman"/>
          <w:sz w:val="28"/>
          <w:szCs w:val="28"/>
          <w:lang w:eastAsia="ru-RU"/>
        </w:rPr>
        <w:t>. — Санкт-Петербург: Юридический центр Пресс, 2006. — 492 c.</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13 Локк Дж. Сочинения: в 3 т. – Москва: Мысль, 1988. – Т. 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14 Руссо Ж.-Ж. Об общественном договоре, или Принципы политического права. – Москва: Гос. соц.-экон. изд-во, 1938. – 135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15 Монтескьё Ш. Л. О духе законов. – Москва: Директ-Медиа, 2011. – 596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16 Кант И. К вечному миру // Сочинения: в 8 т. – Москва: Мысль, 1994. – Т. 7.</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17 Резник Ю. М. Гражданское общество как феномен цивилизации. – Москва: Союз, 1998. – 560 с. </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18</w:t>
      </w:r>
      <w:proofErr w:type="gramEnd"/>
      <w:r w:rsidRPr="00CE2B36">
        <w:rPr>
          <w:rFonts w:ascii="Times New Roman" w:eastAsiaTheme="minorEastAsia" w:hAnsi="Times New Roman" w:cs="Times New Roman"/>
          <w:sz w:val="28"/>
          <w:szCs w:val="28"/>
          <w:lang w:val="en-US" w:eastAsia="ru-RU"/>
        </w:rPr>
        <w:t xml:space="preserve"> Paul Chaney (2023). Exploring civil society perspectives on the situation of human rights defenders in the Commonwealth of Independent States, Central Asian Survey, 42:2, 293-318, DOI: 10.1080/02634937.2022.2113034.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eastAsia="ru-RU"/>
        </w:rPr>
        <w:lastRenderedPageBreak/>
        <w:t>19 Смит А. Исследование о природе и причинах богатства народов / пер. с англ. П</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sz w:val="28"/>
          <w:szCs w:val="28"/>
          <w:lang w:eastAsia="ru-RU"/>
        </w:rPr>
        <w:t>Клюкина</w:t>
      </w:r>
      <w:r w:rsidRPr="00CE2B36">
        <w:rPr>
          <w:rFonts w:ascii="Times New Roman" w:eastAsiaTheme="minorEastAsia" w:hAnsi="Times New Roman" w:cs="Times New Roman"/>
          <w:sz w:val="28"/>
          <w:szCs w:val="28"/>
          <w:lang w:val="en-US" w:eastAsia="ru-RU"/>
        </w:rPr>
        <w:t xml:space="preserve">. – </w:t>
      </w:r>
      <w:r w:rsidRPr="00CE2B36">
        <w:rPr>
          <w:rFonts w:ascii="Times New Roman" w:eastAsiaTheme="minorEastAsia" w:hAnsi="Times New Roman" w:cs="Times New Roman"/>
          <w:sz w:val="28"/>
          <w:szCs w:val="28"/>
          <w:lang w:eastAsia="ru-RU"/>
        </w:rPr>
        <w:t>Москва</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sz w:val="28"/>
          <w:szCs w:val="28"/>
          <w:lang w:eastAsia="ru-RU"/>
        </w:rPr>
        <w:t>ЭКСМО</w:t>
      </w:r>
      <w:r w:rsidRPr="00CE2B36">
        <w:rPr>
          <w:rFonts w:ascii="Times New Roman" w:eastAsiaTheme="minorEastAsia" w:hAnsi="Times New Roman" w:cs="Times New Roman"/>
          <w:sz w:val="28"/>
          <w:szCs w:val="28"/>
          <w:lang w:val="en-US" w:eastAsia="ru-RU"/>
        </w:rPr>
        <w:t xml:space="preserve">, 2016. – 1056 </w:t>
      </w:r>
      <w:r w:rsidRPr="00CE2B36">
        <w:rPr>
          <w:rFonts w:ascii="Times New Roman" w:eastAsiaTheme="minorEastAsia" w:hAnsi="Times New Roman" w:cs="Times New Roman"/>
          <w:sz w:val="28"/>
          <w:szCs w:val="28"/>
          <w:lang w:eastAsia="ru-RU"/>
        </w:rPr>
        <w:t>с</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20</w:t>
      </w:r>
      <w:proofErr w:type="gramEnd"/>
      <w:r w:rsidRPr="00CE2B36">
        <w:rPr>
          <w:rFonts w:ascii="Times New Roman" w:eastAsiaTheme="minorEastAsia" w:hAnsi="Times New Roman" w:cs="Times New Roman"/>
          <w:sz w:val="28"/>
          <w:szCs w:val="28"/>
          <w:lang w:val="en-US" w:eastAsia="ru-RU"/>
        </w:rPr>
        <w:t xml:space="preserve"> Edwards M. Civil society. – </w:t>
      </w:r>
      <w:proofErr w:type="gramStart"/>
      <w:r w:rsidRPr="00CE2B36">
        <w:rPr>
          <w:rFonts w:ascii="Times New Roman" w:eastAsiaTheme="minorEastAsia" w:hAnsi="Times New Roman" w:cs="Times New Roman"/>
          <w:sz w:val="28"/>
          <w:szCs w:val="28"/>
          <w:lang w:val="en-US" w:eastAsia="ru-RU"/>
        </w:rPr>
        <w:t>2nd</w:t>
      </w:r>
      <w:proofErr w:type="gramEnd"/>
      <w:r w:rsidRPr="00CE2B36">
        <w:rPr>
          <w:rFonts w:ascii="Times New Roman" w:eastAsiaTheme="minorEastAsia" w:hAnsi="Times New Roman" w:cs="Times New Roman"/>
          <w:sz w:val="28"/>
          <w:szCs w:val="28"/>
          <w:lang w:val="en-US" w:eastAsia="ru-RU"/>
        </w:rPr>
        <w:t xml:space="preserve"> ed. – Cambridge: Polity Press, 2017. – 165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21 Гегель Г. Философия права. – Москва: Мысль, 1990. – 525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22</w:t>
      </w:r>
      <w:proofErr w:type="gramEnd"/>
      <w:r w:rsidRPr="00CE2B36">
        <w:rPr>
          <w:rFonts w:ascii="Times New Roman" w:eastAsiaTheme="minorEastAsia" w:hAnsi="Times New Roman" w:cs="Times New Roman"/>
          <w:sz w:val="28"/>
          <w:szCs w:val="28"/>
          <w:lang w:val="en-US" w:eastAsia="ru-RU"/>
        </w:rPr>
        <w:t xml:space="preserve"> Cohen J., Arato A. Civil society and political theory. – Cambridge, MA: MIT Press, 1994. – 750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23</w:t>
      </w:r>
      <w:proofErr w:type="gramEnd"/>
      <w:r w:rsidRPr="00CE2B36">
        <w:rPr>
          <w:rFonts w:ascii="Times New Roman" w:eastAsiaTheme="minorEastAsia" w:hAnsi="Times New Roman" w:cs="Times New Roman"/>
          <w:sz w:val="28"/>
          <w:szCs w:val="28"/>
          <w:lang w:val="en-US" w:eastAsia="ru-RU"/>
        </w:rPr>
        <w:t xml:space="preserve"> Habermas J. The structural transformation of the public sphere. – Cambridge, MA: MIT Press, 1991. – 301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24 Федорова А. Е. Проблемы дефиниций – сложности в определении понятия «гражданское общество» // Актуальные теории, концепции, прикладной характер современных научных исследований: сб. науч. ст. – Санкт-Петербург: Изд-во СПбГЭУ, 2019. – С. 84–87.</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25</w:t>
      </w:r>
      <w:proofErr w:type="gramEnd"/>
      <w:r w:rsidRPr="00CE2B36">
        <w:rPr>
          <w:rFonts w:ascii="Times New Roman" w:eastAsiaTheme="minorEastAsia" w:hAnsi="Times New Roman" w:cs="Times New Roman"/>
          <w:sz w:val="28"/>
          <w:szCs w:val="28"/>
          <w:lang w:val="en-US" w:eastAsia="ru-RU"/>
        </w:rPr>
        <w:t xml:space="preserve"> Simeon Nanovsky &amp; Colin Knox (2025). Political stability in authoritarian regimes: the case of Central Asia, Central Asian Survey, </w:t>
      </w:r>
      <w:proofErr w:type="gramStart"/>
      <w:r w:rsidRPr="00CE2B36">
        <w:rPr>
          <w:rFonts w:ascii="Times New Roman" w:eastAsiaTheme="minorEastAsia" w:hAnsi="Times New Roman" w:cs="Times New Roman"/>
          <w:sz w:val="28"/>
          <w:szCs w:val="28"/>
          <w:lang w:val="en-US" w:eastAsia="ru-RU"/>
        </w:rPr>
        <w:t>44:3</w:t>
      </w:r>
      <w:proofErr w:type="gramEnd"/>
      <w:r w:rsidRPr="00CE2B36">
        <w:rPr>
          <w:rFonts w:ascii="Times New Roman" w:eastAsiaTheme="minorEastAsia" w:hAnsi="Times New Roman" w:cs="Times New Roman"/>
          <w:sz w:val="28"/>
          <w:szCs w:val="28"/>
          <w:lang w:val="en-US" w:eastAsia="ru-RU"/>
        </w:rPr>
        <w:t>, 346-369, DOI: 10.1080/02634937.2024.2402067</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26 Мотрошилова Н. В. О современном понятии гражданского общества // Вопросы философии. – 2019. – № 7. – С.77-94.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proofErr w:type="gramStart"/>
      <w:r w:rsidRPr="00CE2B36">
        <w:rPr>
          <w:rFonts w:ascii="Times New Roman" w:eastAsiaTheme="minorEastAsia" w:hAnsi="Times New Roman" w:cs="Times New Roman"/>
          <w:sz w:val="28"/>
          <w:szCs w:val="28"/>
          <w:lang w:val="en-US" w:eastAsia="ru-RU"/>
        </w:rPr>
        <w:t>27</w:t>
      </w:r>
      <w:proofErr w:type="gramEnd"/>
      <w:r w:rsidRPr="00CE2B36">
        <w:rPr>
          <w:rFonts w:ascii="Times New Roman" w:eastAsiaTheme="minorEastAsia" w:hAnsi="Times New Roman" w:cs="Times New Roman"/>
          <w:sz w:val="28"/>
          <w:szCs w:val="28"/>
          <w:lang w:val="en-US" w:eastAsia="ru-RU"/>
        </w:rPr>
        <w:t xml:space="preserve"> Paar-Jakli, G., &amp; Molina, A. D. (2024). Democracy, Authoritarianism, and Political Corruption: Elite Cartel Corruption in Hungary and Italy. </w:t>
      </w:r>
      <w:r w:rsidRPr="00CE2B36">
        <w:rPr>
          <w:rFonts w:ascii="Times New Roman" w:eastAsiaTheme="minorEastAsia" w:hAnsi="Times New Roman" w:cs="Times New Roman"/>
          <w:iCs/>
          <w:sz w:val="28"/>
          <w:szCs w:val="28"/>
          <w:lang w:val="en-US" w:eastAsia="ru-RU"/>
        </w:rPr>
        <w:t>Public</w:t>
      </w:r>
      <w:r w:rsidRPr="00CE2B36">
        <w:rPr>
          <w:rFonts w:ascii="Times New Roman" w:eastAsiaTheme="minorEastAsia" w:hAnsi="Times New Roman" w:cs="Times New Roman"/>
          <w:iCs/>
          <w:sz w:val="28"/>
          <w:szCs w:val="28"/>
          <w:lang w:eastAsia="ru-RU"/>
        </w:rPr>
        <w:t xml:space="preserve"> </w:t>
      </w:r>
      <w:r w:rsidRPr="00CE2B36">
        <w:rPr>
          <w:rFonts w:ascii="Times New Roman" w:eastAsiaTheme="minorEastAsia" w:hAnsi="Times New Roman" w:cs="Times New Roman"/>
          <w:iCs/>
          <w:sz w:val="28"/>
          <w:szCs w:val="28"/>
          <w:lang w:val="en-US" w:eastAsia="ru-RU"/>
        </w:rPr>
        <w:t>Integrity</w:t>
      </w:r>
      <w:r w:rsidRPr="00CE2B36">
        <w:rPr>
          <w:rFonts w:ascii="Times New Roman" w:eastAsiaTheme="minorEastAsia" w:hAnsi="Times New Roman" w:cs="Times New Roman"/>
          <w:sz w:val="28"/>
          <w:szCs w:val="28"/>
          <w:lang w:eastAsia="ru-RU"/>
        </w:rPr>
        <w:t xml:space="preserve">, </w:t>
      </w:r>
      <w:r w:rsidRPr="00CE2B36">
        <w:rPr>
          <w:rFonts w:ascii="Times New Roman" w:eastAsiaTheme="minorEastAsia" w:hAnsi="Times New Roman" w:cs="Times New Roman"/>
          <w:iCs/>
          <w:sz w:val="28"/>
          <w:szCs w:val="28"/>
          <w:lang w:eastAsia="ru-RU"/>
        </w:rPr>
        <w:t>26</w:t>
      </w:r>
      <w:r w:rsidRPr="00CE2B36">
        <w:rPr>
          <w:rFonts w:ascii="Times New Roman" w:eastAsiaTheme="minorEastAsia" w:hAnsi="Times New Roman" w:cs="Times New Roman"/>
          <w:sz w:val="28"/>
          <w:szCs w:val="28"/>
          <w:lang w:eastAsia="ru-RU"/>
        </w:rPr>
        <w:t xml:space="preserve">(5), 520–538. </w:t>
      </w:r>
      <w:r w:rsidRPr="00CE2B36">
        <w:rPr>
          <w:rFonts w:ascii="Times New Roman" w:eastAsiaTheme="minorEastAsia" w:hAnsi="Times New Roman" w:cs="Times New Roman"/>
          <w:sz w:val="28"/>
          <w:szCs w:val="28"/>
          <w:lang w:val="en-US" w:eastAsia="ru-RU"/>
        </w:rPr>
        <w:t>https</w:t>
      </w:r>
      <w:r w:rsidRPr="00CE2B36">
        <w:rPr>
          <w:rFonts w:ascii="Times New Roman" w:eastAsiaTheme="minorEastAsia" w:hAnsi="Times New Roman" w:cs="Times New Roman"/>
          <w:sz w:val="28"/>
          <w:szCs w:val="28"/>
          <w:lang w:eastAsia="ru-RU"/>
        </w:rPr>
        <w:t>://</w:t>
      </w:r>
      <w:r w:rsidRPr="00CE2B36">
        <w:rPr>
          <w:rFonts w:ascii="Times New Roman" w:eastAsiaTheme="minorEastAsia" w:hAnsi="Times New Roman" w:cs="Times New Roman"/>
          <w:sz w:val="28"/>
          <w:szCs w:val="28"/>
          <w:lang w:val="en-US" w:eastAsia="ru-RU"/>
        </w:rPr>
        <w:t>doi</w:t>
      </w:r>
      <w:r w:rsidRPr="00CE2B36">
        <w:rPr>
          <w:rFonts w:ascii="Times New Roman" w:eastAsiaTheme="minorEastAsia" w:hAnsi="Times New Roman" w:cs="Times New Roman"/>
          <w:sz w:val="28"/>
          <w:szCs w:val="28"/>
          <w:lang w:eastAsia="ru-RU"/>
        </w:rPr>
        <w:t>.</w:t>
      </w:r>
      <w:r w:rsidRPr="00CE2B36">
        <w:rPr>
          <w:rFonts w:ascii="Times New Roman" w:eastAsiaTheme="minorEastAsia" w:hAnsi="Times New Roman" w:cs="Times New Roman"/>
          <w:sz w:val="28"/>
          <w:szCs w:val="28"/>
          <w:lang w:val="en-US" w:eastAsia="ru-RU"/>
        </w:rPr>
        <w:t>org</w:t>
      </w:r>
      <w:r w:rsidRPr="00CE2B36">
        <w:rPr>
          <w:rFonts w:ascii="Times New Roman" w:eastAsiaTheme="minorEastAsia" w:hAnsi="Times New Roman" w:cs="Times New Roman"/>
          <w:sz w:val="28"/>
          <w:szCs w:val="28"/>
          <w:lang w:eastAsia="ru-RU"/>
        </w:rPr>
        <w:t>/10.1080/10999922.2023.2256091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28 Баяхчева С. Л. Идеология гражданского общества и опыт России: автореф. дис. … канд. филос. наук. – Москва: </w:t>
      </w:r>
      <w:r w:rsidRPr="00CE2B36">
        <w:rPr>
          <w:rFonts w:ascii="Times New Roman" w:eastAsiaTheme="minorEastAsia" w:hAnsi="Times New Roman" w:cs="Times New Roman"/>
          <w:sz w:val="28"/>
          <w:szCs w:val="28"/>
          <w:lang w:val="en-US" w:eastAsia="ru-RU"/>
        </w:rPr>
        <w:t>PrintCopyCenter</w:t>
      </w:r>
      <w:r w:rsidRPr="00CE2B36">
        <w:rPr>
          <w:rFonts w:ascii="Times New Roman" w:eastAsiaTheme="minorEastAsia" w:hAnsi="Times New Roman" w:cs="Times New Roman"/>
          <w:sz w:val="28"/>
          <w:szCs w:val="28"/>
          <w:lang w:eastAsia="ru-RU"/>
        </w:rPr>
        <w:t>, 2006. – 163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29 Галкин А. П. Гражданское общество в России: формы существования и основные виды деятельности // Публичное пространство, гражданское общество и власть. – Москва: РОССПЭН, 2008. – С. 45–78.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val="en-US" w:eastAsia="ru-RU"/>
        </w:rPr>
        <w:t>30 Kemel Toktomushev (2023) Civil society, social capital and development in Central Asia, Central Asian Survey, 42:4, 710-725, DOI: 10.1080/02634937.2023.2244528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31</w:t>
      </w:r>
      <w:proofErr w:type="gramEnd"/>
      <w:r w:rsidRPr="00CE2B36">
        <w:rPr>
          <w:rFonts w:ascii="Times New Roman" w:eastAsiaTheme="minorEastAsia" w:hAnsi="Times New Roman" w:cs="Times New Roman"/>
          <w:sz w:val="28"/>
          <w:szCs w:val="28"/>
          <w:lang w:val="en-US" w:eastAsia="ru-RU"/>
        </w:rPr>
        <w:t xml:space="preserve"> Colin Knox &amp; Dina Sharipova (2024). Authoritarianism and civil society in Central Asia: Shifting boundaries, Journal of Civil Society, 20:2, 109-129, DOI: 10.1080/17448689.2024.2324874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32</w:t>
      </w:r>
      <w:proofErr w:type="gramEnd"/>
      <w:r w:rsidRPr="00CE2B36">
        <w:rPr>
          <w:rFonts w:ascii="Times New Roman" w:eastAsiaTheme="minorEastAsia" w:hAnsi="Times New Roman" w:cs="Times New Roman"/>
          <w:sz w:val="28"/>
          <w:szCs w:val="28"/>
          <w:lang w:val="en-US" w:eastAsia="ru-RU"/>
        </w:rPr>
        <w:t xml:space="preserve"> Rodriguez, S. M. (2025). Behind the trigger: democracy, neoliberalism, and civilian militarism in Latin America. </w:t>
      </w:r>
      <w:r w:rsidRPr="00CE2B36">
        <w:rPr>
          <w:rFonts w:ascii="Times New Roman" w:eastAsiaTheme="minorEastAsia" w:hAnsi="Times New Roman" w:cs="Times New Roman"/>
          <w:iCs/>
          <w:sz w:val="28"/>
          <w:szCs w:val="28"/>
          <w:lang w:val="en-US" w:eastAsia="ru-RU"/>
        </w:rPr>
        <w:t>Third World Quarterly</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Cs/>
          <w:sz w:val="28"/>
          <w:szCs w:val="28"/>
          <w:lang w:val="en-US" w:eastAsia="ru-RU"/>
        </w:rPr>
        <w:t>46</w:t>
      </w:r>
      <w:r w:rsidRPr="00CE2B36">
        <w:rPr>
          <w:rFonts w:ascii="Times New Roman" w:eastAsiaTheme="minorEastAsia" w:hAnsi="Times New Roman" w:cs="Times New Roman"/>
          <w:sz w:val="28"/>
          <w:szCs w:val="28"/>
          <w:lang w:val="en-US" w:eastAsia="ru-RU"/>
        </w:rPr>
        <w:t>(1), 1–19. https://doi.org/10.1080/01436597.2024.2433698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val="en-US" w:eastAsia="ru-RU"/>
        </w:rPr>
        <w:t xml:space="preserve">33 Scholte J. A. Civil society and democracy in global governance // </w:t>
      </w:r>
      <w:proofErr w:type="gramStart"/>
      <w:r w:rsidRPr="00CE2B36">
        <w:rPr>
          <w:rFonts w:ascii="Times New Roman" w:eastAsiaTheme="minorEastAsia" w:hAnsi="Times New Roman" w:cs="Times New Roman"/>
          <w:sz w:val="28"/>
          <w:szCs w:val="28"/>
          <w:lang w:val="en-US" w:eastAsia="ru-RU"/>
        </w:rPr>
        <w:t>The</w:t>
      </w:r>
      <w:proofErr w:type="gramEnd"/>
      <w:r w:rsidRPr="00CE2B36">
        <w:rPr>
          <w:rFonts w:ascii="Times New Roman" w:eastAsiaTheme="minorEastAsia" w:hAnsi="Times New Roman" w:cs="Times New Roman"/>
          <w:sz w:val="28"/>
          <w:szCs w:val="28"/>
          <w:lang w:val="en-US" w:eastAsia="ru-RU"/>
        </w:rPr>
        <w:t xml:space="preserve"> global governance reader / ed. by R. Wilkinson. – London: Routledge, 2002. – 753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34</w:t>
      </w:r>
      <w:proofErr w:type="gramEnd"/>
      <w:r w:rsidRPr="00CE2B36">
        <w:rPr>
          <w:rFonts w:ascii="Times New Roman" w:eastAsiaTheme="minorEastAsia" w:hAnsi="Times New Roman" w:cs="Times New Roman"/>
          <w:sz w:val="28"/>
          <w:szCs w:val="28"/>
          <w:lang w:val="en-US" w:eastAsia="ru-RU"/>
        </w:rPr>
        <w:t xml:space="preserve"> Kamila Rollan &amp; Michelle Somerton (2021). Inclusive education reform in Kazakhstan: civil society activism from the bottom-up, International Journal of Inclusive Education, 25:10, 1109-1124, DOI: 10.1080/13603116.2019.1599451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35 Волков Д. Перспективы гражданского общества в России // Общая тетрадь. – 2011. – № 2 (55). – С. 66–77.</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36 Матюхин А. Гражданское общество в Казахстане // Мысль. – 1993. – № 12. – С. 150–156.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lastRenderedPageBreak/>
        <w:t>37 Дюсенова М. М. Проблемы формирования гражданского общества в Республике Казахстан // Вестник АГУ. – 2009. – № 1. – С. 77–83.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38 Ибраева А. С. Идея правового государства как новая парадигма цивилизованного общества // Вестник КазНУ им. аль-Фараби. – 2000. – № 2. – С. 148–156.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39 Баймаханов М. Т. Становление правового государства и конституционный процесс в Республике Казахстан. – Алматы: КазГЮА, 2001. – 286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40 Баймаханов М. Т. Проблема этатизма. – Алматы: Данекер, 2001. – 335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41 Ценности и идеалы независимого Казахстана: коллективная монография / под общ. ред. З. К. Шаукеновой. – Алматы: Институт философии, политологии и религиоведения КН МОН РК, 2015. – 322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42</w:t>
      </w:r>
      <w:proofErr w:type="gramEnd"/>
      <w:r w:rsidRPr="00CE2B36">
        <w:rPr>
          <w:rFonts w:ascii="Times New Roman" w:eastAsiaTheme="minorEastAsia" w:hAnsi="Times New Roman" w:cs="Times New Roman"/>
          <w:sz w:val="28"/>
          <w:szCs w:val="28"/>
          <w:lang w:val="en-US" w:eastAsia="ru-RU"/>
        </w:rPr>
        <w:t xml:space="preserve"> Bizhanov A., Amrebaev A., Burova E., Seitakhmetova N. The politics of secularity/religiosity in Kazakhstan // Central Asia and the Caucasus. – 2019. – Vol. 20, No. 4. – P. 135–146.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43</w:t>
      </w:r>
      <w:proofErr w:type="gramEnd"/>
      <w:r w:rsidRPr="00CE2B36">
        <w:rPr>
          <w:rFonts w:ascii="Times New Roman" w:eastAsiaTheme="minorEastAsia" w:hAnsi="Times New Roman" w:cs="Times New Roman"/>
          <w:sz w:val="28"/>
          <w:szCs w:val="28"/>
          <w:lang w:val="en-US" w:eastAsia="ru-RU"/>
        </w:rPr>
        <w:t xml:space="preserve"> Bakhytzhan Kurmanov, Urazgali Selteyev &amp; Anuar Almaganbetov (2024). </w:t>
      </w:r>
      <w:r w:rsidRPr="00CE2B36">
        <w:rPr>
          <w:rFonts w:ascii="Times New Roman" w:eastAsiaTheme="minorEastAsia" w:hAnsi="Times New Roman" w:cs="Times New Roman"/>
          <w:bCs/>
          <w:sz w:val="28"/>
          <w:szCs w:val="28"/>
          <w:lang w:val="en-US" w:eastAsia="ru-RU"/>
        </w:rPr>
        <w:t>‘Listening State?</w:t>
      </w:r>
      <w:proofErr w:type="gramStart"/>
      <w:r w:rsidRPr="00CE2B36">
        <w:rPr>
          <w:rFonts w:ascii="Times New Roman" w:eastAsiaTheme="minorEastAsia" w:hAnsi="Times New Roman" w:cs="Times New Roman"/>
          <w:bCs/>
          <w:sz w:val="28"/>
          <w:szCs w:val="28"/>
          <w:lang w:val="en-US" w:eastAsia="ru-RU"/>
        </w:rPr>
        <w:t>’</w:t>
      </w:r>
      <w:r w:rsidRPr="00CE2B36">
        <w:rPr>
          <w:rFonts w:ascii="Times New Roman" w:eastAsiaTheme="minorEastAsia" w:hAnsi="Times New Roman" w:cs="Times New Roman"/>
          <w:sz w:val="28"/>
          <w:szCs w:val="28"/>
          <w:lang w:val="en-US" w:eastAsia="ru-RU"/>
        </w:rPr>
        <w:t>:</w:t>
      </w:r>
      <w:proofErr w:type="gramEnd"/>
      <w:r w:rsidRPr="00CE2B36">
        <w:rPr>
          <w:rFonts w:ascii="Times New Roman" w:eastAsiaTheme="minorEastAsia" w:hAnsi="Times New Roman" w:cs="Times New Roman"/>
          <w:sz w:val="28"/>
          <w:szCs w:val="28"/>
          <w:lang w:val="en-US" w:eastAsia="ru-RU"/>
        </w:rPr>
        <w:t xml:space="preserve"> exploring citizens’ perceptions of Open Government in Tokayev’s Kazakhstan, Central Asian Survey, 43:2, 235-256, DOI: 10.1080/02634937.2023.2268652</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44 Зайниева Л.Ю, Калетаев Д.А., Шойкин Г.Н. Молодежь Казахстана в условиях демократизации общественных и экономических отношений. – Астана: Елорда, 2004. – 272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proofErr w:type="gramStart"/>
      <w:r w:rsidRPr="00CE2B36">
        <w:rPr>
          <w:rFonts w:ascii="Times New Roman" w:eastAsiaTheme="minorEastAsia" w:hAnsi="Times New Roman" w:cs="Times New Roman"/>
          <w:sz w:val="28"/>
          <w:szCs w:val="28"/>
          <w:lang w:val="en-US" w:eastAsia="ru-RU"/>
        </w:rPr>
        <w:t>45</w:t>
      </w:r>
      <w:proofErr w:type="gramEnd"/>
      <w:r w:rsidRPr="00CE2B36">
        <w:rPr>
          <w:rFonts w:ascii="Times New Roman" w:eastAsiaTheme="minorEastAsia" w:hAnsi="Times New Roman" w:cs="Times New Roman"/>
          <w:sz w:val="28"/>
          <w:szCs w:val="28"/>
          <w:lang w:val="en-US" w:eastAsia="ru-RU"/>
        </w:rPr>
        <w:t xml:space="preserve"> Rakisheva, G., Lepeshev, D., Zakhlebayeva, V., Abibulayeva, A., &amp; Alkhatova, T. (2024). Youth Work in the Republic of Kazakhstan: State and Prospects of Development. </w:t>
      </w:r>
      <w:r w:rsidRPr="00CE2B36">
        <w:rPr>
          <w:rFonts w:ascii="Times New Roman" w:eastAsiaTheme="minorEastAsia" w:hAnsi="Times New Roman" w:cs="Times New Roman"/>
          <w:iCs/>
          <w:sz w:val="28"/>
          <w:szCs w:val="28"/>
          <w:lang w:eastAsia="ru-RU"/>
        </w:rPr>
        <w:t>Child &amp; Youth Services</w:t>
      </w:r>
      <w:r w:rsidRPr="00CE2B36">
        <w:rPr>
          <w:rFonts w:ascii="Times New Roman" w:eastAsiaTheme="minorEastAsia" w:hAnsi="Times New Roman" w:cs="Times New Roman"/>
          <w:sz w:val="28"/>
          <w:szCs w:val="28"/>
          <w:lang w:eastAsia="ru-RU"/>
        </w:rPr>
        <w:t>, 1–21. https://doi.org/10.1080/0145935X.2024.2427918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46 Электоральная демократия: международный опыт и президентские выборы в Казахстане: материалы междунар. конф. (Алматы, 10 марта 2011 г.). – Алматы: КИСИ при Президенте РК, 2011. – 64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47 Бижанов А. Х. Республика Казахстан: демократическая модернизация общества переходного периода. – Алматы: Өнер, 1997. – 253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48 Булуктаев Ю. О. Политический режим и посткоммунистическая трансформация: теория, методология, практика. – Алматы: ИМЭП, 2008. – 384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49 Булуктаев Ю. О. Партийно-политическое строительство в Республике Казахстан (1991–2012 гг.). Кн. 1: Становление многопартийности. 1990-е гг. – Алматы: КИСИ при Президенте РК, 2012. – 240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50 Федорова А. Е. Понятие «гражданин» в гражданском обществе // Журнал социогуманитарных исследований «Аль-Фараби». – 2018. – № 1 (61). – С. 112–128.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51</w:t>
      </w:r>
      <w:proofErr w:type="gramEnd"/>
      <w:r w:rsidRPr="00CE2B36">
        <w:rPr>
          <w:rFonts w:ascii="Times New Roman" w:eastAsiaTheme="minorEastAsia" w:hAnsi="Times New Roman" w:cs="Times New Roman"/>
          <w:sz w:val="28"/>
          <w:szCs w:val="28"/>
          <w:lang w:val="en-US" w:eastAsia="ru-RU"/>
        </w:rPr>
        <w:t xml:space="preserve"> Fjodorova A. Critical analysis of theoretical perspectives on civil society // </w:t>
      </w:r>
      <w:r w:rsidRPr="00CE2B36">
        <w:rPr>
          <w:rFonts w:ascii="Times New Roman" w:eastAsiaTheme="minorEastAsia" w:hAnsi="Times New Roman" w:cs="Times New Roman"/>
          <w:sz w:val="28"/>
          <w:szCs w:val="28"/>
          <w:lang w:eastAsia="ru-RU"/>
        </w:rPr>
        <w:t>Журнал</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sz w:val="28"/>
          <w:szCs w:val="28"/>
          <w:lang w:eastAsia="ru-RU"/>
        </w:rPr>
        <w:t>социогуманитарных</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sz w:val="28"/>
          <w:szCs w:val="28"/>
          <w:lang w:eastAsia="ru-RU"/>
        </w:rPr>
        <w:t>исследований</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sz w:val="28"/>
          <w:szCs w:val="28"/>
          <w:lang w:eastAsia="ru-RU"/>
        </w:rPr>
        <w:t>Аль</w:t>
      </w:r>
      <w:r w:rsidRPr="00CE2B36">
        <w:rPr>
          <w:rFonts w:ascii="Times New Roman" w:eastAsiaTheme="minorEastAsia" w:hAnsi="Times New Roman" w:cs="Times New Roman"/>
          <w:sz w:val="28"/>
          <w:szCs w:val="28"/>
          <w:lang w:val="en-US" w:eastAsia="ru-RU"/>
        </w:rPr>
        <w:t>-</w:t>
      </w:r>
      <w:r w:rsidRPr="00CE2B36">
        <w:rPr>
          <w:rFonts w:ascii="Times New Roman" w:eastAsiaTheme="minorEastAsia" w:hAnsi="Times New Roman" w:cs="Times New Roman"/>
          <w:sz w:val="28"/>
          <w:szCs w:val="28"/>
          <w:lang w:eastAsia="ru-RU"/>
        </w:rPr>
        <w:t>Фараби</w:t>
      </w:r>
      <w:r w:rsidRPr="00CE2B36">
        <w:rPr>
          <w:rFonts w:ascii="Times New Roman" w:eastAsiaTheme="minorEastAsia" w:hAnsi="Times New Roman" w:cs="Times New Roman"/>
          <w:sz w:val="28"/>
          <w:szCs w:val="28"/>
          <w:lang w:val="en-US" w:eastAsia="ru-RU"/>
        </w:rPr>
        <w:t>». – 2019. – № 3 (67). – P. 106–121.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lastRenderedPageBreak/>
        <w:t>52 Федорова А. Е. Дефиниции гражданского общества в посткоммунистических и либерально-демократических государствах: общее и особенное (на примере Казахстана) // Журнал социогуманитарных исследований «Аль-Фараби». – 2020. – № 2 (70). – С. 123–133.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53</w:t>
      </w:r>
      <w:proofErr w:type="gramEnd"/>
      <w:r w:rsidRPr="00CE2B36">
        <w:rPr>
          <w:rFonts w:ascii="Times New Roman" w:eastAsiaTheme="minorEastAsia" w:hAnsi="Times New Roman" w:cs="Times New Roman"/>
          <w:sz w:val="28"/>
          <w:szCs w:val="28"/>
          <w:lang w:val="en-US" w:eastAsia="ru-RU"/>
        </w:rPr>
        <w:t xml:space="preserve"> Scott W. R. Organizations: rational, natural and open systems. – Englewood Cliffs, NJ: Prentice Hall, 1981. – 381 </w:t>
      </w:r>
      <w:r w:rsidRPr="00CE2B36">
        <w:rPr>
          <w:rFonts w:ascii="Times New Roman" w:eastAsiaTheme="minorEastAsia" w:hAnsi="Times New Roman" w:cs="Times New Roman"/>
          <w:sz w:val="28"/>
          <w:szCs w:val="28"/>
          <w:lang w:eastAsia="ru-RU"/>
        </w:rPr>
        <w:t>рр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54</w:t>
      </w:r>
      <w:proofErr w:type="gramEnd"/>
      <w:r w:rsidRPr="00CE2B36">
        <w:rPr>
          <w:rFonts w:ascii="Times New Roman" w:eastAsiaTheme="minorEastAsia" w:hAnsi="Times New Roman" w:cs="Times New Roman"/>
          <w:sz w:val="28"/>
          <w:szCs w:val="28"/>
          <w:lang w:val="en-US" w:eastAsia="ru-RU"/>
        </w:rPr>
        <w:t xml:space="preserve"> Hasmath, R., Hildebrandt, T., &amp; Hsu, J. Y. J. (2019). Conceptualizing government-organized non-governmental organizations. </w:t>
      </w:r>
      <w:r w:rsidRPr="00CE2B36">
        <w:rPr>
          <w:rFonts w:ascii="Times New Roman" w:eastAsiaTheme="minorEastAsia" w:hAnsi="Times New Roman" w:cs="Times New Roman"/>
          <w:iCs/>
          <w:sz w:val="28"/>
          <w:szCs w:val="28"/>
          <w:lang w:val="en-US" w:eastAsia="ru-RU"/>
        </w:rPr>
        <w:t>Journal of Civil Society</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Cs/>
          <w:sz w:val="28"/>
          <w:szCs w:val="28"/>
          <w:lang w:val="en-US" w:eastAsia="ru-RU"/>
        </w:rPr>
        <w:t>15</w:t>
      </w:r>
      <w:r w:rsidRPr="00CE2B36">
        <w:rPr>
          <w:rFonts w:ascii="Times New Roman" w:eastAsiaTheme="minorEastAsia" w:hAnsi="Times New Roman" w:cs="Times New Roman"/>
          <w:sz w:val="28"/>
          <w:szCs w:val="28"/>
          <w:lang w:val="en-US" w:eastAsia="ru-RU"/>
        </w:rPr>
        <w:t>(3), 267–284. https://doi.org/10.1080/17448689.2019.1632549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55</w:t>
      </w:r>
      <w:proofErr w:type="gramEnd"/>
      <w:r w:rsidRPr="00CE2B36">
        <w:rPr>
          <w:rFonts w:ascii="Times New Roman" w:eastAsiaTheme="minorEastAsia" w:hAnsi="Times New Roman" w:cs="Times New Roman"/>
          <w:sz w:val="28"/>
          <w:szCs w:val="28"/>
          <w:lang w:val="en-US" w:eastAsia="ru-RU"/>
        </w:rPr>
        <w:t xml:space="preserve"> Willis, C., &amp; Stoecker, R. (2013). Grassroots organizations and leadership education. </w:t>
      </w:r>
      <w:r w:rsidRPr="00CE2B36">
        <w:rPr>
          <w:rFonts w:ascii="Times New Roman" w:eastAsiaTheme="minorEastAsia" w:hAnsi="Times New Roman" w:cs="Times New Roman"/>
          <w:iCs/>
          <w:sz w:val="28"/>
          <w:szCs w:val="28"/>
          <w:lang w:val="en-US" w:eastAsia="ru-RU"/>
        </w:rPr>
        <w:t>Community Development</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Cs/>
          <w:sz w:val="28"/>
          <w:szCs w:val="28"/>
          <w:lang w:val="en-US" w:eastAsia="ru-RU"/>
        </w:rPr>
        <w:t>44</w:t>
      </w:r>
      <w:r w:rsidRPr="00CE2B36">
        <w:rPr>
          <w:rFonts w:ascii="Times New Roman" w:eastAsiaTheme="minorEastAsia" w:hAnsi="Times New Roman" w:cs="Times New Roman"/>
          <w:sz w:val="28"/>
          <w:szCs w:val="28"/>
          <w:lang w:val="en-US" w:eastAsia="ru-RU"/>
        </w:rPr>
        <w:t>(4), 441–455. https://doi.org/10.1080/15575330.2013.810295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56</w:t>
      </w:r>
      <w:proofErr w:type="gramEnd"/>
      <w:r w:rsidRPr="00CE2B36">
        <w:rPr>
          <w:rFonts w:ascii="Times New Roman" w:eastAsiaTheme="minorEastAsia" w:hAnsi="Times New Roman" w:cs="Times New Roman"/>
          <w:sz w:val="28"/>
          <w:szCs w:val="28"/>
          <w:lang w:val="en-US" w:eastAsia="ru-RU"/>
        </w:rPr>
        <w:t xml:space="preserve"> North D. Institutions, institutional change and economic performance. – Cambridge: Cambridge University Press, 1990. – 164</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val="en-US" w:eastAsia="ru-RU"/>
        </w:rPr>
        <w:t xml:space="preserve">57 Rootes Ch. Shaping collective action: structure, contingency and knowledge // </w:t>
      </w:r>
      <w:proofErr w:type="gramStart"/>
      <w:r w:rsidRPr="00CE2B36">
        <w:rPr>
          <w:rFonts w:ascii="Times New Roman" w:eastAsiaTheme="minorEastAsia" w:hAnsi="Times New Roman" w:cs="Times New Roman"/>
          <w:sz w:val="28"/>
          <w:szCs w:val="28"/>
          <w:lang w:val="en-US" w:eastAsia="ru-RU"/>
        </w:rPr>
        <w:t>The</w:t>
      </w:r>
      <w:proofErr w:type="gramEnd"/>
      <w:r w:rsidRPr="00CE2B36">
        <w:rPr>
          <w:rFonts w:ascii="Times New Roman" w:eastAsiaTheme="minorEastAsia" w:hAnsi="Times New Roman" w:cs="Times New Roman"/>
          <w:sz w:val="28"/>
          <w:szCs w:val="28"/>
          <w:lang w:val="en-US" w:eastAsia="ru-RU"/>
        </w:rPr>
        <w:t xml:space="preserve"> political context of collective action / ed. by R. Edmonson. – London; New York: Routledge, 1997. – 24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58</w:t>
      </w:r>
      <w:proofErr w:type="gramEnd"/>
      <w:r w:rsidRPr="00CE2B36">
        <w:rPr>
          <w:rFonts w:ascii="Times New Roman" w:eastAsiaTheme="minorEastAsia" w:hAnsi="Times New Roman" w:cs="Times New Roman"/>
          <w:sz w:val="28"/>
          <w:szCs w:val="28"/>
          <w:lang w:val="en-US" w:eastAsia="ru-RU"/>
        </w:rPr>
        <w:t xml:space="preserve"> Clemens E. S. Organizational form as frame: collective identity and political strategy in the American labor movement // Comparative perspectives on social movements / ed. by D. McAdam, J. McCarthy, M. N. Zald. – Cambridge; New York: Cambridge University Press, 1996. – P. 205–225.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59</w:t>
      </w:r>
      <w:proofErr w:type="gramEnd"/>
      <w:r w:rsidRPr="00CE2B36">
        <w:rPr>
          <w:rFonts w:ascii="Times New Roman" w:eastAsiaTheme="minorEastAsia" w:hAnsi="Times New Roman" w:cs="Times New Roman"/>
          <w:sz w:val="28"/>
          <w:szCs w:val="28"/>
          <w:lang w:val="en-US" w:eastAsia="ru-RU"/>
        </w:rPr>
        <w:t xml:space="preserve"> Gamson W. The strategy of social protest. – </w:t>
      </w:r>
      <w:proofErr w:type="gramStart"/>
      <w:r w:rsidRPr="00CE2B36">
        <w:rPr>
          <w:rFonts w:ascii="Times New Roman" w:eastAsiaTheme="minorEastAsia" w:hAnsi="Times New Roman" w:cs="Times New Roman"/>
          <w:sz w:val="28"/>
          <w:szCs w:val="28"/>
          <w:lang w:val="en-US" w:eastAsia="ru-RU"/>
        </w:rPr>
        <w:t>2nd</w:t>
      </w:r>
      <w:proofErr w:type="gramEnd"/>
      <w:r w:rsidRPr="00CE2B36">
        <w:rPr>
          <w:rFonts w:ascii="Times New Roman" w:eastAsiaTheme="minorEastAsia" w:hAnsi="Times New Roman" w:cs="Times New Roman"/>
          <w:sz w:val="28"/>
          <w:szCs w:val="28"/>
          <w:lang w:val="en-US" w:eastAsia="ru-RU"/>
        </w:rPr>
        <w:t xml:space="preserve"> ed. – Belmont, CA: Wadsworth, 1990. – 185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60</w:t>
      </w:r>
      <w:proofErr w:type="gramEnd"/>
      <w:r w:rsidRPr="00CE2B36">
        <w:rPr>
          <w:rFonts w:ascii="Times New Roman" w:eastAsiaTheme="minorEastAsia" w:hAnsi="Times New Roman" w:cs="Times New Roman"/>
          <w:sz w:val="28"/>
          <w:szCs w:val="28"/>
          <w:lang w:val="en-US" w:eastAsia="ru-RU"/>
        </w:rPr>
        <w:t xml:space="preserve"> Burstein P., Rachel L., Hollander J. A. The success of political movements: a bargaining perspective // </w:t>
      </w:r>
      <w:proofErr w:type="gramStart"/>
      <w:r w:rsidRPr="00CE2B36">
        <w:rPr>
          <w:rFonts w:ascii="Times New Roman" w:eastAsiaTheme="minorEastAsia" w:hAnsi="Times New Roman" w:cs="Times New Roman"/>
          <w:sz w:val="28"/>
          <w:szCs w:val="28"/>
          <w:lang w:val="en-US" w:eastAsia="ru-RU"/>
        </w:rPr>
        <w:t>The</w:t>
      </w:r>
      <w:proofErr w:type="gramEnd"/>
      <w:r w:rsidRPr="00CE2B36">
        <w:rPr>
          <w:rFonts w:ascii="Times New Roman" w:eastAsiaTheme="minorEastAsia" w:hAnsi="Times New Roman" w:cs="Times New Roman"/>
          <w:sz w:val="28"/>
          <w:szCs w:val="28"/>
          <w:lang w:val="en-US" w:eastAsia="ru-RU"/>
        </w:rPr>
        <w:t xml:space="preserve"> politics of social protest / ed. by J. C. Jenkins, B. Klandermans. – Minneapolis: University of Minnesota Press, 1995. – P. 275–295.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61</w:t>
      </w:r>
      <w:proofErr w:type="gramEnd"/>
      <w:r w:rsidRPr="00CE2B36">
        <w:rPr>
          <w:rFonts w:ascii="Times New Roman" w:eastAsiaTheme="minorEastAsia" w:hAnsi="Times New Roman" w:cs="Times New Roman"/>
          <w:sz w:val="28"/>
          <w:szCs w:val="28"/>
          <w:lang w:val="en-US" w:eastAsia="ru-RU"/>
        </w:rPr>
        <w:t xml:space="preserve"> Cress D. M., Snow D. A. The outcomes of homeless mobilization: the influence of organization, disruption, political mediation, and framing // American Journal of Sociology. – 2000. – Vol. 105. – P. 1065–1104.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62</w:t>
      </w:r>
      <w:proofErr w:type="gramEnd"/>
      <w:r w:rsidRPr="00CE2B36">
        <w:rPr>
          <w:rFonts w:ascii="Times New Roman" w:eastAsiaTheme="minorEastAsia" w:hAnsi="Times New Roman" w:cs="Times New Roman"/>
          <w:sz w:val="28"/>
          <w:szCs w:val="28"/>
          <w:lang w:val="en-US" w:eastAsia="ru-RU"/>
        </w:rPr>
        <w:t xml:space="preserve"> Anheier H. K., Salamon L. M. The nonprofit sector in comparative perspective // </w:t>
      </w:r>
      <w:proofErr w:type="gramStart"/>
      <w:r w:rsidRPr="00CE2B36">
        <w:rPr>
          <w:rFonts w:ascii="Times New Roman" w:eastAsiaTheme="minorEastAsia" w:hAnsi="Times New Roman" w:cs="Times New Roman"/>
          <w:sz w:val="28"/>
          <w:szCs w:val="28"/>
          <w:lang w:val="en-US" w:eastAsia="ru-RU"/>
        </w:rPr>
        <w:t>The</w:t>
      </w:r>
      <w:proofErr w:type="gramEnd"/>
      <w:r w:rsidRPr="00CE2B36">
        <w:rPr>
          <w:rFonts w:ascii="Times New Roman" w:eastAsiaTheme="minorEastAsia" w:hAnsi="Times New Roman" w:cs="Times New Roman"/>
          <w:sz w:val="28"/>
          <w:szCs w:val="28"/>
          <w:lang w:val="en-US" w:eastAsia="ru-RU"/>
        </w:rPr>
        <w:t xml:space="preserve"> nonprofit sector: a research handbook / ed. by W. W. Powell, R. Steinberg. – New Haven, CT: Yale University Press, 2006. – 672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63 Булуктаев Ю. О. Политический режим и посткоммунистическая трансформация: теория, методология, практика. – Алматы: ИМЭП при Фонде Первого Президента Республики Казахстан, 2008. – 384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64</w:t>
      </w:r>
      <w:proofErr w:type="gramEnd"/>
      <w:r w:rsidRPr="00CE2B36">
        <w:rPr>
          <w:rFonts w:ascii="Times New Roman" w:eastAsiaTheme="minorEastAsia" w:hAnsi="Times New Roman" w:cs="Times New Roman"/>
          <w:sz w:val="28"/>
          <w:szCs w:val="28"/>
          <w:lang w:val="en-US" w:eastAsia="ru-RU"/>
        </w:rPr>
        <w:t xml:space="preserve"> Tvedt T. Angels of mercy or development diplomats? NGOs and foreign aid. – London: James Currey, 1998. – P. 13–15.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65</w:t>
      </w:r>
      <w:proofErr w:type="gramEnd"/>
      <w:r w:rsidRPr="00CE2B36">
        <w:rPr>
          <w:rFonts w:ascii="Times New Roman" w:eastAsiaTheme="minorEastAsia" w:hAnsi="Times New Roman" w:cs="Times New Roman"/>
          <w:sz w:val="28"/>
          <w:szCs w:val="28"/>
          <w:lang w:val="en-US" w:eastAsia="ru-RU"/>
        </w:rPr>
        <w:t xml:space="preserve"> Pierson P. Politics in time: history, institutions, and social analysis. – Princeton, NJ: Princeton University Press, 2004. – 208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66 Абишева М. А. Особенности развития демократических процессов в Казахстане // Казахстан-СПЕКТР. – 2006. – № 4. – С. 7.</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roofErr w:type="gramStart"/>
      <w:r w:rsidRPr="00CE2B36">
        <w:rPr>
          <w:rFonts w:ascii="Times New Roman" w:eastAsiaTheme="minorEastAsia" w:hAnsi="Times New Roman" w:cs="Times New Roman"/>
          <w:bCs/>
          <w:sz w:val="28"/>
          <w:szCs w:val="28"/>
          <w:lang w:val="en-US" w:eastAsia="ru-RU"/>
        </w:rPr>
        <w:t>67</w:t>
      </w:r>
      <w:proofErr w:type="gramEnd"/>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sz w:val="28"/>
          <w:szCs w:val="28"/>
          <w:lang w:val="en-US" w:eastAsia="ru-RU"/>
        </w:rPr>
        <w:t xml:space="preserve">Kleinschmit, S. W., &amp; Edwards, V. (2017). Examining the Ethics of Government-Organized Nongovernmental Organizations (GONGOs). </w:t>
      </w:r>
      <w:r w:rsidRPr="00CE2B36">
        <w:rPr>
          <w:rFonts w:ascii="Times New Roman" w:eastAsiaTheme="minorEastAsia" w:hAnsi="Times New Roman" w:cs="Times New Roman"/>
          <w:i/>
          <w:iCs/>
          <w:sz w:val="28"/>
          <w:szCs w:val="28"/>
          <w:lang w:val="en-US" w:eastAsia="ru-RU"/>
        </w:rPr>
        <w:t>Public</w:t>
      </w:r>
      <w:r w:rsidRPr="00CE2B36">
        <w:rPr>
          <w:rFonts w:ascii="Times New Roman" w:eastAsiaTheme="minorEastAsia" w:hAnsi="Times New Roman" w:cs="Times New Roman"/>
          <w:i/>
          <w:iCs/>
          <w:sz w:val="28"/>
          <w:szCs w:val="28"/>
          <w:lang w:eastAsia="ru-RU"/>
        </w:rPr>
        <w:t xml:space="preserve"> </w:t>
      </w:r>
      <w:r w:rsidRPr="00CE2B36">
        <w:rPr>
          <w:rFonts w:ascii="Times New Roman" w:eastAsiaTheme="minorEastAsia" w:hAnsi="Times New Roman" w:cs="Times New Roman"/>
          <w:i/>
          <w:iCs/>
          <w:sz w:val="28"/>
          <w:szCs w:val="28"/>
          <w:lang w:val="en-US" w:eastAsia="ru-RU"/>
        </w:rPr>
        <w:t>Integrity</w:t>
      </w:r>
      <w:r w:rsidRPr="00CE2B36">
        <w:rPr>
          <w:rFonts w:ascii="Times New Roman" w:eastAsiaTheme="minorEastAsia" w:hAnsi="Times New Roman" w:cs="Times New Roman"/>
          <w:sz w:val="28"/>
          <w:szCs w:val="28"/>
          <w:lang w:eastAsia="ru-RU"/>
        </w:rPr>
        <w:t xml:space="preserve">, </w:t>
      </w:r>
      <w:r w:rsidRPr="00CE2B36">
        <w:rPr>
          <w:rFonts w:ascii="Times New Roman" w:eastAsiaTheme="minorEastAsia" w:hAnsi="Times New Roman" w:cs="Times New Roman"/>
          <w:i/>
          <w:iCs/>
          <w:sz w:val="28"/>
          <w:szCs w:val="28"/>
          <w:lang w:eastAsia="ru-RU"/>
        </w:rPr>
        <w:t>19</w:t>
      </w:r>
      <w:r w:rsidRPr="00CE2B36">
        <w:rPr>
          <w:rFonts w:ascii="Times New Roman" w:eastAsiaTheme="minorEastAsia" w:hAnsi="Times New Roman" w:cs="Times New Roman"/>
          <w:sz w:val="28"/>
          <w:szCs w:val="28"/>
          <w:lang w:eastAsia="ru-RU"/>
        </w:rPr>
        <w:t xml:space="preserve">(5), 529–546. </w:t>
      </w:r>
      <w:r w:rsidRPr="00CE2B36">
        <w:rPr>
          <w:rFonts w:ascii="Times New Roman" w:eastAsiaTheme="minorEastAsia" w:hAnsi="Times New Roman" w:cs="Times New Roman"/>
          <w:sz w:val="28"/>
          <w:szCs w:val="28"/>
          <w:lang w:val="en-US" w:eastAsia="ru-RU"/>
        </w:rPr>
        <w:t>https</w:t>
      </w:r>
      <w:r w:rsidRPr="00CE2B36">
        <w:rPr>
          <w:rFonts w:ascii="Times New Roman" w:eastAsiaTheme="minorEastAsia" w:hAnsi="Times New Roman" w:cs="Times New Roman"/>
          <w:sz w:val="28"/>
          <w:szCs w:val="28"/>
          <w:lang w:eastAsia="ru-RU"/>
        </w:rPr>
        <w:t>://</w:t>
      </w:r>
      <w:r w:rsidRPr="00CE2B36">
        <w:rPr>
          <w:rFonts w:ascii="Times New Roman" w:eastAsiaTheme="minorEastAsia" w:hAnsi="Times New Roman" w:cs="Times New Roman"/>
          <w:sz w:val="28"/>
          <w:szCs w:val="28"/>
          <w:lang w:val="en-US" w:eastAsia="ru-RU"/>
        </w:rPr>
        <w:t>doi</w:t>
      </w:r>
      <w:r w:rsidRPr="00CE2B36">
        <w:rPr>
          <w:rFonts w:ascii="Times New Roman" w:eastAsiaTheme="minorEastAsia" w:hAnsi="Times New Roman" w:cs="Times New Roman"/>
          <w:sz w:val="28"/>
          <w:szCs w:val="28"/>
          <w:lang w:eastAsia="ru-RU"/>
        </w:rPr>
        <w:t>.</w:t>
      </w:r>
      <w:r w:rsidRPr="00CE2B36">
        <w:rPr>
          <w:rFonts w:ascii="Times New Roman" w:eastAsiaTheme="minorEastAsia" w:hAnsi="Times New Roman" w:cs="Times New Roman"/>
          <w:sz w:val="28"/>
          <w:szCs w:val="28"/>
          <w:lang w:val="en-US" w:eastAsia="ru-RU"/>
        </w:rPr>
        <w:t>org</w:t>
      </w:r>
      <w:r w:rsidRPr="00CE2B36">
        <w:rPr>
          <w:rFonts w:ascii="Times New Roman" w:eastAsiaTheme="minorEastAsia" w:hAnsi="Times New Roman" w:cs="Times New Roman"/>
          <w:sz w:val="28"/>
          <w:szCs w:val="28"/>
          <w:lang w:eastAsia="ru-RU"/>
        </w:rPr>
        <w:t>/10.1080/10999922.2017.1312213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lastRenderedPageBreak/>
        <w:t xml:space="preserve">68 </w:t>
      </w:r>
      <w:r w:rsidRPr="00CE2B36">
        <w:rPr>
          <w:rFonts w:ascii="Times New Roman" w:eastAsiaTheme="minorEastAsia" w:hAnsi="Times New Roman" w:cs="Times New Roman"/>
          <w:bCs/>
          <w:sz w:val="28"/>
          <w:szCs w:val="28"/>
          <w:lang w:eastAsia="ru-RU"/>
        </w:rPr>
        <w:t xml:space="preserve">Лушников Д. А. Организованные правительством неправительственные организации (GONGO): генезис проблематики, интерпретация и функции. – Полис. Политические исследования. – 2019. – № 2. – С. 137-148. </w:t>
      </w:r>
      <w:hyperlink r:id="rId74" w:history="1">
        <w:r w:rsidRPr="00CE2B36">
          <w:rPr>
            <w:rFonts w:ascii="Times New Roman" w:eastAsiaTheme="minorEastAsia" w:hAnsi="Times New Roman" w:cs="Times New Roman"/>
            <w:bCs/>
            <w:color w:val="DE2D24"/>
            <w:sz w:val="28"/>
            <w:szCs w:val="28"/>
            <w:u w:val="single"/>
            <w:lang w:eastAsia="ru-RU"/>
          </w:rPr>
          <w:t>https://doi.org/10.17976/jpps/2019.02.10</w:t>
        </w:r>
      </w:hyperlink>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eastAsia="ru-RU"/>
        </w:rPr>
        <w:t xml:space="preserve">69 </w:t>
      </w:r>
      <w:r w:rsidRPr="00CE2B36">
        <w:rPr>
          <w:rFonts w:ascii="Times New Roman" w:eastAsiaTheme="minorEastAsia" w:hAnsi="Times New Roman" w:cs="Times New Roman"/>
          <w:sz w:val="28"/>
          <w:szCs w:val="28"/>
          <w:lang w:val="en-US" w:eastAsia="ru-RU"/>
        </w:rPr>
        <w:t>Proctor</w:t>
      </w:r>
      <w:r w:rsidRPr="00CE2B36">
        <w:rPr>
          <w:rFonts w:ascii="Times New Roman" w:eastAsiaTheme="minorEastAsia" w:hAnsi="Times New Roman" w:cs="Times New Roman"/>
          <w:sz w:val="28"/>
          <w:szCs w:val="28"/>
          <w:lang w:eastAsia="ru-RU"/>
        </w:rPr>
        <w:t xml:space="preserve">, </w:t>
      </w:r>
      <w:r w:rsidRPr="00CE2B36">
        <w:rPr>
          <w:rFonts w:ascii="Times New Roman" w:eastAsiaTheme="minorEastAsia" w:hAnsi="Times New Roman" w:cs="Times New Roman"/>
          <w:sz w:val="28"/>
          <w:szCs w:val="28"/>
          <w:lang w:val="en-US" w:eastAsia="ru-RU"/>
        </w:rPr>
        <w:t>H</w:t>
      </w:r>
      <w:r w:rsidRPr="00CE2B36">
        <w:rPr>
          <w:rFonts w:ascii="Times New Roman" w:eastAsiaTheme="minorEastAsia" w:hAnsi="Times New Roman" w:cs="Times New Roman"/>
          <w:sz w:val="28"/>
          <w:szCs w:val="28"/>
          <w:lang w:eastAsia="ru-RU"/>
        </w:rPr>
        <w:t xml:space="preserve">., </w:t>
      </w:r>
      <w:r w:rsidRPr="00CE2B36">
        <w:rPr>
          <w:rFonts w:ascii="Times New Roman" w:eastAsiaTheme="minorEastAsia" w:hAnsi="Times New Roman" w:cs="Times New Roman"/>
          <w:sz w:val="28"/>
          <w:szCs w:val="28"/>
          <w:lang w:val="en-US" w:eastAsia="ru-RU"/>
        </w:rPr>
        <w:t>Gerrard</w:t>
      </w:r>
      <w:r w:rsidRPr="00CE2B36">
        <w:rPr>
          <w:rFonts w:ascii="Times New Roman" w:eastAsiaTheme="minorEastAsia" w:hAnsi="Times New Roman" w:cs="Times New Roman"/>
          <w:sz w:val="28"/>
          <w:szCs w:val="28"/>
          <w:lang w:eastAsia="ru-RU"/>
        </w:rPr>
        <w:t xml:space="preserve">, </w:t>
      </w:r>
      <w:r w:rsidRPr="00CE2B36">
        <w:rPr>
          <w:rFonts w:ascii="Times New Roman" w:eastAsiaTheme="minorEastAsia" w:hAnsi="Times New Roman" w:cs="Times New Roman"/>
          <w:sz w:val="28"/>
          <w:szCs w:val="28"/>
          <w:lang w:val="en-US" w:eastAsia="ru-RU"/>
        </w:rPr>
        <w:t>J</w:t>
      </w:r>
      <w:r w:rsidRPr="00CE2B36">
        <w:rPr>
          <w:rFonts w:ascii="Times New Roman" w:eastAsiaTheme="minorEastAsia" w:hAnsi="Times New Roman" w:cs="Times New Roman"/>
          <w:sz w:val="28"/>
          <w:szCs w:val="28"/>
          <w:lang w:eastAsia="ru-RU"/>
        </w:rPr>
        <w:t xml:space="preserve">., &amp; </w:t>
      </w:r>
      <w:r w:rsidRPr="00CE2B36">
        <w:rPr>
          <w:rFonts w:ascii="Times New Roman" w:eastAsiaTheme="minorEastAsia" w:hAnsi="Times New Roman" w:cs="Times New Roman"/>
          <w:sz w:val="28"/>
          <w:szCs w:val="28"/>
          <w:lang w:val="en-US" w:eastAsia="ru-RU"/>
        </w:rPr>
        <w:t>Goodwin</w:t>
      </w:r>
      <w:r w:rsidRPr="00CE2B36">
        <w:rPr>
          <w:rFonts w:ascii="Times New Roman" w:eastAsiaTheme="minorEastAsia" w:hAnsi="Times New Roman" w:cs="Times New Roman"/>
          <w:sz w:val="28"/>
          <w:szCs w:val="28"/>
          <w:lang w:eastAsia="ru-RU"/>
        </w:rPr>
        <w:t xml:space="preserve">, </w:t>
      </w:r>
      <w:r w:rsidRPr="00CE2B36">
        <w:rPr>
          <w:rFonts w:ascii="Times New Roman" w:eastAsiaTheme="minorEastAsia" w:hAnsi="Times New Roman" w:cs="Times New Roman"/>
          <w:sz w:val="28"/>
          <w:szCs w:val="28"/>
          <w:lang w:val="en-US" w:eastAsia="ru-RU"/>
        </w:rPr>
        <w:t>S</w:t>
      </w:r>
      <w:r w:rsidRPr="00CE2B36">
        <w:rPr>
          <w:rFonts w:ascii="Times New Roman" w:eastAsiaTheme="minorEastAsia" w:hAnsi="Times New Roman" w:cs="Times New Roman"/>
          <w:sz w:val="28"/>
          <w:szCs w:val="28"/>
          <w:lang w:eastAsia="ru-RU"/>
        </w:rPr>
        <w:t xml:space="preserve">. (2023). </w:t>
      </w:r>
      <w:r w:rsidRPr="00CE2B36">
        <w:rPr>
          <w:rFonts w:ascii="Times New Roman" w:eastAsiaTheme="minorEastAsia" w:hAnsi="Times New Roman" w:cs="Times New Roman"/>
          <w:sz w:val="28"/>
          <w:szCs w:val="28"/>
          <w:lang w:val="en-US" w:eastAsia="ru-RU"/>
        </w:rPr>
        <w:t xml:space="preserve">Working with and against the bureaucratic state: histories of grassroots organising for public education reform, 1970s–1980s. </w:t>
      </w:r>
      <w:r w:rsidRPr="00CE2B36">
        <w:rPr>
          <w:rFonts w:ascii="Times New Roman" w:eastAsiaTheme="minorEastAsia" w:hAnsi="Times New Roman" w:cs="Times New Roman"/>
          <w:i/>
          <w:iCs/>
          <w:sz w:val="28"/>
          <w:szCs w:val="28"/>
          <w:lang w:val="en-US" w:eastAsia="ru-RU"/>
        </w:rPr>
        <w:t>Journal of Educational Administration and History</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55</w:t>
      </w:r>
      <w:r w:rsidRPr="00CE2B36">
        <w:rPr>
          <w:rFonts w:ascii="Times New Roman" w:eastAsiaTheme="minorEastAsia" w:hAnsi="Times New Roman" w:cs="Times New Roman"/>
          <w:sz w:val="28"/>
          <w:szCs w:val="28"/>
          <w:lang w:val="en-US" w:eastAsia="ru-RU"/>
        </w:rPr>
        <w:t>(3), 231–240. https://doi.org/10.1080/00220620.2023.2211911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70</w:t>
      </w:r>
      <w:proofErr w:type="gramEnd"/>
      <w:r w:rsidRPr="00CE2B36">
        <w:rPr>
          <w:rFonts w:ascii="Times New Roman" w:eastAsiaTheme="minorEastAsia" w:hAnsi="Times New Roman" w:cs="Times New Roman"/>
          <w:sz w:val="28"/>
          <w:szCs w:val="28"/>
          <w:lang w:val="en-US" w:eastAsia="ru-RU"/>
        </w:rPr>
        <w:t xml:space="preserve"> Smith, D.H. Grassroots Associations. In: Anheier, H.K., Toepler, S. (</w:t>
      </w:r>
      <w:proofErr w:type="gramStart"/>
      <w:r w:rsidRPr="00CE2B36">
        <w:rPr>
          <w:rFonts w:ascii="Times New Roman" w:eastAsiaTheme="minorEastAsia" w:hAnsi="Times New Roman" w:cs="Times New Roman"/>
          <w:sz w:val="28"/>
          <w:szCs w:val="28"/>
          <w:lang w:val="en-US" w:eastAsia="ru-RU"/>
        </w:rPr>
        <w:t>eds</w:t>
      </w:r>
      <w:proofErr w:type="gramEnd"/>
      <w:r w:rsidRPr="00CE2B36">
        <w:rPr>
          <w:rFonts w:ascii="Times New Roman" w:eastAsiaTheme="minorEastAsia" w:hAnsi="Times New Roman" w:cs="Times New Roman"/>
          <w:sz w:val="28"/>
          <w:szCs w:val="28"/>
          <w:lang w:val="en-US" w:eastAsia="ru-RU"/>
        </w:rPr>
        <w:t>) International Encyclopedia of Civil Society. New York, NY: Springer, 2010. – Pp. 804-810. https://doi.org/10.1007/978-0-387-93996-4_20.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71</w:t>
      </w:r>
      <w:proofErr w:type="gramEnd"/>
      <w:r w:rsidRPr="00CE2B36">
        <w:rPr>
          <w:rFonts w:ascii="Times New Roman" w:eastAsiaTheme="minorEastAsia" w:hAnsi="Times New Roman" w:cs="Times New Roman"/>
          <w:sz w:val="28"/>
          <w:szCs w:val="28"/>
          <w:lang w:val="en-US" w:eastAsia="ru-RU"/>
        </w:rPr>
        <w:t xml:space="preserve"> Kretzmann J. P., McKnight J. L. Building communities from the inside out: a path toward finding and mobilizing a community’s assets. – Evanston, IL: Institute for Policy Research, 1993. – 376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72</w:t>
      </w:r>
      <w:proofErr w:type="gramEnd"/>
      <w:r w:rsidRPr="00CE2B36">
        <w:rPr>
          <w:rFonts w:ascii="Times New Roman" w:eastAsiaTheme="minorEastAsia" w:hAnsi="Times New Roman" w:cs="Times New Roman"/>
          <w:sz w:val="28"/>
          <w:szCs w:val="28"/>
          <w:lang w:val="en-US" w:eastAsia="ru-RU"/>
        </w:rPr>
        <w:t xml:space="preserve"> Ghadimi, A., &amp; Saviz, M. (2024). Indicators of grassroots innovations in Iran: A mixed method study. </w:t>
      </w:r>
      <w:r w:rsidRPr="00CE2B36">
        <w:rPr>
          <w:rFonts w:ascii="Times New Roman" w:eastAsiaTheme="minorEastAsia" w:hAnsi="Times New Roman" w:cs="Times New Roman"/>
          <w:i/>
          <w:iCs/>
          <w:sz w:val="28"/>
          <w:szCs w:val="28"/>
          <w:lang w:val="en-US" w:eastAsia="ru-RU"/>
        </w:rPr>
        <w:t>African Journal of Science, Technology, Innovation and Development</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16</w:t>
      </w:r>
      <w:r w:rsidRPr="00CE2B36">
        <w:rPr>
          <w:rFonts w:ascii="Times New Roman" w:eastAsiaTheme="minorEastAsia" w:hAnsi="Times New Roman" w:cs="Times New Roman"/>
          <w:sz w:val="28"/>
          <w:szCs w:val="28"/>
          <w:lang w:val="en-US" w:eastAsia="ru-RU"/>
        </w:rPr>
        <w:t>(7), 953–965. https://doi.org/10.1080/20421338.2024.2399753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73</w:t>
      </w:r>
      <w:proofErr w:type="gramEnd"/>
      <w:r w:rsidRPr="00CE2B36">
        <w:rPr>
          <w:rFonts w:ascii="Times New Roman" w:eastAsiaTheme="minorEastAsia" w:hAnsi="Times New Roman" w:cs="Times New Roman"/>
          <w:sz w:val="28"/>
          <w:szCs w:val="28"/>
          <w:lang w:val="en-US" w:eastAsia="ru-RU"/>
        </w:rPr>
        <w:t xml:space="preserve"> Gerlach L. Movements of revolutionary change: some structural characteristics // American Behavioral Scientist. – 1971. – Vol. 14, No. 6. – P. 813–836.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74</w:t>
      </w:r>
      <w:proofErr w:type="gramEnd"/>
      <w:r w:rsidRPr="00CE2B36">
        <w:rPr>
          <w:rFonts w:ascii="Times New Roman" w:eastAsiaTheme="minorEastAsia" w:hAnsi="Times New Roman" w:cs="Times New Roman"/>
          <w:sz w:val="28"/>
          <w:szCs w:val="28"/>
          <w:lang w:val="en-US" w:eastAsia="ru-RU"/>
        </w:rPr>
        <w:t xml:space="preserve"> Diani, M. (2025). The embeddedness of unions in collective action fields: ‘organizational’ vs ‘social movement’ unionism. </w:t>
      </w:r>
      <w:r w:rsidRPr="00CE2B36">
        <w:rPr>
          <w:rFonts w:ascii="Times New Roman" w:eastAsiaTheme="minorEastAsia" w:hAnsi="Times New Roman" w:cs="Times New Roman"/>
          <w:i/>
          <w:iCs/>
          <w:sz w:val="28"/>
          <w:szCs w:val="28"/>
          <w:lang w:val="en-US" w:eastAsia="ru-RU"/>
        </w:rPr>
        <w:t>Social Movement Studies</w:t>
      </w:r>
      <w:r w:rsidRPr="00CE2B36">
        <w:rPr>
          <w:rFonts w:ascii="Times New Roman" w:eastAsiaTheme="minorEastAsia" w:hAnsi="Times New Roman" w:cs="Times New Roman"/>
          <w:sz w:val="28"/>
          <w:szCs w:val="28"/>
          <w:lang w:val="en-US" w:eastAsia="ru-RU"/>
        </w:rPr>
        <w:t>, 1–21. https://doi.org/10.1080/14742837.2025.2554599.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75</w:t>
      </w:r>
      <w:proofErr w:type="gramEnd"/>
      <w:r w:rsidRPr="00CE2B36">
        <w:rPr>
          <w:rFonts w:ascii="Times New Roman" w:eastAsiaTheme="minorEastAsia" w:hAnsi="Times New Roman" w:cs="Times New Roman"/>
          <w:sz w:val="28"/>
          <w:szCs w:val="28"/>
          <w:lang w:val="en-US" w:eastAsia="ru-RU"/>
        </w:rPr>
        <w:t xml:space="preserve"> Gulati R., Gargiulo M. Where do interorganizational networks come from? // American Journal of Sociology. – 1999. – Vol. 104. – P. 1439–1493.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76</w:t>
      </w:r>
      <w:proofErr w:type="gramEnd"/>
      <w:r w:rsidRPr="00CE2B36">
        <w:rPr>
          <w:rFonts w:ascii="Times New Roman" w:eastAsiaTheme="minorEastAsia" w:hAnsi="Times New Roman" w:cs="Times New Roman"/>
          <w:sz w:val="28"/>
          <w:szCs w:val="28"/>
          <w:lang w:val="en-US" w:eastAsia="ru-RU"/>
        </w:rPr>
        <w:t xml:space="preserve"> Kingshott, B. F., &amp; Kingshott, J. B. (2016). Global Civil Society: Challenges of Security and Policing. </w:t>
      </w:r>
      <w:r w:rsidRPr="00CE2B36">
        <w:rPr>
          <w:rFonts w:ascii="Times New Roman" w:eastAsiaTheme="minorEastAsia" w:hAnsi="Times New Roman" w:cs="Times New Roman"/>
          <w:i/>
          <w:iCs/>
          <w:sz w:val="28"/>
          <w:szCs w:val="28"/>
          <w:lang w:val="en-US" w:eastAsia="ru-RU"/>
        </w:rPr>
        <w:t>Journal of Applied Security Research</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11</w:t>
      </w:r>
      <w:r w:rsidRPr="00CE2B36">
        <w:rPr>
          <w:rFonts w:ascii="Times New Roman" w:eastAsiaTheme="minorEastAsia" w:hAnsi="Times New Roman" w:cs="Times New Roman"/>
          <w:sz w:val="28"/>
          <w:szCs w:val="28"/>
          <w:lang w:val="en-US" w:eastAsia="ru-RU"/>
        </w:rPr>
        <w:t>(4), 385–401. https://doi.org/10.1080/19361610.2016.1210434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77</w:t>
      </w:r>
      <w:proofErr w:type="gramEnd"/>
      <w:r w:rsidRPr="00CE2B36">
        <w:rPr>
          <w:rFonts w:ascii="Times New Roman" w:eastAsiaTheme="minorEastAsia" w:hAnsi="Times New Roman" w:cs="Times New Roman"/>
          <w:sz w:val="28"/>
          <w:szCs w:val="28"/>
          <w:lang w:val="en-US" w:eastAsia="ru-RU"/>
        </w:rPr>
        <w:t xml:space="preserve"> Lawrence, A., &amp; van Wanrooy, B. (2024). Sourcing public policy: organisation publishing in Wikipedia. </w:t>
      </w:r>
      <w:r w:rsidRPr="00CE2B36">
        <w:rPr>
          <w:rFonts w:ascii="Times New Roman" w:eastAsiaTheme="minorEastAsia" w:hAnsi="Times New Roman" w:cs="Times New Roman"/>
          <w:i/>
          <w:iCs/>
          <w:sz w:val="28"/>
          <w:szCs w:val="28"/>
          <w:lang w:val="en-US" w:eastAsia="ru-RU"/>
        </w:rPr>
        <w:t>New Review of Hypermedia and Multimedia</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30</w:t>
      </w:r>
      <w:r w:rsidRPr="00CE2B36">
        <w:rPr>
          <w:rFonts w:ascii="Times New Roman" w:eastAsiaTheme="minorEastAsia" w:hAnsi="Times New Roman" w:cs="Times New Roman"/>
          <w:sz w:val="28"/>
          <w:szCs w:val="28"/>
          <w:lang w:val="en-US" w:eastAsia="ru-RU"/>
        </w:rPr>
        <w:t>(3–4), 181–200. https://doi.org/10.1080/13614568.2024.2343845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78</w:t>
      </w:r>
      <w:proofErr w:type="gramEnd"/>
      <w:r w:rsidRPr="00CE2B36">
        <w:rPr>
          <w:rFonts w:ascii="Times New Roman" w:eastAsiaTheme="minorEastAsia" w:hAnsi="Times New Roman" w:cs="Times New Roman"/>
          <w:sz w:val="28"/>
          <w:szCs w:val="28"/>
          <w:lang w:val="en-US" w:eastAsia="ru-RU"/>
        </w:rPr>
        <w:t xml:space="preserve"> Ferree M. M. The political context of rationality: rational choice theory and resource mobilization // Frontiers in social movement theory / ed. by A. Morris, C. McClurg Mueller. – New Haven: Yale University Press, 1992. – P. 29–52.</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val="en-US" w:eastAsia="ru-RU"/>
        </w:rPr>
        <w:t xml:space="preserve">79 Melucci A. Getting involved: identity and mobilization in social movements // </w:t>
      </w:r>
      <w:proofErr w:type="gramStart"/>
      <w:r w:rsidRPr="00CE2B36">
        <w:rPr>
          <w:rFonts w:ascii="Times New Roman" w:eastAsiaTheme="minorEastAsia" w:hAnsi="Times New Roman" w:cs="Times New Roman"/>
          <w:sz w:val="28"/>
          <w:szCs w:val="28"/>
          <w:lang w:val="en-US" w:eastAsia="ru-RU"/>
        </w:rPr>
        <w:t>From</w:t>
      </w:r>
      <w:proofErr w:type="gramEnd"/>
      <w:r w:rsidRPr="00CE2B36">
        <w:rPr>
          <w:rFonts w:ascii="Times New Roman" w:eastAsiaTheme="minorEastAsia" w:hAnsi="Times New Roman" w:cs="Times New Roman"/>
          <w:sz w:val="28"/>
          <w:szCs w:val="28"/>
          <w:lang w:val="en-US" w:eastAsia="ru-RU"/>
        </w:rPr>
        <w:t xml:space="preserve"> structure to action / ed. by B. Klandermans, H. Kriesi, S. Tarrow. – Greenwich, CT: JAI Press, 1988. – P. 329–348.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80</w:t>
      </w:r>
      <w:proofErr w:type="gramEnd"/>
      <w:r w:rsidRPr="00CE2B36">
        <w:rPr>
          <w:rFonts w:ascii="Times New Roman" w:eastAsiaTheme="minorEastAsia" w:hAnsi="Times New Roman" w:cs="Times New Roman"/>
          <w:sz w:val="28"/>
          <w:szCs w:val="28"/>
          <w:lang w:val="en-US" w:eastAsia="ru-RU"/>
        </w:rPr>
        <w:t xml:space="preserve"> Melucci A. A strange kind of newness: </w:t>
      </w:r>
      <w:proofErr w:type="gramStart"/>
      <w:r w:rsidRPr="00CE2B36">
        <w:rPr>
          <w:rFonts w:ascii="Times New Roman" w:eastAsiaTheme="minorEastAsia" w:hAnsi="Times New Roman" w:cs="Times New Roman"/>
          <w:sz w:val="28"/>
          <w:szCs w:val="28"/>
          <w:lang w:val="en-US" w:eastAsia="ru-RU"/>
        </w:rPr>
        <w:t>what’s</w:t>
      </w:r>
      <w:proofErr w:type="gramEnd"/>
      <w:r w:rsidRPr="00CE2B36">
        <w:rPr>
          <w:rFonts w:ascii="Times New Roman" w:eastAsiaTheme="minorEastAsia" w:hAnsi="Times New Roman" w:cs="Times New Roman"/>
          <w:sz w:val="28"/>
          <w:szCs w:val="28"/>
          <w:lang w:val="en-US" w:eastAsia="ru-RU"/>
        </w:rPr>
        <w:t xml:space="preserve"> “new” in new social movements? // </w:t>
      </w:r>
      <w:proofErr w:type="gramStart"/>
      <w:r w:rsidRPr="00CE2B36">
        <w:rPr>
          <w:rFonts w:ascii="Times New Roman" w:eastAsiaTheme="minorEastAsia" w:hAnsi="Times New Roman" w:cs="Times New Roman"/>
          <w:sz w:val="28"/>
          <w:szCs w:val="28"/>
          <w:lang w:val="en-US" w:eastAsia="ru-RU"/>
        </w:rPr>
        <w:t>New</w:t>
      </w:r>
      <w:proofErr w:type="gramEnd"/>
      <w:r w:rsidRPr="00CE2B36">
        <w:rPr>
          <w:rFonts w:ascii="Times New Roman" w:eastAsiaTheme="minorEastAsia" w:hAnsi="Times New Roman" w:cs="Times New Roman"/>
          <w:sz w:val="28"/>
          <w:szCs w:val="28"/>
          <w:lang w:val="en-US" w:eastAsia="ru-RU"/>
        </w:rPr>
        <w:t xml:space="preserve"> social movements: from ideology to identity / ed. by E. Larana, H. Johnston, J. Gusfield. – Philadelphia: Temple University Press, 1994. – P. 101–130.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81</w:t>
      </w:r>
      <w:proofErr w:type="gramEnd"/>
      <w:r w:rsidRPr="00CE2B36">
        <w:rPr>
          <w:rFonts w:ascii="Times New Roman" w:eastAsiaTheme="minorEastAsia" w:hAnsi="Times New Roman" w:cs="Times New Roman"/>
          <w:sz w:val="28"/>
          <w:szCs w:val="28"/>
          <w:lang w:val="en-US" w:eastAsia="ru-RU"/>
        </w:rPr>
        <w:t xml:space="preserve"> Edwards M., Sen G. NGOs, social change and the transformation of human relationships: a 21st century civic agenda // Third World Quarterly. – 2000. – Vol. 21, No. 4. – P. 605–616.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lastRenderedPageBreak/>
        <w:t>82</w:t>
      </w:r>
      <w:proofErr w:type="gramEnd"/>
      <w:r w:rsidRPr="00CE2B36">
        <w:rPr>
          <w:rFonts w:ascii="Times New Roman" w:eastAsiaTheme="minorEastAsia" w:hAnsi="Times New Roman" w:cs="Times New Roman"/>
          <w:sz w:val="28"/>
          <w:szCs w:val="28"/>
          <w:lang w:val="en-US" w:eastAsia="ru-RU"/>
        </w:rPr>
        <w:t xml:space="preserve"> Bolzendahl C., Coffé H. Citizenship beyond politics: the importance of political, civil and social rights and responsibilities among women and men // British Journal of Sociology. – 2009. – Vol. 60. – P. 763–791.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83 Каким должен быть идеальный казахстанец, рассказал Назарбаев [Электронный ресурс]. – URL: </w:t>
      </w:r>
      <w:hyperlink r:id="rId75" w:tgtFrame="_new" w:history="1">
        <w:r w:rsidRPr="00CE2B36">
          <w:rPr>
            <w:rFonts w:ascii="Times New Roman" w:eastAsiaTheme="minorEastAsia" w:hAnsi="Times New Roman" w:cs="Times New Roman"/>
            <w:color w:val="DE2D24"/>
            <w:sz w:val="28"/>
            <w:szCs w:val="28"/>
            <w:u w:val="single"/>
            <w:lang w:eastAsia="ru-RU"/>
          </w:rPr>
          <w:t>https://www.nur.kz/1711408-kakim-dolzen-byt-idealnyj-kazahstanec-rasskazal-nazarbaev.html</w:t>
        </w:r>
      </w:hyperlink>
      <w:r w:rsidRPr="00CE2B36">
        <w:rPr>
          <w:rFonts w:ascii="Times New Roman" w:eastAsiaTheme="minorEastAsia" w:hAnsi="Times New Roman" w:cs="Times New Roman"/>
          <w:sz w:val="28"/>
          <w:szCs w:val="28"/>
          <w:lang w:eastAsia="ru-RU"/>
        </w:rPr>
        <w:t xml:space="preserve"> (дата обращения: 31.08.2018).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84 Послание Главы государства Касым-Жомарта Токаева народу Казахстана [Электронный ресурс]. – URL: </w:t>
      </w:r>
      <w:hyperlink r:id="rId76" w:tgtFrame="_new" w:history="1">
        <w:r w:rsidRPr="00CE2B36">
          <w:rPr>
            <w:rFonts w:ascii="Times New Roman" w:eastAsiaTheme="minorEastAsia" w:hAnsi="Times New Roman" w:cs="Times New Roman"/>
            <w:color w:val="DE2D24"/>
            <w:sz w:val="28"/>
            <w:szCs w:val="28"/>
            <w:u w:val="single"/>
            <w:lang w:eastAsia="ru-RU"/>
          </w:rPr>
          <w:t>https://www.akorda.kz/ru/poslanie-glavy-gosudarstva-kasym-zhomarta-tokaeva-narodu-kazahstana-183048</w:t>
        </w:r>
      </w:hyperlink>
      <w:r w:rsidRPr="00CE2B36">
        <w:rPr>
          <w:rFonts w:ascii="Times New Roman" w:eastAsiaTheme="minorEastAsia" w:hAnsi="Times New Roman" w:cs="Times New Roman"/>
          <w:sz w:val="28"/>
          <w:szCs w:val="28"/>
          <w:lang w:eastAsia="ru-RU"/>
        </w:rPr>
        <w:t xml:space="preserve"> (дата обращения: 08.01.2026).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eastAsia="ru-RU"/>
        </w:rPr>
        <w:t xml:space="preserve">85 Федорова А. Е. Блогосфера Казахстана как инструмент политической коммуникации: проблемы и перспективы // Интегральные и дифференциальные парадигмы развития науки и практики России: сб. науч. ст. по итогам нац. науч.-практ. конф. </w:t>
      </w:r>
      <w:r w:rsidRPr="00CE2B36">
        <w:rPr>
          <w:rFonts w:ascii="Times New Roman" w:eastAsiaTheme="minorEastAsia" w:hAnsi="Times New Roman" w:cs="Times New Roman"/>
          <w:sz w:val="28"/>
          <w:szCs w:val="28"/>
          <w:lang w:val="en-US" w:eastAsia="ru-RU"/>
        </w:rPr>
        <w:t>(</w:t>
      </w:r>
      <w:r w:rsidRPr="00CE2B36">
        <w:rPr>
          <w:rFonts w:ascii="Times New Roman" w:eastAsiaTheme="minorEastAsia" w:hAnsi="Times New Roman" w:cs="Times New Roman"/>
          <w:sz w:val="28"/>
          <w:szCs w:val="28"/>
          <w:lang w:eastAsia="ru-RU"/>
        </w:rPr>
        <w:t>Санкт</w:t>
      </w:r>
      <w:r w:rsidRPr="00CE2B36">
        <w:rPr>
          <w:rFonts w:ascii="Times New Roman" w:eastAsiaTheme="minorEastAsia" w:hAnsi="Times New Roman" w:cs="Times New Roman"/>
          <w:sz w:val="28"/>
          <w:szCs w:val="28"/>
          <w:lang w:val="en-US" w:eastAsia="ru-RU"/>
        </w:rPr>
        <w:t>-</w:t>
      </w:r>
      <w:r w:rsidRPr="00CE2B36">
        <w:rPr>
          <w:rFonts w:ascii="Times New Roman" w:eastAsiaTheme="minorEastAsia" w:hAnsi="Times New Roman" w:cs="Times New Roman"/>
          <w:sz w:val="28"/>
          <w:szCs w:val="28"/>
          <w:lang w:eastAsia="ru-RU"/>
        </w:rPr>
        <w:t>Петербург</w:t>
      </w:r>
      <w:r w:rsidRPr="00CE2B36">
        <w:rPr>
          <w:rFonts w:ascii="Times New Roman" w:eastAsiaTheme="minorEastAsia" w:hAnsi="Times New Roman" w:cs="Times New Roman"/>
          <w:sz w:val="28"/>
          <w:szCs w:val="28"/>
          <w:lang w:val="en-US" w:eastAsia="ru-RU"/>
        </w:rPr>
        <w:t xml:space="preserve">, 29–30 </w:t>
      </w:r>
      <w:r w:rsidRPr="00CE2B36">
        <w:rPr>
          <w:rFonts w:ascii="Times New Roman" w:eastAsiaTheme="minorEastAsia" w:hAnsi="Times New Roman" w:cs="Times New Roman"/>
          <w:sz w:val="28"/>
          <w:szCs w:val="28"/>
          <w:lang w:eastAsia="ru-RU"/>
        </w:rPr>
        <w:t>ноября</w:t>
      </w:r>
      <w:r w:rsidRPr="00CE2B36">
        <w:rPr>
          <w:rFonts w:ascii="Times New Roman" w:eastAsiaTheme="minorEastAsia" w:hAnsi="Times New Roman" w:cs="Times New Roman"/>
          <w:sz w:val="28"/>
          <w:szCs w:val="28"/>
          <w:lang w:val="en-US" w:eastAsia="ru-RU"/>
        </w:rPr>
        <w:t xml:space="preserve"> 2018 </w:t>
      </w:r>
      <w:r w:rsidRPr="00CE2B36">
        <w:rPr>
          <w:rFonts w:ascii="Times New Roman" w:eastAsiaTheme="minorEastAsia" w:hAnsi="Times New Roman" w:cs="Times New Roman"/>
          <w:sz w:val="28"/>
          <w:szCs w:val="28"/>
          <w:lang w:eastAsia="ru-RU"/>
        </w:rPr>
        <w:t>г</w:t>
      </w:r>
      <w:r w:rsidRPr="00CE2B36">
        <w:rPr>
          <w:rFonts w:ascii="Times New Roman" w:eastAsiaTheme="minorEastAsia" w:hAnsi="Times New Roman" w:cs="Times New Roman"/>
          <w:sz w:val="28"/>
          <w:szCs w:val="28"/>
          <w:lang w:val="en-US" w:eastAsia="ru-RU"/>
        </w:rPr>
        <w:t xml:space="preserve">.). – </w:t>
      </w:r>
      <w:r w:rsidRPr="00CE2B36">
        <w:rPr>
          <w:rFonts w:ascii="Times New Roman" w:eastAsiaTheme="minorEastAsia" w:hAnsi="Times New Roman" w:cs="Times New Roman"/>
          <w:sz w:val="28"/>
          <w:szCs w:val="28"/>
          <w:lang w:eastAsia="ru-RU"/>
        </w:rPr>
        <w:t>Санкт</w:t>
      </w:r>
      <w:r w:rsidRPr="00CE2B36">
        <w:rPr>
          <w:rFonts w:ascii="Times New Roman" w:eastAsiaTheme="minorEastAsia" w:hAnsi="Times New Roman" w:cs="Times New Roman"/>
          <w:sz w:val="28"/>
          <w:szCs w:val="28"/>
          <w:lang w:val="en-US" w:eastAsia="ru-RU"/>
        </w:rPr>
        <w:t>-</w:t>
      </w:r>
      <w:r w:rsidRPr="00CE2B36">
        <w:rPr>
          <w:rFonts w:ascii="Times New Roman" w:eastAsiaTheme="minorEastAsia" w:hAnsi="Times New Roman" w:cs="Times New Roman"/>
          <w:sz w:val="28"/>
          <w:szCs w:val="28"/>
          <w:lang w:eastAsia="ru-RU"/>
        </w:rPr>
        <w:t>Петербург</w:t>
      </w:r>
      <w:r w:rsidRPr="00CE2B36">
        <w:rPr>
          <w:rFonts w:ascii="Times New Roman" w:eastAsiaTheme="minorEastAsia" w:hAnsi="Times New Roman" w:cs="Times New Roman"/>
          <w:sz w:val="28"/>
          <w:szCs w:val="28"/>
          <w:lang w:val="en-US" w:eastAsia="ru-RU"/>
        </w:rPr>
        <w:t xml:space="preserve">, 2018. – </w:t>
      </w:r>
      <w:proofErr w:type="gramStart"/>
      <w:r w:rsidRPr="00CE2B36">
        <w:rPr>
          <w:rFonts w:ascii="Times New Roman" w:eastAsiaTheme="minorEastAsia" w:hAnsi="Times New Roman" w:cs="Times New Roman"/>
          <w:sz w:val="28"/>
          <w:szCs w:val="28"/>
          <w:lang w:eastAsia="ru-RU"/>
        </w:rPr>
        <w:t>С</w:t>
      </w:r>
      <w:r w:rsidRPr="00CE2B36">
        <w:rPr>
          <w:rFonts w:ascii="Times New Roman" w:eastAsiaTheme="minorEastAsia" w:hAnsi="Times New Roman" w:cs="Times New Roman"/>
          <w:sz w:val="28"/>
          <w:szCs w:val="28"/>
          <w:lang w:val="en-US" w:eastAsia="ru-RU"/>
        </w:rPr>
        <w:t>. 118</w:t>
      </w:r>
      <w:proofErr w:type="gramEnd"/>
      <w:r w:rsidRPr="00CE2B36">
        <w:rPr>
          <w:rFonts w:ascii="Times New Roman" w:eastAsiaTheme="minorEastAsia" w:hAnsi="Times New Roman" w:cs="Times New Roman"/>
          <w:sz w:val="28"/>
          <w:szCs w:val="28"/>
          <w:lang w:val="en-US" w:eastAsia="ru-RU"/>
        </w:rPr>
        <w:t>–121.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val="en-US" w:eastAsia="ru-RU"/>
        </w:rPr>
        <w:t>86 Lemert C. Dark thoughts about the self // Social theory and the politics of identity / ed. by C. Calhoun. – Oxford; Cambridge, MA: Blackwell, 1994. – P. 100–129.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87</w:t>
      </w:r>
      <w:proofErr w:type="gramEnd"/>
      <w:r w:rsidRPr="00CE2B36">
        <w:rPr>
          <w:rFonts w:ascii="Times New Roman" w:eastAsiaTheme="minorEastAsia" w:hAnsi="Times New Roman" w:cs="Times New Roman"/>
          <w:sz w:val="28"/>
          <w:szCs w:val="28"/>
          <w:lang w:val="en-US" w:eastAsia="ru-RU"/>
        </w:rPr>
        <w:t xml:space="preserve"> Brennan G., Pettit P. </w:t>
      </w:r>
      <w:r w:rsidRPr="00CE2B36">
        <w:rPr>
          <w:rFonts w:ascii="Times New Roman" w:eastAsiaTheme="minorEastAsia" w:hAnsi="Times New Roman" w:cs="Times New Roman"/>
          <w:iCs/>
          <w:sz w:val="28"/>
          <w:szCs w:val="28"/>
          <w:lang w:val="en-US" w:eastAsia="ru-RU"/>
        </w:rPr>
        <w:t>The economy of esteem: an essay on civil and political society</w:t>
      </w:r>
      <w:r w:rsidRPr="00CE2B36">
        <w:rPr>
          <w:rFonts w:ascii="Times New Roman" w:eastAsiaTheme="minorEastAsia" w:hAnsi="Times New Roman" w:cs="Times New Roman"/>
          <w:sz w:val="28"/>
          <w:szCs w:val="28"/>
          <w:lang w:val="en-US" w:eastAsia="ru-RU"/>
        </w:rPr>
        <w:t xml:space="preserve">. – New York: Oxford University Press, 2004. – 339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88</w:t>
      </w:r>
      <w:proofErr w:type="gramEnd"/>
      <w:r w:rsidRPr="00CE2B36">
        <w:rPr>
          <w:rFonts w:ascii="Times New Roman" w:eastAsiaTheme="minorEastAsia" w:hAnsi="Times New Roman" w:cs="Times New Roman"/>
          <w:sz w:val="28"/>
          <w:szCs w:val="28"/>
          <w:lang w:val="en-US" w:eastAsia="ru-RU"/>
        </w:rPr>
        <w:t xml:space="preserve"> Skocpol T. </w:t>
      </w:r>
      <w:r w:rsidRPr="00CE2B36">
        <w:rPr>
          <w:rFonts w:ascii="Times New Roman" w:eastAsiaTheme="minorEastAsia" w:hAnsi="Times New Roman" w:cs="Times New Roman"/>
          <w:iCs/>
          <w:sz w:val="28"/>
          <w:szCs w:val="28"/>
          <w:lang w:val="en-US" w:eastAsia="ru-RU"/>
        </w:rPr>
        <w:t>Diminished democracy: from membership to management in American civic life</w:t>
      </w:r>
      <w:r w:rsidRPr="00CE2B36">
        <w:rPr>
          <w:rFonts w:ascii="Times New Roman" w:eastAsiaTheme="minorEastAsia" w:hAnsi="Times New Roman" w:cs="Times New Roman"/>
          <w:sz w:val="28"/>
          <w:szCs w:val="28"/>
          <w:lang w:val="en-US" w:eastAsia="ru-RU"/>
        </w:rPr>
        <w:t xml:space="preserve">. – Norman: University of Oklahoma Press, 2003. – 388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89</w:t>
      </w:r>
      <w:proofErr w:type="gramEnd"/>
      <w:r w:rsidRPr="00CE2B36">
        <w:rPr>
          <w:rFonts w:ascii="Times New Roman" w:eastAsiaTheme="minorEastAsia" w:hAnsi="Times New Roman" w:cs="Times New Roman"/>
          <w:sz w:val="28"/>
          <w:szCs w:val="28"/>
          <w:lang w:val="en-US" w:eastAsia="ru-RU"/>
        </w:rPr>
        <w:t xml:space="preserve"> Habermas J. Further reflections on the public sphere // </w:t>
      </w:r>
      <w:r w:rsidRPr="00CE2B36">
        <w:rPr>
          <w:rFonts w:ascii="Times New Roman" w:eastAsiaTheme="minorEastAsia" w:hAnsi="Times New Roman" w:cs="Times New Roman"/>
          <w:i/>
          <w:iCs/>
          <w:sz w:val="28"/>
          <w:szCs w:val="28"/>
          <w:lang w:val="en-US" w:eastAsia="ru-RU"/>
        </w:rPr>
        <w:t>Habermas and the public sphere</w:t>
      </w:r>
      <w:r w:rsidRPr="00CE2B36">
        <w:rPr>
          <w:rFonts w:ascii="Times New Roman" w:eastAsiaTheme="minorEastAsia" w:hAnsi="Times New Roman" w:cs="Times New Roman"/>
          <w:sz w:val="28"/>
          <w:szCs w:val="28"/>
          <w:lang w:val="en-US" w:eastAsia="ru-RU"/>
        </w:rPr>
        <w:t xml:space="preserve"> / ed. by C. Calhoun. – Cambridge, MA: MIT Press, 1992. – P. 453–456.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90</w:t>
      </w:r>
      <w:proofErr w:type="gramEnd"/>
      <w:r w:rsidRPr="00CE2B36">
        <w:rPr>
          <w:rFonts w:ascii="Times New Roman" w:eastAsiaTheme="minorEastAsia" w:hAnsi="Times New Roman" w:cs="Times New Roman"/>
          <w:sz w:val="28"/>
          <w:szCs w:val="28"/>
          <w:lang w:val="en-US" w:eastAsia="ru-RU"/>
        </w:rPr>
        <w:t xml:space="preserve"> Rosenblum N. L. </w:t>
      </w:r>
      <w:r w:rsidRPr="00CE2B36">
        <w:rPr>
          <w:rFonts w:ascii="Times New Roman" w:eastAsiaTheme="minorEastAsia" w:hAnsi="Times New Roman" w:cs="Times New Roman"/>
          <w:iCs/>
          <w:sz w:val="28"/>
          <w:szCs w:val="28"/>
          <w:lang w:val="en-US" w:eastAsia="ru-RU"/>
        </w:rPr>
        <w:t>Membership and morals: the personal uses of pluralism in America</w:t>
      </w:r>
      <w:r w:rsidRPr="00CE2B36">
        <w:rPr>
          <w:rFonts w:ascii="Times New Roman" w:eastAsiaTheme="minorEastAsia" w:hAnsi="Times New Roman" w:cs="Times New Roman"/>
          <w:sz w:val="28"/>
          <w:szCs w:val="28"/>
          <w:lang w:val="en-US" w:eastAsia="ru-RU"/>
        </w:rPr>
        <w:t xml:space="preserve">. – Princeton, NJ: Princeton University Press, 1998. – 438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91</w:t>
      </w:r>
      <w:proofErr w:type="gramEnd"/>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sz w:val="28"/>
          <w:lang w:val="en-US" w:eastAsia="ru-RU"/>
        </w:rPr>
        <w:t xml:space="preserve">Kleinschmit, S. W., &amp; Edwards, V. (2017). Examining the Ethics of Government-Organized Nongovernmental Organizations (GONGOs). </w:t>
      </w:r>
      <w:r w:rsidRPr="00CE2B36">
        <w:rPr>
          <w:rFonts w:ascii="Times New Roman" w:eastAsiaTheme="minorEastAsia" w:hAnsi="Times New Roman" w:cs="Times New Roman"/>
          <w:i/>
          <w:iCs/>
          <w:sz w:val="28"/>
          <w:lang w:val="en-US" w:eastAsia="ru-RU"/>
        </w:rPr>
        <w:t>Public Integrity</w:t>
      </w:r>
      <w:r w:rsidRPr="00CE2B36">
        <w:rPr>
          <w:rFonts w:ascii="Times New Roman" w:eastAsiaTheme="minorEastAsia" w:hAnsi="Times New Roman" w:cs="Times New Roman"/>
          <w:sz w:val="28"/>
          <w:lang w:val="en-US" w:eastAsia="ru-RU"/>
        </w:rPr>
        <w:t xml:space="preserve">, </w:t>
      </w:r>
      <w:r w:rsidRPr="00CE2B36">
        <w:rPr>
          <w:rFonts w:ascii="Times New Roman" w:eastAsiaTheme="minorEastAsia" w:hAnsi="Times New Roman" w:cs="Times New Roman"/>
          <w:i/>
          <w:iCs/>
          <w:sz w:val="28"/>
          <w:lang w:val="en-US" w:eastAsia="ru-RU"/>
        </w:rPr>
        <w:t>19</w:t>
      </w:r>
      <w:r w:rsidRPr="00CE2B36">
        <w:rPr>
          <w:rFonts w:ascii="Times New Roman" w:eastAsiaTheme="minorEastAsia" w:hAnsi="Times New Roman" w:cs="Times New Roman"/>
          <w:sz w:val="28"/>
          <w:lang w:val="en-US" w:eastAsia="ru-RU"/>
        </w:rPr>
        <w:t>(5), 529–546. https://doi.org/10.1080/10999922.2017.1312213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92</w:t>
      </w:r>
      <w:proofErr w:type="gramEnd"/>
      <w:r w:rsidRPr="00CE2B36">
        <w:rPr>
          <w:rFonts w:ascii="Times New Roman" w:eastAsiaTheme="minorEastAsia" w:hAnsi="Times New Roman" w:cs="Times New Roman"/>
          <w:sz w:val="28"/>
          <w:szCs w:val="28"/>
          <w:lang w:val="en-US" w:eastAsia="ru-RU"/>
        </w:rPr>
        <w:t xml:space="preserve"> Howard M. M. </w:t>
      </w:r>
      <w:r w:rsidRPr="00CE2B36">
        <w:rPr>
          <w:rFonts w:ascii="Times New Roman" w:eastAsiaTheme="minorEastAsia" w:hAnsi="Times New Roman" w:cs="Times New Roman"/>
          <w:iCs/>
          <w:sz w:val="28"/>
          <w:szCs w:val="28"/>
          <w:lang w:val="en-US" w:eastAsia="ru-RU"/>
        </w:rPr>
        <w:t>The weakness of civil society in post-communist Europe</w:t>
      </w:r>
      <w:r w:rsidRPr="00CE2B36">
        <w:rPr>
          <w:rFonts w:ascii="Times New Roman" w:eastAsiaTheme="minorEastAsia" w:hAnsi="Times New Roman" w:cs="Times New Roman"/>
          <w:sz w:val="28"/>
          <w:szCs w:val="28"/>
          <w:lang w:val="en-US" w:eastAsia="ru-RU"/>
        </w:rPr>
        <w:t xml:space="preserve">. – New York: Cambridge University Press, 2003. – 220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93</w:t>
      </w:r>
      <w:proofErr w:type="gramEnd"/>
      <w:r w:rsidRPr="00CE2B36">
        <w:rPr>
          <w:rFonts w:ascii="Times New Roman" w:eastAsiaTheme="minorEastAsia" w:hAnsi="Times New Roman" w:cs="Times New Roman"/>
          <w:sz w:val="28"/>
          <w:szCs w:val="28"/>
          <w:lang w:val="en-US" w:eastAsia="ru-RU"/>
        </w:rPr>
        <w:t xml:space="preserve"> Bunce V. </w:t>
      </w:r>
      <w:r w:rsidRPr="00CE2B36">
        <w:rPr>
          <w:rFonts w:ascii="Times New Roman" w:eastAsiaTheme="minorEastAsia" w:hAnsi="Times New Roman" w:cs="Times New Roman"/>
          <w:iCs/>
          <w:sz w:val="28"/>
          <w:szCs w:val="28"/>
          <w:lang w:val="en-US" w:eastAsia="ru-RU"/>
        </w:rPr>
        <w:t>Subversive institutions: the design and the destruction of socialism and the state</w:t>
      </w:r>
      <w:r w:rsidRPr="00CE2B36">
        <w:rPr>
          <w:rFonts w:ascii="Times New Roman" w:eastAsiaTheme="minorEastAsia" w:hAnsi="Times New Roman" w:cs="Times New Roman"/>
          <w:sz w:val="28"/>
          <w:szCs w:val="28"/>
          <w:lang w:val="en-US" w:eastAsia="ru-RU"/>
        </w:rPr>
        <w:t xml:space="preserve">. – Cambridge: Cambridge University Press, 1999. – 222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94</w:t>
      </w:r>
      <w:proofErr w:type="gramEnd"/>
      <w:r w:rsidRPr="00CE2B36">
        <w:rPr>
          <w:rFonts w:ascii="Times New Roman" w:eastAsiaTheme="minorEastAsia" w:hAnsi="Times New Roman" w:cs="Times New Roman"/>
          <w:sz w:val="28"/>
          <w:szCs w:val="28"/>
          <w:lang w:val="en-US" w:eastAsia="ru-RU"/>
        </w:rPr>
        <w:t xml:space="preserve"> Ledeneva A. V. </w:t>
      </w:r>
      <w:r w:rsidRPr="00CE2B36">
        <w:rPr>
          <w:rFonts w:ascii="Times New Roman" w:eastAsiaTheme="minorEastAsia" w:hAnsi="Times New Roman" w:cs="Times New Roman"/>
          <w:iCs/>
          <w:sz w:val="28"/>
          <w:szCs w:val="28"/>
          <w:lang w:val="en-US" w:eastAsia="ru-RU"/>
        </w:rPr>
        <w:t>Russia’s economy of favours: blat, networking, and informal exchange</w:t>
      </w:r>
      <w:r w:rsidRPr="00CE2B36">
        <w:rPr>
          <w:rFonts w:ascii="Times New Roman" w:eastAsiaTheme="minorEastAsia" w:hAnsi="Times New Roman" w:cs="Times New Roman"/>
          <w:sz w:val="28"/>
          <w:szCs w:val="28"/>
          <w:lang w:val="en-US" w:eastAsia="ru-RU"/>
        </w:rPr>
        <w:t xml:space="preserve">. – Cambridge: Cambridge University Press, 1998. – 243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95</w:t>
      </w:r>
      <w:proofErr w:type="gramEnd"/>
      <w:r w:rsidRPr="00CE2B36">
        <w:rPr>
          <w:rFonts w:ascii="Times New Roman" w:eastAsiaTheme="minorEastAsia" w:hAnsi="Times New Roman" w:cs="Times New Roman"/>
          <w:sz w:val="28"/>
          <w:szCs w:val="28"/>
          <w:lang w:val="en-US" w:eastAsia="ru-RU"/>
        </w:rPr>
        <w:t xml:space="preserve"> Kitschelt H. New social movements in West Germany and the United States // </w:t>
      </w:r>
      <w:r w:rsidRPr="00CE2B36">
        <w:rPr>
          <w:rFonts w:ascii="Times New Roman" w:eastAsiaTheme="minorEastAsia" w:hAnsi="Times New Roman" w:cs="Times New Roman"/>
          <w:i/>
          <w:iCs/>
          <w:sz w:val="28"/>
          <w:szCs w:val="28"/>
          <w:lang w:val="en-US" w:eastAsia="ru-RU"/>
        </w:rPr>
        <w:t>Political Power and Social Theory</w:t>
      </w:r>
      <w:r w:rsidRPr="00CE2B36">
        <w:rPr>
          <w:rFonts w:ascii="Times New Roman" w:eastAsiaTheme="minorEastAsia" w:hAnsi="Times New Roman" w:cs="Times New Roman"/>
          <w:sz w:val="28"/>
          <w:szCs w:val="28"/>
          <w:lang w:val="en-US" w:eastAsia="ru-RU"/>
        </w:rPr>
        <w:t>. – 1985. – No. 5. – P. 273–342.</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96</w:t>
      </w:r>
      <w:proofErr w:type="gramEnd"/>
      <w:r w:rsidRPr="00CE2B36">
        <w:rPr>
          <w:rFonts w:ascii="Times New Roman" w:eastAsiaTheme="minorEastAsia" w:hAnsi="Times New Roman" w:cs="Times New Roman"/>
          <w:sz w:val="28"/>
          <w:szCs w:val="28"/>
          <w:lang w:val="en-US" w:eastAsia="ru-RU"/>
        </w:rPr>
        <w:t xml:space="preserve"> Kriesi H. The political opportunity structure of the Dutch peace movement // </w:t>
      </w:r>
      <w:r w:rsidRPr="00CE2B36">
        <w:rPr>
          <w:rFonts w:ascii="Times New Roman" w:eastAsiaTheme="minorEastAsia" w:hAnsi="Times New Roman" w:cs="Times New Roman"/>
          <w:i/>
          <w:iCs/>
          <w:sz w:val="28"/>
          <w:szCs w:val="28"/>
          <w:lang w:val="en-US" w:eastAsia="ru-RU"/>
        </w:rPr>
        <w:t>West European Politics</w:t>
      </w:r>
      <w:r w:rsidRPr="00CE2B36">
        <w:rPr>
          <w:rFonts w:ascii="Times New Roman" w:eastAsiaTheme="minorEastAsia" w:hAnsi="Times New Roman" w:cs="Times New Roman"/>
          <w:sz w:val="28"/>
          <w:szCs w:val="28"/>
          <w:lang w:val="en-US" w:eastAsia="ru-RU"/>
        </w:rPr>
        <w:t>. – 1989. – Vol. 12. – P. 295–312.</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97</w:t>
      </w:r>
      <w:proofErr w:type="gramEnd"/>
      <w:r w:rsidRPr="00CE2B36">
        <w:rPr>
          <w:rFonts w:ascii="Times New Roman" w:eastAsiaTheme="minorEastAsia" w:hAnsi="Times New Roman" w:cs="Times New Roman"/>
          <w:sz w:val="28"/>
          <w:szCs w:val="28"/>
          <w:lang w:val="en-US" w:eastAsia="ru-RU"/>
        </w:rPr>
        <w:t xml:space="preserve"> Inglehart R., Welzel C. </w:t>
      </w:r>
      <w:r w:rsidRPr="00CE2B36">
        <w:rPr>
          <w:rFonts w:ascii="Times New Roman" w:eastAsiaTheme="minorEastAsia" w:hAnsi="Times New Roman" w:cs="Times New Roman"/>
          <w:i/>
          <w:iCs/>
          <w:sz w:val="28"/>
          <w:szCs w:val="28"/>
          <w:lang w:val="en-US" w:eastAsia="ru-RU"/>
        </w:rPr>
        <w:t>Cultural map of the world</w:t>
      </w:r>
      <w:r w:rsidRPr="00CE2B36">
        <w:rPr>
          <w:rFonts w:ascii="Times New Roman" w:eastAsiaTheme="minorEastAsia" w:hAnsi="Times New Roman" w:cs="Times New Roman"/>
          <w:sz w:val="28"/>
          <w:szCs w:val="28"/>
          <w:lang w:val="en-US" w:eastAsia="ru-RU"/>
        </w:rPr>
        <w:t xml:space="preserve"> [Electronic resource]. – 2020. – Available at: </w:t>
      </w:r>
      <w:hyperlink r:id="rId77" w:tgtFrame="_new" w:history="1">
        <w:r w:rsidRPr="00CE2B36">
          <w:rPr>
            <w:rFonts w:ascii="Times New Roman" w:eastAsiaTheme="minorEastAsia" w:hAnsi="Times New Roman" w:cs="Times New Roman"/>
            <w:color w:val="DE2D24"/>
            <w:sz w:val="28"/>
            <w:szCs w:val="28"/>
            <w:u w:val="single"/>
            <w:lang w:val="en-US" w:eastAsia="ru-RU"/>
          </w:rPr>
          <w:t>https://www.worldvaluessurvey.org/WVSContents.jsp</w:t>
        </w:r>
      </w:hyperlink>
      <w:r w:rsidRPr="00CE2B36">
        <w:rPr>
          <w:rFonts w:ascii="Times New Roman" w:eastAsiaTheme="minorEastAsia" w:hAnsi="Times New Roman" w:cs="Times New Roman"/>
          <w:sz w:val="28"/>
          <w:szCs w:val="28"/>
          <w:lang w:val="en-US" w:eastAsia="ru-RU"/>
        </w:rPr>
        <w:t xml:space="preserve"> (accessed: 10.01.2026).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lastRenderedPageBreak/>
        <w:t xml:space="preserve">98 Югай Г. А. </w:t>
      </w:r>
      <w:r w:rsidRPr="00CE2B36">
        <w:rPr>
          <w:rFonts w:ascii="Times New Roman" w:eastAsiaTheme="minorEastAsia" w:hAnsi="Times New Roman" w:cs="Times New Roman"/>
          <w:iCs/>
          <w:sz w:val="28"/>
          <w:szCs w:val="28"/>
          <w:lang w:eastAsia="ru-RU"/>
        </w:rPr>
        <w:t>Голография Вселенной и новая универсальная философия: возрождение метафизики и революция в философии: общая метафизика: учеб. пособие с хрестоматией</w:t>
      </w:r>
      <w:r w:rsidRPr="00CE2B36">
        <w:rPr>
          <w:rFonts w:ascii="Times New Roman" w:eastAsiaTheme="minorEastAsia" w:hAnsi="Times New Roman" w:cs="Times New Roman"/>
          <w:sz w:val="28"/>
          <w:szCs w:val="28"/>
          <w:lang w:eastAsia="ru-RU"/>
        </w:rPr>
        <w:t>. – Москва: Крафт+, 2007. – 400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99 Уэбстер Ф. </w:t>
      </w:r>
      <w:r w:rsidRPr="00CE2B36">
        <w:rPr>
          <w:rFonts w:ascii="Times New Roman" w:eastAsiaTheme="minorEastAsia" w:hAnsi="Times New Roman" w:cs="Times New Roman"/>
          <w:iCs/>
          <w:sz w:val="28"/>
          <w:szCs w:val="28"/>
          <w:lang w:eastAsia="ru-RU"/>
        </w:rPr>
        <w:t>Теории информационного общества</w:t>
      </w:r>
      <w:r w:rsidRPr="00CE2B36">
        <w:rPr>
          <w:rFonts w:ascii="Times New Roman" w:eastAsiaTheme="minorEastAsia" w:hAnsi="Times New Roman" w:cs="Times New Roman"/>
          <w:sz w:val="28"/>
          <w:szCs w:val="28"/>
          <w:lang w:eastAsia="ru-RU"/>
        </w:rPr>
        <w:t xml:space="preserve"> / пер. с англ. – Москва: Изд-во Высшей школы экономики, 2004. – 400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100</w:t>
      </w:r>
      <w:proofErr w:type="gramEnd"/>
      <w:r w:rsidRPr="00CE2B36">
        <w:rPr>
          <w:rFonts w:ascii="Times New Roman" w:eastAsiaTheme="minorEastAsia" w:hAnsi="Times New Roman" w:cs="Times New Roman"/>
          <w:sz w:val="28"/>
          <w:szCs w:val="28"/>
          <w:lang w:val="en-US" w:eastAsia="ru-RU"/>
        </w:rPr>
        <w:t xml:space="preserve"> Robertson R. </w:t>
      </w:r>
      <w:r w:rsidRPr="00CE2B36">
        <w:rPr>
          <w:rFonts w:ascii="Times New Roman" w:eastAsiaTheme="minorEastAsia" w:hAnsi="Times New Roman" w:cs="Times New Roman"/>
          <w:iCs/>
          <w:sz w:val="28"/>
          <w:szCs w:val="28"/>
          <w:lang w:val="en-US" w:eastAsia="ru-RU"/>
        </w:rPr>
        <w:t>Globalization: social theory and global culture</w:t>
      </w:r>
      <w:r w:rsidRPr="00CE2B36">
        <w:rPr>
          <w:rFonts w:ascii="Times New Roman" w:eastAsiaTheme="minorEastAsia" w:hAnsi="Times New Roman" w:cs="Times New Roman"/>
          <w:sz w:val="28"/>
          <w:szCs w:val="28"/>
          <w:lang w:val="en-US" w:eastAsia="ru-RU"/>
        </w:rPr>
        <w:t xml:space="preserve"> [Electronic resource]. – London: SAGE Publications Ltd, 2000. – DOI: 10.4135/9781446280447. – Available at: </w:t>
      </w:r>
      <w:hyperlink r:id="rId78" w:tgtFrame="_new" w:history="1">
        <w:r w:rsidRPr="00CE2B36">
          <w:rPr>
            <w:rFonts w:ascii="Times New Roman" w:eastAsiaTheme="minorEastAsia" w:hAnsi="Times New Roman" w:cs="Times New Roman"/>
            <w:color w:val="DE2D24"/>
            <w:sz w:val="28"/>
            <w:szCs w:val="28"/>
            <w:u w:val="single"/>
            <w:lang w:val="en-US" w:eastAsia="ru-RU"/>
          </w:rPr>
          <w:t>https://doi.org/10.4135/9781446280447</w:t>
        </w:r>
      </w:hyperlink>
      <w:r w:rsidRPr="00CE2B36">
        <w:rPr>
          <w:rFonts w:ascii="Times New Roman" w:eastAsiaTheme="minorEastAsia" w:hAnsi="Times New Roman" w:cs="Times New Roman"/>
          <w:sz w:val="28"/>
          <w:szCs w:val="28"/>
          <w:lang w:val="en-US" w:eastAsia="ru-RU"/>
        </w:rPr>
        <w:t xml:space="preserve"> (accessed: 10.01.2026).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101</w:t>
      </w:r>
      <w:proofErr w:type="gramEnd"/>
      <w:r w:rsidRPr="00CE2B36">
        <w:rPr>
          <w:rFonts w:ascii="Times New Roman" w:eastAsiaTheme="minorEastAsia" w:hAnsi="Times New Roman" w:cs="Times New Roman"/>
          <w:sz w:val="28"/>
          <w:szCs w:val="28"/>
          <w:lang w:val="en-US" w:eastAsia="ru-RU"/>
        </w:rPr>
        <w:t xml:space="preserve"> Machio, P. M., Kimani, D. N., Kariuki, P. C., Ng’ang’a, A. M., &amp; Njoroge, M. M. (2024). Social Capital and Women’s Empowerment. </w:t>
      </w:r>
      <w:r w:rsidRPr="00CE2B36">
        <w:rPr>
          <w:rFonts w:ascii="Times New Roman" w:eastAsiaTheme="minorEastAsia" w:hAnsi="Times New Roman" w:cs="Times New Roman"/>
          <w:i/>
          <w:iCs/>
          <w:sz w:val="28"/>
          <w:szCs w:val="28"/>
          <w:lang w:val="en-US" w:eastAsia="ru-RU"/>
        </w:rPr>
        <w:t>Forum for Social Economics</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53</w:t>
      </w:r>
      <w:r w:rsidRPr="00CE2B36">
        <w:rPr>
          <w:rFonts w:ascii="Times New Roman" w:eastAsiaTheme="minorEastAsia" w:hAnsi="Times New Roman" w:cs="Times New Roman"/>
          <w:sz w:val="28"/>
          <w:szCs w:val="28"/>
          <w:lang w:val="en-US" w:eastAsia="ru-RU"/>
        </w:rPr>
        <w:t>(3), 322–340. https://doi.org/10.1080/07360932.2022.2115526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102</w:t>
      </w:r>
      <w:proofErr w:type="gramEnd"/>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Human development report</w:t>
      </w:r>
      <w:r w:rsidRPr="00CE2B36">
        <w:rPr>
          <w:rFonts w:ascii="Times New Roman" w:eastAsiaTheme="minorEastAsia" w:hAnsi="Times New Roman" w:cs="Times New Roman"/>
          <w:sz w:val="28"/>
          <w:szCs w:val="28"/>
          <w:lang w:val="en-US" w:eastAsia="ru-RU"/>
        </w:rPr>
        <w:t xml:space="preserve"> [Electronic resource]. – Available at: </w:t>
      </w:r>
      <w:hyperlink r:id="rId79" w:tgtFrame="_new" w:history="1">
        <w:r w:rsidRPr="00CE2B36">
          <w:rPr>
            <w:rFonts w:ascii="Times New Roman" w:eastAsiaTheme="minorEastAsia" w:hAnsi="Times New Roman" w:cs="Times New Roman"/>
            <w:color w:val="DE2D24"/>
            <w:sz w:val="28"/>
            <w:szCs w:val="28"/>
            <w:u w:val="single"/>
            <w:lang w:val="en-US" w:eastAsia="ru-RU"/>
          </w:rPr>
          <w:t>http://hdr.undp.org</w:t>
        </w:r>
      </w:hyperlink>
      <w:r w:rsidRPr="00CE2B36">
        <w:rPr>
          <w:rFonts w:ascii="Times New Roman" w:eastAsiaTheme="minorEastAsia" w:hAnsi="Times New Roman" w:cs="Times New Roman"/>
          <w:sz w:val="28"/>
          <w:szCs w:val="28"/>
          <w:lang w:val="en-US" w:eastAsia="ru-RU"/>
        </w:rPr>
        <w:t xml:space="preserve"> (accessed: 23.01.2018).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103 Федорова А. Е. Проблемные аспекты формирования социального капитала как основы гражданского общества в Казахстане // </w:t>
      </w:r>
      <w:r w:rsidRPr="00CE2B36">
        <w:rPr>
          <w:rFonts w:ascii="Times New Roman" w:eastAsiaTheme="minorEastAsia" w:hAnsi="Times New Roman" w:cs="Times New Roman"/>
          <w:i/>
          <w:iCs/>
          <w:sz w:val="28"/>
          <w:szCs w:val="28"/>
          <w:lang w:eastAsia="ru-RU"/>
        </w:rPr>
        <w:t>Роль науки в развитии социума: теоретические и практические аспекты</w:t>
      </w:r>
      <w:r w:rsidRPr="00CE2B36">
        <w:rPr>
          <w:rFonts w:ascii="Times New Roman" w:eastAsiaTheme="minorEastAsia" w:hAnsi="Times New Roman" w:cs="Times New Roman"/>
          <w:sz w:val="28"/>
          <w:szCs w:val="28"/>
          <w:lang w:eastAsia="ru-RU"/>
        </w:rPr>
        <w:t>: сб. науч. ст. междунар. науч.-практ. конф. (Санкт-Петербург, 9–10 февр. 2018 г.). – Санкт-Петербург, 2018. – С. 145–147.</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104 Габдуллина К. Г. Социальная жизнь и особенности асоциальных явлений // </w:t>
      </w:r>
      <w:r w:rsidRPr="00CE2B36">
        <w:rPr>
          <w:rFonts w:ascii="Times New Roman" w:eastAsiaTheme="minorEastAsia" w:hAnsi="Times New Roman" w:cs="Times New Roman"/>
          <w:i/>
          <w:iCs/>
          <w:sz w:val="28"/>
          <w:szCs w:val="28"/>
          <w:lang w:eastAsia="ru-RU"/>
        </w:rPr>
        <w:t>Демократизация общества – магистральный путь развития Казахстана</w:t>
      </w:r>
      <w:r w:rsidRPr="00CE2B36">
        <w:rPr>
          <w:rFonts w:ascii="Times New Roman" w:eastAsiaTheme="minorEastAsia" w:hAnsi="Times New Roman" w:cs="Times New Roman"/>
          <w:sz w:val="28"/>
          <w:szCs w:val="28"/>
          <w:lang w:eastAsia="ru-RU"/>
        </w:rPr>
        <w:t>. – Алматы: КИСИ при Президенте РК, 1995. – С. 99–103.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105</w:t>
      </w:r>
      <w:proofErr w:type="gramEnd"/>
      <w:r w:rsidRPr="00CE2B36">
        <w:rPr>
          <w:rFonts w:ascii="Times New Roman" w:eastAsiaTheme="minorEastAsia" w:hAnsi="Times New Roman" w:cs="Times New Roman"/>
          <w:sz w:val="28"/>
          <w:szCs w:val="28"/>
          <w:lang w:val="en-US" w:eastAsia="ru-RU"/>
        </w:rPr>
        <w:t xml:space="preserve"> Tarrow S. </w:t>
      </w:r>
      <w:r w:rsidRPr="00CE2B36">
        <w:rPr>
          <w:rFonts w:ascii="Times New Roman" w:eastAsiaTheme="minorEastAsia" w:hAnsi="Times New Roman" w:cs="Times New Roman"/>
          <w:iCs/>
          <w:sz w:val="28"/>
          <w:szCs w:val="28"/>
          <w:lang w:val="en-US" w:eastAsia="ru-RU"/>
        </w:rPr>
        <w:t>Power in movement: social movements, collective action and politics</w:t>
      </w:r>
      <w:r w:rsidRPr="00CE2B36">
        <w:rPr>
          <w:rFonts w:ascii="Times New Roman" w:eastAsiaTheme="minorEastAsia" w:hAnsi="Times New Roman" w:cs="Times New Roman"/>
          <w:sz w:val="28"/>
          <w:szCs w:val="28"/>
          <w:lang w:val="en-US" w:eastAsia="ru-RU"/>
        </w:rPr>
        <w:t xml:space="preserve">. – New York; Cambridge: Cambridge University Press, 1994. – 354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106</w:t>
      </w:r>
      <w:proofErr w:type="gramEnd"/>
      <w:r w:rsidRPr="00CE2B36">
        <w:rPr>
          <w:rFonts w:ascii="Times New Roman" w:eastAsiaTheme="minorEastAsia" w:hAnsi="Times New Roman" w:cs="Times New Roman"/>
          <w:sz w:val="28"/>
          <w:szCs w:val="28"/>
          <w:lang w:val="en-US" w:eastAsia="ru-RU"/>
        </w:rPr>
        <w:t xml:space="preserve"> Kriesi H. The political opportunity structure of new social movements: its impact on their mobilization // </w:t>
      </w:r>
      <w:proofErr w:type="gramStart"/>
      <w:r w:rsidRPr="00CE2B36">
        <w:rPr>
          <w:rFonts w:ascii="Times New Roman" w:eastAsiaTheme="minorEastAsia" w:hAnsi="Times New Roman" w:cs="Times New Roman"/>
          <w:i/>
          <w:iCs/>
          <w:sz w:val="28"/>
          <w:szCs w:val="28"/>
          <w:lang w:val="en-US" w:eastAsia="ru-RU"/>
        </w:rPr>
        <w:t>The</w:t>
      </w:r>
      <w:proofErr w:type="gramEnd"/>
      <w:r w:rsidRPr="00CE2B36">
        <w:rPr>
          <w:rFonts w:ascii="Times New Roman" w:eastAsiaTheme="minorEastAsia" w:hAnsi="Times New Roman" w:cs="Times New Roman"/>
          <w:i/>
          <w:iCs/>
          <w:sz w:val="28"/>
          <w:szCs w:val="28"/>
          <w:lang w:val="en-US" w:eastAsia="ru-RU"/>
        </w:rPr>
        <w:t xml:space="preserve"> politics of social protest</w:t>
      </w:r>
      <w:r w:rsidRPr="00CE2B36">
        <w:rPr>
          <w:rFonts w:ascii="Times New Roman" w:eastAsiaTheme="minorEastAsia" w:hAnsi="Times New Roman" w:cs="Times New Roman"/>
          <w:sz w:val="28"/>
          <w:szCs w:val="28"/>
          <w:lang w:val="en-US" w:eastAsia="ru-RU"/>
        </w:rPr>
        <w:t xml:space="preserve"> / ed. by J. C. Jenkins, B. Klandermans. – Minneapolis; London: University of Minnesota Press; UCL Press, 1995. – P. 167–198.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107</w:t>
      </w:r>
      <w:proofErr w:type="gramEnd"/>
      <w:r w:rsidRPr="00CE2B36">
        <w:rPr>
          <w:rFonts w:ascii="Times New Roman" w:eastAsiaTheme="minorEastAsia" w:hAnsi="Times New Roman" w:cs="Times New Roman"/>
          <w:sz w:val="28"/>
          <w:szCs w:val="28"/>
          <w:lang w:val="en-US" w:eastAsia="ru-RU"/>
        </w:rPr>
        <w:t xml:space="preserve"> Amenta E., Caren N. The legislative, organizational, and beneficiary consequences of state-oriented challengers // </w:t>
      </w:r>
      <w:r w:rsidRPr="00CE2B36">
        <w:rPr>
          <w:rFonts w:ascii="Times New Roman" w:eastAsiaTheme="minorEastAsia" w:hAnsi="Times New Roman" w:cs="Times New Roman"/>
          <w:i/>
          <w:iCs/>
          <w:sz w:val="28"/>
          <w:szCs w:val="28"/>
          <w:lang w:val="en-US" w:eastAsia="ru-RU"/>
        </w:rPr>
        <w:t>The Blackwell companion to social movements</w:t>
      </w:r>
      <w:r w:rsidRPr="00CE2B36">
        <w:rPr>
          <w:rFonts w:ascii="Times New Roman" w:eastAsiaTheme="minorEastAsia" w:hAnsi="Times New Roman" w:cs="Times New Roman"/>
          <w:sz w:val="28"/>
          <w:szCs w:val="28"/>
          <w:lang w:val="en-US" w:eastAsia="ru-RU"/>
        </w:rPr>
        <w:t xml:space="preserve"> / ed. by D. A. Snow, S. H. Soule, H. Kriesi. – Oxford: Blackwell, 2004. – P. 461–488.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108 </w:t>
      </w:r>
      <w:r w:rsidRPr="00CE2B36">
        <w:rPr>
          <w:rFonts w:ascii="Times New Roman" w:eastAsiaTheme="minorEastAsia" w:hAnsi="Times New Roman" w:cs="Times New Roman"/>
          <w:i/>
          <w:iCs/>
          <w:sz w:val="28"/>
          <w:szCs w:val="28"/>
          <w:lang w:eastAsia="ru-RU"/>
        </w:rPr>
        <w:t>Конституция Республики Казахстан</w:t>
      </w:r>
      <w:r w:rsidRPr="00CE2B36">
        <w:rPr>
          <w:rFonts w:ascii="Times New Roman" w:eastAsiaTheme="minorEastAsia" w:hAnsi="Times New Roman" w:cs="Times New Roman"/>
          <w:sz w:val="28"/>
          <w:szCs w:val="28"/>
          <w:lang w:eastAsia="ru-RU"/>
        </w:rPr>
        <w:t>. – Алматы: Жеты жаргы, 1998. – 56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109</w:t>
      </w:r>
      <w:proofErr w:type="gramEnd"/>
      <w:r w:rsidRPr="00CE2B36">
        <w:rPr>
          <w:rFonts w:ascii="Times New Roman" w:eastAsiaTheme="minorEastAsia" w:hAnsi="Times New Roman" w:cs="Times New Roman"/>
          <w:sz w:val="28"/>
          <w:szCs w:val="28"/>
          <w:lang w:val="en-US" w:eastAsia="ru-RU"/>
        </w:rPr>
        <w:t xml:space="preserve"> Dryzek J. S. </w:t>
      </w:r>
      <w:r w:rsidRPr="00CE2B36">
        <w:rPr>
          <w:rFonts w:ascii="Times New Roman" w:eastAsiaTheme="minorEastAsia" w:hAnsi="Times New Roman" w:cs="Times New Roman"/>
          <w:iCs/>
          <w:sz w:val="28"/>
          <w:szCs w:val="28"/>
          <w:lang w:val="en-US" w:eastAsia="ru-RU"/>
        </w:rPr>
        <w:t>Deliberative democracy and beyond</w:t>
      </w:r>
      <w:r w:rsidRPr="00CE2B36">
        <w:rPr>
          <w:rFonts w:ascii="Times New Roman" w:eastAsiaTheme="minorEastAsia" w:hAnsi="Times New Roman" w:cs="Times New Roman"/>
          <w:sz w:val="28"/>
          <w:szCs w:val="28"/>
          <w:lang w:val="en-US" w:eastAsia="ru-RU"/>
        </w:rPr>
        <w:t xml:space="preserve">. – New York: Oxford University Press, 2000. – 208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110</w:t>
      </w:r>
      <w:proofErr w:type="gramEnd"/>
      <w:r w:rsidRPr="00CE2B36">
        <w:rPr>
          <w:rFonts w:ascii="Times New Roman" w:eastAsiaTheme="minorEastAsia" w:hAnsi="Times New Roman" w:cs="Times New Roman"/>
          <w:sz w:val="28"/>
          <w:szCs w:val="28"/>
          <w:lang w:val="en-US" w:eastAsia="ru-RU"/>
        </w:rPr>
        <w:t xml:space="preserve"> Offe C. Microaspects of democratic theory: what makes for the deliberative competence of citizens? // </w:t>
      </w:r>
      <w:r w:rsidRPr="00CE2B36">
        <w:rPr>
          <w:rFonts w:ascii="Times New Roman" w:eastAsiaTheme="minorEastAsia" w:hAnsi="Times New Roman" w:cs="Times New Roman"/>
          <w:i/>
          <w:iCs/>
          <w:sz w:val="28"/>
          <w:szCs w:val="28"/>
          <w:lang w:val="en-US" w:eastAsia="ru-RU"/>
        </w:rPr>
        <w:t>Democracy’s victory and crisis</w:t>
      </w:r>
      <w:r w:rsidRPr="00CE2B36">
        <w:rPr>
          <w:rFonts w:ascii="Times New Roman" w:eastAsiaTheme="minorEastAsia" w:hAnsi="Times New Roman" w:cs="Times New Roman"/>
          <w:sz w:val="28"/>
          <w:szCs w:val="28"/>
          <w:lang w:val="en-US" w:eastAsia="ru-RU"/>
        </w:rPr>
        <w:t xml:space="preserve"> / ed. by A. Hadenius. – New York: Cambridge University Press, 1997. – P. 81–104.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sz w:val="28"/>
          <w:szCs w:val="28"/>
          <w:lang w:val="en-US" w:eastAsia="ru-RU"/>
        </w:rPr>
        <w:t xml:space="preserve">111 </w:t>
      </w:r>
      <w:proofErr w:type="gramStart"/>
      <w:r w:rsidRPr="00CE2B36">
        <w:rPr>
          <w:rFonts w:ascii="Times New Roman" w:eastAsiaTheme="minorEastAsia" w:hAnsi="Times New Roman" w:cs="Times New Roman"/>
          <w:sz w:val="28"/>
          <w:szCs w:val="28"/>
          <w:lang w:val="en-US" w:eastAsia="ru-RU"/>
        </w:rPr>
        <w:t>della</w:t>
      </w:r>
      <w:proofErr w:type="gramEnd"/>
      <w:r w:rsidRPr="00CE2B36">
        <w:rPr>
          <w:rFonts w:ascii="Times New Roman" w:eastAsiaTheme="minorEastAsia" w:hAnsi="Times New Roman" w:cs="Times New Roman"/>
          <w:sz w:val="28"/>
          <w:szCs w:val="28"/>
          <w:lang w:val="en-US" w:eastAsia="ru-RU"/>
        </w:rPr>
        <w:t xml:space="preserve"> Porta, D., &amp; Felicetti, A. (2022). Innovating Democracy </w:t>
      </w:r>
      <w:proofErr w:type="gramStart"/>
      <w:r w:rsidRPr="00CE2B36">
        <w:rPr>
          <w:rFonts w:ascii="Times New Roman" w:eastAsiaTheme="minorEastAsia" w:hAnsi="Times New Roman" w:cs="Times New Roman"/>
          <w:sz w:val="28"/>
          <w:szCs w:val="28"/>
          <w:lang w:val="en-US" w:eastAsia="ru-RU"/>
        </w:rPr>
        <w:t>Against</w:t>
      </w:r>
      <w:proofErr w:type="gramEnd"/>
      <w:r w:rsidRPr="00CE2B36">
        <w:rPr>
          <w:rFonts w:ascii="Times New Roman" w:eastAsiaTheme="minorEastAsia" w:hAnsi="Times New Roman" w:cs="Times New Roman"/>
          <w:sz w:val="28"/>
          <w:szCs w:val="28"/>
          <w:lang w:val="en-US" w:eastAsia="ru-RU"/>
        </w:rPr>
        <w:t xml:space="preserve"> Democratic Stress in Europe: Social Movements and Democratic Experiments. </w:t>
      </w:r>
      <w:r w:rsidRPr="00CE2B36">
        <w:rPr>
          <w:rFonts w:ascii="Times New Roman" w:eastAsiaTheme="minorEastAsia" w:hAnsi="Times New Roman" w:cs="Times New Roman"/>
          <w:i/>
          <w:iCs/>
          <w:sz w:val="28"/>
          <w:szCs w:val="28"/>
          <w:lang w:val="en-US" w:eastAsia="ru-RU"/>
        </w:rPr>
        <w:t>Representation</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58</w:t>
      </w:r>
      <w:r w:rsidRPr="00CE2B36">
        <w:rPr>
          <w:rFonts w:ascii="Times New Roman" w:eastAsiaTheme="minorEastAsia" w:hAnsi="Times New Roman" w:cs="Times New Roman"/>
          <w:sz w:val="28"/>
          <w:szCs w:val="28"/>
          <w:lang w:val="en-US" w:eastAsia="ru-RU"/>
        </w:rPr>
        <w:t>(1), 67–84. https://doi.org/10.1080/00344893.2019.1624600.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112</w:t>
      </w:r>
      <w:proofErr w:type="gramEnd"/>
      <w:r w:rsidRPr="00CE2B36">
        <w:rPr>
          <w:rFonts w:ascii="Times New Roman" w:eastAsiaTheme="minorEastAsia" w:hAnsi="Times New Roman" w:cs="Times New Roman"/>
          <w:sz w:val="28"/>
          <w:szCs w:val="28"/>
          <w:lang w:val="en-US" w:eastAsia="ru-RU"/>
        </w:rPr>
        <w:t xml:space="preserve"> Tarrow S. The Europeanization of conflict: reflections from a social movement perspective // </w:t>
      </w:r>
      <w:r w:rsidRPr="00CE2B36">
        <w:rPr>
          <w:rFonts w:ascii="Times New Roman" w:eastAsiaTheme="minorEastAsia" w:hAnsi="Times New Roman" w:cs="Times New Roman"/>
          <w:i/>
          <w:iCs/>
          <w:sz w:val="28"/>
          <w:szCs w:val="28"/>
          <w:lang w:val="en-US" w:eastAsia="ru-RU"/>
        </w:rPr>
        <w:t>West European Politics</w:t>
      </w:r>
      <w:r w:rsidRPr="00CE2B36">
        <w:rPr>
          <w:rFonts w:ascii="Times New Roman" w:eastAsiaTheme="minorEastAsia" w:hAnsi="Times New Roman" w:cs="Times New Roman"/>
          <w:sz w:val="28"/>
          <w:szCs w:val="28"/>
          <w:lang w:val="en-US" w:eastAsia="ru-RU"/>
        </w:rPr>
        <w:t>. – 1995. – Vol. 18. – P. 223–251.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lastRenderedPageBreak/>
        <w:t>113</w:t>
      </w:r>
      <w:proofErr w:type="gramEnd"/>
      <w:r w:rsidRPr="00CE2B36">
        <w:rPr>
          <w:rFonts w:ascii="Times New Roman" w:eastAsiaTheme="minorEastAsia" w:hAnsi="Times New Roman" w:cs="Times New Roman"/>
          <w:sz w:val="28"/>
          <w:szCs w:val="28"/>
          <w:lang w:val="en-US" w:eastAsia="ru-RU"/>
        </w:rPr>
        <w:t xml:space="preserve"> Tilly Ch. </w:t>
      </w:r>
      <w:r w:rsidRPr="00CE2B36">
        <w:rPr>
          <w:rFonts w:ascii="Times New Roman" w:eastAsiaTheme="minorEastAsia" w:hAnsi="Times New Roman" w:cs="Times New Roman"/>
          <w:iCs/>
          <w:sz w:val="28"/>
          <w:szCs w:val="28"/>
          <w:lang w:val="en-US" w:eastAsia="ru-RU"/>
        </w:rPr>
        <w:t>European revolutions</w:t>
      </w:r>
      <w:r w:rsidRPr="00CE2B36">
        <w:rPr>
          <w:rFonts w:ascii="Times New Roman" w:eastAsiaTheme="minorEastAsia" w:hAnsi="Times New Roman" w:cs="Times New Roman"/>
          <w:i/>
          <w:iCs/>
          <w:sz w:val="28"/>
          <w:szCs w:val="28"/>
          <w:lang w:val="en-US" w:eastAsia="ru-RU"/>
        </w:rPr>
        <w:t xml:space="preserve">, </w:t>
      </w:r>
      <w:r w:rsidRPr="00CE2B36">
        <w:rPr>
          <w:rFonts w:ascii="Times New Roman" w:eastAsiaTheme="minorEastAsia" w:hAnsi="Times New Roman" w:cs="Times New Roman"/>
          <w:iCs/>
          <w:sz w:val="28"/>
          <w:szCs w:val="28"/>
          <w:lang w:val="en-US" w:eastAsia="ru-RU"/>
        </w:rPr>
        <w:t>1492–1992</w:t>
      </w:r>
      <w:r w:rsidRPr="00CE2B36">
        <w:rPr>
          <w:rFonts w:ascii="Times New Roman" w:eastAsiaTheme="minorEastAsia" w:hAnsi="Times New Roman" w:cs="Times New Roman"/>
          <w:sz w:val="28"/>
          <w:szCs w:val="28"/>
          <w:lang w:val="en-US" w:eastAsia="ru-RU"/>
        </w:rPr>
        <w:t xml:space="preserve">. – Oxford; Cambridge, MA: Blackwell, 1993. – 262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114 Указ Президента Республики Казахстан «Об утверждении Концепции развития гражданского общества в Республике Казахстан» от 27 августа 2020 года № 390 // Информационно-правовая система нормативных правовых актов Республики Казахстан «Әділет» [Электронный ресурс]. – Режим доступа: </w:t>
      </w:r>
      <w:hyperlink r:id="rId80" w:tgtFrame="_blank" w:history="1">
        <w:r w:rsidRPr="00CE2B36">
          <w:rPr>
            <w:rFonts w:ascii="Times New Roman" w:eastAsiaTheme="minorEastAsia" w:hAnsi="Times New Roman" w:cs="Times New Roman"/>
            <w:color w:val="DE2D24"/>
            <w:sz w:val="28"/>
            <w:szCs w:val="28"/>
            <w:u w:val="single"/>
            <w:lang w:eastAsia="ru-RU"/>
          </w:rPr>
          <w:t>adilet.zan.kz</w:t>
        </w:r>
      </w:hyperlink>
      <w:r w:rsidRPr="00CE2B36">
        <w:rPr>
          <w:rFonts w:ascii="Times New Roman" w:eastAsiaTheme="minorEastAsia" w:hAnsi="Times New Roman" w:cs="Times New Roman"/>
          <w:sz w:val="28"/>
          <w:szCs w:val="28"/>
          <w:lang w:eastAsia="ru-RU"/>
        </w:rPr>
        <w:t xml:space="preserve"> (дата обращения: 19.04.2026).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115 Закон Республики Казахстан «Об общественном контроле» от 2 октября 2023 года № 30-VIII ЗРК // Информационно-правовая система нормативных правовых актов Республики Казахстан «Әділет» [Электронный ресурс]. – Режим доступа: </w:t>
      </w:r>
      <w:hyperlink r:id="rId81" w:tgtFrame="_blank" w:history="1">
        <w:r w:rsidRPr="00CE2B36">
          <w:rPr>
            <w:rFonts w:ascii="Times New Roman" w:eastAsiaTheme="minorEastAsia" w:hAnsi="Times New Roman" w:cs="Times New Roman"/>
            <w:color w:val="DE2D24"/>
            <w:sz w:val="28"/>
            <w:szCs w:val="28"/>
            <w:u w:val="single"/>
            <w:lang w:eastAsia="ru-RU"/>
          </w:rPr>
          <w:t>adilet.zan.kz</w:t>
        </w:r>
      </w:hyperlink>
      <w:r w:rsidRPr="00CE2B36">
        <w:rPr>
          <w:rFonts w:ascii="Times New Roman" w:eastAsiaTheme="minorEastAsia" w:hAnsi="Times New Roman" w:cs="Times New Roman"/>
          <w:sz w:val="28"/>
          <w:szCs w:val="28"/>
          <w:lang w:eastAsia="ru-RU"/>
        </w:rPr>
        <w:t xml:space="preserve"> (дата обращения: 19.04.2026).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116 </w:t>
      </w:r>
      <w:r w:rsidRPr="00CE2B36">
        <w:rPr>
          <w:rFonts w:ascii="Times New Roman" w:eastAsiaTheme="minorEastAsia" w:hAnsi="Times New Roman" w:cs="Times New Roman"/>
          <w:bCs/>
          <w:sz w:val="28"/>
          <w:szCs w:val="28"/>
          <w:lang w:eastAsia="ru-RU"/>
        </w:rPr>
        <w:t xml:space="preserve">Закон Республики Казахстан </w:t>
      </w:r>
      <w:r w:rsidRPr="00CE2B36">
        <w:rPr>
          <w:rFonts w:ascii="Times New Roman" w:eastAsia="Times New Roman" w:hAnsi="Times New Roman" w:cs="Times New Roman"/>
          <w:sz w:val="28"/>
          <w:lang w:eastAsia="ru-RU"/>
        </w:rPr>
        <w:t xml:space="preserve">«О внесении изменений и дополнений в некоторые законодательные акты Республики Казахстан по вопросам общественных объединений» </w:t>
      </w:r>
      <w:r w:rsidRPr="00CE2B36">
        <w:rPr>
          <w:rFonts w:ascii="Times New Roman" w:eastAsiaTheme="minorEastAsia" w:hAnsi="Times New Roman" w:cs="Times New Roman"/>
          <w:bCs/>
          <w:sz w:val="28"/>
          <w:szCs w:val="28"/>
          <w:lang w:eastAsia="ru-RU"/>
        </w:rPr>
        <w:t>от 1 июля 2023 года № 49-VIII ЗРК</w:t>
      </w:r>
      <w:r w:rsidRPr="00CE2B36">
        <w:rPr>
          <w:rFonts w:ascii="Times New Roman" w:eastAsiaTheme="minorEastAsia" w:hAnsi="Times New Roman" w:cs="Times New Roman"/>
          <w:sz w:val="28"/>
          <w:szCs w:val="28"/>
          <w:lang w:eastAsia="ru-RU"/>
        </w:rPr>
        <w:t xml:space="preserve"> // Информационно-правовая система нормативных правовых актов Республики Казахстан «Әділет» [Электронный ресурс]. – Режим доступа: </w:t>
      </w:r>
      <w:hyperlink r:id="rId82" w:tgtFrame="_blank" w:history="1">
        <w:r w:rsidRPr="00CE2B36">
          <w:rPr>
            <w:rFonts w:ascii="Times New Roman" w:eastAsiaTheme="minorEastAsia" w:hAnsi="Times New Roman" w:cs="Times New Roman"/>
            <w:color w:val="DE2D24"/>
            <w:sz w:val="28"/>
            <w:szCs w:val="28"/>
            <w:u w:val="single"/>
            <w:lang w:eastAsia="ru-RU"/>
          </w:rPr>
          <w:t>adilet.zan.kz</w:t>
        </w:r>
      </w:hyperlink>
      <w:r w:rsidRPr="00CE2B36">
        <w:rPr>
          <w:rFonts w:ascii="Times New Roman" w:eastAsiaTheme="minorEastAsia" w:hAnsi="Times New Roman" w:cs="Times New Roman"/>
          <w:sz w:val="28"/>
          <w:szCs w:val="28"/>
          <w:lang w:eastAsia="ru-RU"/>
        </w:rPr>
        <w:t xml:space="preserve"> (дата обращения: 19.04.2026).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117 Министерство национальной экономики Республики Казахстан. Документ № 696423 [Электронный ресурс]. – Режим доступа: </w:t>
      </w:r>
      <w:hyperlink r:id="rId83" w:tgtFrame="_blank" w:history="1">
        <w:r w:rsidRPr="00CE2B36">
          <w:rPr>
            <w:rFonts w:ascii="Times New Roman" w:eastAsiaTheme="minorEastAsia" w:hAnsi="Times New Roman" w:cs="Times New Roman"/>
            <w:color w:val="DE2D24"/>
            <w:sz w:val="28"/>
            <w:szCs w:val="28"/>
            <w:u w:val="single"/>
            <w:lang w:eastAsia="ru-RU"/>
          </w:rPr>
          <w:t>gov.kz</w:t>
        </w:r>
      </w:hyperlink>
      <w:r w:rsidRPr="00CE2B36">
        <w:rPr>
          <w:rFonts w:ascii="Times New Roman" w:eastAsiaTheme="minorEastAsia" w:hAnsi="Times New Roman" w:cs="Times New Roman"/>
          <w:sz w:val="28"/>
          <w:szCs w:val="28"/>
          <w:lang w:eastAsia="ru-RU"/>
        </w:rPr>
        <w:t xml:space="preserve"> (дата обращения: 19.04.2026).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118</w:t>
      </w:r>
      <w:proofErr w:type="gramEnd"/>
      <w:r w:rsidRPr="00CE2B36">
        <w:rPr>
          <w:rFonts w:ascii="Times New Roman" w:eastAsiaTheme="minorEastAsia" w:hAnsi="Times New Roman" w:cs="Times New Roman"/>
          <w:sz w:val="28"/>
          <w:szCs w:val="28"/>
          <w:lang w:val="en-US" w:eastAsia="ru-RU"/>
        </w:rPr>
        <w:t xml:space="preserve"> Croteau D., Hoynes W. </w:t>
      </w:r>
      <w:r w:rsidRPr="00CE2B36">
        <w:rPr>
          <w:rFonts w:ascii="Times New Roman" w:eastAsiaTheme="minorEastAsia" w:hAnsi="Times New Roman" w:cs="Times New Roman"/>
          <w:iCs/>
          <w:sz w:val="28"/>
          <w:szCs w:val="28"/>
          <w:lang w:val="en-US" w:eastAsia="ru-RU"/>
        </w:rPr>
        <w:t>Media/society: industries, images and audiences</w:t>
      </w:r>
      <w:r w:rsidRPr="00CE2B36">
        <w:rPr>
          <w:rFonts w:ascii="Times New Roman" w:eastAsiaTheme="minorEastAsia" w:hAnsi="Times New Roman" w:cs="Times New Roman"/>
          <w:sz w:val="28"/>
          <w:szCs w:val="28"/>
          <w:lang w:val="en-US" w:eastAsia="ru-RU"/>
        </w:rPr>
        <w:t xml:space="preserve">. – </w:t>
      </w:r>
      <w:proofErr w:type="gramStart"/>
      <w:r w:rsidRPr="00CE2B36">
        <w:rPr>
          <w:rFonts w:ascii="Times New Roman" w:eastAsiaTheme="minorEastAsia" w:hAnsi="Times New Roman" w:cs="Times New Roman"/>
          <w:sz w:val="28"/>
          <w:szCs w:val="28"/>
          <w:lang w:val="en-US" w:eastAsia="ru-RU"/>
        </w:rPr>
        <w:t>5th</w:t>
      </w:r>
      <w:proofErr w:type="gramEnd"/>
      <w:r w:rsidRPr="00CE2B36">
        <w:rPr>
          <w:rFonts w:ascii="Times New Roman" w:eastAsiaTheme="minorEastAsia" w:hAnsi="Times New Roman" w:cs="Times New Roman"/>
          <w:sz w:val="28"/>
          <w:szCs w:val="28"/>
          <w:lang w:val="en-US" w:eastAsia="ru-RU"/>
        </w:rPr>
        <w:t xml:space="preserve"> ed. – Thousand Oaks: SAGE Publications, 2014. – 402 p.</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119</w:t>
      </w:r>
      <w:proofErr w:type="gramEnd"/>
      <w:r w:rsidRPr="00CE2B36">
        <w:rPr>
          <w:rFonts w:ascii="Times New Roman" w:eastAsiaTheme="minorEastAsia" w:hAnsi="Times New Roman" w:cs="Times New Roman"/>
          <w:sz w:val="28"/>
          <w:szCs w:val="28"/>
          <w:lang w:val="en-US" w:eastAsia="ru-RU"/>
        </w:rPr>
        <w:t xml:space="preserve"> Waldrop M. </w:t>
      </w:r>
      <w:r w:rsidRPr="00CE2B36">
        <w:rPr>
          <w:rFonts w:ascii="Times New Roman" w:eastAsiaTheme="minorEastAsia" w:hAnsi="Times New Roman" w:cs="Times New Roman"/>
          <w:iCs/>
          <w:sz w:val="28"/>
          <w:szCs w:val="28"/>
          <w:lang w:val="en-US" w:eastAsia="ru-RU"/>
        </w:rPr>
        <w:t>The dream machine: J. C. R. Licklider and the revolution that made computing personal</w:t>
      </w:r>
      <w:r w:rsidRPr="00CE2B36">
        <w:rPr>
          <w:rFonts w:ascii="Times New Roman" w:eastAsiaTheme="minorEastAsia" w:hAnsi="Times New Roman" w:cs="Times New Roman"/>
          <w:sz w:val="28"/>
          <w:szCs w:val="28"/>
          <w:lang w:val="en-US" w:eastAsia="ru-RU"/>
        </w:rPr>
        <w:t xml:space="preserve">. – New York: Penguin Books, 2001. – 339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120 Чэнь Ди. Социальные сетевые медиа и социальные сети в концепциях американских и российских исследователей // </w:t>
      </w:r>
      <w:r w:rsidRPr="00CE2B36">
        <w:rPr>
          <w:rFonts w:ascii="Times New Roman" w:eastAsiaTheme="minorEastAsia" w:hAnsi="Times New Roman" w:cs="Times New Roman"/>
          <w:i/>
          <w:iCs/>
          <w:sz w:val="28"/>
          <w:szCs w:val="28"/>
          <w:lang w:eastAsia="ru-RU"/>
        </w:rPr>
        <w:t>Вестник Санкт-Петербургского университета</w:t>
      </w:r>
      <w:r w:rsidRPr="00CE2B36">
        <w:rPr>
          <w:rFonts w:ascii="Times New Roman" w:eastAsiaTheme="minorEastAsia" w:hAnsi="Times New Roman" w:cs="Times New Roman"/>
          <w:sz w:val="28"/>
          <w:szCs w:val="28"/>
          <w:lang w:eastAsia="ru-RU"/>
        </w:rPr>
        <w:t>. – 2012. – Сер. 9. – Вып. 3. – С. 223–224.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121</w:t>
      </w:r>
      <w:proofErr w:type="gramEnd"/>
      <w:r w:rsidRPr="00CE2B36">
        <w:rPr>
          <w:rFonts w:ascii="Times New Roman" w:eastAsiaTheme="minorEastAsia" w:hAnsi="Times New Roman" w:cs="Times New Roman"/>
          <w:sz w:val="28"/>
          <w:szCs w:val="28"/>
          <w:lang w:val="en-US" w:eastAsia="ru-RU"/>
        </w:rPr>
        <w:t xml:space="preserve"> Castells M. </w:t>
      </w:r>
      <w:r w:rsidRPr="00CE2B36">
        <w:rPr>
          <w:rFonts w:ascii="Times New Roman" w:eastAsiaTheme="minorEastAsia" w:hAnsi="Times New Roman" w:cs="Times New Roman"/>
          <w:iCs/>
          <w:sz w:val="28"/>
          <w:szCs w:val="28"/>
          <w:lang w:val="en-US" w:eastAsia="ru-RU"/>
        </w:rPr>
        <w:t>Mobile communication and society</w:t>
      </w:r>
      <w:r w:rsidRPr="00CE2B36">
        <w:rPr>
          <w:rFonts w:ascii="Times New Roman" w:eastAsiaTheme="minorEastAsia" w:hAnsi="Times New Roman" w:cs="Times New Roman"/>
          <w:sz w:val="28"/>
          <w:szCs w:val="28"/>
          <w:lang w:val="en-US" w:eastAsia="ru-RU"/>
        </w:rPr>
        <w:t xml:space="preserve">. – Cambridge: MIT Press, 2007. – 352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122 О’Рейли Т. Что такое Web 2.0 // </w:t>
      </w:r>
      <w:r w:rsidRPr="00CE2B36">
        <w:rPr>
          <w:rFonts w:ascii="Times New Roman" w:eastAsiaTheme="minorEastAsia" w:hAnsi="Times New Roman" w:cs="Times New Roman"/>
          <w:i/>
          <w:iCs/>
          <w:sz w:val="28"/>
          <w:szCs w:val="28"/>
          <w:lang w:eastAsia="ru-RU"/>
        </w:rPr>
        <w:t>Компьютерра</w:t>
      </w:r>
      <w:r w:rsidRPr="00CE2B36">
        <w:rPr>
          <w:rFonts w:ascii="Times New Roman" w:eastAsiaTheme="minorEastAsia" w:hAnsi="Times New Roman" w:cs="Times New Roman"/>
          <w:sz w:val="28"/>
          <w:szCs w:val="28"/>
          <w:lang w:eastAsia="ru-RU"/>
        </w:rPr>
        <w:t>. – 2005. – № 37 (609). – С. 302–326.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123</w:t>
      </w:r>
      <w:proofErr w:type="gramEnd"/>
      <w:r w:rsidRPr="00CE2B36">
        <w:rPr>
          <w:rFonts w:ascii="Times New Roman" w:eastAsiaTheme="minorEastAsia" w:hAnsi="Times New Roman" w:cs="Times New Roman"/>
          <w:sz w:val="28"/>
          <w:szCs w:val="28"/>
          <w:lang w:val="en-US" w:eastAsia="ru-RU"/>
        </w:rPr>
        <w:t xml:space="preserve"> Van Dijck J. </w:t>
      </w:r>
      <w:r w:rsidRPr="00CE2B36">
        <w:rPr>
          <w:rFonts w:ascii="Times New Roman" w:eastAsiaTheme="minorEastAsia" w:hAnsi="Times New Roman" w:cs="Times New Roman"/>
          <w:iCs/>
          <w:sz w:val="28"/>
          <w:szCs w:val="28"/>
          <w:lang w:val="en-US" w:eastAsia="ru-RU"/>
        </w:rPr>
        <w:t>The culture of connectivity: a critical history of social media</w:t>
      </w:r>
      <w:r w:rsidRPr="00CE2B36">
        <w:rPr>
          <w:rFonts w:ascii="Times New Roman" w:eastAsiaTheme="minorEastAsia" w:hAnsi="Times New Roman" w:cs="Times New Roman"/>
          <w:sz w:val="28"/>
          <w:szCs w:val="28"/>
          <w:lang w:val="en-US" w:eastAsia="ru-RU"/>
        </w:rPr>
        <w:t>. – Oxford: Oxford University Press, 2013. – 228 p.</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124 Министерство национальной экономики Республики Казахстан. Комитет по статистике [Электронный ресурс]. – Режим доступа: </w:t>
      </w:r>
      <w:hyperlink r:id="rId84" w:tgtFrame="_new" w:history="1">
        <w:r w:rsidRPr="00CE2B36">
          <w:rPr>
            <w:rFonts w:ascii="Times New Roman" w:eastAsiaTheme="minorEastAsia" w:hAnsi="Times New Roman" w:cs="Times New Roman"/>
            <w:color w:val="DE2D24"/>
            <w:sz w:val="28"/>
            <w:szCs w:val="28"/>
            <w:u w:val="single"/>
            <w:lang w:eastAsia="ru-RU"/>
          </w:rPr>
          <w:t>https://stat.gov.kz</w:t>
        </w:r>
      </w:hyperlink>
      <w:r w:rsidRPr="00CE2B36">
        <w:rPr>
          <w:rFonts w:ascii="Times New Roman" w:eastAsiaTheme="minorEastAsia" w:hAnsi="Times New Roman" w:cs="Times New Roman"/>
          <w:sz w:val="28"/>
          <w:szCs w:val="28"/>
          <w:lang w:eastAsia="ru-RU"/>
        </w:rPr>
        <w:t xml:space="preserve"> (дата обращения: 24.11.2018).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125 Шигаева Д. Интернет-аудитория Казахстана: портрет и предпочтения пользователя [Электронный ресурс]. – Режим доступа: </w:t>
      </w:r>
      <w:hyperlink r:id="rId85" w:tgtFrame="_new" w:history="1">
        <w:r w:rsidRPr="00CE2B36">
          <w:rPr>
            <w:rFonts w:ascii="Times New Roman" w:eastAsiaTheme="minorEastAsia" w:hAnsi="Times New Roman" w:cs="Times New Roman"/>
            <w:color w:val="DE2D24"/>
            <w:sz w:val="28"/>
            <w:szCs w:val="28"/>
            <w:u w:val="single"/>
            <w:lang w:eastAsia="ru-RU"/>
          </w:rPr>
          <w:t>https://forbes.kz/stats/internetauditoriya_kazahstana_portret_i_predpochteniya_polzovatelya</w:t>
        </w:r>
      </w:hyperlink>
      <w:r w:rsidRPr="00CE2B36">
        <w:rPr>
          <w:rFonts w:ascii="Times New Roman" w:eastAsiaTheme="minorEastAsia" w:hAnsi="Times New Roman" w:cs="Times New Roman"/>
          <w:sz w:val="28"/>
          <w:szCs w:val="28"/>
          <w:lang w:eastAsia="ru-RU"/>
        </w:rPr>
        <w:t xml:space="preserve"> (дата обращения: 24.11.2018).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126 Приказ и.о. Министра по инвестициям и развитию Республики Казахстан «</w:t>
      </w:r>
      <w:r w:rsidRPr="00CE2B36">
        <w:rPr>
          <w:rFonts w:ascii="Times New Roman" w:eastAsiaTheme="minorEastAsia" w:hAnsi="Times New Roman" w:cs="Times New Roman"/>
          <w:bCs/>
          <w:sz w:val="28"/>
          <w:szCs w:val="28"/>
          <w:lang w:eastAsia="ru-RU"/>
        </w:rPr>
        <w:t>Об утверждении требований к содержанию, ведению и информационному наполнению электронными информационными ресурсами веб-портала "электронного правительства"</w:t>
      </w:r>
      <w:r w:rsidRPr="00CE2B36">
        <w:rPr>
          <w:rFonts w:ascii="Times New Roman" w:eastAsiaTheme="minorEastAsia" w:hAnsi="Times New Roman" w:cs="Times New Roman"/>
          <w:b/>
          <w:bCs/>
          <w:sz w:val="28"/>
          <w:szCs w:val="28"/>
          <w:lang w:eastAsia="ru-RU"/>
        </w:rPr>
        <w:t xml:space="preserve">» </w:t>
      </w:r>
      <w:r w:rsidRPr="00CE2B36">
        <w:rPr>
          <w:rFonts w:ascii="Times New Roman" w:eastAsiaTheme="minorEastAsia" w:hAnsi="Times New Roman" w:cs="Times New Roman"/>
          <w:sz w:val="28"/>
          <w:szCs w:val="28"/>
          <w:lang w:eastAsia="ru-RU"/>
        </w:rPr>
        <w:t xml:space="preserve">от 26 января 2016 года № 74// </w:t>
      </w:r>
      <w:r w:rsidRPr="00CE2B36">
        <w:rPr>
          <w:rFonts w:ascii="Times New Roman" w:eastAsiaTheme="minorEastAsia" w:hAnsi="Times New Roman" w:cs="Times New Roman"/>
          <w:sz w:val="28"/>
          <w:szCs w:val="28"/>
          <w:lang w:eastAsia="ru-RU"/>
        </w:rPr>
        <w:lastRenderedPageBreak/>
        <w:t xml:space="preserve">Информационно-правовая система нормативных правовых актов Республики Казахстан «Әділет» [Электронный ресурс]. – Режим доступа: </w:t>
      </w:r>
      <w:hyperlink r:id="rId86" w:tgtFrame="_blank" w:history="1">
        <w:r w:rsidRPr="00CE2B36">
          <w:rPr>
            <w:rFonts w:ascii="Times New Roman" w:eastAsiaTheme="minorEastAsia" w:hAnsi="Times New Roman" w:cs="Times New Roman"/>
            <w:color w:val="DE2D24"/>
            <w:sz w:val="28"/>
            <w:szCs w:val="28"/>
            <w:u w:val="single"/>
            <w:lang w:eastAsia="ru-RU"/>
          </w:rPr>
          <w:t>adilet.zan.kz</w:t>
        </w:r>
      </w:hyperlink>
      <w:r w:rsidRPr="00CE2B36">
        <w:rPr>
          <w:rFonts w:ascii="Times New Roman" w:eastAsiaTheme="minorEastAsia" w:hAnsi="Times New Roman" w:cs="Times New Roman"/>
          <w:sz w:val="28"/>
          <w:szCs w:val="28"/>
          <w:lang w:eastAsia="ru-RU"/>
        </w:rPr>
        <w:t xml:space="preserve"> (дата обращения: 19.04.2026).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127 Постановление Правительства Республики Казахстан от 16 октября 2024 года № 592. // Информационно-правовая система «Әділет». – URL: </w:t>
      </w:r>
      <w:hyperlink r:id="rId87" w:tgtFrame="_blank" w:history="1">
        <w:r w:rsidRPr="00CE2B36">
          <w:rPr>
            <w:rFonts w:ascii="Times New Roman" w:eastAsiaTheme="minorEastAsia" w:hAnsi="Times New Roman" w:cs="Times New Roman"/>
            <w:color w:val="DE2D24"/>
            <w:sz w:val="28"/>
            <w:szCs w:val="28"/>
            <w:u w:val="single"/>
            <w:lang w:eastAsia="ru-RU"/>
          </w:rPr>
          <w:t>ИПС «Әділет»</w:t>
        </w:r>
      </w:hyperlink>
      <w:r w:rsidRPr="00CE2B36">
        <w:rPr>
          <w:rFonts w:ascii="Times New Roman" w:eastAsiaTheme="minorEastAsia" w:hAnsi="Times New Roman" w:cs="Times New Roman"/>
          <w:sz w:val="28"/>
          <w:szCs w:val="28"/>
          <w:lang w:eastAsia="ru-RU"/>
        </w:rPr>
        <w:t xml:space="preserve"> (дата обращения: 19.05.2026).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bCs/>
          <w:sz w:val="28"/>
          <w:szCs w:val="28"/>
          <w:lang w:val="en-US" w:eastAsia="ru-RU"/>
        </w:rPr>
        <w:t>128</w:t>
      </w:r>
      <w:r w:rsidRPr="00CE2B36">
        <w:rPr>
          <w:rFonts w:ascii="Times New Roman" w:eastAsiaTheme="minorEastAsia" w:hAnsi="Times New Roman" w:cs="Times New Roman"/>
          <w:sz w:val="28"/>
          <w:szCs w:val="28"/>
          <w:lang w:val="en-US" w:eastAsia="ru-RU"/>
        </w:rPr>
        <w:t xml:space="preserve"> Bennett W. L. Communicating global activism: strength and vulnerabilities of networked politics // Cyberprotest: new media, citizens and social movements / ed. by W. van de Donk, B. Loader, P. Nixon, </w:t>
      </w:r>
      <w:proofErr w:type="gramStart"/>
      <w:r w:rsidRPr="00CE2B36">
        <w:rPr>
          <w:rFonts w:ascii="Times New Roman" w:eastAsiaTheme="minorEastAsia" w:hAnsi="Times New Roman" w:cs="Times New Roman"/>
          <w:sz w:val="28"/>
          <w:szCs w:val="28"/>
          <w:lang w:val="en-US" w:eastAsia="ru-RU"/>
        </w:rPr>
        <w:t>D</w:t>
      </w:r>
      <w:proofErr w:type="gramEnd"/>
      <w:r w:rsidRPr="00CE2B36">
        <w:rPr>
          <w:rFonts w:ascii="Times New Roman" w:eastAsiaTheme="minorEastAsia" w:hAnsi="Times New Roman" w:cs="Times New Roman"/>
          <w:sz w:val="28"/>
          <w:szCs w:val="28"/>
          <w:lang w:val="en-US" w:eastAsia="ru-RU"/>
        </w:rPr>
        <w:t xml:space="preserve">. Rucht. – London: Routledge, 2004. – 293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129</w:t>
      </w:r>
      <w:proofErr w:type="gramEnd"/>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sz w:val="28"/>
          <w:szCs w:val="28"/>
          <w:lang w:val="en-US" w:eastAsia="ru-RU"/>
        </w:rPr>
        <w:t>Hilbert, M. (2020). Digital technology and social change: The digital transformation of society from a historical per</w:t>
      </w:r>
      <w:r w:rsidRPr="00CE2B36">
        <w:rPr>
          <w:rFonts w:ascii="Times New Roman" w:eastAsiaTheme="minorEastAsia" w:hAnsi="Times New Roman" w:cs="Times New Roman"/>
          <w:sz w:val="28"/>
          <w:szCs w:val="28"/>
          <w:lang w:val="en-US" w:eastAsia="ru-RU"/>
        </w:rPr>
        <w:softHyphen/>
        <w:t xml:space="preserve">spective. </w:t>
      </w:r>
      <w:r w:rsidRPr="00CE2B36">
        <w:rPr>
          <w:rFonts w:ascii="Times New Roman" w:eastAsiaTheme="minorEastAsia" w:hAnsi="Times New Roman" w:cs="Times New Roman"/>
          <w:i/>
          <w:iCs/>
          <w:sz w:val="28"/>
          <w:szCs w:val="28"/>
          <w:lang w:val="en-US" w:eastAsia="ru-RU"/>
        </w:rPr>
        <w:t>Dialogues in Clinical Neuroscience</w:t>
      </w:r>
      <w:r w:rsidRPr="00CE2B36">
        <w:rPr>
          <w:rFonts w:ascii="Times New Roman" w:eastAsiaTheme="minorEastAsia" w:hAnsi="Times New Roman" w:cs="Times New Roman"/>
          <w:sz w:val="28"/>
          <w:szCs w:val="28"/>
          <w:lang w:val="en-US" w:eastAsia="ru-RU"/>
        </w:rPr>
        <w:t xml:space="preserve">, </w:t>
      </w:r>
      <w:r w:rsidRPr="00CE2B36">
        <w:rPr>
          <w:rFonts w:ascii="Times New Roman" w:eastAsiaTheme="minorEastAsia" w:hAnsi="Times New Roman" w:cs="Times New Roman"/>
          <w:i/>
          <w:iCs/>
          <w:sz w:val="28"/>
          <w:szCs w:val="28"/>
          <w:lang w:val="en-US" w:eastAsia="ru-RU"/>
        </w:rPr>
        <w:t>22</w:t>
      </w:r>
      <w:r w:rsidRPr="00CE2B36">
        <w:rPr>
          <w:rFonts w:ascii="Times New Roman" w:eastAsiaTheme="minorEastAsia" w:hAnsi="Times New Roman" w:cs="Times New Roman"/>
          <w:sz w:val="28"/>
          <w:szCs w:val="28"/>
          <w:lang w:val="en-US" w:eastAsia="ru-RU"/>
        </w:rPr>
        <w:t xml:space="preserve">(2), 189–194. </w:t>
      </w:r>
      <w:hyperlink r:id="rId88" w:history="1">
        <w:r w:rsidRPr="00CE2B36">
          <w:rPr>
            <w:rFonts w:ascii="Times New Roman" w:eastAsiaTheme="minorEastAsia" w:hAnsi="Times New Roman" w:cs="Times New Roman"/>
            <w:color w:val="DE2D24"/>
            <w:sz w:val="28"/>
            <w:szCs w:val="28"/>
            <w:u w:val="single"/>
            <w:lang w:val="en-US" w:eastAsia="ru-RU"/>
          </w:rPr>
          <w:t>https://doi.org/10.31887/DCNS.2020.22.2/mhilbert</w:t>
        </w:r>
      </w:hyperlink>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t>130</w:t>
      </w:r>
      <w:proofErr w:type="gramEnd"/>
      <w:r w:rsidRPr="00CE2B36">
        <w:rPr>
          <w:rFonts w:ascii="Times New Roman" w:eastAsiaTheme="minorEastAsia" w:hAnsi="Times New Roman" w:cs="Times New Roman"/>
          <w:sz w:val="28"/>
          <w:szCs w:val="28"/>
          <w:lang w:val="en-US" w:eastAsia="ru-RU"/>
        </w:rPr>
        <w:t xml:space="preserve"> Bakhytzhan Kurmanov &amp; Colin Knox. (2024). Digital activism and authoritarian legitimation in post-Soviet Central Asia, </w:t>
      </w:r>
      <w:r w:rsidRPr="00CE2B36">
        <w:rPr>
          <w:rFonts w:ascii="Times New Roman" w:eastAsiaTheme="minorEastAsia" w:hAnsi="Times New Roman" w:cs="Times New Roman"/>
          <w:i/>
          <w:sz w:val="28"/>
          <w:szCs w:val="28"/>
          <w:lang w:val="en-US" w:eastAsia="ru-RU"/>
        </w:rPr>
        <w:t>The Information Society</w:t>
      </w:r>
      <w:r w:rsidRPr="00CE2B36">
        <w:rPr>
          <w:rFonts w:ascii="Times New Roman" w:eastAsiaTheme="minorEastAsia" w:hAnsi="Times New Roman" w:cs="Times New Roman"/>
          <w:sz w:val="28"/>
          <w:szCs w:val="28"/>
          <w:lang w:val="en-US" w:eastAsia="ru-RU"/>
        </w:rPr>
        <w:t>, 40:5, 343-360, DOI: 10.1080/01972243.2024.2374714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131</w:t>
      </w:r>
      <w:proofErr w:type="gramEnd"/>
      <w:r w:rsidRPr="00CE2B36">
        <w:rPr>
          <w:rFonts w:ascii="Times New Roman" w:eastAsiaTheme="minorEastAsia" w:hAnsi="Times New Roman" w:cs="Times New Roman"/>
          <w:bCs/>
          <w:sz w:val="28"/>
          <w:szCs w:val="28"/>
          <w:lang w:val="en-US" w:eastAsia="ru-RU"/>
        </w:rPr>
        <w:t xml:space="preserve"> Diani M. Social movement networks: virtual and real // Information, Communication &amp; Society. – 2000. – No. 3. – P. 386–401.</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132</w:t>
      </w:r>
      <w:proofErr w:type="gramEnd"/>
      <w:r w:rsidRPr="00CE2B36">
        <w:rPr>
          <w:rFonts w:ascii="Times New Roman" w:eastAsiaTheme="minorEastAsia" w:hAnsi="Times New Roman" w:cs="Times New Roman"/>
          <w:bCs/>
          <w:sz w:val="28"/>
          <w:szCs w:val="28"/>
          <w:lang w:val="en-US" w:eastAsia="ru-RU"/>
        </w:rPr>
        <w:t xml:space="preserve"> Van Aelst P., Walgrave S. New media, new movements? The role of the Internet in shaping the anti-globalization movement // Cyberprotest: new media, citizens and social movements / ed. by W. van de Donk et al. – London: Routledge, 2004. – P. 97–122.</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133</w:t>
      </w:r>
      <w:proofErr w:type="gramEnd"/>
      <w:r w:rsidRPr="00CE2B36">
        <w:rPr>
          <w:rFonts w:ascii="Times New Roman" w:eastAsiaTheme="minorEastAsia" w:hAnsi="Times New Roman" w:cs="Times New Roman"/>
          <w:bCs/>
          <w:sz w:val="28"/>
          <w:szCs w:val="28"/>
          <w:lang w:val="en-US" w:eastAsia="ru-RU"/>
        </w:rPr>
        <w:t xml:space="preserve"> Nip J. Y. M. The Queer Sisters and its electronic bulletin board: a study of the Internet for social movement mobilization // Cyberprotest: new media, citizens and social movements / ed. by W. van de Donk et al. – London: Routledge, 2004. – P. 233–258.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134</w:t>
      </w:r>
      <w:proofErr w:type="gramEnd"/>
      <w:r w:rsidRPr="00CE2B36">
        <w:rPr>
          <w:rFonts w:ascii="Times New Roman" w:eastAsiaTheme="minorEastAsia" w:hAnsi="Times New Roman" w:cs="Times New Roman"/>
          <w:bCs/>
          <w:sz w:val="28"/>
          <w:szCs w:val="28"/>
          <w:lang w:val="en-US" w:eastAsia="ru-RU"/>
        </w:rPr>
        <w:t xml:space="preserve"> Tranvik T. Surfing for online connectedness: is the Internet helping to end civic engagement? // Investigating social capital / ed. by S. Prakash, P. Selle. – London: SAGE, 2004. – P. 281–304.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135</w:t>
      </w:r>
      <w:proofErr w:type="gramEnd"/>
      <w:r w:rsidRPr="00CE2B36">
        <w:rPr>
          <w:rFonts w:ascii="Times New Roman" w:eastAsiaTheme="minorEastAsia" w:hAnsi="Times New Roman" w:cs="Times New Roman"/>
          <w:bCs/>
          <w:sz w:val="28"/>
          <w:szCs w:val="28"/>
          <w:lang w:val="en-US" w:eastAsia="ru-RU"/>
        </w:rPr>
        <w:t xml:space="preserve"> Rheingold H. Smart mobs: the next social revolution. – New York: Perseus, 2002. – 266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136</w:t>
      </w:r>
      <w:proofErr w:type="gramEnd"/>
      <w:r w:rsidRPr="00CE2B36">
        <w:rPr>
          <w:rFonts w:ascii="Times New Roman" w:eastAsiaTheme="minorEastAsia" w:hAnsi="Times New Roman" w:cs="Times New Roman"/>
          <w:bCs/>
          <w:sz w:val="28"/>
          <w:szCs w:val="28"/>
          <w:lang w:val="en-US" w:eastAsia="ru-RU"/>
        </w:rPr>
        <w:t xml:space="preserve"> Lievrouw L. A., Livingstone S. Handbook of new media: social shaping and social consequences of ICTs. – London: SAGE, 2006. – 564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137</w:t>
      </w:r>
      <w:proofErr w:type="gramEnd"/>
      <w:r w:rsidRPr="00CE2B36">
        <w:rPr>
          <w:rFonts w:ascii="Times New Roman" w:eastAsiaTheme="minorEastAsia" w:hAnsi="Times New Roman" w:cs="Times New Roman"/>
          <w:bCs/>
          <w:sz w:val="28"/>
          <w:szCs w:val="28"/>
          <w:lang w:val="en-US" w:eastAsia="ru-RU"/>
        </w:rPr>
        <w:t xml:space="preserve"> Shirky C. Here comes everybody: the power of organizing without organizations. – New York: Penguin, 2008. – 352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138</w:t>
      </w:r>
      <w:proofErr w:type="gramEnd"/>
      <w:r w:rsidRPr="00CE2B36">
        <w:rPr>
          <w:rFonts w:ascii="Times New Roman" w:eastAsiaTheme="minorEastAsia" w:hAnsi="Times New Roman" w:cs="Times New Roman"/>
          <w:bCs/>
          <w:sz w:val="28"/>
          <w:szCs w:val="28"/>
          <w:lang w:val="en-US" w:eastAsia="ru-RU"/>
        </w:rPr>
        <w:t xml:space="preserve"> Li C., Bernoff J. Groundswell: winning in a world transformed by social technologies. – Boston: Harvard Business Press, 2008. – 286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bCs/>
          <w:sz w:val="28"/>
          <w:szCs w:val="28"/>
          <w:lang w:eastAsia="ru-RU"/>
        </w:rPr>
        <w:t>139 Хабермас Ю. Демократия, разум и нравственность: московские лекции и интервью. – Москва: Academia, 1995. – 245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140</w:t>
      </w:r>
      <w:proofErr w:type="gramEnd"/>
      <w:r w:rsidRPr="00CE2B36">
        <w:rPr>
          <w:rFonts w:ascii="Times New Roman" w:eastAsiaTheme="minorEastAsia" w:hAnsi="Times New Roman" w:cs="Times New Roman"/>
          <w:bCs/>
          <w:sz w:val="28"/>
          <w:szCs w:val="28"/>
          <w:lang w:val="en-US" w:eastAsia="ru-RU"/>
        </w:rPr>
        <w:t xml:space="preserve"> Benkler Y. The wealth of networks: how social production transforms markets and freedom. – New Haven, CT: Yale University Press, 2007. – 528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141</w:t>
      </w:r>
      <w:proofErr w:type="gramEnd"/>
      <w:r w:rsidRPr="00CE2B36">
        <w:rPr>
          <w:rFonts w:ascii="Times New Roman" w:eastAsiaTheme="minorEastAsia" w:hAnsi="Times New Roman" w:cs="Times New Roman"/>
          <w:bCs/>
          <w:sz w:val="28"/>
          <w:szCs w:val="28"/>
          <w:lang w:val="en-US" w:eastAsia="ru-RU"/>
        </w:rPr>
        <w:t xml:space="preserve"> Coleman G. Code is speech: legal tinkering, expertise, and protest among free and open source software developers // Cultural Anthropology. – 2009. – Vol. 24, No. 3. – P. 420–454.</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lastRenderedPageBreak/>
        <w:t>142</w:t>
      </w:r>
      <w:proofErr w:type="gramEnd"/>
      <w:r w:rsidRPr="00CE2B36">
        <w:rPr>
          <w:rFonts w:ascii="Times New Roman" w:eastAsiaTheme="minorEastAsia" w:hAnsi="Times New Roman" w:cs="Times New Roman"/>
          <w:bCs/>
          <w:sz w:val="28"/>
          <w:szCs w:val="28"/>
          <w:lang w:val="en-US" w:eastAsia="ru-RU"/>
        </w:rPr>
        <w:t xml:space="preserve"> Fixed broadband subscriptions per 100 inhabitants in Kazakhstan [Electronic resource]. – URL: </w:t>
      </w:r>
      <w:hyperlink r:id="rId89" w:tgtFrame="_new" w:history="1">
        <w:r w:rsidRPr="00CE2B36">
          <w:rPr>
            <w:rFonts w:ascii="Times New Roman" w:eastAsiaTheme="minorEastAsia" w:hAnsi="Times New Roman" w:cs="Times New Roman"/>
            <w:bCs/>
            <w:color w:val="DE2D24"/>
            <w:sz w:val="28"/>
            <w:szCs w:val="28"/>
            <w:u w:val="single"/>
            <w:lang w:val="en-US" w:eastAsia="ru-RU"/>
          </w:rPr>
          <w:t>https://www.statista.com/statistics/517757/fixed-broadband-subscriptions-per-100-inhabitants-in-kazakhstan/</w:t>
        </w:r>
      </w:hyperlink>
      <w:r w:rsidRPr="00CE2B36">
        <w:rPr>
          <w:rFonts w:ascii="Times New Roman" w:eastAsiaTheme="minorEastAsia" w:hAnsi="Times New Roman" w:cs="Times New Roman"/>
          <w:bCs/>
          <w:sz w:val="28"/>
          <w:szCs w:val="28"/>
          <w:lang w:val="en-US" w:eastAsia="ru-RU"/>
        </w:rPr>
        <w:t xml:space="preserve"> (date of access: 25.12.2018).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143</w:t>
      </w:r>
      <w:proofErr w:type="gramEnd"/>
      <w:r w:rsidRPr="00CE2B36">
        <w:rPr>
          <w:rFonts w:ascii="Times New Roman" w:eastAsiaTheme="minorEastAsia" w:hAnsi="Times New Roman" w:cs="Times New Roman"/>
          <w:bCs/>
          <w:sz w:val="28"/>
          <w:szCs w:val="28"/>
          <w:lang w:val="en-US" w:eastAsia="ru-RU"/>
        </w:rPr>
        <w:t xml:space="preserve"> International Telecommunication Union: official website [Electronic resource]. – URL: </w:t>
      </w:r>
      <w:hyperlink r:id="rId90" w:tgtFrame="_new" w:history="1">
        <w:r w:rsidRPr="00CE2B36">
          <w:rPr>
            <w:rFonts w:ascii="Times New Roman" w:eastAsiaTheme="minorEastAsia" w:hAnsi="Times New Roman" w:cs="Times New Roman"/>
            <w:bCs/>
            <w:color w:val="DE2D24"/>
            <w:sz w:val="28"/>
            <w:szCs w:val="28"/>
            <w:u w:val="single"/>
            <w:lang w:val="en-US" w:eastAsia="ru-RU"/>
          </w:rPr>
          <w:t>https://www.itu.int</w:t>
        </w:r>
      </w:hyperlink>
      <w:r w:rsidRPr="00CE2B36">
        <w:rPr>
          <w:rFonts w:ascii="Times New Roman" w:eastAsiaTheme="minorEastAsia" w:hAnsi="Times New Roman" w:cs="Times New Roman"/>
          <w:bCs/>
          <w:sz w:val="28"/>
          <w:szCs w:val="28"/>
          <w:lang w:val="en-US" w:eastAsia="ru-RU"/>
        </w:rPr>
        <w:t xml:space="preserve"> (date of access: 26.12.2018).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144</w:t>
      </w:r>
      <w:proofErr w:type="gramEnd"/>
      <w:r w:rsidRPr="00CE2B36">
        <w:rPr>
          <w:rFonts w:ascii="Times New Roman" w:eastAsiaTheme="minorEastAsia" w:hAnsi="Times New Roman" w:cs="Times New Roman"/>
          <w:bCs/>
          <w:sz w:val="28"/>
          <w:szCs w:val="28"/>
          <w:lang w:val="en-US" w:eastAsia="ru-RU"/>
        </w:rPr>
        <w:t xml:space="preserve"> Internet Live Stats: Internet users in Kazakhstan [Electronic resource]. – URL: </w:t>
      </w:r>
      <w:hyperlink r:id="rId91" w:tgtFrame="_new" w:history="1">
        <w:r w:rsidRPr="00CE2B36">
          <w:rPr>
            <w:rFonts w:ascii="Times New Roman" w:eastAsiaTheme="minorEastAsia" w:hAnsi="Times New Roman" w:cs="Times New Roman"/>
            <w:bCs/>
            <w:color w:val="DE2D24"/>
            <w:sz w:val="28"/>
            <w:szCs w:val="28"/>
            <w:u w:val="single"/>
            <w:lang w:val="en-US" w:eastAsia="ru-RU"/>
          </w:rPr>
          <w:t>https://www.internetlivestats.com/internet-users/kazakhstan/</w:t>
        </w:r>
      </w:hyperlink>
      <w:r w:rsidRPr="00CE2B36">
        <w:rPr>
          <w:rFonts w:ascii="Times New Roman" w:eastAsiaTheme="minorEastAsia" w:hAnsi="Times New Roman" w:cs="Times New Roman"/>
          <w:bCs/>
          <w:sz w:val="28"/>
          <w:szCs w:val="28"/>
          <w:lang w:val="en-US" w:eastAsia="ru-RU"/>
        </w:rPr>
        <w:t xml:space="preserve"> (date of access: 26.12.2018).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r w:rsidRPr="00CE2B36">
        <w:rPr>
          <w:rFonts w:ascii="Times New Roman" w:eastAsiaTheme="minorEastAsia" w:hAnsi="Times New Roman" w:cs="Times New Roman"/>
          <w:bCs/>
          <w:sz w:val="28"/>
          <w:szCs w:val="28"/>
          <w:lang w:val="en-US" w:eastAsia="ru-RU"/>
        </w:rPr>
        <w:t xml:space="preserve">145 Bucy E. P. </w:t>
      </w:r>
      <w:proofErr w:type="gramStart"/>
      <w:r w:rsidRPr="00CE2B36">
        <w:rPr>
          <w:rFonts w:ascii="Times New Roman" w:eastAsiaTheme="minorEastAsia" w:hAnsi="Times New Roman" w:cs="Times New Roman"/>
          <w:bCs/>
          <w:sz w:val="28"/>
          <w:szCs w:val="28"/>
          <w:lang w:val="en-US" w:eastAsia="ru-RU"/>
        </w:rPr>
        <w:t>Living</w:t>
      </w:r>
      <w:proofErr w:type="gramEnd"/>
      <w:r w:rsidRPr="00CE2B36">
        <w:rPr>
          <w:rFonts w:ascii="Times New Roman" w:eastAsiaTheme="minorEastAsia" w:hAnsi="Times New Roman" w:cs="Times New Roman"/>
          <w:bCs/>
          <w:sz w:val="28"/>
          <w:szCs w:val="28"/>
          <w:lang w:val="en-US" w:eastAsia="ru-RU"/>
        </w:rPr>
        <w:t xml:space="preserve"> in the information age: a new media reader. – </w:t>
      </w:r>
      <w:proofErr w:type="gramStart"/>
      <w:r w:rsidRPr="00CE2B36">
        <w:rPr>
          <w:rFonts w:ascii="Times New Roman" w:eastAsiaTheme="minorEastAsia" w:hAnsi="Times New Roman" w:cs="Times New Roman"/>
          <w:bCs/>
          <w:sz w:val="28"/>
          <w:szCs w:val="28"/>
          <w:lang w:val="en-US" w:eastAsia="ru-RU"/>
        </w:rPr>
        <w:t>2nd</w:t>
      </w:r>
      <w:proofErr w:type="gramEnd"/>
      <w:r w:rsidRPr="00CE2B36">
        <w:rPr>
          <w:rFonts w:ascii="Times New Roman" w:eastAsiaTheme="minorEastAsia" w:hAnsi="Times New Roman" w:cs="Times New Roman"/>
          <w:bCs/>
          <w:sz w:val="28"/>
          <w:szCs w:val="28"/>
          <w:lang w:val="en-US" w:eastAsia="ru-RU"/>
        </w:rPr>
        <w:t xml:space="preserve"> ed. – Belmont, CA: Wadsworth, 2004. – 338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146</w:t>
      </w:r>
      <w:proofErr w:type="gramEnd"/>
      <w:r w:rsidRPr="00CE2B36">
        <w:rPr>
          <w:rFonts w:ascii="Times New Roman" w:eastAsiaTheme="minorEastAsia" w:hAnsi="Times New Roman" w:cs="Times New Roman"/>
          <w:bCs/>
          <w:sz w:val="28"/>
          <w:szCs w:val="28"/>
          <w:lang w:val="en-US" w:eastAsia="ru-RU"/>
        </w:rPr>
        <w:t xml:space="preserve"> Hindman M. The myth of digital democracy. – Princeton, NJ: Princeton University Press, 2008. – 181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147</w:t>
      </w:r>
      <w:proofErr w:type="gramEnd"/>
      <w:r w:rsidRPr="00CE2B36">
        <w:rPr>
          <w:rFonts w:ascii="Times New Roman" w:eastAsiaTheme="minorEastAsia" w:hAnsi="Times New Roman" w:cs="Times New Roman"/>
          <w:bCs/>
          <w:sz w:val="28"/>
          <w:szCs w:val="28"/>
          <w:lang w:val="en-US" w:eastAsia="ru-RU"/>
        </w:rPr>
        <w:t xml:space="preserve"> Winner L. Do artifacts have politics? // </w:t>
      </w:r>
      <w:proofErr w:type="gramStart"/>
      <w:r w:rsidRPr="00CE2B36">
        <w:rPr>
          <w:rFonts w:ascii="Times New Roman" w:eastAsiaTheme="minorEastAsia" w:hAnsi="Times New Roman" w:cs="Times New Roman"/>
          <w:bCs/>
          <w:sz w:val="28"/>
          <w:szCs w:val="28"/>
          <w:lang w:val="en-US" w:eastAsia="ru-RU"/>
        </w:rPr>
        <w:t>The</w:t>
      </w:r>
      <w:proofErr w:type="gramEnd"/>
      <w:r w:rsidRPr="00CE2B36">
        <w:rPr>
          <w:rFonts w:ascii="Times New Roman" w:eastAsiaTheme="minorEastAsia" w:hAnsi="Times New Roman" w:cs="Times New Roman"/>
          <w:bCs/>
          <w:sz w:val="28"/>
          <w:szCs w:val="28"/>
          <w:lang w:val="en-US" w:eastAsia="ru-RU"/>
        </w:rPr>
        <w:t xml:space="preserve"> social shaping of technology / ed. by D. MacKenzie, J. Wajcman. – 2nd ed. – Buckingham: Open University Press, 1999. – P. 28–40.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148</w:t>
      </w:r>
      <w:proofErr w:type="gramEnd"/>
      <w:r w:rsidRPr="00CE2B36">
        <w:rPr>
          <w:rFonts w:ascii="Times New Roman" w:eastAsiaTheme="minorEastAsia" w:hAnsi="Times New Roman" w:cs="Times New Roman"/>
          <w:bCs/>
          <w:sz w:val="28"/>
          <w:szCs w:val="28"/>
          <w:lang w:val="en-US" w:eastAsia="ru-RU"/>
        </w:rPr>
        <w:t xml:space="preserve"> Daria Kuznetsova &amp; Caroline Tolbert. (2024). Modelling temporal dynamics: does internet use fuel anti-government protests</w:t>
      </w:r>
      <w:proofErr w:type="gramStart"/>
      <w:r w:rsidRPr="00CE2B36">
        <w:rPr>
          <w:rFonts w:ascii="Times New Roman" w:eastAsiaTheme="minorEastAsia" w:hAnsi="Times New Roman" w:cs="Times New Roman"/>
          <w:bCs/>
          <w:sz w:val="28"/>
          <w:szCs w:val="28"/>
          <w:lang w:val="en-US" w:eastAsia="ru-RU"/>
        </w:rPr>
        <w:t>?,</w:t>
      </w:r>
      <w:proofErr w:type="gramEnd"/>
      <w:r w:rsidRPr="00CE2B36">
        <w:rPr>
          <w:rFonts w:ascii="Times New Roman" w:eastAsiaTheme="minorEastAsia" w:hAnsi="Times New Roman" w:cs="Times New Roman"/>
          <w:bCs/>
          <w:sz w:val="28"/>
          <w:szCs w:val="28"/>
          <w:lang w:val="en-US" w:eastAsia="ru-RU"/>
        </w:rPr>
        <w:t xml:space="preserve"> Democratization, 31:2, 389-410, DOI: 10.1080/13510347.2023.2268019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149</w:t>
      </w:r>
      <w:proofErr w:type="gramEnd"/>
      <w:r w:rsidRPr="00CE2B36">
        <w:rPr>
          <w:rFonts w:ascii="Times New Roman" w:eastAsiaTheme="minorEastAsia" w:hAnsi="Times New Roman" w:cs="Times New Roman"/>
          <w:bCs/>
          <w:sz w:val="28"/>
          <w:szCs w:val="28"/>
          <w:lang w:val="en-US" w:eastAsia="ru-RU"/>
        </w:rPr>
        <w:t xml:space="preserve"> Robins K., Webster F. The long history of the information revolution // </w:t>
      </w:r>
      <w:proofErr w:type="gramStart"/>
      <w:r w:rsidRPr="00CE2B36">
        <w:rPr>
          <w:rFonts w:ascii="Times New Roman" w:eastAsiaTheme="minorEastAsia" w:hAnsi="Times New Roman" w:cs="Times New Roman"/>
          <w:bCs/>
          <w:sz w:val="28"/>
          <w:szCs w:val="28"/>
          <w:lang w:val="en-US" w:eastAsia="ru-RU"/>
        </w:rPr>
        <w:t>The</w:t>
      </w:r>
      <w:proofErr w:type="gramEnd"/>
      <w:r w:rsidRPr="00CE2B36">
        <w:rPr>
          <w:rFonts w:ascii="Times New Roman" w:eastAsiaTheme="minorEastAsia" w:hAnsi="Times New Roman" w:cs="Times New Roman"/>
          <w:bCs/>
          <w:sz w:val="28"/>
          <w:szCs w:val="28"/>
          <w:lang w:val="en-US" w:eastAsia="ru-RU"/>
        </w:rPr>
        <w:t xml:space="preserve"> information society reader / ed. by F. Webster. – New York: Routledge, 2004. – P. 62–80.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150</w:t>
      </w:r>
      <w:proofErr w:type="gramEnd"/>
      <w:r w:rsidRPr="00CE2B36">
        <w:rPr>
          <w:rFonts w:ascii="Times New Roman" w:eastAsiaTheme="minorEastAsia" w:hAnsi="Times New Roman" w:cs="Times New Roman"/>
          <w:bCs/>
          <w:sz w:val="28"/>
          <w:szCs w:val="28"/>
          <w:lang w:val="en-US" w:eastAsia="ru-RU"/>
        </w:rPr>
        <w:t xml:space="preserve"> Harkin J. Lost in Cyburbia: how life on the Net has created a life of its own. – New York: Knopf, 2010. – 288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r w:rsidRPr="00CE2B36">
        <w:rPr>
          <w:rFonts w:ascii="Times New Roman" w:eastAsiaTheme="minorEastAsia" w:hAnsi="Times New Roman" w:cs="Times New Roman"/>
          <w:bCs/>
          <w:sz w:val="28"/>
          <w:szCs w:val="28"/>
          <w:lang w:val="en-US" w:eastAsia="ru-RU"/>
        </w:rPr>
        <w:t xml:space="preserve">151 May C. T. The information society: a skeptical view. – Cambridge: Polity Press, 2002. – 261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152</w:t>
      </w:r>
      <w:proofErr w:type="gramEnd"/>
      <w:r w:rsidRPr="00CE2B36">
        <w:rPr>
          <w:rFonts w:ascii="Times New Roman" w:eastAsiaTheme="minorEastAsia" w:hAnsi="Times New Roman" w:cs="Times New Roman"/>
          <w:bCs/>
          <w:sz w:val="28"/>
          <w:szCs w:val="28"/>
          <w:lang w:val="en-US" w:eastAsia="ru-RU"/>
        </w:rPr>
        <w:t xml:space="preserve"> Warschauer M. Technology and social inclusion: rethinking the digital divide. – Cambridge, MA: MIT Press, 2004. – 274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bCs/>
          <w:sz w:val="28"/>
          <w:szCs w:val="28"/>
          <w:lang w:eastAsia="ru-RU"/>
        </w:rPr>
        <w:t>153</w:t>
      </w:r>
      <w:r w:rsidRPr="00CE2B36">
        <w:rPr>
          <w:rFonts w:ascii="Times New Roman" w:eastAsiaTheme="minorEastAsia" w:hAnsi="Times New Roman" w:cs="Times New Roman"/>
          <w:sz w:val="28"/>
          <w:szCs w:val="28"/>
          <w:lang w:eastAsia="ru-RU"/>
        </w:rPr>
        <w:t xml:space="preserve"> Подберезкин А. И. Социальные сети как качественно новый фактор системной безопасности России в XXI веке // Вестник Центра военно-политических исследований. – 2017. – URL: </w:t>
      </w:r>
      <w:hyperlink r:id="rId92" w:tgtFrame="_new" w:history="1">
        <w:r w:rsidRPr="00CE2B36">
          <w:rPr>
            <w:rFonts w:ascii="Times New Roman" w:eastAsiaTheme="minorEastAsia" w:hAnsi="Times New Roman" w:cs="Times New Roman"/>
            <w:color w:val="DE2D24"/>
            <w:sz w:val="28"/>
            <w:szCs w:val="28"/>
            <w:u w:val="single"/>
            <w:lang w:eastAsia="ru-RU"/>
          </w:rPr>
          <w:t>http://eurasian-defence.ru/sites/default/files/pdf/vestnik_podberezkinai.pdf</w:t>
        </w:r>
      </w:hyperlink>
      <w:r w:rsidRPr="00CE2B36">
        <w:rPr>
          <w:rFonts w:ascii="Times New Roman" w:eastAsiaTheme="minorEastAsia" w:hAnsi="Times New Roman" w:cs="Times New Roman"/>
          <w:sz w:val="28"/>
          <w:szCs w:val="28"/>
          <w:lang w:eastAsia="ru-RU"/>
        </w:rPr>
        <w:t xml:space="preserve"> (дата обращения: 13.07.2018).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154</w:t>
      </w:r>
      <w:proofErr w:type="gramEnd"/>
      <w:r w:rsidRPr="00CE2B36">
        <w:rPr>
          <w:rFonts w:ascii="Times New Roman" w:eastAsiaTheme="minorEastAsia" w:hAnsi="Times New Roman" w:cs="Times New Roman"/>
          <w:bCs/>
          <w:sz w:val="28"/>
          <w:szCs w:val="28"/>
          <w:lang w:val="en-US" w:eastAsia="ru-RU"/>
        </w:rPr>
        <w:t xml:space="preserve"> Kussainova, A. (2021). Digital transformation in Kazakhstan: Challenges and opportunities. </w:t>
      </w:r>
      <w:r w:rsidRPr="00CE2B36">
        <w:rPr>
          <w:rFonts w:ascii="Times New Roman" w:eastAsiaTheme="minorEastAsia" w:hAnsi="Times New Roman" w:cs="Times New Roman"/>
          <w:bCs/>
          <w:i/>
          <w:iCs/>
          <w:sz w:val="28"/>
          <w:szCs w:val="28"/>
          <w:lang w:val="en-US" w:eastAsia="ru-RU"/>
        </w:rPr>
        <w:t>Journal of Central Asian Studies</w:t>
      </w:r>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bCs/>
          <w:i/>
          <w:iCs/>
          <w:sz w:val="28"/>
          <w:szCs w:val="28"/>
          <w:lang w:val="en-US" w:eastAsia="ru-RU"/>
        </w:rPr>
        <w:t>10</w:t>
      </w:r>
      <w:r w:rsidRPr="00CE2B36">
        <w:rPr>
          <w:rFonts w:ascii="Times New Roman" w:eastAsiaTheme="minorEastAsia" w:hAnsi="Times New Roman" w:cs="Times New Roman"/>
          <w:bCs/>
          <w:sz w:val="28"/>
          <w:szCs w:val="28"/>
          <w:lang w:val="en-US" w:eastAsia="ru-RU"/>
        </w:rPr>
        <w:t>(2), 45–60.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155</w:t>
      </w:r>
      <w:proofErr w:type="gramEnd"/>
      <w:r w:rsidRPr="00CE2B36">
        <w:rPr>
          <w:rFonts w:ascii="Times New Roman" w:eastAsiaTheme="minorEastAsia" w:hAnsi="Times New Roman" w:cs="Times New Roman"/>
          <w:bCs/>
          <w:sz w:val="28"/>
          <w:szCs w:val="28"/>
          <w:lang w:val="en-US" w:eastAsia="ru-RU"/>
        </w:rPr>
        <w:t xml:space="preserve"> Murray K. E., Waller R. Social networking goes abroad // International Educator. – 2007. – Vol. 16, No. 3. – P. 56–59.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156</w:t>
      </w:r>
      <w:proofErr w:type="gramEnd"/>
      <w:r w:rsidRPr="00CE2B36">
        <w:rPr>
          <w:rFonts w:ascii="Times New Roman" w:eastAsiaTheme="minorEastAsia" w:hAnsi="Times New Roman" w:cs="Times New Roman"/>
          <w:bCs/>
          <w:sz w:val="28"/>
          <w:szCs w:val="28"/>
          <w:lang w:val="en-US" w:eastAsia="ru-RU"/>
        </w:rPr>
        <w:t xml:space="preserve"> Sander Th. H., Putnam R. (2010). </w:t>
      </w:r>
      <w:proofErr w:type="gramStart"/>
      <w:r w:rsidRPr="00CE2B36">
        <w:rPr>
          <w:rFonts w:ascii="Times New Roman" w:eastAsiaTheme="minorEastAsia" w:hAnsi="Times New Roman" w:cs="Times New Roman"/>
          <w:bCs/>
          <w:sz w:val="28"/>
          <w:szCs w:val="28"/>
          <w:lang w:val="en-US" w:eastAsia="ru-RU"/>
        </w:rPr>
        <w:t>Still Bowling Alone?</w:t>
      </w:r>
      <w:proofErr w:type="gramEnd"/>
      <w:r w:rsidRPr="00CE2B36">
        <w:rPr>
          <w:rFonts w:ascii="Times New Roman" w:eastAsiaTheme="minorEastAsia" w:hAnsi="Times New Roman" w:cs="Times New Roman"/>
          <w:bCs/>
          <w:sz w:val="28"/>
          <w:szCs w:val="28"/>
          <w:lang w:val="en-US" w:eastAsia="ru-RU"/>
        </w:rPr>
        <w:t xml:space="preserve"> The Post-9/11 Split//</w:t>
      </w:r>
      <w:r w:rsidRPr="00CE2B36">
        <w:rPr>
          <w:rFonts w:ascii="Times New Roman" w:eastAsiaTheme="minorEastAsia" w:hAnsi="Times New Roman" w:cs="Times New Roman"/>
          <w:bCs/>
          <w:i/>
          <w:sz w:val="28"/>
          <w:szCs w:val="28"/>
          <w:lang w:val="en-US" w:eastAsia="ru-RU"/>
        </w:rPr>
        <w:t>Journal of Democracy</w:t>
      </w:r>
      <w:r w:rsidRPr="00CE2B36">
        <w:rPr>
          <w:rFonts w:ascii="Times New Roman" w:eastAsiaTheme="minorEastAsia" w:hAnsi="Times New Roman" w:cs="Times New Roman"/>
          <w:bCs/>
          <w:sz w:val="28"/>
          <w:szCs w:val="28"/>
          <w:lang w:val="en-US" w:eastAsia="ru-RU"/>
        </w:rPr>
        <w:t>, Volume 21, Number 1, pp. 9-16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157</w:t>
      </w:r>
      <w:proofErr w:type="gramEnd"/>
      <w:r w:rsidRPr="00CE2B36">
        <w:rPr>
          <w:rFonts w:ascii="Times New Roman" w:eastAsiaTheme="minorEastAsia" w:hAnsi="Times New Roman" w:cs="Times New Roman"/>
          <w:sz w:val="28"/>
          <w:szCs w:val="28"/>
          <w:lang w:val="en-US" w:eastAsia="ru-RU"/>
        </w:rPr>
        <w:t xml:space="preserve"> McPherson M., Popielarz P., Drobnic S. Social networks and organizational dynamics // American Sociological Review. – 1992. – Vol. 57. – P. 153–170.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158</w:t>
      </w:r>
      <w:proofErr w:type="gramEnd"/>
      <w:r w:rsidRPr="00CE2B36">
        <w:rPr>
          <w:rFonts w:ascii="Times New Roman" w:eastAsiaTheme="minorEastAsia" w:hAnsi="Times New Roman" w:cs="Times New Roman"/>
          <w:sz w:val="28"/>
          <w:szCs w:val="28"/>
          <w:lang w:val="en-US" w:eastAsia="ru-RU"/>
        </w:rPr>
        <w:t xml:space="preserve"> Rustamjon Urinboyev &amp; Sherzod Eraliev. (2022). Informal civil society initiatives in non-Western societies: mahallas in Uzbekistan, </w:t>
      </w:r>
      <w:r w:rsidRPr="00CE2B36">
        <w:rPr>
          <w:rFonts w:ascii="Times New Roman" w:eastAsiaTheme="minorEastAsia" w:hAnsi="Times New Roman" w:cs="Times New Roman"/>
          <w:i/>
          <w:sz w:val="28"/>
          <w:szCs w:val="28"/>
          <w:lang w:val="en-US" w:eastAsia="ru-RU"/>
        </w:rPr>
        <w:t>Central Asian Survey</w:t>
      </w:r>
      <w:r w:rsidRPr="00CE2B36">
        <w:rPr>
          <w:rFonts w:ascii="Times New Roman" w:eastAsiaTheme="minorEastAsia" w:hAnsi="Times New Roman" w:cs="Times New Roman"/>
          <w:sz w:val="28"/>
          <w:szCs w:val="28"/>
          <w:lang w:val="en-US" w:eastAsia="ru-RU"/>
        </w:rPr>
        <w:t xml:space="preserve">, </w:t>
      </w:r>
      <w:proofErr w:type="gramStart"/>
      <w:r w:rsidRPr="00CE2B36">
        <w:rPr>
          <w:rFonts w:ascii="Times New Roman" w:eastAsiaTheme="minorEastAsia" w:hAnsi="Times New Roman" w:cs="Times New Roman"/>
          <w:sz w:val="28"/>
          <w:szCs w:val="28"/>
          <w:lang w:val="en-US" w:eastAsia="ru-RU"/>
        </w:rPr>
        <w:t>41:3</w:t>
      </w:r>
      <w:proofErr w:type="gramEnd"/>
      <w:r w:rsidRPr="00CE2B36">
        <w:rPr>
          <w:rFonts w:ascii="Times New Roman" w:eastAsiaTheme="minorEastAsia" w:hAnsi="Times New Roman" w:cs="Times New Roman"/>
          <w:sz w:val="28"/>
          <w:szCs w:val="28"/>
          <w:lang w:val="en-US" w:eastAsia="ru-RU"/>
        </w:rPr>
        <w:t>, 477-497, DOI: 10.1080/02634937.2022.2058915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sz w:val="28"/>
          <w:szCs w:val="28"/>
          <w:lang w:val="en-US" w:eastAsia="ru-RU"/>
        </w:rPr>
        <w:lastRenderedPageBreak/>
        <w:t>159</w:t>
      </w:r>
      <w:proofErr w:type="gramEnd"/>
      <w:r w:rsidRPr="00CE2B36">
        <w:rPr>
          <w:rFonts w:ascii="Times New Roman" w:eastAsiaTheme="minorEastAsia" w:hAnsi="Times New Roman" w:cs="Times New Roman"/>
          <w:sz w:val="28"/>
          <w:szCs w:val="28"/>
          <w:lang w:val="en-US" w:eastAsia="ru-RU"/>
        </w:rPr>
        <w:t xml:space="preserve"> Passy F. Social networks matter. </w:t>
      </w:r>
      <w:proofErr w:type="gramStart"/>
      <w:r w:rsidRPr="00CE2B36">
        <w:rPr>
          <w:rFonts w:ascii="Times New Roman" w:eastAsiaTheme="minorEastAsia" w:hAnsi="Times New Roman" w:cs="Times New Roman"/>
          <w:sz w:val="28"/>
          <w:szCs w:val="28"/>
          <w:lang w:val="en-US" w:eastAsia="ru-RU"/>
        </w:rPr>
        <w:t>But</w:t>
      </w:r>
      <w:proofErr w:type="gramEnd"/>
      <w:r w:rsidRPr="00CE2B36">
        <w:rPr>
          <w:rFonts w:ascii="Times New Roman" w:eastAsiaTheme="minorEastAsia" w:hAnsi="Times New Roman" w:cs="Times New Roman"/>
          <w:sz w:val="28"/>
          <w:szCs w:val="28"/>
          <w:lang w:val="en-US" w:eastAsia="ru-RU"/>
        </w:rPr>
        <w:t xml:space="preserve"> how? // Social movements and networks / ed. by M. Diani, D. McAdam. – Oxford; New York: Oxford University Press, 2003. – P. 21–48.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160</w:t>
      </w:r>
      <w:proofErr w:type="gramEnd"/>
      <w:r w:rsidRPr="00CE2B36">
        <w:rPr>
          <w:rFonts w:ascii="Times New Roman" w:eastAsiaTheme="minorEastAsia" w:hAnsi="Times New Roman" w:cs="Times New Roman"/>
          <w:sz w:val="28"/>
          <w:szCs w:val="28"/>
          <w:lang w:val="en-US" w:eastAsia="ru-RU"/>
        </w:rPr>
        <w:t xml:space="preserve"> Mullins P. Community and urban movements // Sociological Review. – 1987. – Vol. 35. – P. 347–369.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161</w:t>
      </w:r>
      <w:proofErr w:type="gramEnd"/>
      <w:r w:rsidRPr="00CE2B36">
        <w:rPr>
          <w:rFonts w:ascii="Times New Roman" w:eastAsiaTheme="minorEastAsia" w:hAnsi="Times New Roman" w:cs="Times New Roman"/>
          <w:bCs/>
          <w:sz w:val="28"/>
          <w:szCs w:val="28"/>
          <w:lang w:val="en-US" w:eastAsia="ru-RU"/>
        </w:rPr>
        <w:t xml:space="preserve"> Stark R., Bainbridge W. S. Networks of faith: interpersonal bonds and recruitment to cults and sects // American Journal of Sociology. – 1980. – Vol. 85. – P. 1376–1395.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162</w:t>
      </w:r>
      <w:proofErr w:type="gramEnd"/>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sz w:val="28"/>
          <w:szCs w:val="28"/>
          <w:lang w:val="en-US" w:eastAsia="ru-RU"/>
        </w:rPr>
        <w:t>Ohlemacher T. Bridging people and protest: social relays of protest groups against low-flying military jets in West Germany // Social Problems. – 1996. – Vol. 43. – P. 197–218.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163</w:t>
      </w:r>
      <w:proofErr w:type="gramEnd"/>
      <w:r w:rsidRPr="00CE2B36">
        <w:rPr>
          <w:rFonts w:ascii="Times New Roman" w:eastAsiaTheme="minorEastAsia" w:hAnsi="Times New Roman" w:cs="Times New Roman"/>
          <w:bCs/>
          <w:sz w:val="28"/>
          <w:szCs w:val="28"/>
          <w:lang w:val="en-US" w:eastAsia="ru-RU"/>
        </w:rPr>
        <w:t xml:space="preserve"> Fedorova, A. (2025). Social media and spoken language in youth civic engagement in Kazakhstan. </w:t>
      </w:r>
      <w:r w:rsidRPr="00CE2B36">
        <w:rPr>
          <w:rFonts w:ascii="Times New Roman" w:eastAsiaTheme="minorEastAsia" w:hAnsi="Times New Roman" w:cs="Times New Roman"/>
          <w:bCs/>
          <w:i/>
          <w:iCs/>
          <w:sz w:val="28"/>
          <w:szCs w:val="28"/>
          <w:lang w:val="en-US" w:eastAsia="ru-RU"/>
        </w:rPr>
        <w:t>Central Asian Survey</w:t>
      </w:r>
      <w:r w:rsidRPr="00CE2B36">
        <w:rPr>
          <w:rFonts w:ascii="Times New Roman" w:eastAsiaTheme="minorEastAsia" w:hAnsi="Times New Roman" w:cs="Times New Roman"/>
          <w:bCs/>
          <w:sz w:val="28"/>
          <w:szCs w:val="28"/>
          <w:lang w:val="en-US" w:eastAsia="ru-RU"/>
        </w:rPr>
        <w:t>, 1–26. https://doi.org/10.1080/02634937.2025.2560878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164</w:t>
      </w:r>
      <w:proofErr w:type="gramEnd"/>
      <w:r w:rsidRPr="00CE2B36">
        <w:rPr>
          <w:rFonts w:ascii="Times New Roman" w:eastAsiaTheme="minorEastAsia" w:hAnsi="Times New Roman" w:cs="Times New Roman"/>
          <w:bCs/>
          <w:sz w:val="28"/>
          <w:szCs w:val="28"/>
          <w:lang w:val="en-US" w:eastAsia="ru-RU"/>
        </w:rPr>
        <w:t xml:space="preserve"> Olijar, M., &amp; Li, J. (2024). Persuasion or polarization? LGBTQ+ attitudes among young social media users in Kazakhstan. </w:t>
      </w:r>
      <w:r w:rsidRPr="00CE2B36">
        <w:rPr>
          <w:rFonts w:ascii="Times New Roman" w:eastAsiaTheme="minorEastAsia" w:hAnsi="Times New Roman" w:cs="Times New Roman"/>
          <w:bCs/>
          <w:i/>
          <w:iCs/>
          <w:sz w:val="28"/>
          <w:szCs w:val="28"/>
          <w:lang w:val="en-US" w:eastAsia="ru-RU"/>
        </w:rPr>
        <w:t>Central Asian Survey</w:t>
      </w:r>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bCs/>
          <w:i/>
          <w:iCs/>
          <w:sz w:val="28"/>
          <w:szCs w:val="28"/>
          <w:lang w:val="en-US" w:eastAsia="ru-RU"/>
        </w:rPr>
        <w:t>43</w:t>
      </w:r>
      <w:r w:rsidRPr="00CE2B36">
        <w:rPr>
          <w:rFonts w:ascii="Times New Roman" w:eastAsiaTheme="minorEastAsia" w:hAnsi="Times New Roman" w:cs="Times New Roman"/>
          <w:bCs/>
          <w:sz w:val="28"/>
          <w:szCs w:val="28"/>
          <w:lang w:val="en-US" w:eastAsia="ru-RU"/>
        </w:rPr>
        <w:t>(1), 101–122. https://doi.org/10.1080/02634937.2023.2187759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165</w:t>
      </w:r>
      <w:proofErr w:type="gramEnd"/>
      <w:r w:rsidRPr="00CE2B36">
        <w:rPr>
          <w:rFonts w:ascii="Times New Roman" w:eastAsiaTheme="minorEastAsia" w:hAnsi="Times New Roman" w:cs="Times New Roman"/>
          <w:bCs/>
          <w:sz w:val="28"/>
          <w:szCs w:val="28"/>
          <w:lang w:val="en-US" w:eastAsia="ru-RU"/>
        </w:rPr>
        <w:t xml:space="preserve"> Bolter J. D., Grusin R. Remediation: understanding new media. – Cambridge, MA: MIT Press, 2000. – 312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166</w:t>
      </w:r>
      <w:proofErr w:type="gramEnd"/>
      <w:r w:rsidRPr="00CE2B36">
        <w:rPr>
          <w:rFonts w:ascii="Times New Roman" w:eastAsiaTheme="minorEastAsia" w:hAnsi="Times New Roman" w:cs="Times New Roman"/>
          <w:sz w:val="28"/>
          <w:szCs w:val="28"/>
          <w:lang w:val="en-US" w:eastAsia="ru-RU"/>
        </w:rPr>
        <w:t xml:space="preserve"> Kaplan A. M., Haenlein M. Users of the world, unite! The challenges and opportunities of social media // Business Horizons. – 2010. – Vol. 53, No. 1. – P. 59–68.</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bCs/>
          <w:sz w:val="28"/>
          <w:szCs w:val="28"/>
          <w:lang w:val="en-US" w:eastAsia="ru-RU"/>
        </w:rPr>
        <w:t>167 A history of social media. URL</w:t>
      </w:r>
      <w:r w:rsidRPr="00CE2B36">
        <w:rPr>
          <w:rFonts w:ascii="Times New Roman" w:eastAsiaTheme="minorEastAsia" w:hAnsi="Times New Roman" w:cs="Times New Roman"/>
          <w:bCs/>
          <w:sz w:val="28"/>
          <w:szCs w:val="28"/>
          <w:lang w:eastAsia="ru-RU"/>
        </w:rPr>
        <w:t xml:space="preserve">: </w:t>
      </w:r>
      <w:hyperlink r:id="rId93" w:history="1">
        <w:r w:rsidRPr="00CE2B36">
          <w:rPr>
            <w:rFonts w:ascii="Times New Roman" w:eastAsiaTheme="minorEastAsia" w:hAnsi="Times New Roman" w:cs="Times New Roman"/>
            <w:bCs/>
            <w:color w:val="DE2D24"/>
            <w:sz w:val="28"/>
            <w:szCs w:val="28"/>
            <w:u w:val="single"/>
            <w:lang w:val="en-US" w:eastAsia="ru-RU"/>
          </w:rPr>
          <w:t>http</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janeknight</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typepad</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com</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socialmedia</w:t>
        </w:r>
        <w:r w:rsidRPr="00CE2B36">
          <w:rPr>
            <w:rFonts w:ascii="Times New Roman" w:eastAsiaTheme="minorEastAsia" w:hAnsi="Times New Roman" w:cs="Times New Roman"/>
            <w:bCs/>
            <w:color w:val="DE2D24"/>
            <w:sz w:val="28"/>
            <w:szCs w:val="28"/>
            <w:u w:val="single"/>
            <w:lang w:eastAsia="ru-RU"/>
          </w:rPr>
          <w:t>/2009/10/</w:t>
        </w:r>
        <w:r w:rsidRPr="00CE2B36">
          <w:rPr>
            <w:rFonts w:ascii="Times New Roman" w:eastAsiaTheme="minorEastAsia" w:hAnsi="Times New Roman" w:cs="Times New Roman"/>
            <w:bCs/>
            <w:color w:val="DE2D24"/>
            <w:sz w:val="28"/>
            <w:szCs w:val="28"/>
            <w:u w:val="single"/>
            <w:lang w:val="en-US" w:eastAsia="ru-RU"/>
          </w:rPr>
          <w:t>a</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history</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of</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social</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media</w:t>
        </w:r>
        <w:r w:rsidRPr="00CE2B36">
          <w:rPr>
            <w:rFonts w:ascii="Times New Roman" w:eastAsiaTheme="minorEastAsia" w:hAnsi="Times New Roman" w:cs="Times New Roman"/>
            <w:bCs/>
            <w:color w:val="DE2D24"/>
            <w:sz w:val="28"/>
            <w:szCs w:val="28"/>
            <w:u w:val="single"/>
            <w:lang w:eastAsia="ru-RU"/>
          </w:rPr>
          <w:t>.</w:t>
        </w:r>
        <w:r w:rsidRPr="00CE2B36">
          <w:rPr>
            <w:rFonts w:ascii="Times New Roman" w:eastAsiaTheme="minorEastAsia" w:hAnsi="Times New Roman" w:cs="Times New Roman"/>
            <w:bCs/>
            <w:color w:val="DE2D24"/>
            <w:sz w:val="28"/>
            <w:szCs w:val="28"/>
            <w:u w:val="single"/>
            <w:lang w:val="en-US" w:eastAsia="ru-RU"/>
          </w:rPr>
          <w:t>html</w:t>
        </w:r>
      </w:hyperlink>
      <w:r w:rsidRPr="00CE2B36">
        <w:rPr>
          <w:rFonts w:ascii="Times New Roman" w:eastAsiaTheme="minorEastAsia" w:hAnsi="Times New Roman" w:cs="Times New Roman"/>
          <w:bCs/>
          <w:sz w:val="28"/>
          <w:szCs w:val="28"/>
          <w:lang w:eastAsia="ru-RU"/>
        </w:rPr>
        <w:t xml:space="preserve"> (дата обращения: 04.05.2020)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168</w:t>
      </w:r>
      <w:proofErr w:type="gramEnd"/>
      <w:r w:rsidRPr="00CE2B36">
        <w:rPr>
          <w:rFonts w:ascii="Times New Roman" w:eastAsiaTheme="minorEastAsia" w:hAnsi="Times New Roman" w:cs="Times New Roman"/>
          <w:bCs/>
          <w:sz w:val="28"/>
          <w:szCs w:val="28"/>
          <w:lang w:val="en-US" w:eastAsia="ru-RU"/>
        </w:rPr>
        <w:t xml:space="preserve"> Boyd D. M., Ellison N. B. Social network sites: definition, history and scholarship // Journal of Computer-Mediated Communication. – 2008. – Vol. 13. – P. 210–230.</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roofErr w:type="gramStart"/>
      <w:r w:rsidRPr="00CE2B36">
        <w:rPr>
          <w:rFonts w:ascii="Times New Roman" w:eastAsiaTheme="minorEastAsia" w:hAnsi="Times New Roman" w:cs="Times New Roman"/>
          <w:bCs/>
          <w:sz w:val="28"/>
          <w:szCs w:val="28"/>
          <w:lang w:val="en-US" w:eastAsia="ru-RU"/>
        </w:rPr>
        <w:t>169</w:t>
      </w:r>
      <w:proofErr w:type="gramEnd"/>
      <w:r w:rsidRPr="00CE2B36">
        <w:rPr>
          <w:rFonts w:ascii="Times New Roman" w:eastAsiaTheme="minorEastAsia" w:hAnsi="Times New Roman" w:cs="Times New Roman"/>
          <w:bCs/>
          <w:sz w:val="28"/>
          <w:szCs w:val="28"/>
          <w:lang w:val="en-US" w:eastAsia="ru-RU"/>
        </w:rPr>
        <w:t xml:space="preserve"> Bigley, I. P., &amp; Leonhardt, J. M. (2018). Extremity Bias in User-Generated Content Creation and Consumption in Social Media. </w:t>
      </w:r>
      <w:r w:rsidRPr="00CE2B36">
        <w:rPr>
          <w:rFonts w:ascii="Times New Roman" w:eastAsiaTheme="minorEastAsia" w:hAnsi="Times New Roman" w:cs="Times New Roman"/>
          <w:bCs/>
          <w:i/>
          <w:iCs/>
          <w:sz w:val="28"/>
          <w:szCs w:val="28"/>
          <w:lang w:eastAsia="ru-RU"/>
        </w:rPr>
        <w:t>Journal of Interactive Advertising</w:t>
      </w:r>
      <w:r w:rsidRPr="00CE2B36">
        <w:rPr>
          <w:rFonts w:ascii="Times New Roman" w:eastAsiaTheme="minorEastAsia" w:hAnsi="Times New Roman" w:cs="Times New Roman"/>
          <w:bCs/>
          <w:sz w:val="28"/>
          <w:szCs w:val="28"/>
          <w:lang w:eastAsia="ru-RU"/>
        </w:rPr>
        <w:t xml:space="preserve">, </w:t>
      </w:r>
      <w:r w:rsidRPr="00CE2B36">
        <w:rPr>
          <w:rFonts w:ascii="Times New Roman" w:eastAsiaTheme="minorEastAsia" w:hAnsi="Times New Roman" w:cs="Times New Roman"/>
          <w:bCs/>
          <w:i/>
          <w:iCs/>
          <w:sz w:val="28"/>
          <w:szCs w:val="28"/>
          <w:lang w:eastAsia="ru-RU"/>
        </w:rPr>
        <w:t>18</w:t>
      </w:r>
      <w:r w:rsidRPr="00CE2B36">
        <w:rPr>
          <w:rFonts w:ascii="Times New Roman" w:eastAsiaTheme="minorEastAsia" w:hAnsi="Times New Roman" w:cs="Times New Roman"/>
          <w:bCs/>
          <w:sz w:val="28"/>
          <w:szCs w:val="28"/>
          <w:lang w:eastAsia="ru-RU"/>
        </w:rPr>
        <w:t>(2), 125–135. https://doi.org/10.1080/15252019.2018.1491813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bCs/>
          <w:sz w:val="28"/>
          <w:szCs w:val="28"/>
          <w:lang w:eastAsia="ru-RU"/>
        </w:rPr>
        <w:t>170</w:t>
      </w:r>
      <w:r w:rsidRPr="00CE2B36">
        <w:rPr>
          <w:rFonts w:ascii="Times New Roman" w:eastAsiaTheme="minorEastAsia" w:hAnsi="Times New Roman" w:cs="Times New Roman"/>
          <w:sz w:val="28"/>
          <w:szCs w:val="28"/>
          <w:lang w:eastAsia="ru-RU"/>
        </w:rPr>
        <w:t xml:space="preserve"> Каргина Т. Интернет-сервисы для гражданских активистов в примерах и картинках. – Москва: АСИ, 2011. – 88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171</w:t>
      </w:r>
      <w:proofErr w:type="gramEnd"/>
      <w:r w:rsidRPr="00CE2B36">
        <w:rPr>
          <w:rFonts w:ascii="Times New Roman" w:eastAsiaTheme="minorEastAsia" w:hAnsi="Times New Roman" w:cs="Times New Roman"/>
          <w:sz w:val="28"/>
          <w:szCs w:val="28"/>
          <w:lang w:val="en-US" w:eastAsia="ru-RU"/>
        </w:rPr>
        <w:t xml:space="preserve"> Bernoff J., Anderson J. Social technographics defined [Electronic resource]. – Forrester Research, 2010. – URL: </w:t>
      </w:r>
      <w:hyperlink r:id="rId94" w:tgtFrame="_new" w:history="1">
        <w:r w:rsidRPr="00CE2B36">
          <w:rPr>
            <w:rFonts w:ascii="Times New Roman" w:eastAsiaTheme="minorEastAsia" w:hAnsi="Times New Roman" w:cs="Times New Roman"/>
            <w:color w:val="DE2D24"/>
            <w:sz w:val="28"/>
            <w:szCs w:val="28"/>
            <w:u w:val="single"/>
            <w:lang w:val="en-US" w:eastAsia="ru-RU"/>
          </w:rPr>
          <w:t>http://www.forrester.com/empowered/ladder2010</w:t>
        </w:r>
      </w:hyperlink>
      <w:r w:rsidRPr="00CE2B36">
        <w:rPr>
          <w:rFonts w:ascii="Times New Roman" w:eastAsiaTheme="minorEastAsia" w:hAnsi="Times New Roman" w:cs="Times New Roman"/>
          <w:sz w:val="28"/>
          <w:szCs w:val="28"/>
          <w:lang w:val="en-US" w:eastAsia="ru-RU"/>
        </w:rPr>
        <w:t xml:space="preserve"> (date of access: 05.02.2019).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bCs/>
          <w:sz w:val="28"/>
          <w:szCs w:val="28"/>
          <w:lang w:eastAsia="ru-RU"/>
        </w:rPr>
        <w:t>172 МакКоннелл Б., Хуба Дж. Эпидемия контента: маркетинг в социальных сетях и блогосфере. – Санкт-Петербург: Вершина, 2008. – 192 с.</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173</w:t>
      </w:r>
      <w:proofErr w:type="gramEnd"/>
      <w:r w:rsidRPr="00CE2B36">
        <w:rPr>
          <w:rFonts w:ascii="Times New Roman" w:eastAsiaTheme="minorEastAsia" w:hAnsi="Times New Roman" w:cs="Times New Roman"/>
          <w:bCs/>
          <w:sz w:val="28"/>
          <w:szCs w:val="28"/>
          <w:lang w:val="en-US" w:eastAsia="ru-RU"/>
        </w:rPr>
        <w:t xml:space="preserve"> Yeh, E., &amp; Swinehart, N. (2022). Social media literacy in L2 environments: navigating anonymous user-generated content. </w:t>
      </w:r>
      <w:r w:rsidRPr="00CE2B36">
        <w:rPr>
          <w:rFonts w:ascii="Times New Roman" w:eastAsiaTheme="minorEastAsia" w:hAnsi="Times New Roman" w:cs="Times New Roman"/>
          <w:bCs/>
          <w:i/>
          <w:iCs/>
          <w:sz w:val="28"/>
          <w:szCs w:val="28"/>
          <w:lang w:val="en-US" w:eastAsia="ru-RU"/>
        </w:rPr>
        <w:t>Computer Assisted Language Learning</w:t>
      </w:r>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bCs/>
          <w:i/>
          <w:iCs/>
          <w:sz w:val="28"/>
          <w:szCs w:val="28"/>
          <w:lang w:val="en-US" w:eastAsia="ru-RU"/>
        </w:rPr>
        <w:t>35</w:t>
      </w:r>
      <w:r w:rsidRPr="00CE2B36">
        <w:rPr>
          <w:rFonts w:ascii="Times New Roman" w:eastAsiaTheme="minorEastAsia" w:hAnsi="Times New Roman" w:cs="Times New Roman"/>
          <w:bCs/>
          <w:sz w:val="28"/>
          <w:szCs w:val="28"/>
          <w:lang w:val="en-US" w:eastAsia="ru-RU"/>
        </w:rPr>
        <w:t xml:space="preserve">(8), 1731–1753. </w:t>
      </w:r>
      <w:hyperlink r:id="rId95" w:history="1">
        <w:r w:rsidRPr="00CE2B36">
          <w:rPr>
            <w:rFonts w:ascii="Times New Roman" w:eastAsiaTheme="minorEastAsia" w:hAnsi="Times New Roman" w:cs="Times New Roman"/>
            <w:bCs/>
            <w:color w:val="DE2D24"/>
            <w:sz w:val="28"/>
            <w:szCs w:val="28"/>
            <w:u w:val="single"/>
            <w:lang w:val="en-US" w:eastAsia="ru-RU"/>
          </w:rPr>
          <w:t>https://doi.org/10.1080/09588221.2020.1830805</w:t>
        </w:r>
      </w:hyperlink>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174</w:t>
      </w:r>
      <w:proofErr w:type="gramEnd"/>
      <w:r w:rsidRPr="00CE2B36">
        <w:rPr>
          <w:rFonts w:ascii="Times New Roman" w:eastAsiaTheme="minorEastAsia" w:hAnsi="Times New Roman" w:cs="Times New Roman"/>
          <w:bCs/>
          <w:sz w:val="28"/>
          <w:szCs w:val="28"/>
          <w:lang w:val="en-US" w:eastAsia="ru-RU"/>
        </w:rPr>
        <w:t xml:space="preserve"> Jones R.</w:t>
      </w:r>
      <w:r w:rsidRPr="00CE2B36">
        <w:rPr>
          <w:rFonts w:eastAsiaTheme="minorEastAsia"/>
          <w:lang w:val="en-US" w:eastAsia="ru-RU"/>
        </w:rPr>
        <w:t xml:space="preserve"> </w:t>
      </w:r>
      <w:r w:rsidRPr="00CE2B36">
        <w:rPr>
          <w:rFonts w:ascii="Times New Roman" w:eastAsiaTheme="minorEastAsia" w:hAnsi="Times New Roman" w:cs="Times New Roman"/>
          <w:bCs/>
          <w:sz w:val="28"/>
          <w:szCs w:val="28"/>
          <w:lang w:val="en-US" w:eastAsia="ru-RU"/>
        </w:rPr>
        <w:t xml:space="preserve">Keyword Intelligence: Keyword Research for Search, Social, and Beyond. – Toronto: Sybex, 2011. – 336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lastRenderedPageBreak/>
        <w:t>175</w:t>
      </w:r>
      <w:proofErr w:type="gramEnd"/>
      <w:r w:rsidRPr="00CE2B36">
        <w:rPr>
          <w:rFonts w:ascii="Times New Roman" w:eastAsiaTheme="minorEastAsia" w:hAnsi="Times New Roman" w:cs="Times New Roman"/>
          <w:bCs/>
          <w:sz w:val="28"/>
          <w:szCs w:val="28"/>
          <w:lang w:val="en-US" w:eastAsia="ru-RU"/>
        </w:rPr>
        <w:t xml:space="preserve"> Safko L., Brake D. K. The social media bible: tactics, tools, and strategies for business success. – Hoboken, NJ: Wiley, 2009. – 821 p.</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bCs/>
          <w:sz w:val="28"/>
          <w:szCs w:val="28"/>
          <w:lang w:eastAsia="ru-RU"/>
        </w:rPr>
        <w:t xml:space="preserve">176 Мифы и реальность социальных сетей в Интернете [Электронный ресурс]. – URL: </w:t>
      </w:r>
      <w:hyperlink r:id="rId96" w:tgtFrame="_new" w:history="1">
        <w:r w:rsidRPr="00CE2B36">
          <w:rPr>
            <w:rFonts w:ascii="Times New Roman" w:eastAsiaTheme="minorEastAsia" w:hAnsi="Times New Roman" w:cs="Times New Roman"/>
            <w:bCs/>
            <w:color w:val="DE2D24"/>
            <w:sz w:val="28"/>
            <w:szCs w:val="28"/>
            <w:u w:val="single"/>
            <w:lang w:eastAsia="ru-RU"/>
          </w:rPr>
          <w:t>http://site.nic.ru/content/view/358/33/</w:t>
        </w:r>
      </w:hyperlink>
      <w:r w:rsidRPr="00CE2B36">
        <w:rPr>
          <w:rFonts w:ascii="Times New Roman" w:eastAsiaTheme="minorEastAsia" w:hAnsi="Times New Roman" w:cs="Times New Roman"/>
          <w:bCs/>
          <w:sz w:val="28"/>
          <w:szCs w:val="28"/>
          <w:lang w:eastAsia="ru-RU"/>
        </w:rPr>
        <w:t xml:space="preserve"> (дата обращения: 05.02.2019).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177</w:t>
      </w:r>
      <w:proofErr w:type="gramEnd"/>
      <w:r w:rsidRPr="00CE2B36">
        <w:rPr>
          <w:rFonts w:ascii="Times New Roman" w:eastAsiaTheme="minorEastAsia" w:hAnsi="Times New Roman" w:cs="Times New Roman"/>
          <w:sz w:val="28"/>
          <w:szCs w:val="28"/>
          <w:lang w:val="en-US" w:eastAsia="ru-RU"/>
        </w:rPr>
        <w:t xml:space="preserve"> McLuhan M. Understanding media: the extensions of man. – New York: McGraw-Hill, 1964. – 396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bCs/>
          <w:sz w:val="28"/>
          <w:szCs w:val="28"/>
          <w:lang w:val="en-US" w:eastAsia="ru-RU"/>
        </w:rPr>
        <w:t>178</w:t>
      </w:r>
      <w:r w:rsidRPr="00CE2B36">
        <w:rPr>
          <w:rFonts w:ascii="Times New Roman" w:eastAsiaTheme="minorEastAsia" w:hAnsi="Times New Roman" w:cs="Times New Roman"/>
          <w:sz w:val="28"/>
          <w:szCs w:val="28"/>
          <w:lang w:val="en-US" w:eastAsia="ru-RU"/>
        </w:rPr>
        <w:t xml:space="preserve"> Bruns A. Blogs, Wikipedia, </w:t>
      </w:r>
      <w:proofErr w:type="gramStart"/>
      <w:r w:rsidRPr="00CE2B36">
        <w:rPr>
          <w:rFonts w:ascii="Times New Roman" w:eastAsiaTheme="minorEastAsia" w:hAnsi="Times New Roman" w:cs="Times New Roman"/>
          <w:sz w:val="28"/>
          <w:szCs w:val="28"/>
          <w:lang w:val="en-US" w:eastAsia="ru-RU"/>
        </w:rPr>
        <w:t>Second</w:t>
      </w:r>
      <w:proofErr w:type="gramEnd"/>
      <w:r w:rsidRPr="00CE2B36">
        <w:rPr>
          <w:rFonts w:ascii="Times New Roman" w:eastAsiaTheme="minorEastAsia" w:hAnsi="Times New Roman" w:cs="Times New Roman"/>
          <w:sz w:val="28"/>
          <w:szCs w:val="28"/>
          <w:lang w:val="en-US" w:eastAsia="ru-RU"/>
        </w:rPr>
        <w:t xml:space="preserve"> Life and beyond: from production to produsage. – New York: Peter Lang, 2008. – 418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179</w:t>
      </w:r>
      <w:proofErr w:type="gramEnd"/>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sz w:val="28"/>
          <w:szCs w:val="28"/>
          <w:lang w:val="en-US" w:eastAsia="ru-RU"/>
        </w:rPr>
        <w:t xml:space="preserve">Van Dijk J. The reality of virtual communities // </w:t>
      </w:r>
      <w:r w:rsidRPr="00CE2B36">
        <w:rPr>
          <w:rFonts w:ascii="Times New Roman" w:eastAsiaTheme="minorEastAsia" w:hAnsi="Times New Roman" w:cs="Times New Roman"/>
          <w:i/>
          <w:sz w:val="28"/>
          <w:szCs w:val="28"/>
          <w:lang w:val="en-US" w:eastAsia="ru-RU"/>
        </w:rPr>
        <w:t>Trends in Communication</w:t>
      </w:r>
      <w:r w:rsidRPr="00CE2B36">
        <w:rPr>
          <w:rFonts w:ascii="Times New Roman" w:eastAsiaTheme="minorEastAsia" w:hAnsi="Times New Roman" w:cs="Times New Roman"/>
          <w:sz w:val="28"/>
          <w:szCs w:val="28"/>
          <w:lang w:val="en-US" w:eastAsia="ru-RU"/>
        </w:rPr>
        <w:t>. – 1998. – Vol. 1, No. 1. – P. 39–63.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180</w:t>
      </w:r>
      <w:proofErr w:type="gramEnd"/>
      <w:r w:rsidRPr="00CE2B36">
        <w:rPr>
          <w:rFonts w:ascii="Times New Roman" w:eastAsiaTheme="minorEastAsia" w:hAnsi="Times New Roman" w:cs="Times New Roman"/>
          <w:sz w:val="28"/>
          <w:szCs w:val="28"/>
          <w:lang w:val="en-US" w:eastAsia="ru-RU"/>
        </w:rPr>
        <w:t xml:space="preserve"> Jenkins H. Convergence culture: where old and new media collide. – Cambridge, MA: MIT Press, 2006. – 293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181</w:t>
      </w:r>
      <w:proofErr w:type="gramEnd"/>
      <w:r w:rsidRPr="00CE2B36">
        <w:rPr>
          <w:rFonts w:ascii="Times New Roman" w:eastAsiaTheme="minorEastAsia" w:hAnsi="Times New Roman" w:cs="Times New Roman"/>
          <w:sz w:val="28"/>
          <w:szCs w:val="28"/>
          <w:lang w:val="en-US" w:eastAsia="ru-RU"/>
        </w:rPr>
        <w:t xml:space="preserve"> Papacharissi Z. A private sphere: democracy in a digital age. – Cambridge: Polity Press, 2010. – 200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182</w:t>
      </w:r>
      <w:proofErr w:type="gramEnd"/>
      <w:r w:rsidRPr="00CE2B36">
        <w:rPr>
          <w:rFonts w:ascii="Times New Roman" w:eastAsiaTheme="minorEastAsia" w:hAnsi="Times New Roman" w:cs="Times New Roman"/>
          <w:sz w:val="28"/>
          <w:szCs w:val="28"/>
          <w:lang w:val="en-US" w:eastAsia="ru-RU"/>
        </w:rPr>
        <w:t xml:space="preserve"> Milberry K., Anderson S. Open sourcing our way to an online commons // Journal of Communication Inquiry. – 2009. – Vol. 33, No. 4. – P. 393–412.</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183</w:t>
      </w:r>
      <w:proofErr w:type="gramEnd"/>
      <w:r w:rsidRPr="00CE2B36">
        <w:rPr>
          <w:rFonts w:ascii="Times New Roman" w:eastAsiaTheme="minorEastAsia" w:hAnsi="Times New Roman" w:cs="Times New Roman"/>
          <w:sz w:val="28"/>
          <w:szCs w:val="28"/>
          <w:lang w:val="en-US" w:eastAsia="ru-RU"/>
        </w:rPr>
        <w:t xml:space="preserve"> De Peuter G., Dyer-Witheford N. Playful multitude? Mobilising and counter-mobilising immaterial game labor // Fibre Culture. – 2005. – No. 5. – URL: </w:t>
      </w:r>
      <w:hyperlink r:id="rId97" w:tgtFrame="_new" w:history="1">
        <w:r w:rsidRPr="00CE2B36">
          <w:rPr>
            <w:rFonts w:ascii="Times New Roman" w:eastAsiaTheme="minorEastAsia" w:hAnsi="Times New Roman" w:cs="Times New Roman"/>
            <w:color w:val="DE2D24"/>
            <w:sz w:val="28"/>
            <w:szCs w:val="28"/>
            <w:u w:val="single"/>
            <w:lang w:val="en-US" w:eastAsia="ru-RU"/>
          </w:rPr>
          <w:t>http://journal.fibreculture.org/issue5/depeuter_dyerwitheford.html</w:t>
        </w:r>
      </w:hyperlink>
      <w:r w:rsidRPr="00CE2B36">
        <w:rPr>
          <w:rFonts w:ascii="Times New Roman" w:eastAsiaTheme="minorEastAsia" w:hAnsi="Times New Roman" w:cs="Times New Roman"/>
          <w:sz w:val="28"/>
          <w:szCs w:val="28"/>
          <w:lang w:val="en-US" w:eastAsia="ru-RU"/>
        </w:rPr>
        <w:t xml:space="preserve"> (date of access: 10.02.2019).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184</w:t>
      </w:r>
      <w:proofErr w:type="gramEnd"/>
      <w:r w:rsidRPr="00CE2B36">
        <w:rPr>
          <w:rFonts w:ascii="Times New Roman" w:eastAsiaTheme="minorEastAsia" w:hAnsi="Times New Roman" w:cs="Times New Roman"/>
          <w:bCs/>
          <w:sz w:val="28"/>
          <w:szCs w:val="28"/>
          <w:lang w:val="en-US" w:eastAsia="ru-RU"/>
        </w:rPr>
        <w:t xml:space="preserve"> Solove D. Understanding privacy. – Cambridge, MA: Harvard University Press, 2009. – 272 </w:t>
      </w:r>
      <w:r w:rsidRPr="00CE2B36">
        <w:rPr>
          <w:rFonts w:ascii="Times New Roman" w:eastAsiaTheme="minorEastAsia" w:hAnsi="Times New Roman" w:cs="Times New Roman"/>
          <w:bCs/>
          <w:sz w:val="28"/>
          <w:szCs w:val="28"/>
          <w:lang w:eastAsia="ru-RU"/>
        </w:rPr>
        <w:t>р</w:t>
      </w:r>
      <w:r w:rsidRPr="00CE2B36">
        <w:rPr>
          <w:rFonts w:ascii="Times New Roman" w:eastAsiaTheme="minorEastAsia" w:hAnsi="Times New Roman" w:cs="Times New Roman"/>
          <w:bCs/>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185</w:t>
      </w:r>
      <w:proofErr w:type="gramEnd"/>
      <w:r w:rsidRPr="00CE2B36">
        <w:rPr>
          <w:rFonts w:ascii="Times New Roman" w:eastAsiaTheme="minorEastAsia" w:hAnsi="Times New Roman" w:cs="Times New Roman"/>
          <w:sz w:val="28"/>
          <w:szCs w:val="28"/>
          <w:lang w:val="en-US" w:eastAsia="ru-RU"/>
        </w:rPr>
        <w:t xml:space="preserve"> VKontakte users by CIS countries [Electronic resource]. – URL: </w:t>
      </w:r>
      <w:hyperlink r:id="rId98" w:tgtFrame="_new" w:history="1">
        <w:r w:rsidRPr="00CE2B36">
          <w:rPr>
            <w:rFonts w:ascii="Times New Roman" w:eastAsiaTheme="minorEastAsia" w:hAnsi="Times New Roman" w:cs="Times New Roman"/>
            <w:color w:val="DE2D24"/>
            <w:sz w:val="28"/>
            <w:szCs w:val="28"/>
            <w:u w:val="single"/>
            <w:lang w:val="en-US" w:eastAsia="ru-RU"/>
          </w:rPr>
          <w:t>https://mediascope.net/en/</w:t>
        </w:r>
      </w:hyperlink>
      <w:r w:rsidRPr="00CE2B36">
        <w:rPr>
          <w:rFonts w:ascii="Times New Roman" w:eastAsiaTheme="minorEastAsia" w:hAnsi="Times New Roman" w:cs="Times New Roman"/>
          <w:sz w:val="28"/>
          <w:szCs w:val="28"/>
          <w:lang w:val="en-US" w:eastAsia="ru-RU"/>
        </w:rPr>
        <w:t xml:space="preserve"> (date of access: 12.02.2019).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186</w:t>
      </w:r>
      <w:proofErr w:type="gramEnd"/>
      <w:r w:rsidRPr="00CE2B36">
        <w:rPr>
          <w:rFonts w:ascii="Times New Roman" w:eastAsiaTheme="minorEastAsia" w:hAnsi="Times New Roman" w:cs="Times New Roman"/>
          <w:bCs/>
          <w:sz w:val="28"/>
          <w:szCs w:val="28"/>
          <w:lang w:val="en-US" w:eastAsia="ru-RU"/>
        </w:rPr>
        <w:t xml:space="preserve"> Tilmedia.kz: information portal [Electronic resource]. – URL: </w:t>
      </w:r>
      <w:hyperlink r:id="rId99" w:tgtFrame="_new" w:history="1">
        <w:r w:rsidRPr="00CE2B36">
          <w:rPr>
            <w:rFonts w:ascii="Times New Roman" w:eastAsiaTheme="minorEastAsia" w:hAnsi="Times New Roman" w:cs="Times New Roman"/>
            <w:bCs/>
            <w:color w:val="DE2D24"/>
            <w:sz w:val="28"/>
            <w:szCs w:val="28"/>
            <w:u w:val="single"/>
            <w:lang w:val="en-US" w:eastAsia="ru-RU"/>
          </w:rPr>
          <w:t>https://tilmedia.kz/en/info/202</w:t>
        </w:r>
      </w:hyperlink>
      <w:r w:rsidRPr="00CE2B36">
        <w:rPr>
          <w:rFonts w:ascii="Times New Roman" w:eastAsiaTheme="minorEastAsia" w:hAnsi="Times New Roman" w:cs="Times New Roman"/>
          <w:bCs/>
          <w:sz w:val="28"/>
          <w:szCs w:val="28"/>
          <w:lang w:val="en-US" w:eastAsia="ru-RU"/>
        </w:rPr>
        <w:t xml:space="preserve"> (date of access: 17.01.2026).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bCs/>
          <w:sz w:val="28"/>
          <w:szCs w:val="28"/>
          <w:lang w:val="en-US" w:eastAsia="ru-RU"/>
        </w:rPr>
        <w:t>187</w:t>
      </w:r>
      <w:r w:rsidRPr="00CE2B36">
        <w:rPr>
          <w:rFonts w:ascii="Times New Roman" w:eastAsiaTheme="minorEastAsia" w:hAnsi="Times New Roman" w:cs="Times New Roman"/>
          <w:sz w:val="28"/>
          <w:szCs w:val="28"/>
          <w:lang w:val="en-US" w:eastAsia="ru-RU"/>
        </w:rPr>
        <w:t xml:space="preserve"> Instagram users statistics, 2019 [Electronic resource]. – URL: </w:t>
      </w:r>
      <w:hyperlink r:id="rId100" w:tgtFrame="_new" w:history="1">
        <w:r w:rsidRPr="00CE2B36">
          <w:rPr>
            <w:rFonts w:ascii="Times New Roman" w:eastAsiaTheme="minorEastAsia" w:hAnsi="Times New Roman" w:cs="Times New Roman"/>
            <w:color w:val="DE2D24"/>
            <w:sz w:val="28"/>
            <w:szCs w:val="28"/>
            <w:u w:val="single"/>
            <w:lang w:val="en-US" w:eastAsia="ru-RU"/>
          </w:rPr>
          <w:t>https://www.statista.com</w:t>
        </w:r>
      </w:hyperlink>
      <w:r w:rsidRPr="00CE2B36">
        <w:rPr>
          <w:rFonts w:ascii="Times New Roman" w:eastAsiaTheme="minorEastAsia" w:hAnsi="Times New Roman" w:cs="Times New Roman"/>
          <w:sz w:val="28"/>
          <w:szCs w:val="28"/>
          <w:lang w:val="en-US" w:eastAsia="ru-RU"/>
        </w:rPr>
        <w:t xml:space="preserve"> (date of access: 12.02.2019).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r w:rsidRPr="00CE2B36">
        <w:rPr>
          <w:rFonts w:ascii="Times New Roman" w:eastAsiaTheme="minorEastAsia" w:hAnsi="Times New Roman" w:cs="Times New Roman"/>
          <w:bCs/>
          <w:sz w:val="28"/>
          <w:szCs w:val="28"/>
          <w:lang w:val="en-US" w:eastAsia="ru-RU"/>
        </w:rPr>
        <w:t>188</w:t>
      </w:r>
      <w:r w:rsidRPr="00CE2B36">
        <w:rPr>
          <w:rFonts w:ascii="Times New Roman" w:eastAsiaTheme="minorEastAsia" w:hAnsi="Times New Roman" w:cs="Times New Roman"/>
          <w:sz w:val="28"/>
          <w:szCs w:val="28"/>
          <w:lang w:val="en-US" w:eastAsia="ru-RU"/>
        </w:rPr>
        <w:t xml:space="preserve"> WhatsApp and YouTube </w:t>
      </w:r>
      <w:proofErr w:type="gramStart"/>
      <w:r w:rsidRPr="00CE2B36">
        <w:rPr>
          <w:rFonts w:ascii="Times New Roman" w:eastAsiaTheme="minorEastAsia" w:hAnsi="Times New Roman" w:cs="Times New Roman"/>
          <w:sz w:val="28"/>
          <w:szCs w:val="28"/>
          <w:lang w:val="en-US" w:eastAsia="ru-RU"/>
        </w:rPr>
        <w:t>users</w:t>
      </w:r>
      <w:proofErr w:type="gramEnd"/>
      <w:r w:rsidRPr="00CE2B36">
        <w:rPr>
          <w:rFonts w:ascii="Times New Roman" w:eastAsiaTheme="minorEastAsia" w:hAnsi="Times New Roman" w:cs="Times New Roman"/>
          <w:sz w:val="28"/>
          <w:szCs w:val="28"/>
          <w:lang w:val="en-US" w:eastAsia="ru-RU"/>
        </w:rPr>
        <w:t xml:space="preserve"> statistics [Electronic resource]. – URL: </w:t>
      </w:r>
      <w:hyperlink r:id="rId101" w:tgtFrame="_new" w:history="1">
        <w:r w:rsidRPr="00CE2B36">
          <w:rPr>
            <w:rFonts w:ascii="Times New Roman" w:eastAsiaTheme="minorEastAsia" w:hAnsi="Times New Roman" w:cs="Times New Roman"/>
            <w:color w:val="DE2D24"/>
            <w:sz w:val="28"/>
            <w:szCs w:val="28"/>
            <w:u w:val="single"/>
            <w:lang w:val="en-US" w:eastAsia="ru-RU"/>
          </w:rPr>
          <w:t>https://www.brandanalytics.com</w:t>
        </w:r>
      </w:hyperlink>
      <w:r w:rsidRPr="00CE2B36">
        <w:rPr>
          <w:rFonts w:ascii="Times New Roman" w:eastAsiaTheme="minorEastAsia" w:hAnsi="Times New Roman" w:cs="Times New Roman"/>
          <w:sz w:val="28"/>
          <w:szCs w:val="28"/>
          <w:lang w:val="en-US" w:eastAsia="ru-RU"/>
        </w:rPr>
        <w:t xml:space="preserve"> (date of access: 13.02.2019).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val="en-US" w:eastAsia="ru-RU"/>
        </w:rPr>
      </w:pPr>
      <w:proofErr w:type="gramStart"/>
      <w:r w:rsidRPr="00CE2B36">
        <w:rPr>
          <w:rFonts w:ascii="Times New Roman" w:eastAsiaTheme="minorEastAsia" w:hAnsi="Times New Roman" w:cs="Times New Roman"/>
          <w:bCs/>
          <w:sz w:val="28"/>
          <w:szCs w:val="28"/>
          <w:lang w:val="en-US" w:eastAsia="ru-RU"/>
        </w:rPr>
        <w:t>189</w:t>
      </w:r>
      <w:proofErr w:type="gramEnd"/>
      <w:r w:rsidRPr="00CE2B36">
        <w:rPr>
          <w:rFonts w:ascii="Times New Roman" w:eastAsiaTheme="minorEastAsia" w:hAnsi="Times New Roman" w:cs="Times New Roman"/>
          <w:bCs/>
          <w:sz w:val="28"/>
          <w:szCs w:val="28"/>
          <w:lang w:val="en-US" w:eastAsia="ru-RU"/>
        </w:rPr>
        <w:t xml:space="preserve"> Mahetaji, K., &amp; Nieborg, D. B. (2026). TikTok’s tools: The politics of platform tools for cultural production. </w:t>
      </w:r>
      <w:r w:rsidRPr="00CE2B36">
        <w:rPr>
          <w:rFonts w:ascii="Times New Roman" w:eastAsiaTheme="minorEastAsia" w:hAnsi="Times New Roman" w:cs="Times New Roman"/>
          <w:bCs/>
          <w:i/>
          <w:iCs/>
          <w:sz w:val="28"/>
          <w:szCs w:val="28"/>
          <w:lang w:val="en-US" w:eastAsia="ru-RU"/>
        </w:rPr>
        <w:t>Continuum</w:t>
      </w:r>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bCs/>
          <w:i/>
          <w:iCs/>
          <w:sz w:val="28"/>
          <w:szCs w:val="28"/>
          <w:lang w:val="en-US" w:eastAsia="ru-RU"/>
        </w:rPr>
        <w:t>40</w:t>
      </w:r>
      <w:r w:rsidRPr="00CE2B36">
        <w:rPr>
          <w:rFonts w:ascii="Times New Roman" w:eastAsiaTheme="minorEastAsia" w:hAnsi="Times New Roman" w:cs="Times New Roman"/>
          <w:bCs/>
          <w:sz w:val="28"/>
          <w:szCs w:val="28"/>
          <w:lang w:val="en-US" w:eastAsia="ru-RU"/>
        </w:rPr>
        <w:t>(2), 252–279. https://doi.org/10.1080/10304312.2025.2525519</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proofErr w:type="gramStart"/>
      <w:r w:rsidRPr="00CE2B36">
        <w:rPr>
          <w:rFonts w:ascii="Times New Roman" w:eastAsiaTheme="minorEastAsia" w:hAnsi="Times New Roman" w:cs="Times New Roman"/>
          <w:bCs/>
          <w:sz w:val="28"/>
          <w:szCs w:val="28"/>
          <w:lang w:val="en-US" w:eastAsia="ru-RU"/>
        </w:rPr>
        <w:t>190</w:t>
      </w:r>
      <w:proofErr w:type="gramEnd"/>
      <w:r w:rsidRPr="00CE2B36">
        <w:rPr>
          <w:rFonts w:ascii="Times New Roman" w:eastAsiaTheme="minorEastAsia" w:hAnsi="Times New Roman" w:cs="Times New Roman"/>
          <w:bCs/>
          <w:sz w:val="28"/>
          <w:szCs w:val="28"/>
          <w:lang w:val="en-US" w:eastAsia="ru-RU"/>
        </w:rPr>
        <w:t xml:space="preserve"> McLean, J., Southerton, C., &amp; Lupton, D. (2024). Young people and TikTok use in Australia: digital geographies of care in popular culture. </w:t>
      </w:r>
      <w:r w:rsidRPr="00CE2B36">
        <w:rPr>
          <w:rFonts w:ascii="Times New Roman" w:eastAsiaTheme="minorEastAsia" w:hAnsi="Times New Roman" w:cs="Times New Roman"/>
          <w:bCs/>
          <w:i/>
          <w:iCs/>
          <w:sz w:val="28"/>
          <w:szCs w:val="28"/>
          <w:lang w:val="en-US" w:eastAsia="ru-RU"/>
        </w:rPr>
        <w:t>Social &amp; Cultural Geography</w:t>
      </w:r>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bCs/>
          <w:i/>
          <w:iCs/>
          <w:sz w:val="28"/>
          <w:szCs w:val="28"/>
          <w:lang w:val="en-US" w:eastAsia="ru-RU"/>
        </w:rPr>
        <w:t>25</w:t>
      </w:r>
      <w:r w:rsidRPr="00CE2B36">
        <w:rPr>
          <w:rFonts w:ascii="Times New Roman" w:eastAsiaTheme="minorEastAsia" w:hAnsi="Times New Roman" w:cs="Times New Roman"/>
          <w:bCs/>
          <w:sz w:val="28"/>
          <w:szCs w:val="28"/>
          <w:lang w:val="en-US" w:eastAsia="ru-RU"/>
        </w:rPr>
        <w:t>(5), 795–813. https://doi.org/10.1080/14649365.2023.2230943</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roofErr w:type="gramStart"/>
      <w:r w:rsidRPr="00CE2B36">
        <w:rPr>
          <w:rFonts w:ascii="Times New Roman" w:eastAsiaTheme="minorEastAsia" w:hAnsi="Times New Roman" w:cs="Times New Roman"/>
          <w:bCs/>
          <w:sz w:val="28"/>
          <w:szCs w:val="28"/>
          <w:lang w:val="en-US" w:eastAsia="ru-RU"/>
        </w:rPr>
        <w:t>191</w:t>
      </w:r>
      <w:proofErr w:type="gramEnd"/>
      <w:r w:rsidRPr="00CE2B36">
        <w:rPr>
          <w:rFonts w:ascii="Times New Roman" w:eastAsiaTheme="minorEastAsia" w:hAnsi="Times New Roman" w:cs="Times New Roman"/>
          <w:bCs/>
          <w:sz w:val="28"/>
          <w:szCs w:val="28"/>
          <w:lang w:val="en-US" w:eastAsia="ru-RU"/>
        </w:rPr>
        <w:t xml:space="preserve"> </w:t>
      </w:r>
      <w:r w:rsidRPr="00CE2B36">
        <w:rPr>
          <w:rFonts w:ascii="Times New Roman" w:eastAsiaTheme="minorEastAsia" w:hAnsi="Times New Roman" w:cs="Times New Roman"/>
          <w:sz w:val="28"/>
          <w:lang w:val="en-US" w:eastAsia="ru-RU"/>
        </w:rPr>
        <w:t xml:space="preserve">Rakhmetov, B. (2026). Legal and extra-legal mechanisms of internet censorship in Kazakhstan. </w:t>
      </w:r>
      <w:r w:rsidRPr="00CE2B36">
        <w:rPr>
          <w:rFonts w:ascii="Times New Roman" w:eastAsiaTheme="minorEastAsia" w:hAnsi="Times New Roman" w:cs="Times New Roman"/>
          <w:i/>
          <w:iCs/>
          <w:sz w:val="28"/>
          <w:lang w:val="en-US" w:eastAsia="ru-RU"/>
        </w:rPr>
        <w:t>Asian</w:t>
      </w:r>
      <w:r w:rsidRPr="00CE2B36">
        <w:rPr>
          <w:rFonts w:ascii="Times New Roman" w:eastAsiaTheme="minorEastAsia" w:hAnsi="Times New Roman" w:cs="Times New Roman"/>
          <w:i/>
          <w:iCs/>
          <w:sz w:val="28"/>
          <w:lang w:eastAsia="ru-RU"/>
        </w:rPr>
        <w:t xml:space="preserve"> </w:t>
      </w:r>
      <w:r w:rsidRPr="00CE2B36">
        <w:rPr>
          <w:rFonts w:ascii="Times New Roman" w:eastAsiaTheme="minorEastAsia" w:hAnsi="Times New Roman" w:cs="Times New Roman"/>
          <w:i/>
          <w:iCs/>
          <w:sz w:val="28"/>
          <w:lang w:val="en-US" w:eastAsia="ru-RU"/>
        </w:rPr>
        <w:t>Affairs</w:t>
      </w:r>
      <w:r w:rsidRPr="00CE2B36">
        <w:rPr>
          <w:rFonts w:ascii="Times New Roman" w:eastAsiaTheme="minorEastAsia" w:hAnsi="Times New Roman" w:cs="Times New Roman"/>
          <w:sz w:val="28"/>
          <w:lang w:eastAsia="ru-RU"/>
        </w:rPr>
        <w:t xml:space="preserve">, 1–28. </w:t>
      </w:r>
      <w:r w:rsidRPr="00CE2B36">
        <w:rPr>
          <w:rFonts w:ascii="Times New Roman" w:eastAsiaTheme="minorEastAsia" w:hAnsi="Times New Roman" w:cs="Times New Roman"/>
          <w:sz w:val="28"/>
          <w:lang w:val="en-US" w:eastAsia="ru-RU"/>
        </w:rPr>
        <w:t>https</w:t>
      </w:r>
      <w:r w:rsidRPr="00CE2B36">
        <w:rPr>
          <w:rFonts w:ascii="Times New Roman" w:eastAsiaTheme="minorEastAsia" w:hAnsi="Times New Roman" w:cs="Times New Roman"/>
          <w:sz w:val="28"/>
          <w:lang w:eastAsia="ru-RU"/>
        </w:rPr>
        <w:t>://</w:t>
      </w:r>
      <w:r w:rsidRPr="00CE2B36">
        <w:rPr>
          <w:rFonts w:ascii="Times New Roman" w:eastAsiaTheme="minorEastAsia" w:hAnsi="Times New Roman" w:cs="Times New Roman"/>
          <w:sz w:val="28"/>
          <w:lang w:val="en-US" w:eastAsia="ru-RU"/>
        </w:rPr>
        <w:t>doi</w:t>
      </w:r>
      <w:r w:rsidRPr="00CE2B36">
        <w:rPr>
          <w:rFonts w:ascii="Times New Roman" w:eastAsiaTheme="minorEastAsia" w:hAnsi="Times New Roman" w:cs="Times New Roman"/>
          <w:sz w:val="28"/>
          <w:lang w:eastAsia="ru-RU"/>
        </w:rPr>
        <w:t>.</w:t>
      </w:r>
      <w:r w:rsidRPr="00CE2B36">
        <w:rPr>
          <w:rFonts w:ascii="Times New Roman" w:eastAsiaTheme="minorEastAsia" w:hAnsi="Times New Roman" w:cs="Times New Roman"/>
          <w:sz w:val="28"/>
          <w:lang w:val="en-US" w:eastAsia="ru-RU"/>
        </w:rPr>
        <w:t>org</w:t>
      </w:r>
      <w:r w:rsidRPr="00CE2B36">
        <w:rPr>
          <w:rFonts w:ascii="Times New Roman" w:eastAsiaTheme="minorEastAsia" w:hAnsi="Times New Roman" w:cs="Times New Roman"/>
          <w:sz w:val="28"/>
          <w:lang w:eastAsia="ru-RU"/>
        </w:rPr>
        <w:t>/10.1080/03068374.2026.2642225</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192 Об объявлении Года цифровизации и искусственного интеллекта: Указ Президента Республики Казахстан от 6 января 2026 года № 1151 // </w:t>
      </w:r>
      <w:hyperlink r:id="rId102" w:tgtFrame="_blank" w:history="1">
        <w:r w:rsidRPr="00CE2B36">
          <w:rPr>
            <w:rFonts w:ascii="Times New Roman" w:eastAsiaTheme="minorEastAsia" w:hAnsi="Times New Roman" w:cs="Times New Roman"/>
            <w:color w:val="DE2D24"/>
            <w:sz w:val="28"/>
            <w:szCs w:val="28"/>
            <w:u w:val="single"/>
            <w:lang w:eastAsia="ru-RU"/>
          </w:rPr>
          <w:t>Официальный сайт Президента Республики Казахстан</w:t>
        </w:r>
      </w:hyperlink>
      <w:r w:rsidRPr="00CE2B36">
        <w:rPr>
          <w:rFonts w:ascii="Times New Roman" w:eastAsiaTheme="minorEastAsia" w:hAnsi="Times New Roman" w:cs="Times New Roman"/>
          <w:sz w:val="28"/>
          <w:szCs w:val="28"/>
          <w:lang w:eastAsia="ru-RU"/>
        </w:rPr>
        <w:t xml:space="preserve"> (дата обращения: 20.03.2026).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val="en-US" w:eastAsia="ru-RU"/>
        </w:rPr>
      </w:pPr>
      <w:r w:rsidRPr="00CE2B36">
        <w:rPr>
          <w:rFonts w:ascii="Times New Roman" w:eastAsiaTheme="minorEastAsia" w:hAnsi="Times New Roman" w:cs="Times New Roman"/>
          <w:bCs/>
          <w:sz w:val="28"/>
          <w:szCs w:val="28"/>
          <w:lang w:val="en-US" w:eastAsia="ru-RU"/>
        </w:rPr>
        <w:lastRenderedPageBreak/>
        <w:t>193</w:t>
      </w:r>
      <w:r w:rsidRPr="00CE2B36">
        <w:rPr>
          <w:rFonts w:ascii="Times New Roman" w:eastAsiaTheme="minorEastAsia" w:hAnsi="Times New Roman" w:cs="Times New Roman"/>
          <w:sz w:val="28"/>
          <w:szCs w:val="28"/>
          <w:lang w:val="en-US" w:eastAsia="ru-RU"/>
        </w:rPr>
        <w:t xml:space="preserve"> Kumar R. Research methodology: a </w:t>
      </w:r>
      <w:proofErr w:type="gramStart"/>
      <w:r w:rsidRPr="00CE2B36">
        <w:rPr>
          <w:rFonts w:ascii="Times New Roman" w:eastAsiaTheme="minorEastAsia" w:hAnsi="Times New Roman" w:cs="Times New Roman"/>
          <w:sz w:val="28"/>
          <w:szCs w:val="28"/>
          <w:lang w:val="en-US" w:eastAsia="ru-RU"/>
        </w:rPr>
        <w:t>step-by-step</w:t>
      </w:r>
      <w:proofErr w:type="gramEnd"/>
      <w:r w:rsidRPr="00CE2B36">
        <w:rPr>
          <w:rFonts w:ascii="Times New Roman" w:eastAsiaTheme="minorEastAsia" w:hAnsi="Times New Roman" w:cs="Times New Roman"/>
          <w:sz w:val="28"/>
          <w:szCs w:val="28"/>
          <w:lang w:val="en-US" w:eastAsia="ru-RU"/>
        </w:rPr>
        <w:t xml:space="preserve"> guide for beginners. – London: SAGE Publications, 2011. – 366 </w:t>
      </w:r>
      <w:r w:rsidRPr="00CE2B36">
        <w:rPr>
          <w:rFonts w:ascii="Times New Roman" w:eastAsiaTheme="minorEastAsia" w:hAnsi="Times New Roman" w:cs="Times New Roman"/>
          <w:sz w:val="28"/>
          <w:szCs w:val="28"/>
          <w:lang w:eastAsia="ru-RU"/>
        </w:rPr>
        <w:t>р</w:t>
      </w:r>
      <w:r w:rsidRPr="00CE2B36">
        <w:rPr>
          <w:rFonts w:ascii="Times New Roman" w:eastAsiaTheme="minorEastAsia" w:hAnsi="Times New Roman" w:cs="Times New Roman"/>
          <w:sz w:val="28"/>
          <w:szCs w:val="28"/>
          <w:lang w:val="en-US" w:eastAsia="ru-RU"/>
        </w:rPr>
        <w:t>.</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bCs/>
          <w:sz w:val="28"/>
          <w:szCs w:val="28"/>
          <w:lang w:eastAsia="ru-RU"/>
        </w:rPr>
        <w:t>194</w:t>
      </w:r>
      <w:r w:rsidRPr="00CE2B36">
        <w:rPr>
          <w:rFonts w:ascii="Times New Roman" w:eastAsiaTheme="minorEastAsia" w:hAnsi="Times New Roman" w:cs="Times New Roman"/>
          <w:sz w:val="28"/>
          <w:szCs w:val="28"/>
          <w:lang w:eastAsia="ru-RU"/>
        </w:rPr>
        <w:t xml:space="preserve"> Перевод чатов в Aitu: аналитический материал [Электронный ресурс]. – URL: </w:t>
      </w:r>
      <w:hyperlink r:id="rId103" w:tgtFrame="_new" w:history="1">
        <w:r w:rsidRPr="00CE2B36">
          <w:rPr>
            <w:rFonts w:ascii="Times New Roman" w:eastAsiaTheme="minorEastAsia" w:hAnsi="Times New Roman" w:cs="Times New Roman"/>
            <w:color w:val="DE2D24"/>
            <w:sz w:val="28"/>
            <w:szCs w:val="28"/>
            <w:u w:val="single"/>
            <w:lang w:eastAsia="ru-RU"/>
          </w:rPr>
          <w:t>https://kz.kursiv.media/2025-08-11/zhzh-perevesti-chati-v-aitu/</w:t>
        </w:r>
      </w:hyperlink>
      <w:r w:rsidRPr="00CE2B36">
        <w:rPr>
          <w:rFonts w:ascii="Times New Roman" w:eastAsiaTheme="minorEastAsia" w:hAnsi="Times New Roman" w:cs="Times New Roman"/>
          <w:sz w:val="28"/>
          <w:szCs w:val="28"/>
          <w:lang w:eastAsia="ru-RU"/>
        </w:rPr>
        <w:t xml:space="preserve"> (дата обращения: 20.01.2026).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195 ЦентрАзия. Персональная страница. – Режим доступа: </w:t>
      </w:r>
      <w:hyperlink r:id="rId104" w:tgtFrame="_blank" w:history="1">
        <w:r w:rsidRPr="00CE2B36">
          <w:rPr>
            <w:rFonts w:ascii="Times New Roman" w:eastAsiaTheme="minorEastAsia" w:hAnsi="Times New Roman" w:cs="Times New Roman"/>
            <w:color w:val="DE2D24"/>
            <w:sz w:val="28"/>
            <w:szCs w:val="28"/>
            <w:u w:val="single"/>
            <w:lang w:eastAsia="ru-RU"/>
          </w:rPr>
          <w:t>https://centrasia.org/person.php?st=1610606998</w:t>
        </w:r>
      </w:hyperlink>
      <w:r w:rsidRPr="00CE2B36">
        <w:rPr>
          <w:rFonts w:ascii="Times New Roman" w:eastAsiaTheme="minorEastAsia" w:hAnsi="Times New Roman" w:cs="Times New Roman"/>
          <w:sz w:val="28"/>
          <w:szCs w:val="28"/>
          <w:lang w:eastAsia="ru-RU"/>
        </w:rPr>
        <w:t xml:space="preserve"> (дата обращения: 19.04.2026).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 w:val="28"/>
          <w:szCs w:val="28"/>
          <w:lang w:eastAsia="ru-RU"/>
        </w:rPr>
      </w:pPr>
      <w:r w:rsidRPr="00CE2B36">
        <w:rPr>
          <w:rFonts w:ascii="Times New Roman" w:eastAsiaTheme="minorEastAsia" w:hAnsi="Times New Roman" w:cs="Times New Roman"/>
          <w:sz w:val="28"/>
          <w:szCs w:val="28"/>
          <w:lang w:eastAsia="ru-RU"/>
        </w:rPr>
        <w:t xml:space="preserve">196 Официальный сайт государственных органов Республики Казахстан [Электронный ресурс]. — Режим доступа: </w:t>
      </w:r>
      <w:hyperlink r:id="rId105" w:tgtFrame="_new" w:history="1">
        <w:r w:rsidRPr="00CE2B36">
          <w:rPr>
            <w:rFonts w:ascii="Times New Roman" w:eastAsiaTheme="minorEastAsia" w:hAnsi="Times New Roman" w:cs="Times New Roman"/>
            <w:color w:val="DE2D24"/>
            <w:sz w:val="28"/>
            <w:szCs w:val="28"/>
            <w:u w:val="single"/>
            <w:lang w:eastAsia="ru-RU"/>
          </w:rPr>
          <w:t>https://www.gov.kz</w:t>
        </w:r>
      </w:hyperlink>
      <w:r w:rsidRPr="00CE2B36">
        <w:rPr>
          <w:rFonts w:ascii="Times New Roman" w:eastAsiaTheme="minorEastAsia" w:hAnsi="Times New Roman" w:cs="Times New Roman"/>
          <w:sz w:val="28"/>
          <w:szCs w:val="28"/>
          <w:lang w:eastAsia="ru-RU"/>
        </w:rPr>
        <w:t xml:space="preserve"> (дата обращения: 19.03.2026).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bCs/>
          <w:sz w:val="28"/>
          <w:szCs w:val="28"/>
          <w:lang w:eastAsia="ru-RU"/>
        </w:rPr>
        <w:t xml:space="preserve">197 Маслихаты: внесли ли новшества молодые депутаты // Inform.kz (Kazinform). – 2024. – URL: </w:t>
      </w:r>
      <w:hyperlink r:id="rId106" w:tgtFrame="_new" w:history="1">
        <w:r w:rsidRPr="00CE2B36">
          <w:rPr>
            <w:rFonts w:ascii="Times New Roman" w:eastAsiaTheme="minorEastAsia" w:hAnsi="Times New Roman" w:cs="Times New Roman"/>
            <w:bCs/>
            <w:color w:val="DE2D24"/>
            <w:sz w:val="28"/>
            <w:szCs w:val="28"/>
            <w:u w:val="single"/>
            <w:lang w:eastAsia="ru-RU"/>
          </w:rPr>
          <w:t>https://www.inform.kz/ru/maslihati-vnesli-li-novshestva-molodie-deputati-2a5cfa</w:t>
        </w:r>
      </w:hyperlink>
      <w:r w:rsidRPr="00CE2B36">
        <w:rPr>
          <w:rFonts w:ascii="Times New Roman" w:eastAsiaTheme="minorEastAsia" w:hAnsi="Times New Roman" w:cs="Times New Roman"/>
          <w:bCs/>
          <w:sz w:val="28"/>
          <w:szCs w:val="28"/>
          <w:lang w:eastAsia="ru-RU"/>
        </w:rPr>
        <w:t xml:space="preserve"> (дата обращения: 19.03.2026).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r w:rsidRPr="00CE2B36">
        <w:rPr>
          <w:rFonts w:ascii="Times New Roman" w:eastAsiaTheme="minorEastAsia" w:hAnsi="Times New Roman" w:cs="Times New Roman"/>
          <w:bCs/>
          <w:sz w:val="28"/>
          <w:szCs w:val="28"/>
          <w:lang w:eastAsia="ru-RU"/>
        </w:rPr>
        <w:t xml:space="preserve">198 Одобрена концепция закона РК о 30% квоте для женщин и молодежи в партсписках [Электронный ресурс]. – 2020. – URL: </w:t>
      </w:r>
      <w:hyperlink r:id="rId107" w:tgtFrame="_new" w:history="1">
        <w:r w:rsidRPr="00CE2B36">
          <w:rPr>
            <w:rFonts w:ascii="Times New Roman" w:eastAsiaTheme="minorEastAsia" w:hAnsi="Times New Roman" w:cs="Times New Roman"/>
            <w:bCs/>
            <w:color w:val="DE2D24"/>
            <w:sz w:val="28"/>
            <w:szCs w:val="28"/>
            <w:u w:val="single"/>
            <w:lang w:eastAsia="ru-RU"/>
          </w:rPr>
          <w:t>https://kaztag.kz/ru/news/odobrena-kontseptsiya-zakona-rk-o-30-kvote-dlya-zhenshchin-i-molodezhi-v-partspiskakh</w:t>
        </w:r>
      </w:hyperlink>
      <w:r w:rsidRPr="00CE2B36">
        <w:rPr>
          <w:rFonts w:ascii="Times New Roman" w:eastAsiaTheme="minorEastAsia" w:hAnsi="Times New Roman" w:cs="Times New Roman"/>
          <w:bCs/>
          <w:sz w:val="28"/>
          <w:szCs w:val="28"/>
          <w:lang w:eastAsia="ru-RU"/>
        </w:rPr>
        <w:t xml:space="preserve"> (дата обращения: 19.04.2026).</w:t>
      </w: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szCs w:val="28"/>
          <w:lang w:eastAsia="ru-RU"/>
        </w:rPr>
      </w:pP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Cs w:val="28"/>
          <w:lang w:eastAsia="ru-RU"/>
        </w:rPr>
      </w:pP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Cs w:val="28"/>
          <w:lang w:eastAsia="ru-RU"/>
        </w:rPr>
      </w:pPr>
    </w:p>
    <w:p w:rsidR="00F91B68" w:rsidRDefault="00F91B68" w:rsidP="00643AAC">
      <w:pPr>
        <w:shd w:val="clear" w:color="auto" w:fill="FFFFFF"/>
        <w:tabs>
          <w:tab w:val="left" w:pos="709"/>
        </w:tabs>
        <w:spacing w:after="0" w:line="240" w:lineRule="auto"/>
        <w:ind w:firstLine="709"/>
        <w:jc w:val="both"/>
        <w:rPr>
          <w:rFonts w:ascii="Times New Roman" w:eastAsiaTheme="minorEastAsia" w:hAnsi="Times New Roman" w:cs="Times New Roman"/>
          <w:bCs/>
          <w:szCs w:val="28"/>
          <w:lang w:eastAsia="ru-RU"/>
        </w:rPr>
        <w:sectPr w:rsidR="00F91B68" w:rsidSect="00B46B14">
          <w:footerReference w:type="default" r:id="rId108"/>
          <w:pgSz w:w="11906" w:h="16838"/>
          <w:pgMar w:top="1134" w:right="567" w:bottom="1134" w:left="1701" w:header="708" w:footer="708" w:gutter="0"/>
          <w:pgNumType w:start="1"/>
          <w:cols w:space="708"/>
          <w:titlePg/>
          <w:docGrid w:linePitch="360"/>
        </w:sectPr>
      </w:pPr>
    </w:p>
    <w:p w:rsidR="00DE525D" w:rsidRDefault="00DE525D"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091764" w:rsidRDefault="00091764" w:rsidP="00091764">
      <w:pPr>
        <w:ind w:firstLine="709"/>
        <w:jc w:val="center"/>
        <w:rPr>
          <w:rFonts w:ascii="Times New Roman" w:hAnsi="Times New Roman" w:cs="Times New Roman"/>
          <w:b/>
          <w:sz w:val="28"/>
        </w:rPr>
      </w:pPr>
      <w:r w:rsidRPr="008B3DCA">
        <w:rPr>
          <w:rFonts w:ascii="Times New Roman" w:hAnsi="Times New Roman" w:cs="Times New Roman"/>
          <w:b/>
          <w:sz w:val="28"/>
        </w:rPr>
        <w:t>ПРИЛОЖЕНИЕ А</w:t>
      </w:r>
    </w:p>
    <w:p w:rsidR="00091764" w:rsidRPr="00091764" w:rsidRDefault="00091764" w:rsidP="00091764">
      <w:pPr>
        <w:ind w:firstLine="709"/>
        <w:jc w:val="center"/>
        <w:rPr>
          <w:rFonts w:ascii="Times New Roman" w:hAnsi="Times New Roman" w:cs="Times New Roman"/>
          <w:b/>
          <w:sz w:val="28"/>
        </w:rPr>
      </w:pPr>
      <w:r w:rsidRPr="00091764">
        <w:rPr>
          <w:rFonts w:ascii="Times New Roman" w:hAnsi="Times New Roman" w:cs="Times New Roman"/>
          <w:b/>
          <w:sz w:val="28"/>
        </w:rPr>
        <w:t>Материалы этических аспектов исследования</w:t>
      </w:r>
    </w:p>
    <w:p w:rsidR="00091764" w:rsidRDefault="00091764" w:rsidP="00091764">
      <w:pPr>
        <w:ind w:firstLine="709"/>
        <w:jc w:val="center"/>
        <w:rPr>
          <w:rFonts w:ascii="Times New Roman" w:hAnsi="Times New Roman" w:cs="Times New Roman"/>
          <w:b/>
          <w:sz w:val="28"/>
        </w:rPr>
      </w:pPr>
    </w:p>
    <w:p w:rsidR="00091764" w:rsidRPr="0044634B" w:rsidRDefault="00091764" w:rsidP="00091764">
      <w:pPr>
        <w:ind w:firstLine="567"/>
        <w:jc w:val="center"/>
        <w:rPr>
          <w:rFonts w:ascii="Times New Roman" w:hAnsi="Times New Roman" w:cs="Times New Roman"/>
          <w:sz w:val="28"/>
        </w:rPr>
      </w:pPr>
      <w:r w:rsidRPr="008B3DCA">
        <w:rPr>
          <w:rFonts w:ascii="Times New Roman" w:hAnsi="Times New Roman" w:cs="Times New Roman"/>
          <w:noProof/>
          <w:sz w:val="28"/>
          <w:lang w:eastAsia="ru-RU"/>
        </w:rPr>
        <w:drawing>
          <wp:anchor distT="0" distB="0" distL="114300" distR="114300" simplePos="0" relativeHeight="251665408" behindDoc="0" locked="0" layoutInCell="1" allowOverlap="1" wp14:anchorId="19E3B7ED" wp14:editId="5013B6EB">
            <wp:simplePos x="0" y="0"/>
            <wp:positionH relativeFrom="column">
              <wp:posOffset>1085215</wp:posOffset>
            </wp:positionH>
            <wp:positionV relativeFrom="paragraph">
              <wp:posOffset>-203835</wp:posOffset>
            </wp:positionV>
            <wp:extent cx="4305300" cy="6088380"/>
            <wp:effectExtent l="0" t="0" r="0" b="7620"/>
            <wp:wrapTopAndBottom/>
            <wp:docPr id="42" name="Рисунок 42" descr="C:\Users\админ\Downloads\photo_522243645005228430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photo_5222436450052284308_y.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305300" cy="6088380"/>
                    </a:xfrm>
                    <a:prstGeom prst="rect">
                      <a:avLst/>
                    </a:prstGeom>
                    <a:noFill/>
                    <a:ln>
                      <a:noFill/>
                    </a:ln>
                  </pic:spPr>
                </pic:pic>
              </a:graphicData>
            </a:graphic>
          </wp:anchor>
        </w:drawing>
      </w:r>
    </w:p>
    <w:p w:rsidR="00DE525D" w:rsidRDefault="00DE525D"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D14BE8" w:rsidRDefault="00D14BE8"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D14BE8" w:rsidRDefault="00D14BE8"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D14BE8" w:rsidRDefault="00D14BE8"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D14BE8" w:rsidRDefault="00D14BE8"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D14BE8" w:rsidRDefault="00D14BE8"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F91B68" w:rsidRDefault="00F91B68" w:rsidP="00F91B68">
      <w:pPr>
        <w:shd w:val="clear" w:color="auto" w:fill="FFFFFF"/>
        <w:tabs>
          <w:tab w:val="left" w:pos="709"/>
          <w:tab w:val="center" w:pos="5173"/>
        </w:tabs>
        <w:spacing w:after="0" w:line="240" w:lineRule="auto"/>
        <w:ind w:firstLine="709"/>
        <w:jc w:val="both"/>
        <w:rPr>
          <w:rFonts w:ascii="Times New Roman" w:eastAsiaTheme="minorEastAsia" w:hAnsi="Times New Roman" w:cs="Times New Roman"/>
          <w:bCs/>
          <w:sz w:val="28"/>
          <w:szCs w:val="28"/>
          <w:lang w:eastAsia="ru-RU"/>
        </w:rPr>
        <w:sectPr w:rsidR="00F91B68" w:rsidSect="00B46B14">
          <w:pgSz w:w="11906" w:h="16838"/>
          <w:pgMar w:top="1134" w:right="567" w:bottom="1134" w:left="1701" w:header="708" w:footer="708" w:gutter="0"/>
          <w:pgNumType w:start="1"/>
          <w:cols w:space="708"/>
          <w:titlePg/>
          <w:docGrid w:linePitch="360"/>
        </w:sectPr>
      </w:pPr>
      <w:r>
        <w:rPr>
          <w:rFonts w:ascii="Times New Roman" w:eastAsiaTheme="minorEastAsia" w:hAnsi="Times New Roman" w:cs="Times New Roman"/>
          <w:bCs/>
          <w:sz w:val="28"/>
          <w:szCs w:val="28"/>
          <w:lang w:eastAsia="ru-RU"/>
        </w:rPr>
        <w:tab/>
      </w:r>
    </w:p>
    <w:p w:rsidR="00D14BE8" w:rsidRDefault="00D14BE8"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D14BE8" w:rsidRPr="00E5221A" w:rsidRDefault="00D14BE8" w:rsidP="00D14BE8">
      <w:pPr>
        <w:jc w:val="center"/>
        <w:rPr>
          <w:rFonts w:ascii="Times New Roman" w:hAnsi="Times New Roman" w:cs="Times New Roman"/>
          <w:b/>
          <w:sz w:val="28"/>
        </w:rPr>
      </w:pPr>
      <w:r w:rsidRPr="00E5221A">
        <w:rPr>
          <w:rFonts w:ascii="Times New Roman" w:hAnsi="Times New Roman" w:cs="Times New Roman"/>
          <w:b/>
          <w:sz w:val="28"/>
        </w:rPr>
        <w:t>ПРИЛОЖЕНИЕ Б</w:t>
      </w:r>
    </w:p>
    <w:p w:rsidR="00D14BE8" w:rsidRDefault="00D14BE8" w:rsidP="00D14BE8">
      <w:pPr>
        <w:jc w:val="center"/>
        <w:rPr>
          <w:rFonts w:ascii="Times New Roman" w:hAnsi="Times New Roman" w:cs="Times New Roman"/>
          <w:b/>
          <w:sz w:val="28"/>
        </w:rPr>
      </w:pPr>
      <w:r w:rsidRPr="00E5221A">
        <w:rPr>
          <w:rFonts w:ascii="Times New Roman" w:hAnsi="Times New Roman" w:cs="Times New Roman"/>
          <w:b/>
          <w:sz w:val="28"/>
        </w:rPr>
        <w:t>ПРОГРАММА КОЛИЧЕСТВЕННОГО ИССЛЕДОВАНИЯ</w:t>
      </w:r>
    </w:p>
    <w:p w:rsidR="00D14BE8" w:rsidRDefault="00D14BE8" w:rsidP="00D14BE8">
      <w:pPr>
        <w:spacing w:after="0"/>
        <w:ind w:firstLine="567"/>
        <w:jc w:val="both"/>
        <w:rPr>
          <w:rFonts w:ascii="Times New Roman" w:hAnsi="Times New Roman" w:cs="Times New Roman"/>
          <w:sz w:val="28"/>
        </w:rPr>
      </w:pPr>
      <w:r w:rsidRPr="003F41DB">
        <w:rPr>
          <w:rFonts w:ascii="Times New Roman" w:hAnsi="Times New Roman" w:cs="Times New Roman"/>
          <w:b/>
          <w:sz w:val="28"/>
        </w:rPr>
        <w:t>Цель социологического исследования</w:t>
      </w:r>
      <w:r>
        <w:rPr>
          <w:rFonts w:ascii="Times New Roman" w:hAnsi="Times New Roman" w:cs="Times New Roman"/>
          <w:sz w:val="28"/>
        </w:rPr>
        <w:t>: изучение характера и направления использования молодёжью Казахстана социальных медиа, а также её гражданского вовлечения.</w:t>
      </w:r>
    </w:p>
    <w:p w:rsidR="00D14BE8" w:rsidRDefault="00D14BE8" w:rsidP="00D14BE8">
      <w:pPr>
        <w:spacing w:after="0"/>
        <w:ind w:firstLine="567"/>
        <w:jc w:val="both"/>
        <w:rPr>
          <w:rFonts w:ascii="Times New Roman" w:hAnsi="Times New Roman" w:cs="Times New Roman"/>
          <w:sz w:val="28"/>
        </w:rPr>
      </w:pPr>
      <w:r w:rsidRPr="006D684E">
        <w:rPr>
          <w:rFonts w:ascii="Times New Roman" w:hAnsi="Times New Roman" w:cs="Times New Roman"/>
          <w:b/>
          <w:sz w:val="28"/>
        </w:rPr>
        <w:t>Объектами исследования являются</w:t>
      </w:r>
      <w:r>
        <w:rPr>
          <w:rFonts w:ascii="Times New Roman" w:hAnsi="Times New Roman" w:cs="Times New Roman"/>
          <w:sz w:val="28"/>
        </w:rPr>
        <w:t>: жители города Алматы.</w:t>
      </w:r>
    </w:p>
    <w:p w:rsidR="00D14BE8" w:rsidRDefault="00D14BE8" w:rsidP="00D14BE8">
      <w:pPr>
        <w:spacing w:after="0"/>
        <w:ind w:firstLine="567"/>
        <w:jc w:val="both"/>
        <w:rPr>
          <w:rFonts w:ascii="Times New Roman" w:hAnsi="Times New Roman" w:cs="Times New Roman"/>
          <w:sz w:val="28"/>
        </w:rPr>
      </w:pPr>
      <w:r w:rsidRPr="006D684E">
        <w:rPr>
          <w:rFonts w:ascii="Times New Roman" w:hAnsi="Times New Roman" w:cs="Times New Roman"/>
          <w:b/>
          <w:sz w:val="28"/>
        </w:rPr>
        <w:t>География исследования</w:t>
      </w:r>
      <w:r>
        <w:rPr>
          <w:rFonts w:ascii="Times New Roman" w:hAnsi="Times New Roman" w:cs="Times New Roman"/>
          <w:sz w:val="28"/>
        </w:rPr>
        <w:t>: г. Алматы</w:t>
      </w:r>
    </w:p>
    <w:p w:rsidR="00D14BE8" w:rsidRDefault="00D14BE8" w:rsidP="00D14BE8">
      <w:pPr>
        <w:spacing w:after="0"/>
        <w:ind w:firstLine="567"/>
        <w:jc w:val="both"/>
        <w:rPr>
          <w:rFonts w:ascii="Times New Roman" w:hAnsi="Times New Roman" w:cs="Times New Roman"/>
          <w:sz w:val="28"/>
        </w:rPr>
      </w:pPr>
      <w:r w:rsidRPr="006D684E">
        <w:rPr>
          <w:rFonts w:ascii="Times New Roman" w:hAnsi="Times New Roman" w:cs="Times New Roman"/>
          <w:b/>
          <w:sz w:val="28"/>
        </w:rPr>
        <w:t>Генеральная совокупность исследования</w:t>
      </w:r>
      <w:r>
        <w:rPr>
          <w:rFonts w:ascii="Times New Roman" w:hAnsi="Times New Roman" w:cs="Times New Roman"/>
          <w:sz w:val="28"/>
        </w:rPr>
        <w:t>:</w:t>
      </w:r>
      <w:r w:rsidRPr="003F41DB">
        <w:rPr>
          <w:rFonts w:ascii="Times New Roman" w:hAnsi="Times New Roman" w:cs="Times New Roman"/>
          <w:sz w:val="28"/>
        </w:rPr>
        <w:t xml:space="preserve"> </w:t>
      </w:r>
      <w:r>
        <w:rPr>
          <w:rFonts w:ascii="Times New Roman" w:hAnsi="Times New Roman" w:cs="Times New Roman"/>
          <w:sz w:val="28"/>
        </w:rPr>
        <w:t>жители города Алматы.</w:t>
      </w:r>
    </w:p>
    <w:p w:rsidR="00D14BE8" w:rsidRDefault="00D14BE8" w:rsidP="00D14BE8">
      <w:pPr>
        <w:spacing w:after="0"/>
        <w:ind w:firstLine="567"/>
        <w:jc w:val="both"/>
        <w:rPr>
          <w:rFonts w:ascii="Times New Roman" w:hAnsi="Times New Roman" w:cs="Times New Roman"/>
          <w:sz w:val="28"/>
        </w:rPr>
      </w:pPr>
      <w:r w:rsidRPr="00F51084">
        <w:rPr>
          <w:rFonts w:ascii="Times New Roman" w:hAnsi="Times New Roman" w:cs="Times New Roman"/>
          <w:b/>
          <w:sz w:val="28"/>
        </w:rPr>
        <w:t>Метод сбора данных</w:t>
      </w:r>
      <w:r>
        <w:rPr>
          <w:rFonts w:ascii="Times New Roman" w:hAnsi="Times New Roman" w:cs="Times New Roman"/>
          <w:sz w:val="28"/>
        </w:rPr>
        <w:t>: для опроса применялось как программное обеспечение для проведения онлайн опросов, так и бумажный вариант анкет. При проведении опроса онлайн, респондентам направлены электронные письма с приглашением принять участие в опросе. При проведении опроса офлайн, по согласованию с администрацией ВУЗов, в которых осуществлялось исследование, студентам раздавались анкеты, предварительно получалось их принципиальное согласие участвовать в опросе. Опрос состоит из трёх блоков.</w:t>
      </w:r>
    </w:p>
    <w:p w:rsidR="00D14BE8" w:rsidRDefault="00D14BE8" w:rsidP="00D14BE8">
      <w:pPr>
        <w:spacing w:after="0"/>
        <w:ind w:firstLine="567"/>
        <w:jc w:val="both"/>
        <w:rPr>
          <w:rFonts w:ascii="Times New Roman" w:hAnsi="Times New Roman" w:cs="Times New Roman"/>
          <w:sz w:val="28"/>
        </w:rPr>
      </w:pPr>
      <w:r>
        <w:rPr>
          <w:rFonts w:ascii="Times New Roman" w:hAnsi="Times New Roman" w:cs="Times New Roman"/>
          <w:sz w:val="28"/>
        </w:rPr>
        <w:t>Первый раздел представляет собой описание исследования и информированное согласие респондентов.</w:t>
      </w:r>
    </w:p>
    <w:p w:rsidR="00D14BE8" w:rsidRDefault="00D14BE8" w:rsidP="00D14BE8">
      <w:pPr>
        <w:spacing w:after="0"/>
        <w:ind w:firstLine="567"/>
        <w:jc w:val="both"/>
        <w:rPr>
          <w:rFonts w:ascii="Times New Roman" w:hAnsi="Times New Roman" w:cs="Times New Roman"/>
          <w:sz w:val="28"/>
        </w:rPr>
      </w:pPr>
      <w:r>
        <w:rPr>
          <w:rFonts w:ascii="Times New Roman" w:hAnsi="Times New Roman" w:cs="Times New Roman"/>
          <w:sz w:val="28"/>
        </w:rPr>
        <w:t>Второй блок включает в себя вопросы, нацеленные на измерение вовлечённости молодёжи в социальные медиа, характера этой вовлеченности, осведомлённости молодых людей об общественных организациях, участия в их деятельности и подписанности на публичные аккаунты общественных организаций онлайн в социальных медиа.</w:t>
      </w:r>
    </w:p>
    <w:p w:rsidR="00D14BE8" w:rsidRDefault="00D14BE8" w:rsidP="00D14BE8">
      <w:pPr>
        <w:spacing w:after="0"/>
        <w:ind w:firstLine="567"/>
        <w:jc w:val="both"/>
        <w:rPr>
          <w:rFonts w:ascii="Times New Roman" w:hAnsi="Times New Roman" w:cs="Times New Roman"/>
          <w:sz w:val="28"/>
        </w:rPr>
      </w:pPr>
      <w:r>
        <w:rPr>
          <w:rFonts w:ascii="Times New Roman" w:hAnsi="Times New Roman" w:cs="Times New Roman"/>
          <w:sz w:val="28"/>
        </w:rPr>
        <w:t>Третий раздел объединяет ряд демографических вопросов. Респондентам предлагается указать их пол, возраст, место проживания и ВУЗ, в котором они обучаются.</w:t>
      </w:r>
    </w:p>
    <w:p w:rsidR="00D14BE8" w:rsidRDefault="00D14BE8" w:rsidP="00D14BE8">
      <w:pPr>
        <w:spacing w:after="0"/>
        <w:ind w:firstLine="567"/>
        <w:jc w:val="both"/>
        <w:rPr>
          <w:rFonts w:ascii="Times New Roman" w:hAnsi="Times New Roman" w:cs="Times New Roman"/>
          <w:sz w:val="28"/>
        </w:rPr>
      </w:pPr>
      <w:r w:rsidRPr="00EF48C5">
        <w:rPr>
          <w:rFonts w:ascii="Times New Roman" w:hAnsi="Times New Roman" w:cs="Times New Roman"/>
          <w:b/>
          <w:sz w:val="28"/>
        </w:rPr>
        <w:t>Инструментарий исследования</w:t>
      </w:r>
      <w:r>
        <w:rPr>
          <w:rFonts w:ascii="Times New Roman" w:hAnsi="Times New Roman" w:cs="Times New Roman"/>
          <w:sz w:val="28"/>
        </w:rPr>
        <w:t>: опросник подготовлен на казахском и русском языках. Конкретное решение по выбору языка инструментария в каждом случае принимается респондентом самостоятельно.</w:t>
      </w:r>
    </w:p>
    <w:p w:rsidR="00D14BE8" w:rsidRDefault="00D14BE8" w:rsidP="00D14BE8">
      <w:pPr>
        <w:spacing w:after="0"/>
        <w:ind w:firstLine="567"/>
        <w:jc w:val="both"/>
        <w:rPr>
          <w:rFonts w:ascii="Times New Roman" w:hAnsi="Times New Roman" w:cs="Times New Roman"/>
          <w:sz w:val="28"/>
        </w:rPr>
      </w:pPr>
      <w:r w:rsidRPr="00FF7D0F">
        <w:rPr>
          <w:rFonts w:ascii="Times New Roman" w:hAnsi="Times New Roman" w:cs="Times New Roman"/>
          <w:b/>
          <w:sz w:val="28"/>
        </w:rPr>
        <w:t>Этические вопросы</w:t>
      </w:r>
      <w:r>
        <w:rPr>
          <w:rFonts w:ascii="Times New Roman" w:hAnsi="Times New Roman" w:cs="Times New Roman"/>
          <w:sz w:val="28"/>
        </w:rPr>
        <w:t>: участие в исследовании добровольное, основано на согласии респондентов.</w:t>
      </w:r>
    </w:p>
    <w:p w:rsidR="00D14BE8" w:rsidRDefault="00D14BE8" w:rsidP="00D14BE8">
      <w:pPr>
        <w:spacing w:after="0"/>
        <w:ind w:firstLine="567"/>
        <w:jc w:val="both"/>
        <w:rPr>
          <w:rFonts w:ascii="Times New Roman" w:hAnsi="Times New Roman" w:cs="Times New Roman"/>
          <w:sz w:val="28"/>
        </w:rPr>
      </w:pPr>
      <w:r w:rsidRPr="009C6403">
        <w:rPr>
          <w:rFonts w:ascii="Times New Roman" w:hAnsi="Times New Roman" w:cs="Times New Roman"/>
          <w:b/>
          <w:sz w:val="28"/>
        </w:rPr>
        <w:t>Обработка полученных данных</w:t>
      </w:r>
      <w:r>
        <w:rPr>
          <w:rFonts w:ascii="Times New Roman" w:hAnsi="Times New Roman" w:cs="Times New Roman"/>
          <w:sz w:val="28"/>
        </w:rPr>
        <w:t>: полученные данные будут обработаны при помощи</w:t>
      </w:r>
      <w:r w:rsidRPr="00AB4905">
        <w:rPr>
          <w:rFonts w:ascii="Times New Roman" w:hAnsi="Times New Roman" w:cs="Times New Roman"/>
          <w:sz w:val="28"/>
        </w:rPr>
        <w:t xml:space="preserve"> </w:t>
      </w:r>
      <w:r>
        <w:rPr>
          <w:rFonts w:ascii="Times New Roman" w:hAnsi="Times New Roman" w:cs="Times New Roman"/>
          <w:sz w:val="28"/>
        </w:rPr>
        <w:t xml:space="preserve">программы </w:t>
      </w:r>
      <w:r w:rsidRPr="00AB4905">
        <w:rPr>
          <w:rFonts w:ascii="Times New Roman" w:hAnsi="Times New Roman" w:cs="Times New Roman"/>
          <w:sz w:val="28"/>
        </w:rPr>
        <w:t>SPSS (версия программы 27)</w:t>
      </w:r>
      <w:r>
        <w:rPr>
          <w:rFonts w:ascii="Times New Roman" w:hAnsi="Times New Roman" w:cs="Times New Roman"/>
          <w:sz w:val="28"/>
        </w:rPr>
        <w:t>.</w:t>
      </w: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D14BE8">
      <w:pPr>
        <w:spacing w:after="0"/>
        <w:ind w:firstLine="567"/>
        <w:jc w:val="both"/>
        <w:rPr>
          <w:rFonts w:ascii="Times New Roman" w:hAnsi="Times New Roman" w:cs="Times New Roman"/>
          <w:sz w:val="28"/>
        </w:rPr>
      </w:pPr>
    </w:p>
    <w:p w:rsidR="009D1400" w:rsidRDefault="009D1400" w:rsidP="009D1400">
      <w:pPr>
        <w:jc w:val="center"/>
        <w:rPr>
          <w:rFonts w:ascii="Times New Roman" w:hAnsi="Times New Roman" w:cs="Times New Roman"/>
          <w:b/>
          <w:sz w:val="28"/>
        </w:rPr>
      </w:pPr>
      <w:r w:rsidRPr="004D78A5">
        <w:rPr>
          <w:rFonts w:ascii="Times New Roman" w:hAnsi="Times New Roman" w:cs="Times New Roman"/>
          <w:b/>
          <w:sz w:val="28"/>
        </w:rPr>
        <w:t>ПРИЛОЖЕНИЕ В</w:t>
      </w:r>
    </w:p>
    <w:p w:rsidR="009D1400" w:rsidRDefault="009D1400" w:rsidP="009D1400">
      <w:pPr>
        <w:jc w:val="center"/>
        <w:rPr>
          <w:rFonts w:ascii="Times New Roman" w:hAnsi="Times New Roman" w:cs="Times New Roman"/>
          <w:b/>
          <w:sz w:val="28"/>
        </w:rPr>
      </w:pPr>
      <w:r>
        <w:rPr>
          <w:rFonts w:ascii="Times New Roman" w:hAnsi="Times New Roman" w:cs="Times New Roman"/>
          <w:b/>
          <w:sz w:val="28"/>
        </w:rPr>
        <w:t>Инструменты измерения</w:t>
      </w:r>
    </w:p>
    <w:p w:rsidR="009D1400" w:rsidRDefault="009D1400" w:rsidP="009D1400">
      <w:pPr>
        <w:spacing w:after="0" w:line="240" w:lineRule="auto"/>
        <w:ind w:firstLine="567"/>
        <w:jc w:val="center"/>
        <w:rPr>
          <w:rFonts w:ascii="Times New Roman" w:hAnsi="Times New Roman" w:cs="Times New Roman"/>
          <w:sz w:val="28"/>
        </w:rPr>
      </w:pPr>
      <w:r w:rsidRPr="00345BA7">
        <w:rPr>
          <w:rFonts w:ascii="Times New Roman" w:hAnsi="Times New Roman" w:cs="Times New Roman"/>
          <w:b/>
          <w:sz w:val="28"/>
        </w:rPr>
        <w:t>ИСПОЛЬЗОВАНИЕ МОЛОДЁЖЬЮ КАЗАХСТАНА СОЦИАЛЬНЫХ МЕДИА И ГРАЖДАНСКАЯ АКТИВНОСТЬ МОЛОДЕЖИ ОФЛАЙН</w:t>
      </w:r>
    </w:p>
    <w:tbl>
      <w:tblPr>
        <w:tblStyle w:val="af4"/>
        <w:tblW w:w="0" w:type="auto"/>
        <w:tblLook w:val="04A0" w:firstRow="1" w:lastRow="0" w:firstColumn="1" w:lastColumn="0" w:noHBand="0" w:noVBand="1"/>
      </w:tblPr>
      <w:tblGrid>
        <w:gridCol w:w="2336"/>
        <w:gridCol w:w="2336"/>
        <w:gridCol w:w="2336"/>
        <w:gridCol w:w="2337"/>
      </w:tblGrid>
      <w:tr w:rsidR="009D1400" w:rsidTr="006625FC">
        <w:tc>
          <w:tcPr>
            <w:tcW w:w="2336" w:type="dxa"/>
          </w:tcPr>
          <w:p w:rsidR="009D1400" w:rsidRPr="0060609F" w:rsidRDefault="009D1400" w:rsidP="006625FC">
            <w:pPr>
              <w:jc w:val="both"/>
              <w:rPr>
                <w:rFonts w:ascii="Times New Roman" w:hAnsi="Times New Roman" w:cs="Times New Roman"/>
                <w:b/>
                <w:sz w:val="28"/>
              </w:rPr>
            </w:pPr>
            <w:r>
              <w:rPr>
                <w:rFonts w:ascii="Times New Roman" w:hAnsi="Times New Roman" w:cs="Times New Roman"/>
                <w:b/>
                <w:sz w:val="28"/>
              </w:rPr>
              <w:t>Номер анкеты</w:t>
            </w:r>
          </w:p>
        </w:tc>
        <w:tc>
          <w:tcPr>
            <w:tcW w:w="2336" w:type="dxa"/>
          </w:tcPr>
          <w:p w:rsidR="009D1400" w:rsidRDefault="009D1400" w:rsidP="006625FC">
            <w:pPr>
              <w:jc w:val="both"/>
              <w:rPr>
                <w:rFonts w:ascii="Times New Roman" w:hAnsi="Times New Roman" w:cs="Times New Roman"/>
                <w:sz w:val="28"/>
              </w:rPr>
            </w:pPr>
          </w:p>
        </w:tc>
        <w:tc>
          <w:tcPr>
            <w:tcW w:w="2336" w:type="dxa"/>
          </w:tcPr>
          <w:p w:rsidR="009D1400" w:rsidRPr="0060609F" w:rsidRDefault="009D1400" w:rsidP="006625FC">
            <w:pPr>
              <w:jc w:val="both"/>
              <w:rPr>
                <w:rFonts w:ascii="Times New Roman" w:hAnsi="Times New Roman" w:cs="Times New Roman"/>
                <w:b/>
                <w:sz w:val="28"/>
              </w:rPr>
            </w:pPr>
            <w:r w:rsidRPr="0060609F">
              <w:rPr>
                <w:rFonts w:ascii="Times New Roman" w:hAnsi="Times New Roman" w:cs="Times New Roman"/>
                <w:b/>
                <w:sz w:val="28"/>
              </w:rPr>
              <w:t>Дата</w:t>
            </w:r>
          </w:p>
        </w:tc>
        <w:tc>
          <w:tcPr>
            <w:tcW w:w="2337" w:type="dxa"/>
          </w:tcPr>
          <w:p w:rsidR="009D1400" w:rsidRDefault="009D1400" w:rsidP="006625FC">
            <w:pPr>
              <w:jc w:val="both"/>
              <w:rPr>
                <w:rFonts w:ascii="Times New Roman" w:hAnsi="Times New Roman" w:cs="Times New Roman"/>
                <w:sz w:val="28"/>
              </w:rPr>
            </w:pPr>
          </w:p>
        </w:tc>
      </w:tr>
    </w:tbl>
    <w:p w:rsidR="009D1400" w:rsidRDefault="009D1400" w:rsidP="009D1400">
      <w:pPr>
        <w:spacing w:after="0" w:line="240" w:lineRule="auto"/>
        <w:ind w:firstLine="567"/>
        <w:jc w:val="both"/>
        <w:rPr>
          <w:rFonts w:ascii="Times New Roman" w:hAnsi="Times New Roman" w:cs="Times New Roman"/>
          <w:sz w:val="28"/>
        </w:rPr>
      </w:pPr>
    </w:p>
    <w:p w:rsidR="009D1400" w:rsidRPr="0014462E" w:rsidRDefault="009D1400" w:rsidP="009D1400">
      <w:pPr>
        <w:spacing w:after="0" w:line="240" w:lineRule="auto"/>
        <w:ind w:firstLine="567"/>
        <w:jc w:val="both"/>
        <w:rPr>
          <w:rFonts w:ascii="Times New Roman" w:hAnsi="Times New Roman" w:cs="Times New Roman"/>
          <w:i/>
          <w:sz w:val="28"/>
        </w:rPr>
      </w:pPr>
      <w:r w:rsidRPr="0014462E">
        <w:rPr>
          <w:rFonts w:ascii="Times New Roman" w:hAnsi="Times New Roman" w:cs="Times New Roman"/>
          <w:i/>
          <w:sz w:val="28"/>
        </w:rPr>
        <w:t xml:space="preserve">Здравствуйте, уважаемые респонденты! </w:t>
      </w:r>
    </w:p>
    <w:p w:rsidR="009D1400" w:rsidRDefault="009D1400" w:rsidP="009D1400">
      <w:pPr>
        <w:spacing w:after="0" w:line="240" w:lineRule="auto"/>
        <w:ind w:firstLine="567"/>
        <w:jc w:val="both"/>
        <w:rPr>
          <w:rFonts w:ascii="Times New Roman" w:hAnsi="Times New Roman" w:cs="Times New Roman"/>
          <w:i/>
          <w:sz w:val="28"/>
        </w:rPr>
      </w:pPr>
      <w:r w:rsidRPr="0014462E">
        <w:rPr>
          <w:rFonts w:ascii="Times New Roman" w:hAnsi="Times New Roman" w:cs="Times New Roman"/>
          <w:i/>
          <w:sz w:val="28"/>
        </w:rPr>
        <w:t xml:space="preserve">Пожалуйста, примите участие в нашем социологическом исследовании. Данное исследование проводится докторантом Института философии, политологии и религиоведения КН МВОН РК Анастасией Федоровой в рамках образовательной программы </w:t>
      </w:r>
      <w:r w:rsidRPr="0014462E">
        <w:rPr>
          <w:rFonts w:ascii="Times New Roman" w:hAnsi="Times New Roman" w:cs="Times New Roman"/>
          <w:i/>
          <w:sz w:val="28"/>
          <w:lang w:val="en-US"/>
        </w:rPr>
        <w:t>PhD</w:t>
      </w:r>
      <w:r w:rsidRPr="0014462E">
        <w:rPr>
          <w:rFonts w:ascii="Times New Roman" w:hAnsi="Times New Roman" w:cs="Times New Roman"/>
          <w:i/>
          <w:sz w:val="28"/>
        </w:rPr>
        <w:t>. Тема исследования: «Роль информационных технологий в становлении и развитии институтов гражданского общества». Вам нужно отметить один или несколько вариантов ответов, с которыми вы согласны, а также дописать ваше мнение, если вопрос предусматривает это. Данное исследование анонимно! Его результаты будут обработаны и обнародованы в усредненном виде. Благодарим Вас за участие в нашем исследовании!</w:t>
      </w:r>
      <w:r>
        <w:rPr>
          <w:rFonts w:ascii="Times New Roman" w:hAnsi="Times New Roman" w:cs="Times New Roman"/>
          <w:i/>
          <w:sz w:val="28"/>
        </w:rPr>
        <w:t xml:space="preserve"> Если у Вас возникли вопросы, просим обращаться на электронную почту: </w:t>
      </w:r>
      <w:hyperlink r:id="rId110" w:history="1">
        <w:r w:rsidRPr="003B4283">
          <w:rPr>
            <w:rStyle w:val="a8"/>
            <w:rFonts w:ascii="Times New Roman" w:hAnsi="Times New Roman" w:cs="Times New Roman"/>
            <w:i/>
            <w:sz w:val="28"/>
            <w:lang w:val="en-US"/>
          </w:rPr>
          <w:t>anastassiya</w:t>
        </w:r>
        <w:r w:rsidRPr="003B4283">
          <w:rPr>
            <w:rStyle w:val="a8"/>
            <w:rFonts w:ascii="Times New Roman" w:hAnsi="Times New Roman" w:cs="Times New Roman"/>
            <w:i/>
            <w:sz w:val="28"/>
          </w:rPr>
          <w:t>7</w:t>
        </w:r>
        <w:r w:rsidRPr="003B4283">
          <w:rPr>
            <w:rStyle w:val="a8"/>
            <w:rFonts w:ascii="Times New Roman" w:hAnsi="Times New Roman" w:cs="Times New Roman"/>
            <w:i/>
            <w:sz w:val="28"/>
            <w:lang w:val="en-US"/>
          </w:rPr>
          <w:t>fedorova</w:t>
        </w:r>
        <w:r w:rsidRPr="003B4283">
          <w:rPr>
            <w:rStyle w:val="a8"/>
            <w:rFonts w:ascii="Times New Roman" w:hAnsi="Times New Roman" w:cs="Times New Roman"/>
            <w:i/>
            <w:sz w:val="28"/>
          </w:rPr>
          <w:t>@</w:t>
        </w:r>
        <w:r w:rsidRPr="003B4283">
          <w:rPr>
            <w:rStyle w:val="a8"/>
            <w:rFonts w:ascii="Times New Roman" w:hAnsi="Times New Roman" w:cs="Times New Roman"/>
            <w:i/>
            <w:sz w:val="28"/>
            <w:lang w:val="en-US"/>
          </w:rPr>
          <w:t>gmail</w:t>
        </w:r>
        <w:r w:rsidRPr="003B4283">
          <w:rPr>
            <w:rStyle w:val="a8"/>
            <w:rFonts w:ascii="Times New Roman" w:hAnsi="Times New Roman" w:cs="Times New Roman"/>
            <w:i/>
            <w:sz w:val="28"/>
          </w:rPr>
          <w:t>.</w:t>
        </w:r>
        <w:r w:rsidRPr="003B4283">
          <w:rPr>
            <w:rStyle w:val="a8"/>
            <w:rFonts w:ascii="Times New Roman" w:hAnsi="Times New Roman" w:cs="Times New Roman"/>
            <w:i/>
            <w:sz w:val="28"/>
            <w:lang w:val="en-US"/>
          </w:rPr>
          <w:t>com</w:t>
        </w:r>
      </w:hyperlink>
      <w:r w:rsidRPr="0014462E">
        <w:rPr>
          <w:rFonts w:ascii="Times New Roman" w:hAnsi="Times New Roman" w:cs="Times New Roman"/>
          <w:i/>
          <w:sz w:val="28"/>
        </w:rPr>
        <w:t xml:space="preserve"> </w:t>
      </w:r>
    </w:p>
    <w:p w:rsidR="00E770DB" w:rsidRDefault="00E770DB" w:rsidP="009D1400">
      <w:pPr>
        <w:spacing w:after="0" w:line="240" w:lineRule="auto"/>
        <w:ind w:firstLine="567"/>
        <w:jc w:val="both"/>
        <w:rPr>
          <w:rFonts w:ascii="Times New Roman" w:hAnsi="Times New Roman" w:cs="Times New Roman"/>
          <w:i/>
          <w:sz w:val="28"/>
        </w:rPr>
      </w:pPr>
    </w:p>
    <w:p w:rsidR="009D1400" w:rsidRPr="00295716" w:rsidRDefault="009D1400" w:rsidP="009D1400">
      <w:pPr>
        <w:spacing w:after="0" w:line="240" w:lineRule="auto"/>
        <w:ind w:firstLine="567"/>
        <w:jc w:val="both"/>
        <w:rPr>
          <w:rFonts w:ascii="Times New Roman" w:hAnsi="Times New Roman" w:cs="Times New Roman"/>
          <w:i/>
          <w:sz w:val="28"/>
        </w:rPr>
      </w:pPr>
      <w:r w:rsidRPr="00295716">
        <w:rPr>
          <w:rFonts w:ascii="Times New Roman" w:hAnsi="Times New Roman" w:cs="Times New Roman"/>
          <w:i/>
          <w:sz w:val="28"/>
        </w:rPr>
        <w:t>Сәлеметсіздер ме, құрметті респонденттер!</w:t>
      </w:r>
    </w:p>
    <w:p w:rsidR="009D1400" w:rsidRPr="00295716" w:rsidRDefault="009D1400" w:rsidP="009D1400">
      <w:pPr>
        <w:spacing w:after="0" w:line="240" w:lineRule="auto"/>
        <w:ind w:firstLine="567"/>
        <w:jc w:val="both"/>
        <w:rPr>
          <w:rFonts w:ascii="Times New Roman" w:hAnsi="Times New Roman" w:cs="Times New Roman"/>
          <w:i/>
          <w:sz w:val="28"/>
        </w:rPr>
      </w:pPr>
      <w:r w:rsidRPr="00295716">
        <w:rPr>
          <w:rFonts w:ascii="Times New Roman" w:hAnsi="Times New Roman" w:cs="Times New Roman"/>
          <w:i/>
          <w:sz w:val="28"/>
        </w:rPr>
        <w:t>Өтінеміз, біздің әлеуметтік зерттеуімізге қатысыңыз.</w:t>
      </w:r>
      <w:r w:rsidRPr="00295716">
        <w:t xml:space="preserve"> </w:t>
      </w:r>
      <w:r w:rsidRPr="00295716">
        <w:rPr>
          <w:rFonts w:ascii="Times New Roman" w:hAnsi="Times New Roman" w:cs="Times New Roman"/>
          <w:i/>
          <w:sz w:val="28"/>
        </w:rPr>
        <w:t>Бұл зерттеу ҚР ҒЖБМ ҒК Философия, саясаттану және дінтану институтының PhD білім беру бағдарламасы аясында докторант Анастасия Федорова тарапынан жүргізілуде. Зерттеу тақырыбы: «Ақпараттық технологиялардың азаматтық қоғам институттарының қалыптасуы мен дамуына әсері». Сізге ұсынылған жауаптардың бірін немесе бірнешеуін таңдап, келісетін жауабыңызды белгілеу қажет. Егер сұрақта өз пікіріңізді жазуға мүмкіндік берілсе, оны да қосыңыз. Бұл зерттеу анонимді жүргізіледі! Оның нәтижелері өңделіп, орташа түрде жарияланады. Зерттеуімізге қатысқаныңыз үшін алғысымызды білдіреміз!</w:t>
      </w:r>
      <w:r w:rsidRPr="00604756">
        <w:t xml:space="preserve"> </w:t>
      </w:r>
      <w:r w:rsidRPr="00604756">
        <w:rPr>
          <w:rFonts w:ascii="Times New Roman" w:hAnsi="Times New Roman" w:cs="Times New Roman"/>
          <w:i/>
          <w:sz w:val="28"/>
        </w:rPr>
        <w:t xml:space="preserve">Егер Сізде сұрақтар туындаса, келесі электрондық пошта арқылы хабарласуыңызды сұраймыз: </w:t>
      </w:r>
      <w:hyperlink r:id="rId111" w:history="1">
        <w:r w:rsidRPr="003B4283">
          <w:rPr>
            <w:rStyle w:val="a8"/>
            <w:rFonts w:ascii="Times New Roman" w:hAnsi="Times New Roman" w:cs="Times New Roman"/>
            <w:i/>
            <w:sz w:val="28"/>
          </w:rPr>
          <w:t>anastassiya7fedorova@gmail.com</w:t>
        </w:r>
      </w:hyperlink>
      <w:r>
        <w:rPr>
          <w:rFonts w:ascii="Times New Roman" w:hAnsi="Times New Roman" w:cs="Times New Roman"/>
          <w:i/>
          <w:sz w:val="28"/>
        </w:rPr>
        <w:t xml:space="preserve"> </w:t>
      </w:r>
    </w:p>
    <w:p w:rsidR="009D1400" w:rsidRDefault="009D1400" w:rsidP="009D1400">
      <w:pPr>
        <w:spacing w:after="0" w:line="240" w:lineRule="auto"/>
        <w:ind w:firstLine="567"/>
        <w:jc w:val="both"/>
        <w:rPr>
          <w:rFonts w:ascii="Times New Roman" w:hAnsi="Times New Roman" w:cs="Times New Roman"/>
          <w:i/>
          <w:sz w:val="28"/>
        </w:rPr>
      </w:pPr>
    </w:p>
    <w:p w:rsidR="009D1400" w:rsidRPr="0014462E" w:rsidRDefault="009D1400" w:rsidP="009D1400">
      <w:pPr>
        <w:spacing w:after="0" w:line="240" w:lineRule="auto"/>
        <w:ind w:firstLine="567"/>
        <w:jc w:val="both"/>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67456" behindDoc="0" locked="0" layoutInCell="1" allowOverlap="1" wp14:anchorId="41E21683" wp14:editId="19866F64">
                <wp:simplePos x="0" y="0"/>
                <wp:positionH relativeFrom="column">
                  <wp:posOffset>66675</wp:posOffset>
                </wp:positionH>
                <wp:positionV relativeFrom="paragraph">
                  <wp:posOffset>166784</wp:posOffset>
                </wp:positionV>
                <wp:extent cx="5845810" cy="258445"/>
                <wp:effectExtent l="0" t="0" r="21590" b="27305"/>
                <wp:wrapNone/>
                <wp:docPr id="43" name="Прямоугольник 43"/>
                <wp:cNvGraphicFramePr/>
                <a:graphic xmlns:a="http://schemas.openxmlformats.org/drawingml/2006/main">
                  <a:graphicData uri="http://schemas.microsoft.com/office/word/2010/wordprocessingShape">
                    <wps:wsp>
                      <wps:cNvSpPr/>
                      <wps:spPr>
                        <a:xfrm>
                          <a:off x="0" y="0"/>
                          <a:ext cx="5845810" cy="25844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AEE07E" id="Прямоугольник 43" o:spid="_x0000_s1026" style="position:absolute;margin-left:5.25pt;margin-top:13.15pt;width:460.3pt;height:20.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" filled="f" strokecolor="windowText" strokeweight="1pt"/>
            </w:pict>
          </mc:Fallback>
        </mc:AlternateContent>
      </w:r>
    </w:p>
    <w:p w:rsidR="009D1400" w:rsidRPr="00295716" w:rsidRDefault="009D1400" w:rsidP="009D1400">
      <w:pPr>
        <w:spacing w:after="0" w:line="240" w:lineRule="auto"/>
        <w:ind w:firstLine="567"/>
        <w:jc w:val="center"/>
        <w:rPr>
          <w:rFonts w:ascii="Times New Roman" w:hAnsi="Times New Roman" w:cs="Times New Roman"/>
          <w:b/>
          <w:i/>
          <w:sz w:val="28"/>
        </w:rPr>
      </w:pPr>
      <w:r w:rsidRPr="00295716">
        <w:rPr>
          <w:rFonts w:ascii="Times New Roman" w:hAnsi="Times New Roman" w:cs="Times New Roman"/>
          <w:b/>
          <w:i/>
          <w:sz w:val="28"/>
        </w:rPr>
        <w:t>Раздел 1. Использование молодёжью социальных медиа</w:t>
      </w:r>
    </w:p>
    <w:p w:rsidR="009D1400" w:rsidRPr="00E31879" w:rsidRDefault="009D1400" w:rsidP="008465D6">
      <w:pPr>
        <w:pStyle w:val="a3"/>
        <w:numPr>
          <w:ilvl w:val="0"/>
          <w:numId w:val="70"/>
        </w:numPr>
        <w:tabs>
          <w:tab w:val="left" w:pos="3188"/>
        </w:tabs>
        <w:rPr>
          <w:rFonts w:ascii="Times New Roman" w:hAnsi="Times New Roman" w:cs="Times New Roman"/>
          <w:sz w:val="28"/>
        </w:rPr>
      </w:pPr>
      <w:r w:rsidRPr="00E31879">
        <w:rPr>
          <w:rFonts w:ascii="Times New Roman" w:hAnsi="Times New Roman" w:cs="Times New Roman"/>
          <w:sz w:val="28"/>
        </w:rPr>
        <w:t>Зарегистрир</w:t>
      </w:r>
      <w:r>
        <w:rPr>
          <w:rFonts w:ascii="Times New Roman" w:hAnsi="Times New Roman" w:cs="Times New Roman"/>
          <w:sz w:val="28"/>
        </w:rPr>
        <w:t xml:space="preserve">ованы ли вы в социальных </w:t>
      </w:r>
      <w:proofErr w:type="gramStart"/>
      <w:r>
        <w:rPr>
          <w:rFonts w:ascii="Times New Roman" w:hAnsi="Times New Roman" w:cs="Times New Roman"/>
          <w:sz w:val="28"/>
        </w:rPr>
        <w:t>сетях?/</w:t>
      </w:r>
      <w:proofErr w:type="gramEnd"/>
      <w:r w:rsidRPr="00E31879">
        <w:rPr>
          <w:rFonts w:ascii="Times New Roman" w:hAnsi="Times New Roman" w:cs="Times New Roman"/>
          <w:sz w:val="28"/>
          <w:szCs w:val="28"/>
        </w:rPr>
        <w:t xml:space="preserve"> </w:t>
      </w:r>
      <w:r w:rsidRPr="00E31879">
        <w:rPr>
          <w:rFonts w:ascii="Times New Roman" w:hAnsi="Times New Roman" w:cs="Times New Roman"/>
          <w:sz w:val="28"/>
        </w:rPr>
        <w:t>Сіз әлеуметтік желілерге тіркелгенсіз бе?</w:t>
      </w:r>
    </w:p>
    <w:p w:rsidR="009D1400" w:rsidRPr="00585F65" w:rsidRDefault="009D1400" w:rsidP="008465D6">
      <w:pPr>
        <w:pStyle w:val="a3"/>
        <w:numPr>
          <w:ilvl w:val="0"/>
          <w:numId w:val="7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rPr>
        <w:t>Да/</w:t>
      </w:r>
      <w:r w:rsidRPr="00E31879">
        <w:rPr>
          <w:rFonts w:ascii="Times New Roman" w:hAnsi="Times New Roman" w:cs="Times New Roman"/>
          <w:sz w:val="28"/>
          <w:szCs w:val="28"/>
        </w:rPr>
        <w:t xml:space="preserve"> </w:t>
      </w:r>
      <w:r w:rsidRPr="00585F65">
        <w:rPr>
          <w:rFonts w:ascii="Times New Roman" w:hAnsi="Times New Roman" w:cs="Times New Roman"/>
          <w:sz w:val="28"/>
          <w:szCs w:val="28"/>
        </w:rPr>
        <w:t>Иә</w:t>
      </w:r>
    </w:p>
    <w:p w:rsidR="009D1400" w:rsidRPr="00585F65" w:rsidRDefault="009D1400" w:rsidP="008465D6">
      <w:pPr>
        <w:pStyle w:val="a3"/>
        <w:numPr>
          <w:ilvl w:val="0"/>
          <w:numId w:val="71"/>
        </w:numPr>
        <w:spacing w:after="0" w:line="240" w:lineRule="auto"/>
        <w:ind w:left="0" w:firstLine="709"/>
        <w:jc w:val="both"/>
        <w:rPr>
          <w:rFonts w:ascii="Times New Roman" w:hAnsi="Times New Roman" w:cs="Times New Roman"/>
          <w:sz w:val="28"/>
          <w:szCs w:val="28"/>
        </w:rPr>
      </w:pPr>
      <w:r w:rsidRPr="00295716">
        <w:rPr>
          <w:rFonts w:ascii="Times New Roman" w:hAnsi="Times New Roman" w:cs="Times New Roman"/>
          <w:sz w:val="28"/>
        </w:rPr>
        <w:t>Нет</w:t>
      </w:r>
      <w:r>
        <w:rPr>
          <w:rFonts w:ascii="Times New Roman" w:hAnsi="Times New Roman" w:cs="Times New Roman"/>
          <w:sz w:val="28"/>
        </w:rPr>
        <w:t>/</w:t>
      </w:r>
      <w:r w:rsidRPr="00585F65">
        <w:rPr>
          <w:rFonts w:ascii="Times New Roman" w:hAnsi="Times New Roman" w:cs="Times New Roman"/>
          <w:sz w:val="28"/>
          <w:szCs w:val="28"/>
        </w:rPr>
        <w:t xml:space="preserve"> Жоқ</w:t>
      </w:r>
    </w:p>
    <w:p w:rsidR="009D1400" w:rsidRPr="0045735A" w:rsidRDefault="009D1400" w:rsidP="008465D6">
      <w:pPr>
        <w:pStyle w:val="a3"/>
        <w:numPr>
          <w:ilvl w:val="0"/>
          <w:numId w:val="70"/>
        </w:numPr>
        <w:tabs>
          <w:tab w:val="left" w:pos="3188"/>
        </w:tabs>
        <w:spacing w:after="0" w:line="240" w:lineRule="auto"/>
        <w:ind w:hanging="294"/>
        <w:jc w:val="both"/>
        <w:rPr>
          <w:rFonts w:ascii="Times New Roman" w:hAnsi="Times New Roman" w:cs="Times New Roman"/>
          <w:sz w:val="28"/>
        </w:rPr>
      </w:pPr>
      <w:r w:rsidRPr="0045735A">
        <w:rPr>
          <w:rFonts w:ascii="Times New Roman" w:hAnsi="Times New Roman" w:cs="Times New Roman"/>
          <w:sz w:val="28"/>
        </w:rPr>
        <w:t>Если вы ответили «Да», укажите её (их) название/</w:t>
      </w:r>
      <w:r w:rsidRPr="0045735A">
        <w:rPr>
          <w:rFonts w:ascii="Times New Roman" w:hAnsi="Times New Roman" w:cs="Times New Roman"/>
          <w:sz w:val="28"/>
          <w:szCs w:val="28"/>
        </w:rPr>
        <w:t xml:space="preserve"> Егер «Иә» деп жауап берсеңіз, әлеуметтік желінің атауын </w:t>
      </w:r>
      <w:proofErr w:type="gramStart"/>
      <w:r w:rsidRPr="0045735A">
        <w:rPr>
          <w:rFonts w:ascii="Times New Roman" w:hAnsi="Times New Roman" w:cs="Times New Roman"/>
          <w:sz w:val="28"/>
          <w:szCs w:val="28"/>
        </w:rPr>
        <w:t>көрсетіңіз:_</w:t>
      </w:r>
      <w:proofErr w:type="gramEnd"/>
      <w:r w:rsidRPr="0045735A">
        <w:rPr>
          <w:rFonts w:ascii="Times New Roman" w:hAnsi="Times New Roman" w:cs="Times New Roman"/>
          <w:sz w:val="28"/>
          <w:szCs w:val="28"/>
        </w:rPr>
        <w:t>____________________________________________________________________________________________________________________</w:t>
      </w:r>
      <w:r w:rsidRPr="0045735A">
        <w:rPr>
          <w:rFonts w:ascii="Times New Roman" w:hAnsi="Times New Roman" w:cs="Times New Roman"/>
          <w:sz w:val="28"/>
          <w:szCs w:val="28"/>
        </w:rPr>
        <w:lastRenderedPageBreak/>
        <w:t>______________________________________________________________________________________________________________________</w:t>
      </w:r>
    </w:p>
    <w:p w:rsidR="009D1400" w:rsidRPr="00CC50DE" w:rsidRDefault="009D1400" w:rsidP="008465D6">
      <w:pPr>
        <w:pStyle w:val="a3"/>
        <w:numPr>
          <w:ilvl w:val="0"/>
          <w:numId w:val="70"/>
        </w:numPr>
        <w:spacing w:after="0" w:line="240" w:lineRule="auto"/>
        <w:ind w:left="0" w:firstLine="426"/>
        <w:rPr>
          <w:rFonts w:ascii="Times New Roman" w:hAnsi="Times New Roman" w:cs="Times New Roman"/>
          <w:sz w:val="28"/>
        </w:rPr>
      </w:pPr>
      <w:r w:rsidRPr="00CC50DE">
        <w:rPr>
          <w:rFonts w:ascii="Times New Roman" w:hAnsi="Times New Roman" w:cs="Times New Roman"/>
          <w:sz w:val="28"/>
        </w:rPr>
        <w:t>Как часто вы посещаете свою страничку в социальных сетях? (Только 1 вариант ответа)</w:t>
      </w:r>
      <w:r>
        <w:rPr>
          <w:rFonts w:ascii="Times New Roman" w:hAnsi="Times New Roman" w:cs="Times New Roman"/>
          <w:sz w:val="28"/>
        </w:rPr>
        <w:t>/</w:t>
      </w:r>
      <w:r w:rsidRPr="00CC50DE">
        <w:t xml:space="preserve"> </w:t>
      </w:r>
      <w:r w:rsidRPr="00CC50DE">
        <w:rPr>
          <w:rFonts w:ascii="Times New Roman" w:hAnsi="Times New Roman" w:cs="Times New Roman"/>
          <w:sz w:val="28"/>
        </w:rPr>
        <w:t>Сіз әлеуметтік желідегі өз бетіңізге қаншалықты жиі кіресіз? (Тек 1 жауап)</w:t>
      </w:r>
    </w:p>
    <w:p w:rsidR="009D1400" w:rsidRPr="00295716" w:rsidRDefault="009D1400" w:rsidP="008465D6">
      <w:pPr>
        <w:numPr>
          <w:ilvl w:val="0"/>
          <w:numId w:val="68"/>
        </w:numPr>
        <w:tabs>
          <w:tab w:val="left" w:pos="3188"/>
        </w:tabs>
        <w:spacing w:after="0" w:line="240" w:lineRule="auto"/>
        <w:rPr>
          <w:rFonts w:ascii="Times New Roman" w:hAnsi="Times New Roman" w:cs="Times New Roman"/>
          <w:sz w:val="28"/>
        </w:rPr>
      </w:pPr>
      <w:r>
        <w:rPr>
          <w:rFonts w:ascii="Times New Roman" w:hAnsi="Times New Roman" w:cs="Times New Roman"/>
          <w:sz w:val="28"/>
        </w:rPr>
        <w:t>Н</w:t>
      </w:r>
      <w:r w:rsidRPr="00295716">
        <w:rPr>
          <w:rFonts w:ascii="Times New Roman" w:hAnsi="Times New Roman" w:cs="Times New Roman"/>
          <w:sz w:val="28"/>
        </w:rPr>
        <w:t>есколько раз в день</w:t>
      </w:r>
      <w:r>
        <w:rPr>
          <w:rFonts w:ascii="Times New Roman" w:hAnsi="Times New Roman" w:cs="Times New Roman"/>
          <w:sz w:val="28"/>
        </w:rPr>
        <w:t>/</w:t>
      </w:r>
      <w:r w:rsidRPr="00CC50DE">
        <w:rPr>
          <w:rFonts w:ascii="Times New Roman" w:hAnsi="Times New Roman" w:cs="Times New Roman"/>
          <w:sz w:val="28"/>
        </w:rPr>
        <w:t>Күніне бірнеше рет</w:t>
      </w:r>
      <w:r w:rsidRPr="00295716">
        <w:rPr>
          <w:rFonts w:ascii="Times New Roman" w:hAnsi="Times New Roman" w:cs="Times New Roman"/>
          <w:sz w:val="28"/>
        </w:rPr>
        <w:t xml:space="preserve"> </w:t>
      </w:r>
    </w:p>
    <w:p w:rsidR="009D1400" w:rsidRPr="00295716" w:rsidRDefault="009D1400" w:rsidP="008465D6">
      <w:pPr>
        <w:numPr>
          <w:ilvl w:val="0"/>
          <w:numId w:val="68"/>
        </w:numPr>
        <w:tabs>
          <w:tab w:val="left" w:pos="3188"/>
        </w:tabs>
        <w:spacing w:after="0" w:line="240" w:lineRule="auto"/>
        <w:rPr>
          <w:rFonts w:ascii="Times New Roman" w:hAnsi="Times New Roman" w:cs="Times New Roman"/>
          <w:sz w:val="28"/>
        </w:rPr>
      </w:pPr>
      <w:r>
        <w:rPr>
          <w:rFonts w:ascii="Times New Roman" w:hAnsi="Times New Roman" w:cs="Times New Roman"/>
          <w:sz w:val="28"/>
        </w:rPr>
        <w:t>1 раз в день/</w:t>
      </w:r>
      <w:r w:rsidRPr="00CC50DE">
        <w:rPr>
          <w:rFonts w:ascii="Times New Roman" w:hAnsi="Times New Roman" w:cs="Times New Roman"/>
          <w:sz w:val="28"/>
        </w:rPr>
        <w:t>Күніне 1 рет</w:t>
      </w:r>
    </w:p>
    <w:p w:rsidR="009D1400" w:rsidRPr="00295716" w:rsidRDefault="009D1400" w:rsidP="008465D6">
      <w:pPr>
        <w:numPr>
          <w:ilvl w:val="0"/>
          <w:numId w:val="68"/>
        </w:numPr>
        <w:tabs>
          <w:tab w:val="left" w:pos="3188"/>
        </w:tabs>
        <w:spacing w:after="0" w:line="240" w:lineRule="auto"/>
        <w:rPr>
          <w:rFonts w:ascii="Times New Roman" w:hAnsi="Times New Roman" w:cs="Times New Roman"/>
          <w:sz w:val="28"/>
        </w:rPr>
      </w:pPr>
      <w:r>
        <w:rPr>
          <w:rFonts w:ascii="Times New Roman" w:hAnsi="Times New Roman" w:cs="Times New Roman"/>
          <w:sz w:val="28"/>
        </w:rPr>
        <w:t>Несколько раз в неделю/</w:t>
      </w:r>
      <w:r w:rsidRPr="00D02B4C">
        <w:rPr>
          <w:rFonts w:ascii="Times New Roman" w:hAnsi="Times New Roman" w:cs="Times New Roman"/>
          <w:sz w:val="28"/>
        </w:rPr>
        <w:t>Аптасына бірнеше рет</w:t>
      </w:r>
    </w:p>
    <w:p w:rsidR="009D1400" w:rsidRPr="00295716" w:rsidRDefault="009D1400" w:rsidP="008465D6">
      <w:pPr>
        <w:numPr>
          <w:ilvl w:val="0"/>
          <w:numId w:val="68"/>
        </w:numPr>
        <w:tabs>
          <w:tab w:val="left" w:pos="3188"/>
        </w:tabs>
        <w:spacing w:after="0" w:line="240" w:lineRule="auto"/>
        <w:rPr>
          <w:rFonts w:ascii="Times New Roman" w:hAnsi="Times New Roman" w:cs="Times New Roman"/>
          <w:sz w:val="28"/>
        </w:rPr>
      </w:pPr>
      <w:r>
        <w:rPr>
          <w:rFonts w:ascii="Times New Roman" w:hAnsi="Times New Roman" w:cs="Times New Roman"/>
          <w:sz w:val="28"/>
        </w:rPr>
        <w:t>1 раз в неделю/</w:t>
      </w:r>
      <w:r w:rsidRPr="006E3326">
        <w:rPr>
          <w:rFonts w:ascii="Times New Roman" w:hAnsi="Times New Roman" w:cs="Times New Roman"/>
          <w:sz w:val="28"/>
        </w:rPr>
        <w:t>Аптасына 1 рет</w:t>
      </w:r>
    </w:p>
    <w:p w:rsidR="009D1400" w:rsidRPr="00295716" w:rsidRDefault="009D1400" w:rsidP="008465D6">
      <w:pPr>
        <w:numPr>
          <w:ilvl w:val="0"/>
          <w:numId w:val="68"/>
        </w:numPr>
        <w:tabs>
          <w:tab w:val="left" w:pos="3188"/>
        </w:tabs>
        <w:spacing w:after="0" w:line="240" w:lineRule="auto"/>
        <w:rPr>
          <w:rFonts w:ascii="Times New Roman" w:hAnsi="Times New Roman" w:cs="Times New Roman"/>
          <w:sz w:val="28"/>
        </w:rPr>
      </w:pPr>
      <w:r>
        <w:rPr>
          <w:rFonts w:ascii="Times New Roman" w:hAnsi="Times New Roman" w:cs="Times New Roman"/>
          <w:sz w:val="28"/>
        </w:rPr>
        <w:t>Реже 1 раза в неделю/</w:t>
      </w:r>
      <w:r w:rsidRPr="007278E7">
        <w:rPr>
          <w:rFonts w:ascii="Times New Roman" w:hAnsi="Times New Roman" w:cs="Times New Roman"/>
          <w:sz w:val="28"/>
        </w:rPr>
        <w:t>Аптасына 1 реттен сирек</w:t>
      </w:r>
    </w:p>
    <w:p w:rsidR="009D1400" w:rsidRPr="000A0D7C" w:rsidRDefault="009D1400" w:rsidP="008465D6">
      <w:pPr>
        <w:pStyle w:val="a3"/>
        <w:numPr>
          <w:ilvl w:val="0"/>
          <w:numId w:val="70"/>
        </w:numPr>
        <w:tabs>
          <w:tab w:val="left" w:pos="426"/>
        </w:tabs>
        <w:spacing w:after="0" w:line="240" w:lineRule="auto"/>
        <w:ind w:left="0" w:firstLine="360"/>
        <w:rPr>
          <w:rFonts w:ascii="Times New Roman" w:hAnsi="Times New Roman" w:cs="Times New Roman"/>
          <w:sz w:val="28"/>
        </w:rPr>
      </w:pPr>
      <w:r w:rsidRPr="00E20F89">
        <w:rPr>
          <w:rFonts w:ascii="Times New Roman" w:hAnsi="Times New Roman" w:cs="Times New Roman"/>
          <w:sz w:val="28"/>
        </w:rPr>
        <w:t>С какой целью вы используете вашу страничку? (возможн</w:t>
      </w:r>
      <w:r>
        <w:rPr>
          <w:rFonts w:ascii="Times New Roman" w:hAnsi="Times New Roman" w:cs="Times New Roman"/>
          <w:sz w:val="28"/>
        </w:rPr>
        <w:t>о несколько вариантов ответов)/</w:t>
      </w:r>
      <w:r w:rsidRPr="000A0D7C">
        <w:rPr>
          <w:rFonts w:ascii="Times New Roman" w:hAnsi="Times New Roman" w:cs="Times New Roman"/>
          <w:sz w:val="28"/>
          <w:szCs w:val="28"/>
        </w:rPr>
        <w:t xml:space="preserve"> </w:t>
      </w:r>
      <w:r w:rsidRPr="000A0D7C">
        <w:rPr>
          <w:rFonts w:ascii="Times New Roman" w:hAnsi="Times New Roman" w:cs="Times New Roman"/>
          <w:sz w:val="28"/>
        </w:rPr>
        <w:t>Сіз өз бетіңізді қандай мақсатта пайдаланасыз? (бірнеше жауап болуы мүмкін)</w:t>
      </w:r>
    </w:p>
    <w:p w:rsidR="009D1400" w:rsidRPr="00295716" w:rsidRDefault="009D1400" w:rsidP="008465D6">
      <w:pPr>
        <w:numPr>
          <w:ilvl w:val="0"/>
          <w:numId w:val="69"/>
        </w:numPr>
        <w:tabs>
          <w:tab w:val="left" w:pos="3188"/>
        </w:tabs>
        <w:spacing w:after="0" w:line="240" w:lineRule="auto"/>
        <w:rPr>
          <w:rFonts w:ascii="Times New Roman" w:hAnsi="Times New Roman" w:cs="Times New Roman"/>
          <w:sz w:val="28"/>
        </w:rPr>
      </w:pPr>
      <w:r>
        <w:rPr>
          <w:rFonts w:ascii="Times New Roman" w:hAnsi="Times New Roman" w:cs="Times New Roman"/>
          <w:sz w:val="28"/>
        </w:rPr>
        <w:t>Р</w:t>
      </w:r>
      <w:r w:rsidRPr="00295716">
        <w:rPr>
          <w:rFonts w:ascii="Times New Roman" w:hAnsi="Times New Roman" w:cs="Times New Roman"/>
          <w:sz w:val="28"/>
        </w:rPr>
        <w:t xml:space="preserve">азвлечение </w:t>
      </w:r>
      <w:r>
        <w:rPr>
          <w:rFonts w:ascii="Times New Roman" w:hAnsi="Times New Roman" w:cs="Times New Roman"/>
          <w:sz w:val="28"/>
        </w:rPr>
        <w:t>(музыка, фото, видео)/</w:t>
      </w:r>
      <w:r w:rsidRPr="004267FE">
        <w:rPr>
          <w:rFonts w:ascii="Times New Roman" w:hAnsi="Times New Roman" w:cs="Times New Roman"/>
          <w:sz w:val="28"/>
          <w:szCs w:val="28"/>
        </w:rPr>
        <w:t xml:space="preserve"> </w:t>
      </w:r>
      <w:r w:rsidRPr="004267FE">
        <w:rPr>
          <w:rFonts w:ascii="Times New Roman" w:hAnsi="Times New Roman" w:cs="Times New Roman"/>
          <w:sz w:val="28"/>
        </w:rPr>
        <w:t>Ойын-сауық (музыка, фото, видео)</w:t>
      </w:r>
    </w:p>
    <w:p w:rsidR="009D1400" w:rsidRPr="00295716" w:rsidRDefault="009D1400" w:rsidP="008465D6">
      <w:pPr>
        <w:numPr>
          <w:ilvl w:val="0"/>
          <w:numId w:val="69"/>
        </w:numPr>
        <w:tabs>
          <w:tab w:val="left" w:pos="3188"/>
        </w:tabs>
        <w:spacing w:after="0" w:line="240" w:lineRule="auto"/>
        <w:rPr>
          <w:rFonts w:ascii="Times New Roman" w:hAnsi="Times New Roman" w:cs="Times New Roman"/>
          <w:sz w:val="28"/>
        </w:rPr>
      </w:pPr>
      <w:r>
        <w:rPr>
          <w:rFonts w:ascii="Times New Roman" w:hAnsi="Times New Roman" w:cs="Times New Roman"/>
          <w:sz w:val="28"/>
        </w:rPr>
        <w:t>Завожу новых друзей/</w:t>
      </w:r>
      <w:r w:rsidRPr="006A4EA9">
        <w:rPr>
          <w:rFonts w:ascii="Times New Roman" w:hAnsi="Times New Roman" w:cs="Times New Roman"/>
          <w:sz w:val="28"/>
          <w:szCs w:val="28"/>
        </w:rPr>
        <w:t xml:space="preserve"> </w:t>
      </w:r>
      <w:r w:rsidRPr="006A4EA9">
        <w:rPr>
          <w:rFonts w:ascii="Times New Roman" w:hAnsi="Times New Roman" w:cs="Times New Roman"/>
          <w:sz w:val="28"/>
        </w:rPr>
        <w:t>Жаңа достар табу</w:t>
      </w:r>
    </w:p>
    <w:p w:rsidR="009D1400" w:rsidRPr="00295716" w:rsidRDefault="009D1400" w:rsidP="008465D6">
      <w:pPr>
        <w:numPr>
          <w:ilvl w:val="0"/>
          <w:numId w:val="69"/>
        </w:numPr>
        <w:tabs>
          <w:tab w:val="left" w:pos="3188"/>
        </w:tabs>
        <w:spacing w:after="0" w:line="240" w:lineRule="auto"/>
        <w:rPr>
          <w:rFonts w:ascii="Times New Roman" w:hAnsi="Times New Roman" w:cs="Times New Roman"/>
          <w:sz w:val="28"/>
        </w:rPr>
      </w:pPr>
      <w:r>
        <w:rPr>
          <w:rFonts w:ascii="Times New Roman" w:hAnsi="Times New Roman" w:cs="Times New Roman"/>
          <w:sz w:val="28"/>
        </w:rPr>
        <w:t>Д</w:t>
      </w:r>
      <w:r w:rsidRPr="00295716">
        <w:rPr>
          <w:rFonts w:ascii="Times New Roman" w:hAnsi="Times New Roman" w:cs="Times New Roman"/>
          <w:sz w:val="28"/>
        </w:rPr>
        <w:t>л</w:t>
      </w:r>
      <w:r>
        <w:rPr>
          <w:rFonts w:ascii="Times New Roman" w:hAnsi="Times New Roman" w:cs="Times New Roman"/>
          <w:sz w:val="28"/>
        </w:rPr>
        <w:t>я общения с коллегами по работе/</w:t>
      </w:r>
      <w:r w:rsidRPr="006A4EA9">
        <w:rPr>
          <w:rFonts w:ascii="Times New Roman" w:hAnsi="Times New Roman" w:cs="Times New Roman"/>
          <w:sz w:val="28"/>
          <w:szCs w:val="28"/>
        </w:rPr>
        <w:t xml:space="preserve"> </w:t>
      </w:r>
      <w:r w:rsidRPr="006A4EA9">
        <w:rPr>
          <w:rFonts w:ascii="Times New Roman" w:hAnsi="Times New Roman" w:cs="Times New Roman"/>
          <w:sz w:val="28"/>
        </w:rPr>
        <w:t>Жұмыс әріптестерімен қарым-қатынас</w:t>
      </w:r>
    </w:p>
    <w:p w:rsidR="009D1400" w:rsidRPr="00295716" w:rsidRDefault="009D1400" w:rsidP="008465D6">
      <w:pPr>
        <w:numPr>
          <w:ilvl w:val="0"/>
          <w:numId w:val="69"/>
        </w:numPr>
        <w:tabs>
          <w:tab w:val="left" w:pos="3188"/>
        </w:tabs>
        <w:spacing w:after="0" w:line="240" w:lineRule="auto"/>
        <w:rPr>
          <w:rFonts w:ascii="Times New Roman" w:hAnsi="Times New Roman" w:cs="Times New Roman"/>
          <w:sz w:val="28"/>
        </w:rPr>
      </w:pPr>
      <w:r>
        <w:rPr>
          <w:rFonts w:ascii="Times New Roman" w:hAnsi="Times New Roman" w:cs="Times New Roman"/>
          <w:sz w:val="28"/>
        </w:rPr>
        <w:t>Для общения с одногруппниками в ВУЗе/</w:t>
      </w:r>
      <w:r w:rsidRPr="006A28AD">
        <w:t xml:space="preserve"> </w:t>
      </w:r>
      <w:r>
        <w:rPr>
          <w:rFonts w:ascii="Times New Roman" w:hAnsi="Times New Roman" w:cs="Times New Roman"/>
          <w:sz w:val="28"/>
        </w:rPr>
        <w:t>Ж</w:t>
      </w:r>
      <w:r w:rsidRPr="006A28AD">
        <w:rPr>
          <w:rFonts w:ascii="Times New Roman" w:hAnsi="Times New Roman" w:cs="Times New Roman"/>
          <w:sz w:val="28"/>
        </w:rPr>
        <w:t>оғары оқу орнында топтастарыммен қарым-қатынас жасау үшін</w:t>
      </w:r>
    </w:p>
    <w:p w:rsidR="009D1400" w:rsidRPr="00295716" w:rsidRDefault="009D1400" w:rsidP="008465D6">
      <w:pPr>
        <w:numPr>
          <w:ilvl w:val="0"/>
          <w:numId w:val="69"/>
        </w:numPr>
        <w:tabs>
          <w:tab w:val="left" w:pos="3188"/>
        </w:tabs>
        <w:spacing w:after="0" w:line="240" w:lineRule="auto"/>
        <w:rPr>
          <w:rFonts w:ascii="Times New Roman" w:hAnsi="Times New Roman" w:cs="Times New Roman"/>
          <w:sz w:val="28"/>
        </w:rPr>
      </w:pPr>
      <w:r>
        <w:rPr>
          <w:rFonts w:ascii="Times New Roman" w:hAnsi="Times New Roman" w:cs="Times New Roman"/>
          <w:sz w:val="28"/>
        </w:rPr>
        <w:t>Д</w:t>
      </w:r>
      <w:r w:rsidRPr="00295716">
        <w:rPr>
          <w:rFonts w:ascii="Times New Roman" w:hAnsi="Times New Roman" w:cs="Times New Roman"/>
          <w:sz w:val="28"/>
        </w:rPr>
        <w:t>ля контакта с сообществами и людьми по моей специализации</w:t>
      </w:r>
      <w:r>
        <w:rPr>
          <w:rFonts w:ascii="Times New Roman" w:hAnsi="Times New Roman" w:cs="Times New Roman"/>
          <w:sz w:val="28"/>
        </w:rPr>
        <w:t xml:space="preserve"> вне учёбы и работы/</w:t>
      </w:r>
      <w:r w:rsidRPr="002F242D">
        <w:t xml:space="preserve"> </w:t>
      </w:r>
      <w:r>
        <w:rPr>
          <w:rFonts w:ascii="Times New Roman" w:hAnsi="Times New Roman" w:cs="Times New Roman"/>
          <w:sz w:val="28"/>
        </w:rPr>
        <w:t>О</w:t>
      </w:r>
      <w:r w:rsidRPr="002F242D">
        <w:rPr>
          <w:rFonts w:ascii="Times New Roman" w:hAnsi="Times New Roman" w:cs="Times New Roman"/>
          <w:sz w:val="28"/>
        </w:rPr>
        <w:t>қу мен жұмыстан тыс менің мамандығыма қатысты қауымдастықтармен және адамдармен байланыс орнату үшін</w:t>
      </w:r>
    </w:p>
    <w:p w:rsidR="009D1400" w:rsidRPr="00295716" w:rsidRDefault="009D1400" w:rsidP="008465D6">
      <w:pPr>
        <w:numPr>
          <w:ilvl w:val="0"/>
          <w:numId w:val="69"/>
        </w:numPr>
        <w:tabs>
          <w:tab w:val="left" w:pos="3188"/>
        </w:tabs>
        <w:spacing w:after="0" w:line="240" w:lineRule="auto"/>
        <w:rPr>
          <w:rFonts w:ascii="Times New Roman" w:hAnsi="Times New Roman" w:cs="Times New Roman"/>
          <w:sz w:val="28"/>
        </w:rPr>
      </w:pPr>
      <w:r>
        <w:rPr>
          <w:rFonts w:ascii="Times New Roman" w:hAnsi="Times New Roman" w:cs="Times New Roman"/>
          <w:sz w:val="28"/>
        </w:rPr>
        <w:t>Д</w:t>
      </w:r>
      <w:r w:rsidRPr="00295716">
        <w:rPr>
          <w:rFonts w:ascii="Times New Roman" w:hAnsi="Times New Roman" w:cs="Times New Roman"/>
          <w:sz w:val="28"/>
        </w:rPr>
        <w:t>ля получения информации об об</w:t>
      </w:r>
      <w:r>
        <w:rPr>
          <w:rFonts w:ascii="Times New Roman" w:hAnsi="Times New Roman" w:cs="Times New Roman"/>
          <w:sz w:val="28"/>
        </w:rPr>
        <w:t>щественно-политической жизни РК/</w:t>
      </w:r>
      <w:r w:rsidRPr="00607D50">
        <w:rPr>
          <w:rFonts w:ascii="Times New Roman" w:hAnsi="Times New Roman" w:cs="Times New Roman"/>
          <w:sz w:val="28"/>
          <w:szCs w:val="28"/>
        </w:rPr>
        <w:t xml:space="preserve"> </w:t>
      </w:r>
      <w:r w:rsidRPr="00607D50">
        <w:rPr>
          <w:rFonts w:ascii="Times New Roman" w:hAnsi="Times New Roman" w:cs="Times New Roman"/>
          <w:sz w:val="28"/>
        </w:rPr>
        <w:t>ҚР қоғамдық-саяси өмірі туралы ақпарат алу</w:t>
      </w:r>
    </w:p>
    <w:p w:rsidR="009D1400" w:rsidRPr="00295716" w:rsidRDefault="009D1400" w:rsidP="008465D6">
      <w:pPr>
        <w:numPr>
          <w:ilvl w:val="0"/>
          <w:numId w:val="69"/>
        </w:numPr>
        <w:spacing w:after="0" w:line="240" w:lineRule="auto"/>
        <w:rPr>
          <w:rFonts w:ascii="Times New Roman" w:hAnsi="Times New Roman" w:cs="Times New Roman"/>
          <w:sz w:val="28"/>
        </w:rPr>
      </w:pPr>
      <w:r>
        <w:rPr>
          <w:rFonts w:ascii="Times New Roman" w:hAnsi="Times New Roman" w:cs="Times New Roman"/>
          <w:sz w:val="28"/>
        </w:rPr>
        <w:t>Д</w:t>
      </w:r>
      <w:r w:rsidRPr="00295716">
        <w:rPr>
          <w:rFonts w:ascii="Times New Roman" w:hAnsi="Times New Roman" w:cs="Times New Roman"/>
          <w:sz w:val="28"/>
        </w:rPr>
        <w:t>ругое (укажите)</w:t>
      </w:r>
      <w:r>
        <w:rPr>
          <w:rFonts w:ascii="Times New Roman" w:hAnsi="Times New Roman" w:cs="Times New Roman"/>
          <w:sz w:val="28"/>
        </w:rPr>
        <w:t>/</w:t>
      </w:r>
      <w:r w:rsidRPr="00295716">
        <w:rPr>
          <w:rFonts w:ascii="Times New Roman" w:hAnsi="Times New Roman" w:cs="Times New Roman"/>
          <w:sz w:val="28"/>
        </w:rPr>
        <w:t xml:space="preserve"> </w:t>
      </w:r>
      <w:r w:rsidRPr="00607D50">
        <w:rPr>
          <w:rFonts w:ascii="Times New Roman" w:hAnsi="Times New Roman" w:cs="Times New Roman"/>
          <w:sz w:val="28"/>
        </w:rPr>
        <w:t>Басқа</w:t>
      </w:r>
      <w:r>
        <w:rPr>
          <w:rFonts w:ascii="Times New Roman" w:hAnsi="Times New Roman" w:cs="Times New Roman"/>
          <w:sz w:val="28"/>
        </w:rPr>
        <w:t xml:space="preserve"> </w:t>
      </w:r>
      <w:r w:rsidRPr="00607D50">
        <w:rPr>
          <w:rFonts w:ascii="Times New Roman" w:hAnsi="Times New Roman" w:cs="Times New Roman"/>
          <w:sz w:val="28"/>
        </w:rPr>
        <w:t>(көрсетіңіз)</w:t>
      </w:r>
      <w:r w:rsidRPr="00295716">
        <w:rPr>
          <w:rFonts w:ascii="Times New Roman" w:hAnsi="Times New Roman" w:cs="Times New Roman"/>
          <w:sz w:val="28"/>
        </w:rPr>
        <w:t>______________________________________________________________________________________________________________________________________________________________</w:t>
      </w:r>
    </w:p>
    <w:p w:rsidR="009D1400" w:rsidRPr="00870455" w:rsidRDefault="009D1400" w:rsidP="008465D6">
      <w:pPr>
        <w:pStyle w:val="a3"/>
        <w:numPr>
          <w:ilvl w:val="0"/>
          <w:numId w:val="72"/>
        </w:numPr>
        <w:spacing w:after="0" w:line="240" w:lineRule="auto"/>
        <w:ind w:left="0" w:firstLine="426"/>
        <w:jc w:val="both"/>
        <w:rPr>
          <w:rFonts w:ascii="Times New Roman" w:hAnsi="Times New Roman" w:cs="Times New Roman"/>
          <w:sz w:val="28"/>
        </w:rPr>
      </w:pPr>
      <w:r w:rsidRPr="00870455">
        <w:rPr>
          <w:rFonts w:ascii="Times New Roman" w:hAnsi="Times New Roman" w:cs="Times New Roman"/>
          <w:sz w:val="28"/>
        </w:rPr>
        <w:t>Если вы выбрали несколько вариантов ответов на предыдущий вопрос, укажите, что для вас важнее всего. Оцените по 5-ти балльной шкале, где 1 балл – самое НЕважное, 5 баллов – самое важное</w:t>
      </w:r>
      <w:r>
        <w:rPr>
          <w:rFonts w:ascii="Times New Roman" w:hAnsi="Times New Roman" w:cs="Times New Roman"/>
          <w:sz w:val="28"/>
        </w:rPr>
        <w:t>/</w:t>
      </w:r>
      <w:r w:rsidRPr="00870455">
        <w:rPr>
          <w:rFonts w:ascii="Times New Roman" w:hAnsi="Times New Roman" w:cs="Times New Roman"/>
          <w:sz w:val="28"/>
        </w:rPr>
        <w:t xml:space="preserve"> </w:t>
      </w:r>
      <w:r w:rsidRPr="00506844">
        <w:rPr>
          <w:rFonts w:ascii="Times New Roman" w:hAnsi="Times New Roman" w:cs="Times New Roman"/>
          <w:sz w:val="28"/>
        </w:rPr>
        <w:t>Егер алдыңғы сұраққа бірнеше жауап таңдаған болсаңыз, ең маңыздысын көрсетіңіз. 5 балдық шкала бойынша бағалаңыз, мұнда 1 балл – ең маңызды емес, 5 балл – ең маңызды</w:t>
      </w:r>
    </w:p>
    <w:p w:rsidR="009D1400" w:rsidRDefault="009D1400" w:rsidP="009D1400">
      <w:pPr>
        <w:tabs>
          <w:tab w:val="left" w:pos="3188"/>
        </w:tabs>
        <w:spacing w:after="0" w:line="240" w:lineRule="auto"/>
        <w:rPr>
          <w:rFonts w:ascii="Times New Roman" w:hAnsi="Times New Roman" w:cs="Times New Roman"/>
          <w:sz w:val="28"/>
        </w:rPr>
      </w:pPr>
      <w:r w:rsidRPr="00295716">
        <w:rPr>
          <w:rFonts w:ascii="Times New Roman" w:hAnsi="Times New Roman" w:cs="Times New Roman"/>
          <w:sz w:val="28"/>
        </w:rPr>
        <w:t>_______________________________________________________________________________________________________________________________________________________________________</w:t>
      </w:r>
      <w:r>
        <w:rPr>
          <w:rFonts w:ascii="Times New Roman" w:hAnsi="Times New Roman" w:cs="Times New Roman"/>
          <w:sz w:val="28"/>
        </w:rPr>
        <w:t>_______________________________</w:t>
      </w:r>
    </w:p>
    <w:p w:rsidR="009D1400" w:rsidRDefault="00E770DB" w:rsidP="009D1400">
      <w:pPr>
        <w:tabs>
          <w:tab w:val="left" w:pos="3188"/>
        </w:tabs>
        <w:spacing w:after="0" w:line="240" w:lineRule="auto"/>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68480" behindDoc="0" locked="0" layoutInCell="1" allowOverlap="1" wp14:anchorId="556C13F6" wp14:editId="2E46ACE5">
                <wp:simplePos x="0" y="0"/>
                <wp:positionH relativeFrom="column">
                  <wp:posOffset>177800</wp:posOffset>
                </wp:positionH>
                <wp:positionV relativeFrom="page">
                  <wp:posOffset>8651875</wp:posOffset>
                </wp:positionV>
                <wp:extent cx="5740106" cy="338275"/>
                <wp:effectExtent l="0" t="0" r="13335" b="24130"/>
                <wp:wrapNone/>
                <wp:docPr id="44" name="Прямоугольник 44"/>
                <wp:cNvGraphicFramePr/>
                <a:graphic xmlns:a="http://schemas.openxmlformats.org/drawingml/2006/main">
                  <a:graphicData uri="http://schemas.microsoft.com/office/word/2010/wordprocessingShape">
                    <wps:wsp>
                      <wps:cNvSpPr/>
                      <wps:spPr>
                        <a:xfrm>
                          <a:off x="0" y="0"/>
                          <a:ext cx="5740106" cy="3382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E7A31" id="Прямоугольник 44" o:spid="_x0000_s1026" style="position:absolute;margin-left:14pt;margin-top:681.25pt;width:452pt;height:2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" filled="f" strokecolor="windowText" strokeweight="1pt">
                <w10:wrap anchory="page"/>
              </v:rect>
            </w:pict>
          </mc:Fallback>
        </mc:AlternateContent>
      </w:r>
    </w:p>
    <w:p w:rsidR="009D1400" w:rsidRPr="00DB711E" w:rsidRDefault="009D1400" w:rsidP="009D1400">
      <w:pPr>
        <w:tabs>
          <w:tab w:val="left" w:pos="3188"/>
        </w:tabs>
        <w:spacing w:after="0" w:line="240" w:lineRule="auto"/>
        <w:jc w:val="center"/>
        <w:rPr>
          <w:rFonts w:ascii="Times New Roman" w:hAnsi="Times New Roman" w:cs="Times New Roman"/>
          <w:b/>
          <w:i/>
          <w:sz w:val="28"/>
        </w:rPr>
      </w:pPr>
      <w:r w:rsidRPr="00DB711E">
        <w:rPr>
          <w:rFonts w:ascii="Times New Roman" w:hAnsi="Times New Roman" w:cs="Times New Roman"/>
          <w:b/>
          <w:i/>
          <w:sz w:val="28"/>
        </w:rPr>
        <w:t xml:space="preserve">Раздел 2. Осведомлённость молодёжи </w:t>
      </w:r>
      <w:r>
        <w:rPr>
          <w:rFonts w:ascii="Times New Roman" w:hAnsi="Times New Roman" w:cs="Times New Roman"/>
          <w:b/>
          <w:i/>
          <w:sz w:val="28"/>
        </w:rPr>
        <w:t>об общественных организациях</w:t>
      </w:r>
    </w:p>
    <w:p w:rsidR="009D1400" w:rsidRDefault="009D1400" w:rsidP="009D1400">
      <w:pPr>
        <w:tabs>
          <w:tab w:val="left" w:pos="3188"/>
        </w:tabs>
        <w:spacing w:after="0" w:line="240" w:lineRule="auto"/>
        <w:ind w:firstLine="567"/>
        <w:rPr>
          <w:rFonts w:ascii="Times New Roman" w:hAnsi="Times New Roman" w:cs="Times New Roman"/>
          <w:sz w:val="28"/>
        </w:rPr>
      </w:pPr>
    </w:p>
    <w:p w:rsidR="0063342A" w:rsidRDefault="009D1400" w:rsidP="008465D6">
      <w:pPr>
        <w:pStyle w:val="a3"/>
        <w:numPr>
          <w:ilvl w:val="0"/>
          <w:numId w:val="72"/>
        </w:numPr>
        <w:tabs>
          <w:tab w:val="left" w:pos="709"/>
        </w:tabs>
        <w:spacing w:after="0" w:line="240" w:lineRule="auto"/>
        <w:ind w:left="0" w:firstLine="426"/>
        <w:rPr>
          <w:rFonts w:ascii="Times New Roman" w:hAnsi="Times New Roman" w:cs="Times New Roman"/>
          <w:sz w:val="28"/>
        </w:rPr>
        <w:sectPr w:rsidR="0063342A" w:rsidSect="00B46B14">
          <w:pgSz w:w="11906" w:h="16838"/>
          <w:pgMar w:top="1134" w:right="567" w:bottom="1134" w:left="1701" w:header="708" w:footer="708" w:gutter="0"/>
          <w:pgNumType w:start="1"/>
          <w:cols w:space="708"/>
          <w:titlePg/>
          <w:docGrid w:linePitch="360"/>
        </w:sectPr>
      </w:pPr>
      <w:r w:rsidRPr="00791B6A">
        <w:rPr>
          <w:rFonts w:ascii="Times New Roman" w:hAnsi="Times New Roman" w:cs="Times New Roman"/>
          <w:sz w:val="28"/>
        </w:rPr>
        <w:t>Знаете ли вы молодёжные общественные организации РК?</w:t>
      </w:r>
      <w:r>
        <w:rPr>
          <w:rFonts w:ascii="Times New Roman" w:hAnsi="Times New Roman" w:cs="Times New Roman"/>
          <w:sz w:val="28"/>
        </w:rPr>
        <w:t>/</w:t>
      </w:r>
      <w:r w:rsidRPr="006F5299">
        <w:rPr>
          <w:rFonts w:ascii="Times New Roman" w:hAnsi="Times New Roman" w:cs="Times New Roman"/>
          <w:sz w:val="28"/>
          <w:szCs w:val="28"/>
        </w:rPr>
        <w:t xml:space="preserve"> </w:t>
      </w:r>
      <w:r w:rsidRPr="006F5299">
        <w:rPr>
          <w:rFonts w:ascii="Times New Roman" w:hAnsi="Times New Roman" w:cs="Times New Roman"/>
          <w:sz w:val="28"/>
        </w:rPr>
        <w:t>Сіз ҚР жастар қоғамдық ұйымдарын білесіз бе?</w:t>
      </w:r>
    </w:p>
    <w:p w:rsidR="009D1400" w:rsidRPr="00791B6A" w:rsidRDefault="009D1400" w:rsidP="0063342A">
      <w:pPr>
        <w:pStyle w:val="a3"/>
        <w:tabs>
          <w:tab w:val="left" w:pos="709"/>
        </w:tabs>
        <w:spacing w:after="0" w:line="240" w:lineRule="auto"/>
        <w:ind w:left="426"/>
        <w:rPr>
          <w:rFonts w:ascii="Times New Roman" w:hAnsi="Times New Roman" w:cs="Times New Roman"/>
          <w:sz w:val="28"/>
        </w:rPr>
      </w:pPr>
    </w:p>
    <w:p w:rsidR="009D1400" w:rsidRPr="001E151E" w:rsidRDefault="009D1400" w:rsidP="008465D6">
      <w:pPr>
        <w:pStyle w:val="a3"/>
        <w:numPr>
          <w:ilvl w:val="0"/>
          <w:numId w:val="73"/>
        </w:numPr>
        <w:tabs>
          <w:tab w:val="left" w:pos="3188"/>
        </w:tabs>
        <w:spacing w:after="0" w:line="240" w:lineRule="auto"/>
        <w:rPr>
          <w:rFonts w:ascii="Times New Roman" w:hAnsi="Times New Roman" w:cs="Times New Roman"/>
          <w:sz w:val="28"/>
        </w:rPr>
      </w:pPr>
      <w:r w:rsidRPr="006F5299">
        <w:rPr>
          <w:rFonts w:ascii="Times New Roman" w:hAnsi="Times New Roman" w:cs="Times New Roman"/>
          <w:sz w:val="28"/>
        </w:rPr>
        <w:t>Да</w:t>
      </w:r>
      <w:r>
        <w:rPr>
          <w:rFonts w:ascii="Times New Roman" w:hAnsi="Times New Roman" w:cs="Times New Roman"/>
          <w:sz w:val="28"/>
        </w:rPr>
        <w:t>/</w:t>
      </w:r>
      <w:r w:rsidRPr="001E151E">
        <w:rPr>
          <w:rFonts w:ascii="Times New Roman" w:hAnsi="Times New Roman" w:cs="Times New Roman"/>
          <w:sz w:val="28"/>
        </w:rPr>
        <w:t>Иә</w:t>
      </w:r>
    </w:p>
    <w:p w:rsidR="009D1400" w:rsidRPr="001E151E" w:rsidRDefault="009D1400" w:rsidP="008465D6">
      <w:pPr>
        <w:pStyle w:val="a3"/>
        <w:numPr>
          <w:ilvl w:val="0"/>
          <w:numId w:val="73"/>
        </w:numPr>
        <w:tabs>
          <w:tab w:val="left" w:pos="3188"/>
        </w:tabs>
        <w:rPr>
          <w:rFonts w:ascii="Times New Roman" w:hAnsi="Times New Roman" w:cs="Times New Roman"/>
          <w:sz w:val="28"/>
        </w:rPr>
      </w:pPr>
      <w:r w:rsidRPr="00791B6A">
        <w:rPr>
          <w:rFonts w:ascii="Times New Roman" w:hAnsi="Times New Roman" w:cs="Times New Roman"/>
          <w:sz w:val="28"/>
        </w:rPr>
        <w:t>Нет</w:t>
      </w:r>
      <w:r>
        <w:rPr>
          <w:rFonts w:ascii="Times New Roman" w:hAnsi="Times New Roman" w:cs="Times New Roman"/>
          <w:sz w:val="28"/>
        </w:rPr>
        <w:t>/</w:t>
      </w:r>
      <w:r w:rsidRPr="001E151E">
        <w:rPr>
          <w:rFonts w:ascii="Times New Roman" w:hAnsi="Times New Roman" w:cs="Times New Roman"/>
          <w:sz w:val="28"/>
        </w:rPr>
        <w:t>Жоқ</w:t>
      </w:r>
    </w:p>
    <w:p w:rsidR="009D1400" w:rsidRPr="006F5299" w:rsidRDefault="009D1400" w:rsidP="008465D6">
      <w:pPr>
        <w:pStyle w:val="a3"/>
        <w:numPr>
          <w:ilvl w:val="0"/>
          <w:numId w:val="73"/>
        </w:numPr>
        <w:tabs>
          <w:tab w:val="left" w:pos="3188"/>
        </w:tabs>
        <w:spacing w:after="0" w:line="240" w:lineRule="auto"/>
        <w:rPr>
          <w:rFonts w:ascii="Times New Roman" w:hAnsi="Times New Roman" w:cs="Times New Roman"/>
          <w:sz w:val="28"/>
        </w:rPr>
      </w:pPr>
      <w:r w:rsidRPr="00791B6A">
        <w:rPr>
          <w:rFonts w:ascii="Times New Roman" w:hAnsi="Times New Roman" w:cs="Times New Roman"/>
          <w:sz w:val="28"/>
        </w:rPr>
        <w:t>Затрудняюсь ответить</w:t>
      </w:r>
      <w:r>
        <w:rPr>
          <w:rFonts w:ascii="Times New Roman" w:hAnsi="Times New Roman" w:cs="Times New Roman"/>
          <w:sz w:val="28"/>
        </w:rPr>
        <w:t>/</w:t>
      </w:r>
      <w:r w:rsidRPr="001E151E">
        <w:rPr>
          <w:rFonts w:ascii="Times New Roman" w:hAnsi="Times New Roman" w:cs="Times New Roman"/>
          <w:sz w:val="28"/>
        </w:rPr>
        <w:t>Жауап бере алмаймын</w:t>
      </w:r>
    </w:p>
    <w:p w:rsidR="009D1400" w:rsidRPr="00E53AF2" w:rsidRDefault="009D1400" w:rsidP="008465D6">
      <w:pPr>
        <w:pStyle w:val="a3"/>
        <w:numPr>
          <w:ilvl w:val="0"/>
          <w:numId w:val="72"/>
        </w:numPr>
        <w:tabs>
          <w:tab w:val="left" w:pos="567"/>
        </w:tabs>
        <w:spacing w:after="0" w:line="240" w:lineRule="auto"/>
        <w:ind w:left="0" w:firstLine="426"/>
        <w:jc w:val="both"/>
        <w:rPr>
          <w:rFonts w:ascii="Times New Roman" w:hAnsi="Times New Roman" w:cs="Times New Roman"/>
          <w:sz w:val="28"/>
        </w:rPr>
      </w:pPr>
      <w:r w:rsidRPr="00E53AF2">
        <w:rPr>
          <w:rFonts w:ascii="Times New Roman" w:hAnsi="Times New Roman" w:cs="Times New Roman"/>
          <w:sz w:val="28"/>
        </w:rPr>
        <w:t>Если вы ответили «ДА» на предыдущий вопрос, укажите их название. Если вы ответил</w:t>
      </w:r>
      <w:r>
        <w:rPr>
          <w:rFonts w:ascii="Times New Roman" w:hAnsi="Times New Roman" w:cs="Times New Roman"/>
          <w:sz w:val="28"/>
        </w:rPr>
        <w:t>и «НЕТ», пропустите этот вопрос/</w:t>
      </w:r>
      <w:r w:rsidRPr="00C93644">
        <w:rPr>
          <w:rFonts w:ascii="Times New Roman" w:hAnsi="Times New Roman" w:cs="Times New Roman"/>
          <w:sz w:val="28"/>
          <w:szCs w:val="28"/>
        </w:rPr>
        <w:t xml:space="preserve"> </w:t>
      </w:r>
      <w:r w:rsidRPr="00C93644">
        <w:rPr>
          <w:rFonts w:ascii="Times New Roman" w:hAnsi="Times New Roman" w:cs="Times New Roman"/>
          <w:sz w:val="28"/>
        </w:rPr>
        <w:t>Егер алдыңғы сұраққа «ИӘ» деп жауап берсеңіз, олардың атауын көрсетіңіз. Егер «ЖОҚ» деп жауап берсеңіз, бұл сұрақты өткізіп жіберіңіз.</w:t>
      </w:r>
    </w:p>
    <w:p w:rsidR="009D1400" w:rsidRDefault="009D1400" w:rsidP="009D1400">
      <w:pPr>
        <w:tabs>
          <w:tab w:val="left" w:pos="3188"/>
        </w:tabs>
        <w:spacing w:after="0" w:line="240" w:lineRule="auto"/>
        <w:rPr>
          <w:rFonts w:ascii="Times New Roman" w:hAnsi="Times New Roman" w:cs="Times New Roman"/>
          <w:sz w:val="28"/>
        </w:rPr>
      </w:pPr>
      <w:r w:rsidRPr="00791B6A">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rPr>
        <w:t xml:space="preserve"> </w:t>
      </w:r>
    </w:p>
    <w:p w:rsidR="009D1400" w:rsidRDefault="00680C9C" w:rsidP="009D1400">
      <w:pPr>
        <w:tabs>
          <w:tab w:val="left" w:pos="3188"/>
        </w:tabs>
        <w:spacing w:after="0" w:line="240" w:lineRule="auto"/>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69504" behindDoc="0" locked="0" layoutInCell="1" allowOverlap="1" wp14:anchorId="68638F93" wp14:editId="4E87F80E">
                <wp:simplePos x="0" y="0"/>
                <wp:positionH relativeFrom="column">
                  <wp:posOffset>493395</wp:posOffset>
                </wp:positionH>
                <wp:positionV relativeFrom="page">
                  <wp:posOffset>3360420</wp:posOffset>
                </wp:positionV>
                <wp:extent cx="5100320" cy="290195"/>
                <wp:effectExtent l="0" t="0" r="24130" b="14605"/>
                <wp:wrapNone/>
                <wp:docPr id="49" name="Прямоугольник 49"/>
                <wp:cNvGraphicFramePr/>
                <a:graphic xmlns:a="http://schemas.openxmlformats.org/drawingml/2006/main">
                  <a:graphicData uri="http://schemas.microsoft.com/office/word/2010/wordprocessingShape">
                    <wps:wsp>
                      <wps:cNvSpPr/>
                      <wps:spPr>
                        <a:xfrm>
                          <a:off x="0" y="0"/>
                          <a:ext cx="5100320" cy="2901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ECD4CC" id="Прямоугольник 49" o:spid="_x0000_s1026" style="position:absolute;margin-left:38.85pt;margin-top:264.6pt;width:401.6pt;height:22.85pt;z-index:2516695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" filled="f" strokecolor="windowText" strokeweight="1pt">
                <w10:wrap anchory="page"/>
              </v:rect>
            </w:pict>
          </mc:Fallback>
        </mc:AlternateContent>
      </w:r>
    </w:p>
    <w:p w:rsidR="009D1400" w:rsidRDefault="009D1400" w:rsidP="009D1400">
      <w:pPr>
        <w:tabs>
          <w:tab w:val="left" w:pos="3188"/>
        </w:tabs>
        <w:spacing w:after="0" w:line="240" w:lineRule="auto"/>
        <w:jc w:val="center"/>
        <w:rPr>
          <w:rFonts w:ascii="Times New Roman" w:hAnsi="Times New Roman" w:cs="Times New Roman"/>
          <w:b/>
          <w:i/>
          <w:sz w:val="28"/>
        </w:rPr>
      </w:pPr>
      <w:r w:rsidRPr="00BD5E37">
        <w:rPr>
          <w:rFonts w:ascii="Times New Roman" w:hAnsi="Times New Roman" w:cs="Times New Roman"/>
          <w:b/>
          <w:i/>
          <w:sz w:val="28"/>
        </w:rPr>
        <w:t>Раздел 3. Онлайн</w:t>
      </w:r>
      <w:r>
        <w:rPr>
          <w:rFonts w:ascii="Times New Roman" w:hAnsi="Times New Roman" w:cs="Times New Roman"/>
          <w:b/>
          <w:i/>
          <w:sz w:val="28"/>
        </w:rPr>
        <w:t xml:space="preserve"> </w:t>
      </w:r>
      <w:r w:rsidRPr="00BD5E37">
        <w:rPr>
          <w:rFonts w:ascii="Times New Roman" w:hAnsi="Times New Roman" w:cs="Times New Roman"/>
          <w:b/>
          <w:i/>
          <w:sz w:val="28"/>
        </w:rPr>
        <w:t>гражданская вовлечённость молодёжи</w:t>
      </w:r>
    </w:p>
    <w:p w:rsidR="009D1400" w:rsidRDefault="009D1400" w:rsidP="009D1400">
      <w:pPr>
        <w:spacing w:after="0" w:line="240" w:lineRule="auto"/>
        <w:rPr>
          <w:rFonts w:ascii="Times New Roman" w:hAnsi="Times New Roman" w:cs="Times New Roman"/>
          <w:sz w:val="28"/>
        </w:rPr>
      </w:pPr>
    </w:p>
    <w:p w:rsidR="009D1400" w:rsidRPr="005556D1" w:rsidRDefault="009D1400" w:rsidP="008465D6">
      <w:pPr>
        <w:pStyle w:val="a3"/>
        <w:numPr>
          <w:ilvl w:val="0"/>
          <w:numId w:val="72"/>
        </w:numPr>
        <w:spacing w:after="0" w:line="240" w:lineRule="auto"/>
        <w:ind w:left="0" w:firstLine="426"/>
        <w:jc w:val="both"/>
        <w:rPr>
          <w:rFonts w:ascii="Times New Roman" w:hAnsi="Times New Roman" w:cs="Times New Roman"/>
          <w:sz w:val="28"/>
        </w:rPr>
      </w:pPr>
      <w:r w:rsidRPr="005556D1">
        <w:rPr>
          <w:rFonts w:ascii="Times New Roman" w:hAnsi="Times New Roman" w:cs="Times New Roman"/>
          <w:sz w:val="28"/>
        </w:rPr>
        <w:t xml:space="preserve">Подписаны ли вы на страничку какой-либо молодёжной общественной организации РК в социальной </w:t>
      </w:r>
      <w:proofErr w:type="gramStart"/>
      <w:r w:rsidRPr="005556D1">
        <w:rPr>
          <w:rFonts w:ascii="Times New Roman" w:hAnsi="Times New Roman" w:cs="Times New Roman"/>
          <w:sz w:val="28"/>
        </w:rPr>
        <w:t>сети?</w:t>
      </w:r>
      <w:r>
        <w:rPr>
          <w:rFonts w:ascii="Times New Roman" w:hAnsi="Times New Roman" w:cs="Times New Roman"/>
          <w:sz w:val="28"/>
        </w:rPr>
        <w:t>/</w:t>
      </w:r>
      <w:proofErr w:type="gramEnd"/>
      <w:r w:rsidRPr="00013DC0">
        <w:rPr>
          <w:rFonts w:ascii="Times New Roman" w:hAnsi="Times New Roman" w:cs="Times New Roman"/>
          <w:sz w:val="28"/>
        </w:rPr>
        <w:t>Сіз әлеуметтік желіде қандай да бір ҚР жастар қоғамдық ұйымының бетіне жазылғансыз ба?</w:t>
      </w:r>
    </w:p>
    <w:p w:rsidR="009D1400" w:rsidRPr="005556D1" w:rsidRDefault="009D1400" w:rsidP="008465D6">
      <w:pPr>
        <w:numPr>
          <w:ilvl w:val="0"/>
          <w:numId w:val="74"/>
        </w:numPr>
        <w:spacing w:after="0" w:line="240" w:lineRule="auto"/>
        <w:rPr>
          <w:rFonts w:ascii="Times New Roman" w:hAnsi="Times New Roman" w:cs="Times New Roman"/>
          <w:sz w:val="28"/>
        </w:rPr>
      </w:pPr>
      <w:r w:rsidRPr="005556D1">
        <w:rPr>
          <w:rFonts w:ascii="Times New Roman" w:hAnsi="Times New Roman" w:cs="Times New Roman"/>
          <w:sz w:val="28"/>
        </w:rPr>
        <w:t>Да</w:t>
      </w:r>
      <w:r>
        <w:rPr>
          <w:rFonts w:ascii="Times New Roman" w:hAnsi="Times New Roman" w:cs="Times New Roman"/>
          <w:sz w:val="28"/>
        </w:rPr>
        <w:t>/</w:t>
      </w:r>
      <w:r w:rsidRPr="00013DC0">
        <w:rPr>
          <w:rFonts w:ascii="Times New Roman" w:hAnsi="Times New Roman" w:cs="Times New Roman"/>
          <w:sz w:val="28"/>
        </w:rPr>
        <w:t xml:space="preserve"> </w:t>
      </w:r>
      <w:r w:rsidRPr="001E151E">
        <w:rPr>
          <w:rFonts w:ascii="Times New Roman" w:hAnsi="Times New Roman" w:cs="Times New Roman"/>
          <w:sz w:val="28"/>
        </w:rPr>
        <w:t>Иә</w:t>
      </w:r>
      <w:r w:rsidRPr="005556D1">
        <w:rPr>
          <w:rFonts w:ascii="Times New Roman" w:hAnsi="Times New Roman" w:cs="Times New Roman"/>
          <w:sz w:val="28"/>
        </w:rPr>
        <w:t xml:space="preserve"> </w:t>
      </w:r>
    </w:p>
    <w:p w:rsidR="009D1400" w:rsidRPr="005556D1" w:rsidRDefault="009D1400" w:rsidP="008465D6">
      <w:pPr>
        <w:numPr>
          <w:ilvl w:val="0"/>
          <w:numId w:val="74"/>
        </w:numPr>
        <w:spacing w:after="0" w:line="240" w:lineRule="auto"/>
        <w:rPr>
          <w:rFonts w:ascii="Times New Roman" w:hAnsi="Times New Roman" w:cs="Times New Roman"/>
          <w:sz w:val="28"/>
        </w:rPr>
      </w:pPr>
      <w:r>
        <w:rPr>
          <w:rFonts w:ascii="Times New Roman" w:hAnsi="Times New Roman" w:cs="Times New Roman"/>
          <w:sz w:val="28"/>
        </w:rPr>
        <w:t>Нет/</w:t>
      </w:r>
      <w:r w:rsidRPr="00013DC0">
        <w:rPr>
          <w:rFonts w:ascii="Times New Roman" w:hAnsi="Times New Roman" w:cs="Times New Roman"/>
          <w:sz w:val="28"/>
        </w:rPr>
        <w:t xml:space="preserve"> </w:t>
      </w:r>
      <w:r w:rsidRPr="001E151E">
        <w:rPr>
          <w:rFonts w:ascii="Times New Roman" w:hAnsi="Times New Roman" w:cs="Times New Roman"/>
          <w:sz w:val="28"/>
        </w:rPr>
        <w:t>Жоқ</w:t>
      </w:r>
    </w:p>
    <w:p w:rsidR="009D1400" w:rsidRPr="00D41E4A" w:rsidRDefault="009D1400" w:rsidP="008465D6">
      <w:pPr>
        <w:pStyle w:val="a3"/>
        <w:numPr>
          <w:ilvl w:val="0"/>
          <w:numId w:val="72"/>
        </w:numPr>
        <w:spacing w:after="0" w:line="240" w:lineRule="auto"/>
        <w:ind w:left="0" w:firstLine="426"/>
        <w:jc w:val="both"/>
        <w:rPr>
          <w:rFonts w:ascii="Times New Roman" w:hAnsi="Times New Roman" w:cs="Times New Roman"/>
          <w:sz w:val="28"/>
        </w:rPr>
      </w:pPr>
      <w:r w:rsidRPr="00D41E4A">
        <w:rPr>
          <w:rFonts w:ascii="Times New Roman" w:hAnsi="Times New Roman" w:cs="Times New Roman"/>
          <w:sz w:val="28"/>
        </w:rPr>
        <w:t>Если вы ответили «да» на предыдущий вопрос, укажите её (их) назван</w:t>
      </w:r>
      <w:r>
        <w:rPr>
          <w:rFonts w:ascii="Times New Roman" w:hAnsi="Times New Roman" w:cs="Times New Roman"/>
          <w:sz w:val="28"/>
        </w:rPr>
        <w:t xml:space="preserve">ие/ </w:t>
      </w:r>
      <w:r w:rsidRPr="00D41E4A">
        <w:rPr>
          <w:rFonts w:ascii="Times New Roman" w:hAnsi="Times New Roman" w:cs="Times New Roman"/>
          <w:sz w:val="28"/>
        </w:rPr>
        <w:t>Егер алдыңғы сұраққа «Иә» деп жауап берсеңіз, олардың атауын көрсетіңіз.</w:t>
      </w:r>
    </w:p>
    <w:p w:rsidR="009D1400" w:rsidRPr="00D41E4A" w:rsidRDefault="00E664C4" w:rsidP="009D1400">
      <w:pPr>
        <w:pStyle w:val="a3"/>
        <w:ind w:left="0"/>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70528" behindDoc="0" locked="0" layoutInCell="1" allowOverlap="1" wp14:anchorId="51442260" wp14:editId="3DE7AF4A">
                <wp:simplePos x="0" y="0"/>
                <wp:positionH relativeFrom="column">
                  <wp:posOffset>386080</wp:posOffset>
                </wp:positionH>
                <wp:positionV relativeFrom="page">
                  <wp:posOffset>5965190</wp:posOffset>
                </wp:positionV>
                <wp:extent cx="5264150" cy="290195"/>
                <wp:effectExtent l="0" t="0" r="12700" b="14605"/>
                <wp:wrapNone/>
                <wp:docPr id="71" name="Прямоугольник 71"/>
                <wp:cNvGraphicFramePr/>
                <a:graphic xmlns:a="http://schemas.openxmlformats.org/drawingml/2006/main">
                  <a:graphicData uri="http://schemas.microsoft.com/office/word/2010/wordprocessingShape">
                    <wps:wsp>
                      <wps:cNvSpPr/>
                      <wps:spPr>
                        <a:xfrm>
                          <a:off x="0" y="0"/>
                          <a:ext cx="5264150" cy="2901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50D1F" id="Прямоугольник 71" o:spid="_x0000_s1026" style="position:absolute;margin-left:30.4pt;margin-top:469.7pt;width:414.5pt;height:22.85pt;z-index:25167052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" filled="f" strokecolor="windowText" strokeweight="1pt">
                <w10:wrap anchory="page"/>
              </v:rect>
            </w:pict>
          </mc:Fallback>
        </mc:AlternateContent>
      </w:r>
      <w:r w:rsidR="009D1400" w:rsidRPr="00D41E4A">
        <w:rPr>
          <w:rFonts w:ascii="Times New Roman" w:hAnsi="Times New Roman" w:cs="Times New Roman"/>
          <w:sz w:val="28"/>
        </w:rPr>
        <w:t>____________________________________________________________________________________________________________________________________________________________________________</w:t>
      </w:r>
      <w:r w:rsidR="009D1400">
        <w:rPr>
          <w:rFonts w:ascii="Times New Roman" w:hAnsi="Times New Roman" w:cs="Times New Roman"/>
          <w:sz w:val="28"/>
        </w:rPr>
        <w:t>__________________________</w:t>
      </w:r>
    </w:p>
    <w:p w:rsidR="009D1400" w:rsidRDefault="009D1400" w:rsidP="009D1400">
      <w:pPr>
        <w:jc w:val="center"/>
        <w:rPr>
          <w:rFonts w:ascii="Times New Roman" w:hAnsi="Times New Roman" w:cs="Times New Roman"/>
          <w:b/>
          <w:i/>
          <w:sz w:val="28"/>
        </w:rPr>
      </w:pPr>
      <w:r w:rsidRPr="0031200A">
        <w:rPr>
          <w:rFonts w:ascii="Times New Roman" w:hAnsi="Times New Roman" w:cs="Times New Roman"/>
          <w:b/>
          <w:i/>
          <w:sz w:val="28"/>
        </w:rPr>
        <w:t>Раздел 4. Офлайн гражданская вовлеченность молодёжи</w:t>
      </w:r>
    </w:p>
    <w:p w:rsidR="009D1400" w:rsidRPr="006E0188" w:rsidRDefault="009D1400" w:rsidP="008465D6">
      <w:pPr>
        <w:pStyle w:val="a3"/>
        <w:numPr>
          <w:ilvl w:val="0"/>
          <w:numId w:val="72"/>
        </w:numPr>
        <w:spacing w:after="0" w:line="240" w:lineRule="auto"/>
        <w:ind w:left="0" w:firstLine="284"/>
        <w:jc w:val="both"/>
        <w:rPr>
          <w:rFonts w:ascii="Times New Roman" w:hAnsi="Times New Roman" w:cs="Times New Roman"/>
          <w:sz w:val="28"/>
        </w:rPr>
      </w:pPr>
      <w:r w:rsidRPr="002C0C94">
        <w:rPr>
          <w:rFonts w:ascii="Times New Roman" w:hAnsi="Times New Roman" w:cs="Times New Roman"/>
          <w:sz w:val="28"/>
        </w:rPr>
        <w:t xml:space="preserve">Участвовали ли вы в деятельности молодёжной общественной организации </w:t>
      </w:r>
      <w:proofErr w:type="gramStart"/>
      <w:r w:rsidRPr="002C0C94">
        <w:rPr>
          <w:rFonts w:ascii="Times New Roman" w:hAnsi="Times New Roman" w:cs="Times New Roman"/>
          <w:sz w:val="28"/>
        </w:rPr>
        <w:t>РК?</w:t>
      </w:r>
      <w:r>
        <w:rPr>
          <w:rFonts w:ascii="Times New Roman" w:hAnsi="Times New Roman" w:cs="Times New Roman"/>
          <w:sz w:val="28"/>
        </w:rPr>
        <w:t>/</w:t>
      </w:r>
      <w:proofErr w:type="gramEnd"/>
      <w:r w:rsidRPr="006E0188">
        <w:rPr>
          <w:rFonts w:ascii="Times New Roman" w:hAnsi="Times New Roman" w:cs="Times New Roman"/>
          <w:sz w:val="28"/>
          <w:szCs w:val="28"/>
        </w:rPr>
        <w:t xml:space="preserve"> </w:t>
      </w:r>
      <w:r w:rsidRPr="006E0188">
        <w:rPr>
          <w:rFonts w:ascii="Times New Roman" w:hAnsi="Times New Roman" w:cs="Times New Roman"/>
          <w:sz w:val="28"/>
        </w:rPr>
        <w:t>Сіз ҚР жастар қоғамдық ұйымының іс-шараларына қатыстыңыз ба?</w:t>
      </w:r>
    </w:p>
    <w:p w:rsidR="009D1400" w:rsidRPr="002C0C94" w:rsidRDefault="009D1400" w:rsidP="008465D6">
      <w:pPr>
        <w:numPr>
          <w:ilvl w:val="0"/>
          <w:numId w:val="75"/>
        </w:numPr>
        <w:spacing w:after="0" w:line="240" w:lineRule="auto"/>
        <w:rPr>
          <w:rFonts w:ascii="Times New Roman" w:hAnsi="Times New Roman" w:cs="Times New Roman"/>
          <w:sz w:val="28"/>
        </w:rPr>
      </w:pPr>
      <w:r w:rsidRPr="002C0C94">
        <w:rPr>
          <w:rFonts w:ascii="Times New Roman" w:hAnsi="Times New Roman" w:cs="Times New Roman"/>
          <w:sz w:val="28"/>
        </w:rPr>
        <w:t>Да</w:t>
      </w:r>
      <w:r>
        <w:rPr>
          <w:rFonts w:ascii="Times New Roman" w:hAnsi="Times New Roman" w:cs="Times New Roman"/>
          <w:sz w:val="28"/>
        </w:rPr>
        <w:t>/</w:t>
      </w:r>
      <w:r w:rsidRPr="001E151E">
        <w:rPr>
          <w:rFonts w:ascii="Times New Roman" w:hAnsi="Times New Roman" w:cs="Times New Roman"/>
          <w:sz w:val="28"/>
        </w:rPr>
        <w:t>Иә</w:t>
      </w:r>
    </w:p>
    <w:p w:rsidR="009D1400" w:rsidRPr="002C0C94" w:rsidRDefault="009D1400" w:rsidP="008465D6">
      <w:pPr>
        <w:numPr>
          <w:ilvl w:val="0"/>
          <w:numId w:val="75"/>
        </w:numPr>
        <w:spacing w:after="0" w:line="240" w:lineRule="auto"/>
        <w:rPr>
          <w:rFonts w:ascii="Times New Roman" w:hAnsi="Times New Roman" w:cs="Times New Roman"/>
          <w:sz w:val="28"/>
        </w:rPr>
      </w:pPr>
      <w:r>
        <w:rPr>
          <w:rFonts w:ascii="Times New Roman" w:hAnsi="Times New Roman" w:cs="Times New Roman"/>
          <w:sz w:val="28"/>
        </w:rPr>
        <w:t>Нет/</w:t>
      </w:r>
      <w:r w:rsidRPr="001E151E">
        <w:rPr>
          <w:rFonts w:ascii="Times New Roman" w:hAnsi="Times New Roman" w:cs="Times New Roman"/>
          <w:sz w:val="28"/>
        </w:rPr>
        <w:t>Жоқ</w:t>
      </w:r>
    </w:p>
    <w:p w:rsidR="009D1400" w:rsidRPr="00DB3EF3" w:rsidRDefault="009D1400" w:rsidP="008465D6">
      <w:pPr>
        <w:pStyle w:val="a3"/>
        <w:numPr>
          <w:ilvl w:val="0"/>
          <w:numId w:val="72"/>
        </w:numPr>
        <w:spacing w:after="0"/>
        <w:ind w:left="0" w:firstLine="426"/>
        <w:rPr>
          <w:rFonts w:ascii="Times New Roman" w:hAnsi="Times New Roman" w:cs="Times New Roman"/>
          <w:sz w:val="28"/>
        </w:rPr>
      </w:pPr>
      <w:r w:rsidRPr="00DB3EF3">
        <w:rPr>
          <w:rFonts w:ascii="Times New Roman" w:hAnsi="Times New Roman" w:cs="Times New Roman"/>
          <w:sz w:val="28"/>
        </w:rPr>
        <w:t>Если вы ответили «ДА» на предыдущий во</w:t>
      </w:r>
      <w:r>
        <w:rPr>
          <w:rFonts w:ascii="Times New Roman" w:hAnsi="Times New Roman" w:cs="Times New Roman"/>
          <w:sz w:val="28"/>
        </w:rPr>
        <w:t>прос, укажите её (их) название/</w:t>
      </w:r>
      <w:r w:rsidRPr="00DB3EF3">
        <w:rPr>
          <w:rFonts w:ascii="Times New Roman" w:hAnsi="Times New Roman" w:cs="Times New Roman"/>
          <w:sz w:val="28"/>
          <w:szCs w:val="28"/>
        </w:rPr>
        <w:t xml:space="preserve"> </w:t>
      </w:r>
      <w:r w:rsidRPr="00DB3EF3">
        <w:rPr>
          <w:rFonts w:ascii="Times New Roman" w:hAnsi="Times New Roman" w:cs="Times New Roman"/>
          <w:sz w:val="28"/>
        </w:rPr>
        <w:t>Егер алдыңғы сұраққа «ИӘ» деп жауап берсеңіз, олардың атауын көрсетіңіз.</w:t>
      </w:r>
    </w:p>
    <w:p w:rsidR="009D1400" w:rsidRPr="002C0C94" w:rsidRDefault="009D1400" w:rsidP="009D1400">
      <w:pPr>
        <w:spacing w:after="0"/>
        <w:rPr>
          <w:rFonts w:ascii="Times New Roman" w:hAnsi="Times New Roman" w:cs="Times New Roman"/>
          <w:sz w:val="28"/>
        </w:rPr>
      </w:pPr>
      <w:r w:rsidRPr="002C0C94">
        <w:rPr>
          <w:rFonts w:ascii="Times New Roman" w:hAnsi="Times New Roman" w:cs="Times New Roman"/>
          <w:sz w:val="28"/>
        </w:rPr>
        <w:t>_______________________________________________________________________________________________________________________________________________________________________</w:t>
      </w:r>
      <w:r>
        <w:rPr>
          <w:rFonts w:ascii="Times New Roman" w:hAnsi="Times New Roman" w:cs="Times New Roman"/>
          <w:sz w:val="28"/>
        </w:rPr>
        <w:t>_______________________________</w:t>
      </w:r>
    </w:p>
    <w:p w:rsidR="009D1400" w:rsidRDefault="009D1400" w:rsidP="008465D6">
      <w:pPr>
        <w:pStyle w:val="a3"/>
        <w:numPr>
          <w:ilvl w:val="0"/>
          <w:numId w:val="72"/>
        </w:numPr>
        <w:ind w:left="0" w:firstLine="426"/>
        <w:jc w:val="both"/>
        <w:rPr>
          <w:rFonts w:ascii="Times New Roman" w:hAnsi="Times New Roman" w:cs="Times New Roman"/>
          <w:sz w:val="28"/>
        </w:rPr>
      </w:pPr>
      <w:r>
        <w:rPr>
          <w:rFonts w:ascii="Times New Roman" w:hAnsi="Times New Roman" w:cs="Times New Roman"/>
          <w:sz w:val="28"/>
        </w:rPr>
        <w:t xml:space="preserve"> </w:t>
      </w:r>
      <w:r w:rsidRPr="00DB3EF3">
        <w:rPr>
          <w:rFonts w:ascii="Times New Roman" w:hAnsi="Times New Roman" w:cs="Times New Roman"/>
          <w:sz w:val="28"/>
        </w:rPr>
        <w:t xml:space="preserve">Если вы ответили «ДА» на </w:t>
      </w:r>
      <w:r w:rsidRPr="00DB3EF3">
        <w:rPr>
          <w:rFonts w:ascii="Times New Roman" w:hAnsi="Times New Roman" w:cs="Times New Roman"/>
          <w:b/>
          <w:sz w:val="28"/>
          <w:u w:val="single"/>
        </w:rPr>
        <w:t>вопрос 10</w:t>
      </w:r>
      <w:r w:rsidRPr="00DB3EF3">
        <w:rPr>
          <w:rFonts w:ascii="Times New Roman" w:hAnsi="Times New Roman" w:cs="Times New Roman"/>
          <w:sz w:val="28"/>
        </w:rPr>
        <w:t>, укажите, ка</w:t>
      </w:r>
      <w:r>
        <w:rPr>
          <w:rFonts w:ascii="Times New Roman" w:hAnsi="Times New Roman" w:cs="Times New Roman"/>
          <w:sz w:val="28"/>
        </w:rPr>
        <w:t>к вы узнали об этой организации/</w:t>
      </w:r>
      <w:r w:rsidRPr="00DB3EF3">
        <w:rPr>
          <w:rFonts w:ascii="Times New Roman" w:hAnsi="Times New Roman" w:cs="Times New Roman"/>
          <w:sz w:val="28"/>
        </w:rPr>
        <w:t xml:space="preserve"> </w:t>
      </w:r>
      <w:r w:rsidRPr="00494CA3">
        <w:rPr>
          <w:rFonts w:ascii="Times New Roman" w:hAnsi="Times New Roman" w:cs="Times New Roman"/>
          <w:sz w:val="28"/>
        </w:rPr>
        <w:t xml:space="preserve">Егер </w:t>
      </w:r>
      <w:r w:rsidRPr="00494CA3">
        <w:rPr>
          <w:rFonts w:ascii="Times New Roman" w:hAnsi="Times New Roman" w:cs="Times New Roman"/>
          <w:b/>
          <w:sz w:val="28"/>
          <w:u w:val="single"/>
        </w:rPr>
        <w:t>10-сұраққа</w:t>
      </w:r>
      <w:r w:rsidRPr="00494CA3">
        <w:rPr>
          <w:rFonts w:ascii="Times New Roman" w:hAnsi="Times New Roman" w:cs="Times New Roman"/>
          <w:sz w:val="28"/>
        </w:rPr>
        <w:t xml:space="preserve"> «ИӘ» деп жауап берсеңіз, осы ұйым туралы қалай білдіңіз?</w:t>
      </w:r>
    </w:p>
    <w:p w:rsidR="009D1400" w:rsidRPr="00D1244F" w:rsidRDefault="009D1400" w:rsidP="008465D6">
      <w:pPr>
        <w:pStyle w:val="a3"/>
        <w:numPr>
          <w:ilvl w:val="0"/>
          <w:numId w:val="7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rPr>
        <w:t>О</w:t>
      </w:r>
      <w:r w:rsidRPr="00FF4151">
        <w:rPr>
          <w:rFonts w:ascii="Times New Roman" w:hAnsi="Times New Roman" w:cs="Times New Roman"/>
          <w:sz w:val="28"/>
        </w:rPr>
        <w:t>т друзей</w:t>
      </w:r>
      <w:r>
        <w:rPr>
          <w:rFonts w:ascii="Times New Roman" w:hAnsi="Times New Roman" w:cs="Times New Roman"/>
          <w:sz w:val="28"/>
        </w:rPr>
        <w:t>/</w:t>
      </w:r>
      <w:r w:rsidRPr="00C26487">
        <w:rPr>
          <w:rFonts w:ascii="Times New Roman" w:hAnsi="Times New Roman" w:cs="Times New Roman"/>
          <w:sz w:val="28"/>
          <w:szCs w:val="28"/>
        </w:rPr>
        <w:t xml:space="preserve"> </w:t>
      </w:r>
      <w:r w:rsidRPr="00D1244F">
        <w:rPr>
          <w:rFonts w:ascii="Times New Roman" w:hAnsi="Times New Roman" w:cs="Times New Roman"/>
          <w:sz w:val="28"/>
          <w:szCs w:val="28"/>
        </w:rPr>
        <w:t>Достардан</w:t>
      </w:r>
    </w:p>
    <w:p w:rsidR="009D1400" w:rsidRPr="00D1244F" w:rsidRDefault="009D1400" w:rsidP="008465D6">
      <w:pPr>
        <w:pStyle w:val="a3"/>
        <w:numPr>
          <w:ilvl w:val="0"/>
          <w:numId w:val="7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rPr>
        <w:t>В</w:t>
      </w:r>
      <w:r w:rsidRPr="00FF4151">
        <w:rPr>
          <w:rFonts w:ascii="Times New Roman" w:hAnsi="Times New Roman" w:cs="Times New Roman"/>
          <w:sz w:val="28"/>
        </w:rPr>
        <w:t xml:space="preserve"> семье</w:t>
      </w:r>
      <w:r>
        <w:rPr>
          <w:rFonts w:ascii="Times New Roman" w:hAnsi="Times New Roman" w:cs="Times New Roman"/>
          <w:sz w:val="28"/>
        </w:rPr>
        <w:t>/</w:t>
      </w:r>
      <w:r w:rsidRPr="00760153">
        <w:rPr>
          <w:rFonts w:ascii="Times New Roman" w:hAnsi="Times New Roman" w:cs="Times New Roman"/>
          <w:sz w:val="28"/>
          <w:szCs w:val="28"/>
        </w:rPr>
        <w:t xml:space="preserve"> </w:t>
      </w:r>
      <w:r w:rsidRPr="00D1244F">
        <w:rPr>
          <w:rFonts w:ascii="Times New Roman" w:hAnsi="Times New Roman" w:cs="Times New Roman"/>
          <w:sz w:val="28"/>
          <w:szCs w:val="28"/>
        </w:rPr>
        <w:t>Отбасынан</w:t>
      </w:r>
    </w:p>
    <w:p w:rsidR="009D1400" w:rsidRPr="00D1244F" w:rsidRDefault="009D1400" w:rsidP="008465D6">
      <w:pPr>
        <w:pStyle w:val="a3"/>
        <w:numPr>
          <w:ilvl w:val="0"/>
          <w:numId w:val="7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rPr>
        <w:t>В</w:t>
      </w:r>
      <w:r w:rsidRPr="00FF4151">
        <w:rPr>
          <w:rFonts w:ascii="Times New Roman" w:hAnsi="Times New Roman" w:cs="Times New Roman"/>
          <w:sz w:val="28"/>
        </w:rPr>
        <w:t xml:space="preserve"> университете</w:t>
      </w:r>
      <w:r>
        <w:rPr>
          <w:rFonts w:ascii="Times New Roman" w:hAnsi="Times New Roman" w:cs="Times New Roman"/>
          <w:sz w:val="28"/>
        </w:rPr>
        <w:t>/</w:t>
      </w:r>
      <w:r w:rsidRPr="0071755D">
        <w:rPr>
          <w:rFonts w:ascii="Times New Roman" w:hAnsi="Times New Roman" w:cs="Times New Roman"/>
          <w:sz w:val="28"/>
          <w:szCs w:val="28"/>
        </w:rPr>
        <w:t xml:space="preserve"> </w:t>
      </w:r>
      <w:r w:rsidRPr="00D1244F">
        <w:rPr>
          <w:rFonts w:ascii="Times New Roman" w:hAnsi="Times New Roman" w:cs="Times New Roman"/>
          <w:sz w:val="28"/>
          <w:szCs w:val="28"/>
        </w:rPr>
        <w:t>Университеттен</w:t>
      </w:r>
    </w:p>
    <w:p w:rsidR="009D1400" w:rsidRPr="00FF4151" w:rsidRDefault="009D1400" w:rsidP="008465D6">
      <w:pPr>
        <w:pStyle w:val="a3"/>
        <w:numPr>
          <w:ilvl w:val="0"/>
          <w:numId w:val="76"/>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lastRenderedPageBreak/>
        <w:t>В</w:t>
      </w:r>
      <w:r w:rsidRPr="00FF4151">
        <w:rPr>
          <w:rFonts w:ascii="Times New Roman" w:hAnsi="Times New Roman" w:cs="Times New Roman"/>
          <w:sz w:val="28"/>
        </w:rPr>
        <w:t xml:space="preserve"> соц сетях</w:t>
      </w:r>
      <w:r>
        <w:rPr>
          <w:rFonts w:ascii="Times New Roman" w:hAnsi="Times New Roman" w:cs="Times New Roman"/>
          <w:sz w:val="28"/>
        </w:rPr>
        <w:t>/</w:t>
      </w:r>
      <w:r w:rsidRPr="000B260B">
        <w:rPr>
          <w:rFonts w:ascii="Times New Roman" w:hAnsi="Times New Roman" w:cs="Times New Roman"/>
          <w:sz w:val="28"/>
          <w:szCs w:val="28"/>
        </w:rPr>
        <w:t xml:space="preserve"> </w:t>
      </w:r>
      <w:r w:rsidRPr="00D1244F">
        <w:rPr>
          <w:rFonts w:ascii="Times New Roman" w:hAnsi="Times New Roman" w:cs="Times New Roman"/>
          <w:sz w:val="28"/>
          <w:szCs w:val="28"/>
        </w:rPr>
        <w:t>Әлеуметтік желілерден</w:t>
      </w:r>
      <w:r w:rsidRPr="00FF4151">
        <w:rPr>
          <w:rFonts w:ascii="Times New Roman" w:hAnsi="Times New Roman" w:cs="Times New Roman"/>
          <w:sz w:val="28"/>
        </w:rPr>
        <w:t xml:space="preserve"> </w:t>
      </w:r>
    </w:p>
    <w:p w:rsidR="009D1400" w:rsidRPr="00FF4151" w:rsidRDefault="009D1400" w:rsidP="008465D6">
      <w:pPr>
        <w:pStyle w:val="a3"/>
        <w:numPr>
          <w:ilvl w:val="0"/>
          <w:numId w:val="76"/>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В электронных СМИ/</w:t>
      </w:r>
      <w:r w:rsidRPr="00065C5E">
        <w:rPr>
          <w:rFonts w:ascii="Times New Roman" w:hAnsi="Times New Roman" w:cs="Times New Roman"/>
          <w:sz w:val="28"/>
          <w:szCs w:val="28"/>
        </w:rPr>
        <w:t xml:space="preserve"> </w:t>
      </w:r>
      <w:r w:rsidRPr="00D1244F">
        <w:rPr>
          <w:rFonts w:ascii="Times New Roman" w:hAnsi="Times New Roman" w:cs="Times New Roman"/>
          <w:sz w:val="28"/>
          <w:szCs w:val="28"/>
        </w:rPr>
        <w:t>Электрондық БАҚ арқылы</w:t>
      </w:r>
    </w:p>
    <w:p w:rsidR="009D1400" w:rsidRPr="00FF4151" w:rsidRDefault="009D1400" w:rsidP="008465D6">
      <w:pPr>
        <w:pStyle w:val="a3"/>
        <w:numPr>
          <w:ilvl w:val="0"/>
          <w:numId w:val="76"/>
        </w:numPr>
        <w:spacing w:after="0"/>
        <w:ind w:left="0" w:firstLine="709"/>
        <w:jc w:val="both"/>
        <w:rPr>
          <w:rFonts w:ascii="Times New Roman" w:hAnsi="Times New Roman" w:cs="Times New Roman"/>
          <w:sz w:val="28"/>
        </w:rPr>
      </w:pPr>
      <w:r>
        <w:rPr>
          <w:rFonts w:ascii="Times New Roman" w:hAnsi="Times New Roman" w:cs="Times New Roman"/>
          <w:sz w:val="28"/>
        </w:rPr>
        <w:t>И</w:t>
      </w:r>
      <w:r w:rsidRPr="00FF4151">
        <w:rPr>
          <w:rFonts w:ascii="Times New Roman" w:hAnsi="Times New Roman" w:cs="Times New Roman"/>
          <w:sz w:val="28"/>
        </w:rPr>
        <w:t>з печатных СМИ</w:t>
      </w:r>
      <w:r>
        <w:rPr>
          <w:rFonts w:ascii="Times New Roman" w:hAnsi="Times New Roman" w:cs="Times New Roman"/>
          <w:sz w:val="28"/>
        </w:rPr>
        <w:t>/</w:t>
      </w:r>
      <w:r w:rsidRPr="004824F3">
        <w:rPr>
          <w:rFonts w:ascii="Times New Roman" w:hAnsi="Times New Roman" w:cs="Times New Roman"/>
          <w:sz w:val="28"/>
          <w:szCs w:val="28"/>
        </w:rPr>
        <w:t xml:space="preserve"> </w:t>
      </w:r>
      <w:r w:rsidRPr="00D1244F">
        <w:rPr>
          <w:rFonts w:ascii="Times New Roman" w:hAnsi="Times New Roman" w:cs="Times New Roman"/>
          <w:sz w:val="28"/>
          <w:szCs w:val="28"/>
        </w:rPr>
        <w:t>Баспа БАҚ арқылы</w:t>
      </w:r>
    </w:p>
    <w:p w:rsidR="009D1400" w:rsidRDefault="009D1400" w:rsidP="008465D6">
      <w:pPr>
        <w:pStyle w:val="a3"/>
        <w:numPr>
          <w:ilvl w:val="0"/>
          <w:numId w:val="76"/>
        </w:numPr>
        <w:spacing w:after="0" w:line="240" w:lineRule="auto"/>
        <w:ind w:left="0" w:firstLine="709"/>
        <w:rPr>
          <w:rFonts w:ascii="Times New Roman" w:hAnsi="Times New Roman" w:cs="Times New Roman"/>
          <w:sz w:val="28"/>
        </w:rPr>
      </w:pPr>
      <w:r>
        <w:rPr>
          <w:rFonts w:ascii="Times New Roman" w:hAnsi="Times New Roman" w:cs="Times New Roman"/>
          <w:sz w:val="28"/>
        </w:rPr>
        <w:t>Д</w:t>
      </w:r>
      <w:r w:rsidRPr="00FF4151">
        <w:rPr>
          <w:rFonts w:ascii="Times New Roman" w:hAnsi="Times New Roman" w:cs="Times New Roman"/>
          <w:sz w:val="28"/>
        </w:rPr>
        <w:t>ругое</w:t>
      </w:r>
      <w:r>
        <w:rPr>
          <w:rFonts w:ascii="Times New Roman" w:hAnsi="Times New Roman" w:cs="Times New Roman"/>
          <w:sz w:val="28"/>
        </w:rPr>
        <w:t xml:space="preserve"> (укажите)/</w:t>
      </w:r>
      <w:r w:rsidRPr="004824F3">
        <w:rPr>
          <w:rFonts w:ascii="Times New Roman" w:hAnsi="Times New Roman" w:cs="Times New Roman"/>
          <w:sz w:val="28"/>
          <w:szCs w:val="28"/>
        </w:rPr>
        <w:t xml:space="preserve"> </w:t>
      </w:r>
      <w:r w:rsidRPr="004824F3">
        <w:rPr>
          <w:rFonts w:ascii="Times New Roman" w:hAnsi="Times New Roman" w:cs="Times New Roman"/>
          <w:sz w:val="28"/>
        </w:rPr>
        <w:t>Басқа (көрсетіңіз)</w:t>
      </w:r>
    </w:p>
    <w:p w:rsidR="009D1400" w:rsidRPr="004824F3" w:rsidRDefault="009D1400" w:rsidP="009D1400">
      <w:pPr>
        <w:spacing w:after="0" w:line="240" w:lineRule="auto"/>
        <w:rPr>
          <w:rFonts w:ascii="Times New Roman" w:hAnsi="Times New Roman" w:cs="Times New Roman"/>
          <w:sz w:val="28"/>
        </w:rPr>
      </w:pPr>
      <w:r w:rsidRPr="004824F3">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w:t>
      </w:r>
    </w:p>
    <w:p w:rsidR="009D1400" w:rsidRPr="002045F1" w:rsidRDefault="009D1400" w:rsidP="008465D6">
      <w:pPr>
        <w:pStyle w:val="a3"/>
        <w:numPr>
          <w:ilvl w:val="0"/>
          <w:numId w:val="72"/>
        </w:numPr>
        <w:spacing w:after="0" w:line="240" w:lineRule="auto"/>
        <w:ind w:left="0" w:firstLine="426"/>
        <w:jc w:val="both"/>
        <w:rPr>
          <w:rFonts w:ascii="Times New Roman" w:hAnsi="Times New Roman" w:cs="Times New Roman"/>
          <w:sz w:val="28"/>
        </w:rPr>
      </w:pPr>
      <w:r w:rsidRPr="002045F1">
        <w:rPr>
          <w:rFonts w:ascii="Times New Roman" w:hAnsi="Times New Roman" w:cs="Times New Roman"/>
          <w:sz w:val="28"/>
        </w:rPr>
        <w:t xml:space="preserve">Если вы ответили «ДА» на </w:t>
      </w:r>
      <w:r w:rsidRPr="002045F1">
        <w:rPr>
          <w:rFonts w:ascii="Times New Roman" w:hAnsi="Times New Roman" w:cs="Times New Roman"/>
          <w:b/>
          <w:sz w:val="28"/>
          <w:u w:val="single"/>
        </w:rPr>
        <w:t>вопрос 6</w:t>
      </w:r>
      <w:r w:rsidRPr="002045F1">
        <w:rPr>
          <w:rFonts w:ascii="Times New Roman" w:hAnsi="Times New Roman" w:cs="Times New Roman"/>
          <w:sz w:val="28"/>
        </w:rPr>
        <w:t xml:space="preserve">, укажите – захотелось ли вам познакомится с остальными членами организации </w:t>
      </w:r>
      <w:proofErr w:type="gramStart"/>
      <w:r w:rsidRPr="002045F1">
        <w:rPr>
          <w:rFonts w:ascii="Times New Roman" w:hAnsi="Times New Roman" w:cs="Times New Roman"/>
          <w:sz w:val="28"/>
        </w:rPr>
        <w:t>лично?</w:t>
      </w:r>
      <w:r>
        <w:rPr>
          <w:rFonts w:ascii="Times New Roman" w:hAnsi="Times New Roman" w:cs="Times New Roman"/>
          <w:sz w:val="28"/>
        </w:rPr>
        <w:t>/</w:t>
      </w:r>
      <w:proofErr w:type="gramEnd"/>
      <w:r w:rsidRPr="002045F1">
        <w:rPr>
          <w:rFonts w:ascii="Times New Roman" w:hAnsi="Times New Roman" w:cs="Times New Roman"/>
          <w:sz w:val="28"/>
        </w:rPr>
        <w:t xml:space="preserve"> </w:t>
      </w:r>
      <w:r w:rsidRPr="00DA5CE7">
        <w:rPr>
          <w:rFonts w:ascii="Times New Roman" w:hAnsi="Times New Roman" w:cs="Times New Roman"/>
          <w:sz w:val="28"/>
        </w:rPr>
        <w:t xml:space="preserve">Егер </w:t>
      </w:r>
      <w:r w:rsidRPr="00DA5CE7">
        <w:rPr>
          <w:rFonts w:ascii="Times New Roman" w:hAnsi="Times New Roman" w:cs="Times New Roman"/>
          <w:b/>
          <w:sz w:val="28"/>
          <w:u w:val="single"/>
        </w:rPr>
        <w:t>6-сұраққа</w:t>
      </w:r>
      <w:r w:rsidRPr="00DA5CE7">
        <w:rPr>
          <w:rFonts w:ascii="Times New Roman" w:hAnsi="Times New Roman" w:cs="Times New Roman"/>
          <w:sz w:val="28"/>
        </w:rPr>
        <w:t xml:space="preserve"> «ИӘ» деп жауап берсеңіз, ұйымның қалған мүшелерімен жеке танысуға ниетіңіз болды ма?</w:t>
      </w:r>
    </w:p>
    <w:p w:rsidR="009D1400" w:rsidRPr="002706AA" w:rsidRDefault="009D1400" w:rsidP="008465D6">
      <w:pPr>
        <w:pStyle w:val="a3"/>
        <w:numPr>
          <w:ilvl w:val="0"/>
          <w:numId w:val="78"/>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Д</w:t>
      </w:r>
      <w:r w:rsidRPr="002706AA">
        <w:rPr>
          <w:rFonts w:ascii="Times New Roman" w:hAnsi="Times New Roman" w:cs="Times New Roman"/>
          <w:sz w:val="28"/>
        </w:rPr>
        <w:t>а</w:t>
      </w:r>
      <w:r>
        <w:rPr>
          <w:rFonts w:ascii="Times New Roman" w:hAnsi="Times New Roman" w:cs="Times New Roman"/>
          <w:sz w:val="28"/>
        </w:rPr>
        <w:t>/</w:t>
      </w:r>
      <w:r w:rsidRPr="00EB24EA">
        <w:rPr>
          <w:rFonts w:ascii="Times New Roman" w:hAnsi="Times New Roman" w:cs="Times New Roman"/>
          <w:sz w:val="28"/>
        </w:rPr>
        <w:t xml:space="preserve"> </w:t>
      </w:r>
      <w:r w:rsidRPr="001E151E">
        <w:rPr>
          <w:rFonts w:ascii="Times New Roman" w:hAnsi="Times New Roman" w:cs="Times New Roman"/>
          <w:sz w:val="28"/>
        </w:rPr>
        <w:t>Иә</w:t>
      </w:r>
    </w:p>
    <w:p w:rsidR="009D1400" w:rsidRPr="002706AA" w:rsidRDefault="009D1400" w:rsidP="008465D6">
      <w:pPr>
        <w:pStyle w:val="a3"/>
        <w:numPr>
          <w:ilvl w:val="0"/>
          <w:numId w:val="78"/>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Н</w:t>
      </w:r>
      <w:r w:rsidRPr="002706AA">
        <w:rPr>
          <w:rFonts w:ascii="Times New Roman" w:hAnsi="Times New Roman" w:cs="Times New Roman"/>
          <w:sz w:val="28"/>
        </w:rPr>
        <w:t>ет</w:t>
      </w:r>
      <w:r>
        <w:rPr>
          <w:rFonts w:ascii="Times New Roman" w:hAnsi="Times New Roman" w:cs="Times New Roman"/>
          <w:sz w:val="28"/>
        </w:rPr>
        <w:t>/</w:t>
      </w:r>
      <w:r w:rsidRPr="006326DC">
        <w:rPr>
          <w:rFonts w:ascii="Times New Roman" w:hAnsi="Times New Roman" w:cs="Times New Roman"/>
          <w:sz w:val="28"/>
        </w:rPr>
        <w:t xml:space="preserve"> </w:t>
      </w:r>
      <w:r w:rsidRPr="001E151E">
        <w:rPr>
          <w:rFonts w:ascii="Times New Roman" w:hAnsi="Times New Roman" w:cs="Times New Roman"/>
          <w:sz w:val="28"/>
        </w:rPr>
        <w:t>Жоқ</w:t>
      </w:r>
    </w:p>
    <w:p w:rsidR="009D1400" w:rsidRPr="00C93806" w:rsidRDefault="009D1400" w:rsidP="008465D6">
      <w:pPr>
        <w:pStyle w:val="a3"/>
        <w:numPr>
          <w:ilvl w:val="0"/>
          <w:numId w:val="72"/>
        </w:numPr>
        <w:spacing w:after="0" w:line="240" w:lineRule="auto"/>
        <w:ind w:left="0" w:firstLine="426"/>
        <w:jc w:val="both"/>
        <w:rPr>
          <w:rFonts w:ascii="Times New Roman" w:hAnsi="Times New Roman" w:cs="Times New Roman"/>
          <w:sz w:val="28"/>
        </w:rPr>
      </w:pPr>
      <w:r>
        <w:rPr>
          <w:rFonts w:ascii="Times New Roman" w:hAnsi="Times New Roman" w:cs="Times New Roman"/>
          <w:sz w:val="28"/>
        </w:rPr>
        <w:t xml:space="preserve"> У</w:t>
      </w:r>
      <w:r w:rsidRPr="00C93806">
        <w:rPr>
          <w:rFonts w:ascii="Times New Roman" w:hAnsi="Times New Roman" w:cs="Times New Roman"/>
          <w:sz w:val="28"/>
        </w:rPr>
        <w:t xml:space="preserve">кажите причину вашего ответа на </w:t>
      </w:r>
      <w:r w:rsidRPr="00C93806">
        <w:rPr>
          <w:rFonts w:ascii="Times New Roman" w:hAnsi="Times New Roman" w:cs="Times New Roman"/>
          <w:b/>
          <w:sz w:val="28"/>
          <w:u w:val="single"/>
        </w:rPr>
        <w:t>вопрос 13</w:t>
      </w:r>
      <w:r>
        <w:rPr>
          <w:rFonts w:ascii="Times New Roman" w:hAnsi="Times New Roman" w:cs="Times New Roman"/>
          <w:b/>
          <w:sz w:val="28"/>
          <w:u w:val="single"/>
        </w:rPr>
        <w:t>/</w:t>
      </w:r>
      <w:r w:rsidRPr="00C93806">
        <w:rPr>
          <w:rFonts w:ascii="Times New Roman" w:hAnsi="Times New Roman" w:cs="Times New Roman"/>
          <w:b/>
          <w:sz w:val="28"/>
          <w:u w:val="single"/>
        </w:rPr>
        <w:t>1</w:t>
      </w:r>
      <w:r>
        <w:rPr>
          <w:rFonts w:ascii="Times New Roman" w:hAnsi="Times New Roman" w:cs="Times New Roman"/>
          <w:b/>
          <w:sz w:val="28"/>
          <w:u w:val="single"/>
        </w:rPr>
        <w:t>3</w:t>
      </w:r>
      <w:r w:rsidRPr="00C93806">
        <w:rPr>
          <w:rFonts w:ascii="Times New Roman" w:hAnsi="Times New Roman" w:cs="Times New Roman"/>
          <w:b/>
          <w:sz w:val="28"/>
          <w:u w:val="single"/>
        </w:rPr>
        <w:t xml:space="preserve">-сұраққа </w:t>
      </w:r>
      <w:r w:rsidRPr="00C93806">
        <w:rPr>
          <w:rFonts w:ascii="Times New Roman" w:hAnsi="Times New Roman" w:cs="Times New Roman"/>
          <w:sz w:val="28"/>
        </w:rPr>
        <w:t>берген жауабыңыздың себебін көрсетіңіз</w:t>
      </w:r>
    </w:p>
    <w:p w:rsidR="009D1400" w:rsidRPr="00C93806" w:rsidRDefault="00680C9C" w:rsidP="009D1400">
      <w:pPr>
        <w:spacing w:line="240" w:lineRule="auto"/>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71552" behindDoc="0" locked="0" layoutInCell="1" allowOverlap="1" wp14:anchorId="7C3C91BB" wp14:editId="3AAFA9B2">
                <wp:simplePos x="0" y="0"/>
                <wp:positionH relativeFrom="column">
                  <wp:posOffset>86360</wp:posOffset>
                </wp:positionH>
                <wp:positionV relativeFrom="page">
                  <wp:posOffset>4678045</wp:posOffset>
                </wp:positionV>
                <wp:extent cx="5866765" cy="295910"/>
                <wp:effectExtent l="0" t="0" r="19685" b="27940"/>
                <wp:wrapNone/>
                <wp:docPr id="72" name="Прямоугольник 72"/>
                <wp:cNvGraphicFramePr/>
                <a:graphic xmlns:a="http://schemas.openxmlformats.org/drawingml/2006/main">
                  <a:graphicData uri="http://schemas.microsoft.com/office/word/2010/wordprocessingShape">
                    <wps:wsp>
                      <wps:cNvSpPr/>
                      <wps:spPr>
                        <a:xfrm>
                          <a:off x="0" y="0"/>
                          <a:ext cx="5866765" cy="2959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F0A08" id="Прямоугольник 72" o:spid="_x0000_s1026" style="position:absolute;margin-left:6.8pt;margin-top:368.35pt;width:461.95pt;height:23.3pt;z-index:25167155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" filled="f" strokecolor="windowText" strokeweight="1pt">
                <w10:wrap anchory="page"/>
              </v:rect>
            </w:pict>
          </mc:Fallback>
        </mc:AlternateContent>
      </w:r>
      <w:r w:rsidR="009D1400" w:rsidRPr="00C93806">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w:t>
      </w:r>
      <w:r w:rsidR="009D1400">
        <w:rPr>
          <w:rFonts w:ascii="Times New Roman" w:hAnsi="Times New Roman" w:cs="Times New Roman"/>
          <w:sz w:val="28"/>
        </w:rPr>
        <w:t>_____</w:t>
      </w:r>
    </w:p>
    <w:p w:rsidR="009D1400" w:rsidRDefault="009D1400" w:rsidP="009D1400">
      <w:pPr>
        <w:jc w:val="center"/>
        <w:rPr>
          <w:rFonts w:ascii="Times New Roman" w:hAnsi="Times New Roman" w:cs="Times New Roman"/>
          <w:b/>
          <w:i/>
          <w:sz w:val="28"/>
        </w:rPr>
      </w:pPr>
      <w:r w:rsidRPr="0074369F">
        <w:rPr>
          <w:rFonts w:ascii="Times New Roman" w:hAnsi="Times New Roman" w:cs="Times New Roman"/>
          <w:b/>
          <w:i/>
          <w:sz w:val="28"/>
        </w:rPr>
        <w:t>Раздел 5. Социально-демографическая информация</w:t>
      </w:r>
    </w:p>
    <w:p w:rsidR="009D1400" w:rsidRPr="00332B62" w:rsidRDefault="009D1400" w:rsidP="009D1400">
      <w:pPr>
        <w:spacing w:after="0" w:line="240" w:lineRule="auto"/>
        <w:rPr>
          <w:rFonts w:ascii="Times New Roman" w:hAnsi="Times New Roman" w:cs="Times New Roman"/>
          <w:sz w:val="28"/>
        </w:rPr>
      </w:pPr>
      <w:r w:rsidRPr="00332B62">
        <w:rPr>
          <w:rFonts w:ascii="Times New Roman" w:hAnsi="Times New Roman" w:cs="Times New Roman"/>
          <w:sz w:val="28"/>
        </w:rPr>
        <w:t>Укажите ваш пол</w:t>
      </w:r>
      <w:r>
        <w:rPr>
          <w:rFonts w:ascii="Times New Roman" w:hAnsi="Times New Roman" w:cs="Times New Roman"/>
          <w:sz w:val="28"/>
        </w:rPr>
        <w:t>/</w:t>
      </w:r>
      <w:r w:rsidRPr="003D2E4E">
        <w:rPr>
          <w:rFonts w:ascii="Times New Roman" w:hAnsi="Times New Roman" w:cs="Times New Roman"/>
          <w:sz w:val="28"/>
          <w:szCs w:val="28"/>
        </w:rPr>
        <w:t>Сіздің жынысыңыз</w:t>
      </w:r>
      <w:r w:rsidRPr="00332B62">
        <w:rPr>
          <w:rFonts w:ascii="Times New Roman" w:hAnsi="Times New Roman" w:cs="Times New Roman"/>
          <w:sz w:val="28"/>
        </w:rPr>
        <w:t>: ___________</w:t>
      </w:r>
      <w:r>
        <w:rPr>
          <w:rFonts w:ascii="Times New Roman" w:hAnsi="Times New Roman" w:cs="Times New Roman"/>
          <w:sz w:val="28"/>
        </w:rPr>
        <w:t>______________________________</w:t>
      </w:r>
    </w:p>
    <w:p w:rsidR="009D1400" w:rsidRDefault="009D1400" w:rsidP="009D1400">
      <w:pPr>
        <w:spacing w:after="0" w:line="240" w:lineRule="auto"/>
        <w:rPr>
          <w:rFonts w:ascii="Times New Roman" w:hAnsi="Times New Roman" w:cs="Times New Roman"/>
          <w:sz w:val="28"/>
        </w:rPr>
      </w:pPr>
      <w:r w:rsidRPr="00332B62">
        <w:rPr>
          <w:rFonts w:ascii="Times New Roman" w:hAnsi="Times New Roman" w:cs="Times New Roman"/>
          <w:sz w:val="28"/>
        </w:rPr>
        <w:t>Укажите ваш возраст</w:t>
      </w:r>
      <w:r>
        <w:rPr>
          <w:rFonts w:ascii="Times New Roman" w:hAnsi="Times New Roman" w:cs="Times New Roman"/>
          <w:sz w:val="28"/>
        </w:rPr>
        <w:t>/</w:t>
      </w:r>
      <w:r w:rsidRPr="003D2E4E">
        <w:rPr>
          <w:rFonts w:ascii="Times New Roman" w:hAnsi="Times New Roman" w:cs="Times New Roman"/>
          <w:sz w:val="28"/>
          <w:szCs w:val="28"/>
        </w:rPr>
        <w:t>Сіздің жасыңыз</w:t>
      </w:r>
      <w:r w:rsidRPr="00332B62">
        <w:rPr>
          <w:rFonts w:ascii="Times New Roman" w:hAnsi="Times New Roman" w:cs="Times New Roman"/>
          <w:sz w:val="28"/>
        </w:rPr>
        <w:t>:</w:t>
      </w:r>
    </w:p>
    <w:p w:rsidR="009D1400" w:rsidRPr="00332B62" w:rsidRDefault="009D1400" w:rsidP="009D1400">
      <w:pPr>
        <w:spacing w:after="0" w:line="240" w:lineRule="auto"/>
        <w:rPr>
          <w:rFonts w:ascii="Times New Roman" w:hAnsi="Times New Roman" w:cs="Times New Roman"/>
          <w:sz w:val="28"/>
        </w:rPr>
      </w:pPr>
      <w:r w:rsidRPr="00332B62">
        <w:rPr>
          <w:rFonts w:ascii="Times New Roman" w:hAnsi="Times New Roman" w:cs="Times New Roman"/>
          <w:sz w:val="28"/>
        </w:rPr>
        <w:t>__________________________________________</w:t>
      </w:r>
    </w:p>
    <w:p w:rsidR="009D1400" w:rsidRPr="00332B62" w:rsidRDefault="009D1400" w:rsidP="009D1400">
      <w:pPr>
        <w:spacing w:after="0" w:line="240" w:lineRule="auto"/>
        <w:rPr>
          <w:rFonts w:ascii="Times New Roman" w:hAnsi="Times New Roman" w:cs="Times New Roman"/>
          <w:sz w:val="28"/>
        </w:rPr>
      </w:pPr>
      <w:r w:rsidRPr="00332B62">
        <w:rPr>
          <w:rFonts w:ascii="Times New Roman" w:hAnsi="Times New Roman" w:cs="Times New Roman"/>
          <w:sz w:val="28"/>
        </w:rPr>
        <w:t>Укажите ваш родной город, село, посёлок</w:t>
      </w:r>
      <w:r>
        <w:rPr>
          <w:rFonts w:ascii="Times New Roman" w:hAnsi="Times New Roman" w:cs="Times New Roman"/>
          <w:sz w:val="28"/>
          <w:szCs w:val="28"/>
        </w:rPr>
        <w:t>/</w:t>
      </w:r>
      <w:r w:rsidRPr="003D2E4E">
        <w:rPr>
          <w:rFonts w:ascii="Times New Roman" w:hAnsi="Times New Roman" w:cs="Times New Roman"/>
          <w:sz w:val="28"/>
          <w:szCs w:val="28"/>
        </w:rPr>
        <w:t>Туған қалаңыз, ауыл, кентіңіз</w:t>
      </w:r>
      <w:r w:rsidRPr="00332B62">
        <w:rPr>
          <w:rFonts w:ascii="Times New Roman" w:hAnsi="Times New Roman" w:cs="Times New Roman"/>
          <w:sz w:val="28"/>
        </w:rPr>
        <w:t xml:space="preserve"> _________________________</w:t>
      </w:r>
    </w:p>
    <w:p w:rsidR="009D1400" w:rsidRPr="00332B62" w:rsidRDefault="009D1400" w:rsidP="009D1400">
      <w:pPr>
        <w:spacing w:after="0" w:line="240" w:lineRule="auto"/>
        <w:rPr>
          <w:rFonts w:ascii="Times New Roman" w:hAnsi="Times New Roman" w:cs="Times New Roman"/>
          <w:sz w:val="28"/>
        </w:rPr>
      </w:pPr>
      <w:r w:rsidRPr="00332B62">
        <w:rPr>
          <w:rFonts w:ascii="Times New Roman" w:hAnsi="Times New Roman" w:cs="Times New Roman"/>
          <w:sz w:val="28"/>
        </w:rPr>
        <w:t>Укажите, в каком ВУЗе вы обучаетесь</w:t>
      </w:r>
      <w:r>
        <w:rPr>
          <w:rFonts w:ascii="Times New Roman" w:hAnsi="Times New Roman" w:cs="Times New Roman"/>
          <w:sz w:val="28"/>
        </w:rPr>
        <w:t>/</w:t>
      </w:r>
      <w:r w:rsidRPr="003D2E4E">
        <w:rPr>
          <w:rFonts w:ascii="Times New Roman" w:hAnsi="Times New Roman" w:cs="Times New Roman"/>
          <w:sz w:val="28"/>
          <w:szCs w:val="28"/>
        </w:rPr>
        <w:t>Қай университетте оқитыныңыз</w:t>
      </w:r>
      <w:r w:rsidRPr="00332B62">
        <w:rPr>
          <w:rFonts w:ascii="Times New Roman" w:hAnsi="Times New Roman" w:cs="Times New Roman"/>
          <w:sz w:val="28"/>
        </w:rPr>
        <w:t xml:space="preserve"> ____________________________</w:t>
      </w:r>
    </w:p>
    <w:p w:rsidR="009D1400" w:rsidRPr="003D2E4E" w:rsidRDefault="009D1400" w:rsidP="009D1400">
      <w:pPr>
        <w:spacing w:after="0" w:line="240" w:lineRule="auto"/>
        <w:ind w:firstLine="709"/>
        <w:jc w:val="both"/>
        <w:rPr>
          <w:rFonts w:ascii="Times New Roman" w:hAnsi="Times New Roman" w:cs="Times New Roman"/>
          <w:sz w:val="28"/>
          <w:szCs w:val="28"/>
        </w:rPr>
      </w:pPr>
    </w:p>
    <w:p w:rsidR="009D1400" w:rsidRPr="00332B62" w:rsidRDefault="009D1400" w:rsidP="009D1400">
      <w:pPr>
        <w:spacing w:after="0" w:line="240" w:lineRule="auto"/>
        <w:rPr>
          <w:rFonts w:ascii="Times New Roman" w:hAnsi="Times New Roman" w:cs="Times New Roman"/>
          <w:sz w:val="28"/>
        </w:rPr>
      </w:pPr>
      <w:r w:rsidRPr="00332B62">
        <w:rPr>
          <w:rFonts w:ascii="Times New Roman" w:hAnsi="Times New Roman" w:cs="Times New Roman"/>
          <w:sz w:val="28"/>
        </w:rPr>
        <w:t>Благодарим Вас! Ваше мнение очень важно для нашего исследования!</w:t>
      </w:r>
    </w:p>
    <w:p w:rsidR="009D1400" w:rsidRPr="009A2679" w:rsidRDefault="009D1400" w:rsidP="009D1400">
      <w:pPr>
        <w:spacing w:after="0" w:line="240" w:lineRule="auto"/>
        <w:ind w:firstLine="709"/>
        <w:jc w:val="both"/>
        <w:rPr>
          <w:rFonts w:ascii="Times New Roman" w:hAnsi="Times New Roman" w:cs="Times New Roman"/>
          <w:sz w:val="28"/>
        </w:rPr>
      </w:pPr>
      <w:r w:rsidRPr="003D2E4E">
        <w:rPr>
          <w:rFonts w:ascii="Times New Roman" w:hAnsi="Times New Roman" w:cs="Times New Roman"/>
          <w:sz w:val="28"/>
          <w:szCs w:val="28"/>
        </w:rPr>
        <w:t>Рақмет! Сіздің пікіріңіз біздің зерттеуіміз үшін өте м</w:t>
      </w:r>
      <w:r w:rsidRPr="003D2E4E">
        <w:rPr>
          <w:rFonts w:ascii="Times New Roman" w:hAnsi="Times New Roman" w:cs="Times New Roman"/>
          <w:sz w:val="28"/>
        </w:rPr>
        <w:t>аңызды!</w:t>
      </w:r>
    </w:p>
    <w:p w:rsidR="009D1400" w:rsidRPr="00332B62" w:rsidRDefault="009D1400" w:rsidP="009D1400">
      <w:pPr>
        <w:spacing w:after="0" w:line="240" w:lineRule="auto"/>
        <w:rPr>
          <w:rFonts w:ascii="Times New Roman" w:hAnsi="Times New Roman" w:cs="Times New Roman"/>
          <w:sz w:val="28"/>
        </w:rPr>
      </w:pPr>
    </w:p>
    <w:p w:rsidR="009D1400" w:rsidRPr="00332B62" w:rsidRDefault="009D1400" w:rsidP="009D1400">
      <w:pPr>
        <w:spacing w:after="0" w:line="240" w:lineRule="auto"/>
        <w:rPr>
          <w:rFonts w:ascii="Times New Roman" w:hAnsi="Times New Roman" w:cs="Times New Roman"/>
          <w:sz w:val="28"/>
        </w:rPr>
      </w:pPr>
    </w:p>
    <w:p w:rsidR="009D1400" w:rsidRPr="00332B62" w:rsidRDefault="009D1400" w:rsidP="009D1400">
      <w:pPr>
        <w:rPr>
          <w:rFonts w:ascii="Times New Roman" w:hAnsi="Times New Roman" w:cs="Times New Roman"/>
          <w:sz w:val="28"/>
        </w:rPr>
      </w:pPr>
    </w:p>
    <w:p w:rsidR="009D1400" w:rsidRPr="00E5221A" w:rsidRDefault="009D1400" w:rsidP="00D14BE8">
      <w:pPr>
        <w:spacing w:after="0"/>
        <w:ind w:firstLine="567"/>
        <w:jc w:val="both"/>
        <w:rPr>
          <w:rFonts w:ascii="Times New Roman" w:hAnsi="Times New Roman" w:cs="Times New Roman"/>
          <w:sz w:val="28"/>
        </w:rPr>
      </w:pPr>
    </w:p>
    <w:p w:rsidR="00D14BE8" w:rsidRDefault="00D14BE8"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DE525D" w:rsidRPr="00CE2B36" w:rsidRDefault="00DE525D"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680C9C" w:rsidRDefault="00680C9C"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680C9C" w:rsidRDefault="00680C9C"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680C9C" w:rsidRDefault="00680C9C"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680C9C" w:rsidRDefault="00680C9C"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3C4B01">
      <w:pPr>
        <w:jc w:val="center"/>
        <w:rPr>
          <w:rFonts w:ascii="Times New Roman" w:hAnsi="Times New Roman" w:cs="Times New Roman"/>
          <w:b/>
          <w:sz w:val="28"/>
        </w:rPr>
      </w:pPr>
      <w:r w:rsidRPr="000F5AE9">
        <w:rPr>
          <w:rFonts w:ascii="Times New Roman" w:hAnsi="Times New Roman" w:cs="Times New Roman"/>
          <w:b/>
          <w:sz w:val="28"/>
        </w:rPr>
        <w:lastRenderedPageBreak/>
        <w:t>ПРИЛОЖЕНИЕ Г</w:t>
      </w:r>
    </w:p>
    <w:p w:rsidR="003C4B01" w:rsidRDefault="003C4B01" w:rsidP="003C4B01">
      <w:pPr>
        <w:jc w:val="center"/>
        <w:rPr>
          <w:rFonts w:ascii="Times New Roman" w:hAnsi="Times New Roman" w:cs="Times New Roman"/>
          <w:b/>
          <w:sz w:val="28"/>
        </w:rPr>
      </w:pPr>
      <w:r w:rsidRPr="00E5221A">
        <w:rPr>
          <w:rFonts w:ascii="Times New Roman" w:hAnsi="Times New Roman" w:cs="Times New Roman"/>
          <w:b/>
          <w:sz w:val="28"/>
        </w:rPr>
        <w:t xml:space="preserve">ПРОГРАММА </w:t>
      </w:r>
      <w:r>
        <w:rPr>
          <w:rFonts w:ascii="Times New Roman" w:hAnsi="Times New Roman" w:cs="Times New Roman"/>
          <w:b/>
          <w:sz w:val="28"/>
        </w:rPr>
        <w:t>КАЧЕСТВЕННОГО</w:t>
      </w:r>
      <w:r w:rsidRPr="00E5221A">
        <w:rPr>
          <w:rFonts w:ascii="Times New Roman" w:hAnsi="Times New Roman" w:cs="Times New Roman"/>
          <w:b/>
          <w:sz w:val="28"/>
        </w:rPr>
        <w:t xml:space="preserve"> ИССЛЕДОВАНИЯ</w:t>
      </w:r>
      <w:r>
        <w:rPr>
          <w:rFonts w:ascii="Times New Roman" w:hAnsi="Times New Roman" w:cs="Times New Roman"/>
          <w:b/>
          <w:sz w:val="28"/>
        </w:rPr>
        <w:t xml:space="preserve"> (1)</w:t>
      </w:r>
    </w:p>
    <w:p w:rsidR="003C4B01" w:rsidRDefault="003C4B01" w:rsidP="003C4B01">
      <w:pPr>
        <w:spacing w:after="0" w:line="240" w:lineRule="auto"/>
        <w:ind w:firstLine="567"/>
        <w:jc w:val="both"/>
        <w:rPr>
          <w:rFonts w:ascii="Times New Roman" w:hAnsi="Times New Roman" w:cs="Times New Roman"/>
          <w:sz w:val="28"/>
        </w:rPr>
      </w:pPr>
      <w:r>
        <w:rPr>
          <w:rFonts w:ascii="Times New Roman" w:hAnsi="Times New Roman" w:cs="Times New Roman"/>
          <w:b/>
          <w:sz w:val="28"/>
        </w:rPr>
        <w:t>Цель социологического исследования</w:t>
      </w:r>
      <w:r>
        <w:rPr>
          <w:rFonts w:ascii="Times New Roman" w:hAnsi="Times New Roman" w:cs="Times New Roman"/>
          <w:sz w:val="28"/>
        </w:rPr>
        <w:t>: выявить проблемы молодёжных общественных организаций Казахстана в сфере рекрутинга членов, промоутинга, а также систематической институционализированной деятельности.</w:t>
      </w:r>
    </w:p>
    <w:p w:rsidR="003C4B01" w:rsidRDefault="003C4B01" w:rsidP="003C4B01">
      <w:pPr>
        <w:spacing w:after="0" w:line="240" w:lineRule="auto"/>
        <w:ind w:firstLine="567"/>
        <w:jc w:val="both"/>
        <w:rPr>
          <w:rFonts w:ascii="Times New Roman" w:hAnsi="Times New Roman" w:cs="Times New Roman"/>
          <w:sz w:val="28"/>
        </w:rPr>
      </w:pPr>
      <w:r w:rsidRPr="003032AB">
        <w:rPr>
          <w:rFonts w:ascii="Times New Roman" w:hAnsi="Times New Roman" w:cs="Times New Roman"/>
          <w:b/>
          <w:sz w:val="28"/>
        </w:rPr>
        <w:t>Объектами социологического исследования являются</w:t>
      </w:r>
      <w:r>
        <w:rPr>
          <w:rFonts w:ascii="Times New Roman" w:hAnsi="Times New Roman" w:cs="Times New Roman"/>
          <w:sz w:val="28"/>
        </w:rPr>
        <w:t>: представители молодёжных общественных организаций, наиболее известные среди молодёжи.</w:t>
      </w:r>
    </w:p>
    <w:p w:rsidR="003C4B01" w:rsidRDefault="003C4B01" w:rsidP="003C4B01">
      <w:pPr>
        <w:spacing w:after="0" w:line="240" w:lineRule="auto"/>
        <w:ind w:firstLine="567"/>
        <w:jc w:val="both"/>
        <w:rPr>
          <w:rFonts w:ascii="Times New Roman" w:hAnsi="Times New Roman" w:cs="Times New Roman"/>
          <w:sz w:val="28"/>
        </w:rPr>
      </w:pPr>
      <w:r w:rsidRPr="00917EF4">
        <w:rPr>
          <w:rFonts w:ascii="Times New Roman" w:hAnsi="Times New Roman" w:cs="Times New Roman"/>
          <w:b/>
          <w:sz w:val="28"/>
        </w:rPr>
        <w:t>География исследования</w:t>
      </w:r>
      <w:r>
        <w:rPr>
          <w:rFonts w:ascii="Times New Roman" w:hAnsi="Times New Roman" w:cs="Times New Roman"/>
          <w:sz w:val="28"/>
        </w:rPr>
        <w:t>: город Алматы.</w:t>
      </w:r>
    </w:p>
    <w:p w:rsidR="003C4B01" w:rsidRDefault="003C4B01" w:rsidP="003C4B01">
      <w:pPr>
        <w:spacing w:after="0" w:line="240" w:lineRule="auto"/>
        <w:ind w:firstLine="567"/>
        <w:jc w:val="both"/>
        <w:rPr>
          <w:rFonts w:ascii="Times New Roman" w:hAnsi="Times New Roman" w:cs="Times New Roman"/>
          <w:sz w:val="28"/>
        </w:rPr>
      </w:pPr>
      <w:r w:rsidRPr="00315888">
        <w:rPr>
          <w:rFonts w:ascii="Times New Roman" w:hAnsi="Times New Roman" w:cs="Times New Roman"/>
          <w:b/>
          <w:sz w:val="28"/>
        </w:rPr>
        <w:t>Генеральная совокупность исследования</w:t>
      </w:r>
      <w:r>
        <w:rPr>
          <w:rFonts w:ascii="Times New Roman" w:hAnsi="Times New Roman" w:cs="Times New Roman"/>
          <w:sz w:val="28"/>
        </w:rPr>
        <w:t>: представители молодёжных общественных объединений.</w:t>
      </w:r>
    </w:p>
    <w:p w:rsidR="003C4B01" w:rsidRDefault="003C4B01" w:rsidP="003C4B01">
      <w:pPr>
        <w:spacing w:after="0" w:line="240" w:lineRule="auto"/>
        <w:ind w:firstLine="567"/>
        <w:jc w:val="both"/>
        <w:rPr>
          <w:rFonts w:ascii="Times New Roman" w:hAnsi="Times New Roman" w:cs="Times New Roman"/>
          <w:sz w:val="28"/>
        </w:rPr>
      </w:pPr>
      <w:r w:rsidRPr="00171D19">
        <w:rPr>
          <w:rFonts w:ascii="Times New Roman" w:hAnsi="Times New Roman" w:cs="Times New Roman"/>
          <w:b/>
          <w:sz w:val="28"/>
        </w:rPr>
        <w:t>Выборка</w:t>
      </w:r>
      <w:r>
        <w:rPr>
          <w:rFonts w:ascii="Times New Roman" w:hAnsi="Times New Roman" w:cs="Times New Roman"/>
          <w:sz w:val="28"/>
        </w:rPr>
        <w:t xml:space="preserve"> </w:t>
      </w:r>
      <w:r w:rsidRPr="00315888">
        <w:rPr>
          <w:rFonts w:ascii="Times New Roman" w:hAnsi="Times New Roman" w:cs="Times New Roman"/>
          <w:b/>
          <w:sz w:val="28"/>
        </w:rPr>
        <w:t>исследования</w:t>
      </w:r>
      <w:r>
        <w:rPr>
          <w:rFonts w:ascii="Times New Roman" w:hAnsi="Times New Roman" w:cs="Times New Roman"/>
          <w:sz w:val="28"/>
        </w:rPr>
        <w:t>: метод критериальной выборки (3 полуструктурированные интервью с представителями наиболее известных молодёжи общественных организаций).</w:t>
      </w:r>
    </w:p>
    <w:p w:rsidR="003C4B01" w:rsidRDefault="003C4B01" w:rsidP="003C4B01">
      <w:pPr>
        <w:spacing w:after="0" w:line="240" w:lineRule="auto"/>
        <w:ind w:firstLine="567"/>
        <w:jc w:val="both"/>
        <w:rPr>
          <w:rFonts w:ascii="Times New Roman" w:hAnsi="Times New Roman" w:cs="Times New Roman"/>
          <w:sz w:val="28"/>
        </w:rPr>
      </w:pPr>
      <w:r w:rsidRPr="00D17D85">
        <w:rPr>
          <w:rFonts w:ascii="Times New Roman" w:hAnsi="Times New Roman" w:cs="Times New Roman"/>
          <w:b/>
          <w:sz w:val="28"/>
        </w:rPr>
        <w:t>Метод сбора данных</w:t>
      </w:r>
      <w:r>
        <w:rPr>
          <w:rFonts w:ascii="Times New Roman" w:hAnsi="Times New Roman" w:cs="Times New Roman"/>
          <w:sz w:val="28"/>
        </w:rPr>
        <w:t>: для опроса будет применяться индивидуальное глубинное интервью в форме личной устной беседы.</w:t>
      </w:r>
    </w:p>
    <w:p w:rsidR="003C4B01" w:rsidRDefault="003C4B01" w:rsidP="003C4B01">
      <w:pPr>
        <w:spacing w:after="0" w:line="240" w:lineRule="auto"/>
        <w:ind w:firstLine="567"/>
        <w:jc w:val="both"/>
        <w:rPr>
          <w:rFonts w:ascii="Times New Roman" w:hAnsi="Times New Roman" w:cs="Times New Roman"/>
          <w:sz w:val="28"/>
        </w:rPr>
      </w:pPr>
      <w:r w:rsidRPr="00EF48C5">
        <w:rPr>
          <w:rFonts w:ascii="Times New Roman" w:hAnsi="Times New Roman" w:cs="Times New Roman"/>
          <w:b/>
          <w:sz w:val="28"/>
        </w:rPr>
        <w:t>Инструментарий исследования</w:t>
      </w:r>
      <w:r>
        <w:rPr>
          <w:rFonts w:ascii="Times New Roman" w:hAnsi="Times New Roman" w:cs="Times New Roman"/>
          <w:b/>
          <w:sz w:val="28"/>
        </w:rPr>
        <w:t>:</w:t>
      </w:r>
      <w:r>
        <w:rPr>
          <w:rFonts w:ascii="Times New Roman" w:hAnsi="Times New Roman" w:cs="Times New Roman"/>
          <w:sz w:val="28"/>
        </w:rPr>
        <w:t xml:space="preserve"> разработан гайд для интервью на русском и казахском языках. Конкретное решение по использованию языка инструментария принимается респондентом свободно и самостоятельно.</w:t>
      </w:r>
    </w:p>
    <w:p w:rsidR="003C4B01" w:rsidRDefault="003C4B01" w:rsidP="003C4B01">
      <w:pPr>
        <w:spacing w:after="0" w:line="240" w:lineRule="auto"/>
        <w:ind w:firstLine="567"/>
        <w:jc w:val="both"/>
        <w:rPr>
          <w:rFonts w:ascii="Times New Roman" w:hAnsi="Times New Roman" w:cs="Times New Roman"/>
          <w:sz w:val="28"/>
        </w:rPr>
      </w:pPr>
      <w:r w:rsidRPr="00012F07">
        <w:rPr>
          <w:rFonts w:ascii="Times New Roman" w:hAnsi="Times New Roman" w:cs="Times New Roman"/>
          <w:b/>
          <w:sz w:val="28"/>
        </w:rPr>
        <w:t>Этические вопросы</w:t>
      </w:r>
      <w:r>
        <w:rPr>
          <w:rFonts w:ascii="Times New Roman" w:hAnsi="Times New Roman" w:cs="Times New Roman"/>
          <w:sz w:val="28"/>
        </w:rPr>
        <w:t>: участие в интервью добровольное, на основе согласия респондентов.</w:t>
      </w:r>
    </w:p>
    <w:p w:rsidR="003C4B01" w:rsidRPr="00D17D85" w:rsidRDefault="003C4B01" w:rsidP="003C4B01">
      <w:pPr>
        <w:spacing w:after="0" w:line="240" w:lineRule="auto"/>
        <w:ind w:firstLine="567"/>
        <w:jc w:val="both"/>
        <w:rPr>
          <w:rFonts w:ascii="Times New Roman" w:hAnsi="Times New Roman" w:cs="Times New Roman"/>
          <w:sz w:val="28"/>
        </w:rPr>
      </w:pPr>
      <w:r w:rsidRPr="00254330">
        <w:rPr>
          <w:rFonts w:ascii="Times New Roman" w:hAnsi="Times New Roman" w:cs="Times New Roman"/>
          <w:b/>
          <w:sz w:val="28"/>
        </w:rPr>
        <w:t>Обработка полученных данных</w:t>
      </w:r>
      <w:r>
        <w:rPr>
          <w:rFonts w:ascii="Times New Roman" w:hAnsi="Times New Roman" w:cs="Times New Roman"/>
          <w:sz w:val="28"/>
        </w:rPr>
        <w:t>:</w:t>
      </w:r>
      <w:r w:rsidRPr="00254330">
        <w:t xml:space="preserve"> </w:t>
      </w:r>
      <w:r w:rsidRPr="00254330">
        <w:rPr>
          <w:rFonts w:ascii="Times New Roman" w:hAnsi="Times New Roman" w:cs="Times New Roman"/>
          <w:sz w:val="28"/>
          <w:szCs w:val="28"/>
        </w:rPr>
        <w:t>ре</w:t>
      </w:r>
      <w:r w:rsidRPr="00254330">
        <w:rPr>
          <w:rFonts w:ascii="Times New Roman" w:hAnsi="Times New Roman" w:cs="Times New Roman"/>
          <w:sz w:val="28"/>
        </w:rPr>
        <w:t xml:space="preserve">зультаты интервью </w:t>
      </w:r>
      <w:r>
        <w:rPr>
          <w:rFonts w:ascii="Times New Roman" w:hAnsi="Times New Roman" w:cs="Times New Roman"/>
          <w:sz w:val="28"/>
        </w:rPr>
        <w:t>будут</w:t>
      </w:r>
      <w:r w:rsidRPr="00254330">
        <w:rPr>
          <w:rFonts w:ascii="Times New Roman" w:hAnsi="Times New Roman" w:cs="Times New Roman"/>
          <w:sz w:val="28"/>
        </w:rPr>
        <w:t xml:space="preserve"> обработаны с использованием методов тематического анализа, сравнительного анализа и качественного контент-анализа</w:t>
      </w:r>
      <w:r>
        <w:rPr>
          <w:rFonts w:ascii="Times New Roman" w:hAnsi="Times New Roman" w:cs="Times New Roman"/>
          <w:sz w:val="28"/>
        </w:rPr>
        <w:t>. Для повышения надёжности результатов анализа будет применяться метод триангуляции (сопоставление с результатами других исследований, обсуждение в разных аудиториях).</w:t>
      </w:r>
    </w:p>
    <w:p w:rsidR="003C4B01" w:rsidRPr="00171D19" w:rsidRDefault="003C4B01" w:rsidP="003C4B01">
      <w:pPr>
        <w:spacing w:after="0" w:line="240" w:lineRule="auto"/>
        <w:ind w:firstLine="567"/>
        <w:jc w:val="both"/>
        <w:rPr>
          <w:rFonts w:ascii="Times New Roman" w:hAnsi="Times New Roman" w:cs="Times New Roman"/>
          <w:sz w:val="28"/>
        </w:rPr>
      </w:pPr>
    </w:p>
    <w:p w:rsidR="003C4B01" w:rsidRPr="000A389B" w:rsidRDefault="003C4B01" w:rsidP="003C4B01">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p>
    <w:p w:rsidR="00680C9C" w:rsidRDefault="00680C9C"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E7EBF" w:rsidRDefault="003E7EBF"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E7EBF" w:rsidRDefault="003E7EBF"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3C4B01" w:rsidRDefault="003C4B01" w:rsidP="003C4B01">
      <w:pPr>
        <w:jc w:val="center"/>
        <w:rPr>
          <w:rFonts w:ascii="Times New Roman" w:hAnsi="Times New Roman" w:cs="Times New Roman"/>
          <w:b/>
          <w:sz w:val="28"/>
        </w:rPr>
      </w:pPr>
      <w:r w:rsidRPr="00DF5128">
        <w:rPr>
          <w:rFonts w:ascii="Times New Roman" w:hAnsi="Times New Roman" w:cs="Times New Roman"/>
          <w:b/>
          <w:sz w:val="28"/>
        </w:rPr>
        <w:lastRenderedPageBreak/>
        <w:t>ПРИЛОЖЕНИЕ Д</w:t>
      </w:r>
    </w:p>
    <w:p w:rsidR="003C4B01" w:rsidRDefault="003C4B01" w:rsidP="003C4B01">
      <w:pPr>
        <w:jc w:val="center"/>
        <w:rPr>
          <w:rFonts w:ascii="Times New Roman" w:hAnsi="Times New Roman" w:cs="Times New Roman"/>
          <w:b/>
          <w:sz w:val="28"/>
        </w:rPr>
      </w:pPr>
      <w:r>
        <w:rPr>
          <w:rFonts w:ascii="Times New Roman" w:hAnsi="Times New Roman" w:cs="Times New Roman"/>
          <w:b/>
          <w:sz w:val="28"/>
        </w:rPr>
        <w:t>РУКОВОДСТВО ДЛЯ ГЛУБИННОГО ИНТЕРВЬЮ (1)</w:t>
      </w:r>
    </w:p>
    <w:p w:rsidR="003C4B01" w:rsidRPr="00E22110" w:rsidRDefault="003C4B01" w:rsidP="003C4B01">
      <w:pPr>
        <w:spacing w:after="0" w:line="240" w:lineRule="auto"/>
        <w:ind w:firstLine="567"/>
        <w:jc w:val="both"/>
        <w:rPr>
          <w:rFonts w:ascii="Times New Roman" w:hAnsi="Times New Roman" w:cs="Times New Roman"/>
          <w:b/>
          <w:sz w:val="28"/>
        </w:rPr>
      </w:pPr>
      <w:r w:rsidRPr="00E22110">
        <w:rPr>
          <w:rFonts w:ascii="Times New Roman" w:hAnsi="Times New Roman" w:cs="Times New Roman"/>
          <w:b/>
          <w:sz w:val="28"/>
        </w:rPr>
        <w:t>Основные положения.</w:t>
      </w:r>
    </w:p>
    <w:p w:rsidR="003C4B01" w:rsidRDefault="003C4B01" w:rsidP="003C4B01">
      <w:pPr>
        <w:spacing w:after="0" w:line="240" w:lineRule="auto"/>
        <w:ind w:firstLine="567"/>
        <w:jc w:val="both"/>
        <w:rPr>
          <w:rFonts w:ascii="Times New Roman" w:hAnsi="Times New Roman" w:cs="Times New Roman"/>
          <w:sz w:val="28"/>
        </w:rPr>
      </w:pPr>
      <w:r w:rsidRPr="00E22110">
        <w:rPr>
          <w:rFonts w:ascii="Times New Roman" w:hAnsi="Times New Roman" w:cs="Times New Roman"/>
          <w:b/>
          <w:sz w:val="28"/>
        </w:rPr>
        <w:t>Цель документа</w:t>
      </w:r>
      <w:r>
        <w:rPr>
          <w:rFonts w:ascii="Times New Roman" w:hAnsi="Times New Roman" w:cs="Times New Roman"/>
          <w:sz w:val="28"/>
        </w:rPr>
        <w:t>: ознакомление с вопросами и темами, рассматриваемыми в интервью. В ходе беседы интервьюер может комбинировать вопросы, задавать уточняющие и проясняющие вопросы, углубляться в какую-либо тему, которая является наиболее релевантной для исследования, либо игнорировать вопросы, которые уже были затронуты в процессе интервью. Вопросы не меняются местами, однако, интервьюируемые респонденты могут добавить нюанс или аспект ответа, не учтённый вопросами, для лучшего достижения целей, поставленных интервью.</w:t>
      </w:r>
    </w:p>
    <w:p w:rsidR="003C4B01" w:rsidRDefault="003C4B01" w:rsidP="003C4B01">
      <w:pPr>
        <w:spacing w:after="0" w:line="240" w:lineRule="auto"/>
        <w:ind w:firstLine="567"/>
        <w:jc w:val="both"/>
        <w:rPr>
          <w:rFonts w:ascii="Times New Roman" w:hAnsi="Times New Roman" w:cs="Times New Roman"/>
          <w:sz w:val="28"/>
        </w:rPr>
      </w:pPr>
    </w:p>
    <w:p w:rsidR="003C4B01" w:rsidRDefault="003C4B01" w:rsidP="003C4B01">
      <w:pPr>
        <w:spacing w:after="0" w:line="240" w:lineRule="auto"/>
        <w:ind w:firstLine="567"/>
        <w:jc w:val="both"/>
        <w:rPr>
          <w:rFonts w:ascii="Times New Roman" w:hAnsi="Times New Roman" w:cs="Times New Roman"/>
          <w:sz w:val="28"/>
        </w:rPr>
      </w:pPr>
      <w:r w:rsidRPr="00F35332">
        <w:rPr>
          <w:rFonts w:ascii="Times New Roman" w:hAnsi="Times New Roman" w:cs="Times New Roman"/>
          <w:b/>
          <w:sz w:val="28"/>
        </w:rPr>
        <w:t>Представление (5 минут)</w:t>
      </w:r>
      <w:r>
        <w:rPr>
          <w:rFonts w:ascii="Times New Roman" w:hAnsi="Times New Roman" w:cs="Times New Roman"/>
          <w:sz w:val="28"/>
        </w:rPr>
        <w:t>:</w:t>
      </w:r>
    </w:p>
    <w:p w:rsidR="003C4B01" w:rsidRPr="002A06F5" w:rsidRDefault="003C4B01" w:rsidP="003C4B01">
      <w:pPr>
        <w:spacing w:after="0" w:line="240" w:lineRule="auto"/>
        <w:ind w:firstLine="567"/>
        <w:jc w:val="both"/>
        <w:rPr>
          <w:rFonts w:ascii="Times New Roman" w:hAnsi="Times New Roman" w:cs="Times New Roman"/>
          <w:i/>
          <w:sz w:val="28"/>
        </w:rPr>
      </w:pPr>
      <w:r w:rsidRPr="002A06F5">
        <w:rPr>
          <w:rFonts w:ascii="Times New Roman" w:hAnsi="Times New Roman" w:cs="Times New Roman"/>
          <w:i/>
          <w:sz w:val="28"/>
        </w:rPr>
        <w:t>Уважаемый(ая) участник интервью!</w:t>
      </w:r>
    </w:p>
    <w:p w:rsidR="003C4B01" w:rsidRPr="002A06F5" w:rsidRDefault="003C4B01" w:rsidP="003C4B01">
      <w:pPr>
        <w:spacing w:after="0" w:line="240" w:lineRule="auto"/>
        <w:ind w:firstLine="567"/>
        <w:jc w:val="both"/>
        <w:rPr>
          <w:rFonts w:ascii="Times New Roman" w:hAnsi="Times New Roman" w:cs="Times New Roman"/>
          <w:i/>
          <w:sz w:val="28"/>
        </w:rPr>
      </w:pPr>
      <w:r w:rsidRPr="002A06F5">
        <w:rPr>
          <w:rFonts w:ascii="Times New Roman" w:hAnsi="Times New Roman" w:cs="Times New Roman"/>
          <w:i/>
          <w:sz w:val="28"/>
        </w:rPr>
        <w:t>Меня зовут Анастасия Федорова, я являюсь докторанткой Института философии, политологии и религиоведения Комитета науки Министерства науки и высшего образования Республики Казахстан (ИФПР КН МНВО РК).</w:t>
      </w:r>
    </w:p>
    <w:p w:rsidR="003C4B01" w:rsidRPr="002A06F5" w:rsidRDefault="003C4B01" w:rsidP="003C4B01">
      <w:pPr>
        <w:spacing w:after="0" w:line="240" w:lineRule="auto"/>
        <w:ind w:firstLine="567"/>
        <w:jc w:val="both"/>
        <w:rPr>
          <w:rFonts w:ascii="Times New Roman" w:hAnsi="Times New Roman" w:cs="Times New Roman"/>
          <w:i/>
          <w:sz w:val="28"/>
        </w:rPr>
      </w:pPr>
      <w:r w:rsidRPr="002A06F5">
        <w:rPr>
          <w:rFonts w:ascii="Times New Roman" w:hAnsi="Times New Roman" w:cs="Times New Roman"/>
          <w:i/>
          <w:sz w:val="28"/>
        </w:rPr>
        <w:t>В настоящее время я провожу диссертационное исследование на тему: «Роль информационных технологий в становлении и развитии институтов гражданского общества в Казахстане».</w:t>
      </w:r>
    </w:p>
    <w:p w:rsidR="003C4B01" w:rsidRPr="002A06F5" w:rsidRDefault="003C4B01" w:rsidP="003C4B01">
      <w:pPr>
        <w:spacing w:after="0" w:line="240" w:lineRule="auto"/>
        <w:ind w:firstLine="567"/>
        <w:jc w:val="both"/>
        <w:rPr>
          <w:rFonts w:ascii="Times New Roman" w:hAnsi="Times New Roman" w:cs="Times New Roman"/>
          <w:i/>
          <w:sz w:val="28"/>
        </w:rPr>
      </w:pPr>
      <w:r>
        <w:rPr>
          <w:rFonts w:ascii="Times New Roman" w:hAnsi="Times New Roman" w:cs="Times New Roman"/>
          <w:i/>
          <w:sz w:val="28"/>
        </w:rPr>
        <w:t xml:space="preserve">Цель данного интервью – </w:t>
      </w:r>
      <w:r w:rsidRPr="002A06F5">
        <w:rPr>
          <w:rFonts w:ascii="Times New Roman" w:hAnsi="Times New Roman" w:cs="Times New Roman"/>
          <w:i/>
          <w:sz w:val="28"/>
        </w:rPr>
        <w:t>изучение влияния информационных технологий и социальных медиа на деятельность молодёжных общественных организаций, а также на процессы развития гражданского общества в Республике Казахстан.</w:t>
      </w:r>
    </w:p>
    <w:p w:rsidR="003C4B01" w:rsidRPr="002A06F5" w:rsidRDefault="003C4B01" w:rsidP="003C4B01">
      <w:pPr>
        <w:spacing w:after="0" w:line="240" w:lineRule="auto"/>
        <w:ind w:firstLine="567"/>
        <w:jc w:val="both"/>
        <w:rPr>
          <w:rFonts w:ascii="Times New Roman" w:hAnsi="Times New Roman" w:cs="Times New Roman"/>
          <w:i/>
          <w:sz w:val="28"/>
        </w:rPr>
      </w:pPr>
      <w:r w:rsidRPr="002A06F5">
        <w:rPr>
          <w:rFonts w:ascii="Times New Roman" w:hAnsi="Times New Roman" w:cs="Times New Roman"/>
          <w:i/>
          <w:sz w:val="28"/>
        </w:rPr>
        <w:t>Полученные в ходе интервью данные будут использованы исключительно в научных целях и сопоставлены с результатами социологического опроса молодёжи Казахстана, а также с данными регрессионного анализа, проведённого в рамках диссертационного исследования.</w:t>
      </w:r>
    </w:p>
    <w:p w:rsidR="003C4B01" w:rsidRDefault="003C4B01" w:rsidP="003C4B01">
      <w:pPr>
        <w:spacing w:after="0" w:line="240" w:lineRule="auto"/>
        <w:ind w:firstLine="567"/>
        <w:jc w:val="both"/>
        <w:rPr>
          <w:rFonts w:ascii="Times New Roman" w:hAnsi="Times New Roman" w:cs="Times New Roman"/>
          <w:i/>
          <w:sz w:val="28"/>
        </w:rPr>
      </w:pPr>
      <w:r w:rsidRPr="002A06F5">
        <w:rPr>
          <w:rFonts w:ascii="Times New Roman" w:hAnsi="Times New Roman" w:cs="Times New Roman"/>
          <w:i/>
          <w:sz w:val="28"/>
        </w:rPr>
        <w:t>Благодарю Вас за согласие принять участие в интервью и за Ваш вклад в развитие научного исследования.</w:t>
      </w:r>
    </w:p>
    <w:p w:rsidR="003C4B01" w:rsidRPr="002A06F5" w:rsidRDefault="003C4B01" w:rsidP="003C4B01">
      <w:pPr>
        <w:spacing w:after="0" w:line="240" w:lineRule="auto"/>
        <w:ind w:firstLine="567"/>
        <w:jc w:val="both"/>
        <w:rPr>
          <w:rFonts w:ascii="Times New Roman" w:hAnsi="Times New Roman" w:cs="Times New Roman"/>
          <w:sz w:val="28"/>
        </w:rPr>
      </w:pPr>
    </w:p>
    <w:p w:rsidR="003C4B01" w:rsidRPr="00D3713D" w:rsidRDefault="003C4B01" w:rsidP="003C4B01">
      <w:pPr>
        <w:spacing w:after="0" w:line="240" w:lineRule="auto"/>
        <w:ind w:firstLine="567"/>
        <w:jc w:val="both"/>
        <w:rPr>
          <w:rFonts w:ascii="Times New Roman" w:hAnsi="Times New Roman" w:cs="Times New Roman"/>
          <w:i/>
          <w:sz w:val="28"/>
        </w:rPr>
      </w:pPr>
      <w:r w:rsidRPr="00D3713D">
        <w:rPr>
          <w:rFonts w:ascii="Times New Roman" w:hAnsi="Times New Roman" w:cs="Times New Roman"/>
          <w:i/>
          <w:sz w:val="28"/>
        </w:rPr>
        <w:t>Құрметті сұхбатқа қатысушы!</w:t>
      </w:r>
    </w:p>
    <w:p w:rsidR="003C4B01" w:rsidRPr="00D3713D" w:rsidRDefault="003C4B01" w:rsidP="003C4B01">
      <w:pPr>
        <w:spacing w:after="0" w:line="240" w:lineRule="auto"/>
        <w:ind w:firstLine="567"/>
        <w:jc w:val="both"/>
        <w:rPr>
          <w:rFonts w:ascii="Times New Roman" w:hAnsi="Times New Roman" w:cs="Times New Roman"/>
          <w:i/>
          <w:sz w:val="28"/>
        </w:rPr>
      </w:pPr>
      <w:r w:rsidRPr="00D3713D">
        <w:rPr>
          <w:rFonts w:ascii="Times New Roman" w:hAnsi="Times New Roman" w:cs="Times New Roman"/>
          <w:i/>
          <w:sz w:val="28"/>
        </w:rPr>
        <w:t>Менің атым Анастасия Федорова, мен Қазақстан Республикасы Ғылым және жоғары білім министрлігі Ғылым комитетінің Философия, саясаттану және дінтану институтының (ҚР ҒЖБМ ҒК ФСДИ) докторантымын.</w:t>
      </w:r>
    </w:p>
    <w:p w:rsidR="003C4B01" w:rsidRPr="00D3713D" w:rsidRDefault="003C4B01" w:rsidP="003C4B01">
      <w:pPr>
        <w:spacing w:after="0" w:line="240" w:lineRule="auto"/>
        <w:ind w:firstLine="567"/>
        <w:jc w:val="both"/>
        <w:rPr>
          <w:rFonts w:ascii="Times New Roman" w:hAnsi="Times New Roman" w:cs="Times New Roman"/>
          <w:i/>
          <w:sz w:val="28"/>
        </w:rPr>
      </w:pPr>
      <w:r w:rsidRPr="00D3713D">
        <w:rPr>
          <w:rFonts w:ascii="Times New Roman" w:hAnsi="Times New Roman" w:cs="Times New Roman"/>
          <w:i/>
          <w:sz w:val="28"/>
        </w:rPr>
        <w:t>Қазіргі уақытта мен «Қазақстандағы азаматтық қоғам институттарының қалыптасуы мен дамуындағы ақпараттық технологиялардың рөлі» тақырыбында диссертациялық зерттеу жүргізудемін.</w:t>
      </w:r>
    </w:p>
    <w:p w:rsidR="003C4B01" w:rsidRPr="00D3713D" w:rsidRDefault="003C4B01" w:rsidP="003C4B01">
      <w:pPr>
        <w:spacing w:after="0" w:line="240" w:lineRule="auto"/>
        <w:ind w:firstLine="567"/>
        <w:jc w:val="both"/>
        <w:rPr>
          <w:rFonts w:ascii="Times New Roman" w:hAnsi="Times New Roman" w:cs="Times New Roman"/>
          <w:i/>
          <w:sz w:val="28"/>
        </w:rPr>
      </w:pPr>
      <w:r w:rsidRPr="00D3713D">
        <w:rPr>
          <w:rFonts w:ascii="Times New Roman" w:hAnsi="Times New Roman" w:cs="Times New Roman"/>
          <w:i/>
          <w:sz w:val="28"/>
        </w:rPr>
        <w:t>Осы сұхбаттың мақсаты – ақпараттық технологиялар мен әлеуметтік медианың жастар қоғамдық ұйымдарының қызметіне, сондай-ақ Қазақстан Республикасындағы азаматтық қоғамның даму үдерістеріне ықпалын зерттеу.</w:t>
      </w:r>
    </w:p>
    <w:p w:rsidR="003C4B01" w:rsidRPr="00D3713D" w:rsidRDefault="003C4B01" w:rsidP="003C4B01">
      <w:pPr>
        <w:spacing w:after="0" w:line="240" w:lineRule="auto"/>
        <w:ind w:firstLine="567"/>
        <w:jc w:val="both"/>
        <w:rPr>
          <w:rFonts w:ascii="Times New Roman" w:hAnsi="Times New Roman" w:cs="Times New Roman"/>
          <w:i/>
          <w:sz w:val="28"/>
        </w:rPr>
      </w:pPr>
      <w:r w:rsidRPr="00D3713D">
        <w:rPr>
          <w:rFonts w:ascii="Times New Roman" w:hAnsi="Times New Roman" w:cs="Times New Roman"/>
          <w:i/>
          <w:sz w:val="28"/>
        </w:rPr>
        <w:t xml:space="preserve">Сұхбат барысында алынған мәліметтер тек ғылыми мақсатта пайдаланылып, Қазақстан жастары арасында жүргізілген әлеуметтік </w:t>
      </w:r>
      <w:r w:rsidRPr="00D3713D">
        <w:rPr>
          <w:rFonts w:ascii="Times New Roman" w:hAnsi="Times New Roman" w:cs="Times New Roman"/>
          <w:i/>
          <w:sz w:val="28"/>
        </w:rPr>
        <w:lastRenderedPageBreak/>
        <w:t>сауалнама нәтижелерімен, сондай-ақ диссертациялық зерттеу аясында жүргізілген регрессиялық талдау деректерімен салыстырылатын болады.</w:t>
      </w:r>
    </w:p>
    <w:p w:rsidR="003C4B01" w:rsidRPr="00D3713D" w:rsidRDefault="003C4B01" w:rsidP="003C4B01">
      <w:pPr>
        <w:spacing w:after="0" w:line="240" w:lineRule="auto"/>
        <w:ind w:firstLine="567"/>
        <w:jc w:val="both"/>
        <w:rPr>
          <w:rFonts w:ascii="Times New Roman" w:hAnsi="Times New Roman" w:cs="Times New Roman"/>
          <w:i/>
          <w:sz w:val="28"/>
        </w:rPr>
      </w:pPr>
      <w:r w:rsidRPr="00D3713D">
        <w:rPr>
          <w:rFonts w:ascii="Times New Roman" w:hAnsi="Times New Roman" w:cs="Times New Roman"/>
          <w:i/>
          <w:sz w:val="28"/>
        </w:rPr>
        <w:t>Сұхбатқа қатысуға келісім бергеніңіз үшін және ғылыми зерттеудің дамуына қосқан үлесіңіз үшін алғыс білдіремін.</w:t>
      </w:r>
    </w:p>
    <w:p w:rsidR="003C4B01" w:rsidRDefault="003C4B01" w:rsidP="003C4B01">
      <w:pPr>
        <w:spacing w:after="0" w:line="240" w:lineRule="auto"/>
        <w:ind w:firstLine="567"/>
        <w:jc w:val="both"/>
        <w:rPr>
          <w:rFonts w:ascii="Times New Roman" w:hAnsi="Times New Roman" w:cs="Times New Roman"/>
          <w:sz w:val="28"/>
        </w:rPr>
      </w:pPr>
    </w:p>
    <w:tbl>
      <w:tblPr>
        <w:tblStyle w:val="af4"/>
        <w:tblW w:w="9493" w:type="dxa"/>
        <w:tblLayout w:type="fixed"/>
        <w:tblLook w:val="04A0" w:firstRow="1" w:lastRow="0" w:firstColumn="1" w:lastColumn="0" w:noHBand="0" w:noVBand="1"/>
      </w:tblPr>
      <w:tblGrid>
        <w:gridCol w:w="415"/>
        <w:gridCol w:w="1730"/>
        <w:gridCol w:w="6497"/>
        <w:gridCol w:w="851"/>
      </w:tblGrid>
      <w:tr w:rsidR="003C4B01" w:rsidTr="006625FC">
        <w:tc>
          <w:tcPr>
            <w:tcW w:w="2145" w:type="dxa"/>
            <w:gridSpan w:val="2"/>
          </w:tcPr>
          <w:p w:rsidR="003C4B01" w:rsidRPr="00201105" w:rsidRDefault="003C4B01" w:rsidP="006625FC">
            <w:pPr>
              <w:jc w:val="center"/>
              <w:rPr>
                <w:rFonts w:ascii="Times New Roman" w:hAnsi="Times New Roman" w:cs="Times New Roman"/>
                <w:b/>
                <w:sz w:val="28"/>
              </w:rPr>
            </w:pPr>
            <w:r w:rsidRPr="00201105">
              <w:rPr>
                <w:rFonts w:ascii="Times New Roman" w:hAnsi="Times New Roman" w:cs="Times New Roman"/>
                <w:b/>
                <w:sz w:val="28"/>
              </w:rPr>
              <w:t>БЛОК</w:t>
            </w:r>
          </w:p>
        </w:tc>
        <w:tc>
          <w:tcPr>
            <w:tcW w:w="6497" w:type="dxa"/>
          </w:tcPr>
          <w:p w:rsidR="003C4B01" w:rsidRPr="00201105" w:rsidRDefault="003C4B01" w:rsidP="006625FC">
            <w:pPr>
              <w:jc w:val="center"/>
              <w:rPr>
                <w:rFonts w:ascii="Times New Roman" w:hAnsi="Times New Roman" w:cs="Times New Roman"/>
                <w:b/>
                <w:sz w:val="28"/>
              </w:rPr>
            </w:pPr>
            <w:r w:rsidRPr="00201105">
              <w:rPr>
                <w:rFonts w:ascii="Times New Roman" w:hAnsi="Times New Roman" w:cs="Times New Roman"/>
                <w:b/>
                <w:sz w:val="28"/>
              </w:rPr>
              <w:t>Вопросы</w:t>
            </w:r>
          </w:p>
        </w:tc>
        <w:tc>
          <w:tcPr>
            <w:tcW w:w="851" w:type="dxa"/>
          </w:tcPr>
          <w:p w:rsidR="003C4B01" w:rsidRPr="00201105" w:rsidRDefault="003C4B01" w:rsidP="006625FC">
            <w:pPr>
              <w:jc w:val="center"/>
              <w:rPr>
                <w:rFonts w:ascii="Times New Roman" w:hAnsi="Times New Roman" w:cs="Times New Roman"/>
                <w:b/>
                <w:sz w:val="28"/>
              </w:rPr>
            </w:pPr>
            <w:r w:rsidRPr="00201105">
              <w:rPr>
                <w:rFonts w:ascii="Times New Roman" w:hAnsi="Times New Roman" w:cs="Times New Roman"/>
                <w:b/>
                <w:sz w:val="28"/>
              </w:rPr>
              <w:t>Комментарии</w:t>
            </w:r>
          </w:p>
        </w:tc>
      </w:tr>
      <w:tr w:rsidR="003C4B01" w:rsidTr="006625FC">
        <w:tc>
          <w:tcPr>
            <w:tcW w:w="9493" w:type="dxa"/>
            <w:gridSpan w:val="4"/>
          </w:tcPr>
          <w:p w:rsidR="003C4B01" w:rsidRPr="003828DF" w:rsidRDefault="003C4B01" w:rsidP="006625FC">
            <w:pPr>
              <w:jc w:val="center"/>
              <w:rPr>
                <w:rFonts w:ascii="Times New Roman" w:hAnsi="Times New Roman" w:cs="Times New Roman"/>
                <w:b/>
                <w:i/>
                <w:sz w:val="28"/>
              </w:rPr>
            </w:pPr>
            <w:r w:rsidRPr="003828DF">
              <w:rPr>
                <w:rFonts w:ascii="Times New Roman" w:hAnsi="Times New Roman" w:cs="Times New Roman"/>
                <w:b/>
                <w:i/>
                <w:sz w:val="28"/>
              </w:rPr>
              <w:t>БЛОК 1</w:t>
            </w:r>
          </w:p>
        </w:tc>
      </w:tr>
      <w:tr w:rsidR="003C4B01" w:rsidTr="006625FC">
        <w:tc>
          <w:tcPr>
            <w:tcW w:w="415" w:type="dxa"/>
          </w:tcPr>
          <w:p w:rsidR="003C4B01" w:rsidRDefault="003C4B01" w:rsidP="006625FC">
            <w:pPr>
              <w:jc w:val="both"/>
              <w:rPr>
                <w:rFonts w:ascii="Times New Roman" w:hAnsi="Times New Roman" w:cs="Times New Roman"/>
                <w:sz w:val="28"/>
              </w:rPr>
            </w:pPr>
            <w:r>
              <w:rPr>
                <w:rFonts w:ascii="Times New Roman" w:hAnsi="Times New Roman" w:cs="Times New Roman"/>
                <w:sz w:val="28"/>
              </w:rPr>
              <w:t>1</w:t>
            </w:r>
          </w:p>
        </w:tc>
        <w:tc>
          <w:tcPr>
            <w:tcW w:w="1730" w:type="dxa"/>
          </w:tcPr>
          <w:p w:rsidR="003C4B01" w:rsidRDefault="003C4B01" w:rsidP="006625FC">
            <w:pPr>
              <w:jc w:val="both"/>
              <w:rPr>
                <w:rFonts w:ascii="Times New Roman" w:hAnsi="Times New Roman" w:cs="Times New Roman"/>
                <w:sz w:val="28"/>
              </w:rPr>
            </w:pPr>
            <w:r>
              <w:rPr>
                <w:rFonts w:ascii="Times New Roman" w:hAnsi="Times New Roman" w:cs="Times New Roman"/>
                <w:sz w:val="28"/>
              </w:rPr>
              <w:t>Офлайн-гражданское участие молодёжи</w:t>
            </w:r>
          </w:p>
        </w:tc>
        <w:tc>
          <w:tcPr>
            <w:tcW w:w="6497" w:type="dxa"/>
          </w:tcPr>
          <w:p w:rsidR="003C4B01" w:rsidRPr="005F03A0" w:rsidRDefault="003C4B01" w:rsidP="008465D6">
            <w:pPr>
              <w:pStyle w:val="a3"/>
              <w:numPr>
                <w:ilvl w:val="0"/>
                <w:numId w:val="79"/>
              </w:numPr>
              <w:ind w:left="-32" w:hanging="43"/>
              <w:jc w:val="both"/>
              <w:rPr>
                <w:rFonts w:ascii="Times New Roman" w:hAnsi="Times New Roman" w:cs="Times New Roman"/>
                <w:sz w:val="28"/>
                <w:szCs w:val="28"/>
              </w:rPr>
            </w:pPr>
            <w:r w:rsidRPr="005F03A0">
              <w:rPr>
                <w:rFonts w:ascii="Times New Roman" w:hAnsi="Times New Roman" w:cs="Times New Roman"/>
                <w:sz w:val="28"/>
                <w:szCs w:val="28"/>
              </w:rPr>
              <w:t>Как вы можете оценить готовность молодёжи Казахстана к гражданскому вовлечению (к участию в деятельности вашей организации</w:t>
            </w:r>
            <w:proofErr w:type="gramStart"/>
            <w:r w:rsidRPr="005F03A0">
              <w:rPr>
                <w:rFonts w:ascii="Times New Roman" w:hAnsi="Times New Roman" w:cs="Times New Roman"/>
                <w:sz w:val="28"/>
                <w:szCs w:val="28"/>
              </w:rPr>
              <w:t>)?/</w:t>
            </w:r>
            <w:proofErr w:type="gramEnd"/>
            <w:r w:rsidRPr="005F03A0">
              <w:rPr>
                <w:rFonts w:ascii="Times New Roman" w:eastAsia="Times New Roman" w:hAnsi="Times New Roman" w:cs="Times New Roman"/>
                <w:sz w:val="28"/>
                <w:szCs w:val="28"/>
                <w:lang w:eastAsia="ru-RU"/>
              </w:rPr>
              <w:t>Қазақстан жастарының азаматтық белсенділікке (сіздің ұйымыңыздың қызметіне қатысуға) дайындығын қалай бағалай аласыз?</w:t>
            </w:r>
          </w:p>
          <w:p w:rsidR="003C4B01" w:rsidRPr="005F03A0" w:rsidRDefault="003C4B01" w:rsidP="008465D6">
            <w:pPr>
              <w:pStyle w:val="a3"/>
              <w:numPr>
                <w:ilvl w:val="0"/>
                <w:numId w:val="79"/>
              </w:numPr>
              <w:ind w:left="-32" w:hanging="43"/>
              <w:jc w:val="both"/>
              <w:rPr>
                <w:rFonts w:ascii="Times New Roman" w:hAnsi="Times New Roman" w:cs="Times New Roman"/>
                <w:sz w:val="28"/>
                <w:szCs w:val="28"/>
              </w:rPr>
            </w:pPr>
            <w:r w:rsidRPr="005F03A0">
              <w:rPr>
                <w:rFonts w:ascii="Times New Roman" w:hAnsi="Times New Roman" w:cs="Times New Roman"/>
                <w:sz w:val="28"/>
                <w:szCs w:val="28"/>
              </w:rPr>
              <w:t xml:space="preserve">Как вы считаете, она выросла или уменьшилась за последние 5 </w:t>
            </w:r>
            <w:proofErr w:type="gramStart"/>
            <w:r w:rsidRPr="005F03A0">
              <w:rPr>
                <w:rFonts w:ascii="Times New Roman" w:hAnsi="Times New Roman" w:cs="Times New Roman"/>
                <w:sz w:val="28"/>
                <w:szCs w:val="28"/>
              </w:rPr>
              <w:t>лет?</w:t>
            </w:r>
            <w:r>
              <w:rPr>
                <w:rFonts w:ascii="Times New Roman" w:eastAsia="Times New Roman" w:hAnsi="Times New Roman" w:cs="Times New Roman"/>
                <w:sz w:val="28"/>
                <w:szCs w:val="28"/>
                <w:lang w:eastAsia="ru-RU"/>
              </w:rPr>
              <w:t>/</w:t>
            </w:r>
            <w:proofErr w:type="gramEnd"/>
            <w:r w:rsidRPr="005F03A0">
              <w:rPr>
                <w:rFonts w:ascii="Times New Roman" w:eastAsia="Times New Roman" w:hAnsi="Times New Roman" w:cs="Times New Roman"/>
                <w:sz w:val="28"/>
                <w:szCs w:val="28"/>
                <w:lang w:eastAsia="ru-RU"/>
              </w:rPr>
              <w:t>Сіздің ойыңызша, соңғы 5 жылда бұл дайындық деңгейі артты ма, әлде төмендеді ме?</w:t>
            </w:r>
          </w:p>
          <w:p w:rsidR="003C4B01" w:rsidRPr="005F03A0" w:rsidRDefault="003C4B01" w:rsidP="008465D6">
            <w:pPr>
              <w:pStyle w:val="a3"/>
              <w:numPr>
                <w:ilvl w:val="0"/>
                <w:numId w:val="79"/>
              </w:numPr>
              <w:ind w:left="-32" w:firstLine="0"/>
              <w:jc w:val="both"/>
              <w:rPr>
                <w:rFonts w:ascii="Times New Roman" w:hAnsi="Times New Roman" w:cs="Times New Roman"/>
                <w:sz w:val="28"/>
                <w:szCs w:val="28"/>
              </w:rPr>
            </w:pPr>
            <w:r w:rsidRPr="005F03A0">
              <w:rPr>
                <w:rFonts w:ascii="Times New Roman" w:hAnsi="Times New Roman" w:cs="Times New Roman"/>
                <w:sz w:val="28"/>
                <w:szCs w:val="28"/>
              </w:rPr>
              <w:t xml:space="preserve">На ваш взгляд, различается ли эта готовность по половой и языковой принадлежности, а также по региону проживания молодых </w:t>
            </w:r>
            <w:proofErr w:type="gramStart"/>
            <w:r w:rsidRPr="005F03A0">
              <w:rPr>
                <w:rFonts w:ascii="Times New Roman" w:hAnsi="Times New Roman" w:cs="Times New Roman"/>
                <w:sz w:val="28"/>
                <w:szCs w:val="28"/>
              </w:rPr>
              <w:t>людей?</w:t>
            </w:r>
            <w:r>
              <w:rPr>
                <w:rFonts w:ascii="Times New Roman" w:hAnsi="Times New Roman" w:cs="Times New Roman"/>
                <w:sz w:val="28"/>
                <w:szCs w:val="28"/>
              </w:rPr>
              <w:t>/</w:t>
            </w:r>
            <w:proofErr w:type="gramEnd"/>
            <w:r w:rsidRPr="005F03A0">
              <w:rPr>
                <w:rFonts w:ascii="Times New Roman" w:eastAsia="Times New Roman" w:hAnsi="Times New Roman" w:cs="Times New Roman"/>
                <w:sz w:val="28"/>
                <w:szCs w:val="28"/>
                <w:lang w:eastAsia="ru-RU"/>
              </w:rPr>
              <w:t>Сіздің көзқарасыңыз бойынша, бұл дайындық жастардың жынысына, тілдік ерекшелігіне және тұратын өңіріне байланысты өзгере ме?</w:t>
            </w:r>
          </w:p>
          <w:p w:rsidR="003C4B01" w:rsidRPr="005F03A0" w:rsidRDefault="003C4B01" w:rsidP="008465D6">
            <w:pPr>
              <w:pStyle w:val="a3"/>
              <w:numPr>
                <w:ilvl w:val="0"/>
                <w:numId w:val="79"/>
              </w:numPr>
              <w:ind w:left="-32" w:hanging="43"/>
              <w:jc w:val="both"/>
              <w:rPr>
                <w:rFonts w:ascii="Times New Roman" w:hAnsi="Times New Roman" w:cs="Times New Roman"/>
                <w:sz w:val="28"/>
                <w:szCs w:val="28"/>
              </w:rPr>
            </w:pPr>
            <w:r w:rsidRPr="005F03A0">
              <w:rPr>
                <w:rFonts w:ascii="Times New Roman" w:hAnsi="Times New Roman" w:cs="Times New Roman"/>
                <w:sz w:val="28"/>
                <w:szCs w:val="28"/>
              </w:rPr>
              <w:t xml:space="preserve">Существует ли у вашей организации статистика на предмет количества молодых людей, которых вам удалось рекрутировать в 2019 </w:t>
            </w:r>
            <w:proofErr w:type="gramStart"/>
            <w:r w:rsidRPr="005F03A0">
              <w:rPr>
                <w:rFonts w:ascii="Times New Roman" w:hAnsi="Times New Roman" w:cs="Times New Roman"/>
                <w:sz w:val="28"/>
                <w:szCs w:val="28"/>
              </w:rPr>
              <w:t>году?</w:t>
            </w:r>
            <w:r>
              <w:rPr>
                <w:rFonts w:ascii="Times New Roman" w:eastAsia="Times New Roman" w:hAnsi="Times New Roman" w:cs="Times New Roman"/>
                <w:sz w:val="28"/>
                <w:szCs w:val="28"/>
                <w:lang w:eastAsia="ru-RU"/>
              </w:rPr>
              <w:t>/</w:t>
            </w:r>
            <w:proofErr w:type="gramEnd"/>
            <w:r w:rsidRPr="005F03A0">
              <w:rPr>
                <w:rFonts w:ascii="Times New Roman" w:eastAsia="Times New Roman" w:hAnsi="Times New Roman" w:cs="Times New Roman"/>
                <w:sz w:val="28"/>
                <w:szCs w:val="28"/>
                <w:lang w:eastAsia="ru-RU"/>
              </w:rPr>
              <w:t>Сіздің ұйымыңызда 2019 жылы ұйым қызметіне тартылған жастар саны бойынша статистика бар ма?</w:t>
            </w:r>
          </w:p>
          <w:p w:rsidR="003C4B01" w:rsidRPr="005F03A0" w:rsidRDefault="003C4B01" w:rsidP="008465D6">
            <w:pPr>
              <w:pStyle w:val="a3"/>
              <w:numPr>
                <w:ilvl w:val="0"/>
                <w:numId w:val="79"/>
              </w:numPr>
              <w:ind w:left="-32" w:firstLine="0"/>
              <w:jc w:val="both"/>
              <w:rPr>
                <w:rFonts w:ascii="Times New Roman" w:hAnsi="Times New Roman" w:cs="Times New Roman"/>
                <w:sz w:val="28"/>
                <w:szCs w:val="28"/>
              </w:rPr>
            </w:pPr>
            <w:r w:rsidRPr="005F03A0">
              <w:rPr>
                <w:rFonts w:ascii="Times New Roman" w:hAnsi="Times New Roman" w:cs="Times New Roman"/>
                <w:sz w:val="28"/>
                <w:szCs w:val="28"/>
              </w:rPr>
              <w:t xml:space="preserve">Насколько вы можете оценить популярность вашей организации среди молодёжи </w:t>
            </w:r>
            <w:proofErr w:type="gramStart"/>
            <w:r w:rsidRPr="005F03A0">
              <w:rPr>
                <w:rFonts w:ascii="Times New Roman" w:hAnsi="Times New Roman" w:cs="Times New Roman"/>
                <w:sz w:val="28"/>
                <w:szCs w:val="28"/>
              </w:rPr>
              <w:t>Казахстана?</w:t>
            </w:r>
            <w:r>
              <w:rPr>
                <w:rFonts w:ascii="Times New Roman" w:hAnsi="Times New Roman" w:cs="Times New Roman"/>
                <w:sz w:val="28"/>
                <w:szCs w:val="28"/>
              </w:rPr>
              <w:t>/</w:t>
            </w:r>
            <w:proofErr w:type="gramEnd"/>
            <w:r w:rsidRPr="005F03A0">
              <w:rPr>
                <w:rFonts w:ascii="Times New Roman" w:eastAsia="Times New Roman" w:hAnsi="Times New Roman" w:cs="Times New Roman"/>
                <w:sz w:val="28"/>
                <w:szCs w:val="28"/>
                <w:lang w:eastAsia="ru-RU"/>
              </w:rPr>
              <w:t>Сіз Қазақстан жастары арасында ұйымыңыздың танымалдылығын қалай бағалай аласыз?</w:t>
            </w:r>
          </w:p>
          <w:p w:rsidR="003C4B01" w:rsidRPr="005F03A0" w:rsidRDefault="003C4B01" w:rsidP="008465D6">
            <w:pPr>
              <w:pStyle w:val="a3"/>
              <w:numPr>
                <w:ilvl w:val="0"/>
                <w:numId w:val="79"/>
              </w:numPr>
              <w:ind w:left="-32" w:firstLine="32"/>
              <w:jc w:val="both"/>
              <w:rPr>
                <w:rFonts w:ascii="Times New Roman" w:hAnsi="Times New Roman" w:cs="Times New Roman"/>
                <w:sz w:val="28"/>
                <w:szCs w:val="28"/>
              </w:rPr>
            </w:pPr>
            <w:r w:rsidRPr="005F03A0">
              <w:rPr>
                <w:rFonts w:ascii="Times New Roman" w:hAnsi="Times New Roman" w:cs="Times New Roman"/>
                <w:sz w:val="28"/>
                <w:szCs w:val="28"/>
              </w:rPr>
              <w:t>Чем, на ваш взгляд, ваша организация привлекательна для молодёжи?</w:t>
            </w:r>
            <w:r w:rsidRPr="005F03A0">
              <w:rPr>
                <w:rFonts w:ascii="Times New Roman" w:eastAsia="Times New Roman" w:hAnsi="Symbol" w:cs="Times New Roman"/>
                <w:sz w:val="28"/>
                <w:szCs w:val="28"/>
                <w:lang w:eastAsia="ru-RU"/>
              </w:rPr>
              <w:t>/</w:t>
            </w:r>
            <w:r w:rsidRPr="005F03A0">
              <w:rPr>
                <w:rFonts w:ascii="Times New Roman" w:eastAsia="Times New Roman" w:hAnsi="Times New Roman" w:cs="Times New Roman"/>
                <w:sz w:val="28"/>
                <w:szCs w:val="28"/>
                <w:lang w:eastAsia="ru-RU"/>
              </w:rPr>
              <w:t>Сіздің ойыңызша, ұйымыңыз жастар үшін несімен тартымды?</w:t>
            </w:r>
          </w:p>
        </w:tc>
        <w:tc>
          <w:tcPr>
            <w:tcW w:w="851" w:type="dxa"/>
          </w:tcPr>
          <w:p w:rsidR="003C4B01" w:rsidRPr="005F03A0" w:rsidRDefault="003C4B01" w:rsidP="006625FC">
            <w:pPr>
              <w:jc w:val="both"/>
              <w:rPr>
                <w:rFonts w:ascii="Times New Roman" w:hAnsi="Times New Roman" w:cs="Times New Roman"/>
                <w:sz w:val="28"/>
                <w:szCs w:val="28"/>
              </w:rPr>
            </w:pPr>
          </w:p>
        </w:tc>
      </w:tr>
      <w:tr w:rsidR="003C4B01" w:rsidTr="006625FC">
        <w:tc>
          <w:tcPr>
            <w:tcW w:w="9493" w:type="dxa"/>
            <w:gridSpan w:val="4"/>
          </w:tcPr>
          <w:p w:rsidR="003C4B01" w:rsidRDefault="003C4B01" w:rsidP="006625FC">
            <w:pPr>
              <w:jc w:val="center"/>
              <w:rPr>
                <w:rFonts w:ascii="Times New Roman" w:hAnsi="Times New Roman" w:cs="Times New Roman"/>
                <w:sz w:val="28"/>
              </w:rPr>
            </w:pPr>
            <w:r>
              <w:rPr>
                <w:rFonts w:ascii="Times New Roman" w:hAnsi="Times New Roman" w:cs="Times New Roman"/>
                <w:b/>
                <w:i/>
                <w:sz w:val="28"/>
              </w:rPr>
              <w:t>БЛОК 2</w:t>
            </w:r>
          </w:p>
        </w:tc>
      </w:tr>
      <w:tr w:rsidR="003C4B01" w:rsidTr="006625FC">
        <w:tc>
          <w:tcPr>
            <w:tcW w:w="415" w:type="dxa"/>
          </w:tcPr>
          <w:p w:rsidR="003C4B01" w:rsidRDefault="003C4B01" w:rsidP="006625FC">
            <w:pPr>
              <w:jc w:val="both"/>
              <w:rPr>
                <w:rFonts w:ascii="Times New Roman" w:hAnsi="Times New Roman" w:cs="Times New Roman"/>
                <w:sz w:val="28"/>
              </w:rPr>
            </w:pPr>
            <w:r>
              <w:rPr>
                <w:rFonts w:ascii="Times New Roman" w:hAnsi="Times New Roman" w:cs="Times New Roman"/>
                <w:sz w:val="28"/>
              </w:rPr>
              <w:t>2</w:t>
            </w:r>
          </w:p>
        </w:tc>
        <w:tc>
          <w:tcPr>
            <w:tcW w:w="1730" w:type="dxa"/>
          </w:tcPr>
          <w:p w:rsidR="003C4B01" w:rsidRDefault="003C4B01" w:rsidP="006625FC">
            <w:pPr>
              <w:jc w:val="both"/>
              <w:rPr>
                <w:rFonts w:ascii="Times New Roman" w:hAnsi="Times New Roman" w:cs="Times New Roman"/>
                <w:sz w:val="28"/>
              </w:rPr>
            </w:pPr>
            <w:r>
              <w:rPr>
                <w:rFonts w:ascii="Times New Roman" w:hAnsi="Times New Roman" w:cs="Times New Roman"/>
                <w:sz w:val="28"/>
              </w:rPr>
              <w:t>Онлайн-гражданское участие молодёжи</w:t>
            </w:r>
          </w:p>
        </w:tc>
        <w:tc>
          <w:tcPr>
            <w:tcW w:w="6497" w:type="dxa"/>
          </w:tcPr>
          <w:p w:rsidR="003C4B01" w:rsidRPr="00CE4715" w:rsidRDefault="003C4B01" w:rsidP="008465D6">
            <w:pPr>
              <w:pStyle w:val="a3"/>
              <w:numPr>
                <w:ilvl w:val="0"/>
                <w:numId w:val="80"/>
              </w:numPr>
              <w:ind w:left="8" w:hanging="8"/>
              <w:jc w:val="both"/>
              <w:rPr>
                <w:rFonts w:ascii="Times New Roman" w:hAnsi="Times New Roman" w:cs="Times New Roman"/>
                <w:sz w:val="28"/>
                <w:szCs w:val="28"/>
              </w:rPr>
            </w:pPr>
            <w:r w:rsidRPr="00CE4715">
              <w:rPr>
                <w:rFonts w:ascii="Times New Roman" w:hAnsi="Times New Roman" w:cs="Times New Roman"/>
                <w:sz w:val="28"/>
                <w:szCs w:val="28"/>
              </w:rPr>
              <w:t xml:space="preserve">Как вы считаете, способна ли вовлеченность молодёжи в социальные медиа повлиять каким-либо образом на её гражданское </w:t>
            </w:r>
            <w:proofErr w:type="gramStart"/>
            <w:r w:rsidRPr="00CE4715">
              <w:rPr>
                <w:rFonts w:ascii="Times New Roman" w:hAnsi="Times New Roman" w:cs="Times New Roman"/>
                <w:sz w:val="28"/>
                <w:szCs w:val="28"/>
              </w:rPr>
              <w:t>участие?/</w:t>
            </w:r>
            <w:proofErr w:type="gramEnd"/>
            <w:r w:rsidRPr="00FF51C1">
              <w:rPr>
                <w:rFonts w:ascii="Times New Roman" w:eastAsia="Times New Roman" w:hAnsi="Times New Roman" w:cs="Times New Roman"/>
                <w:sz w:val="28"/>
                <w:szCs w:val="28"/>
                <w:lang w:eastAsia="ru-RU"/>
              </w:rPr>
              <w:t xml:space="preserve">Сіздің ойыңызша, жастардың әлеуметтік медиадағы </w:t>
            </w:r>
            <w:r w:rsidRPr="00FF51C1">
              <w:rPr>
                <w:rFonts w:ascii="Times New Roman" w:eastAsia="Times New Roman" w:hAnsi="Times New Roman" w:cs="Times New Roman"/>
                <w:sz w:val="28"/>
                <w:szCs w:val="28"/>
                <w:lang w:eastAsia="ru-RU"/>
              </w:rPr>
              <w:lastRenderedPageBreak/>
              <w:t>белсенділігі олардың азаматтық қатысуына қандай да бір деңгейде әсер ете ала ма?</w:t>
            </w:r>
          </w:p>
          <w:p w:rsidR="003C4B01" w:rsidRPr="00A92D99" w:rsidRDefault="003C4B01" w:rsidP="008465D6">
            <w:pPr>
              <w:pStyle w:val="a3"/>
              <w:numPr>
                <w:ilvl w:val="0"/>
                <w:numId w:val="80"/>
              </w:numPr>
              <w:ind w:left="8" w:hanging="8"/>
              <w:jc w:val="both"/>
              <w:rPr>
                <w:rFonts w:ascii="Times New Roman" w:hAnsi="Times New Roman" w:cs="Times New Roman"/>
                <w:sz w:val="28"/>
              </w:rPr>
            </w:pPr>
            <w:r w:rsidRPr="00CE4715">
              <w:rPr>
                <w:rFonts w:ascii="Times New Roman" w:hAnsi="Times New Roman" w:cs="Times New Roman"/>
                <w:sz w:val="28"/>
                <w:szCs w:val="28"/>
              </w:rPr>
              <w:t xml:space="preserve">На ваш взгляд, возможно ли трансформировать желание молодёжи к потреблению развлекательного контента в социальных медиа в цифровое или нецифровое гражданское </w:t>
            </w:r>
            <w:proofErr w:type="gramStart"/>
            <w:r w:rsidRPr="00CE4715">
              <w:rPr>
                <w:rFonts w:ascii="Times New Roman" w:hAnsi="Times New Roman" w:cs="Times New Roman"/>
                <w:sz w:val="28"/>
                <w:szCs w:val="28"/>
              </w:rPr>
              <w:t>участие?/</w:t>
            </w:r>
            <w:proofErr w:type="gramEnd"/>
            <w:r w:rsidRPr="00CE4715">
              <w:rPr>
                <w:rFonts w:ascii="Times New Roman" w:eastAsia="Times New Roman" w:hAnsi="Times New Roman" w:cs="Times New Roman"/>
                <w:sz w:val="28"/>
                <w:szCs w:val="28"/>
                <w:lang w:eastAsia="ru-RU"/>
              </w:rPr>
              <w:t xml:space="preserve">Сіздің көзқарасыңыз бойынша, жастардың әлеуметтік медиада ойын-сауық контентін тұтынуға деген қызығушылығын цифрлық немесе цифрлық емес азаматтық қатысуға бағыттау мүмкін бе?  </w:t>
            </w:r>
          </w:p>
        </w:tc>
        <w:tc>
          <w:tcPr>
            <w:tcW w:w="851" w:type="dxa"/>
          </w:tcPr>
          <w:p w:rsidR="003C4B01" w:rsidRDefault="003C4B01" w:rsidP="006625FC">
            <w:pPr>
              <w:jc w:val="both"/>
              <w:rPr>
                <w:rFonts w:ascii="Times New Roman" w:hAnsi="Times New Roman" w:cs="Times New Roman"/>
                <w:sz w:val="28"/>
              </w:rPr>
            </w:pPr>
          </w:p>
        </w:tc>
      </w:tr>
      <w:tr w:rsidR="003C4B01" w:rsidTr="006625FC">
        <w:tc>
          <w:tcPr>
            <w:tcW w:w="9493" w:type="dxa"/>
            <w:gridSpan w:val="4"/>
          </w:tcPr>
          <w:p w:rsidR="003C4B01" w:rsidRPr="007950D1" w:rsidRDefault="003C4B01" w:rsidP="006625FC">
            <w:pPr>
              <w:jc w:val="center"/>
              <w:rPr>
                <w:rFonts w:ascii="Times New Roman" w:hAnsi="Times New Roman" w:cs="Times New Roman"/>
                <w:sz w:val="28"/>
                <w:szCs w:val="28"/>
              </w:rPr>
            </w:pPr>
            <w:r w:rsidRPr="007950D1">
              <w:rPr>
                <w:rFonts w:ascii="Times New Roman" w:hAnsi="Times New Roman" w:cs="Times New Roman"/>
                <w:b/>
                <w:i/>
                <w:sz w:val="28"/>
                <w:szCs w:val="28"/>
              </w:rPr>
              <w:t>БЛОК 3</w:t>
            </w:r>
          </w:p>
        </w:tc>
      </w:tr>
      <w:tr w:rsidR="003C4B01" w:rsidTr="006625FC">
        <w:tc>
          <w:tcPr>
            <w:tcW w:w="415" w:type="dxa"/>
          </w:tcPr>
          <w:p w:rsidR="003C4B01" w:rsidRDefault="003C4B01" w:rsidP="006625FC">
            <w:pPr>
              <w:jc w:val="both"/>
              <w:rPr>
                <w:rFonts w:ascii="Times New Roman" w:hAnsi="Times New Roman" w:cs="Times New Roman"/>
                <w:sz w:val="28"/>
              </w:rPr>
            </w:pPr>
            <w:r>
              <w:rPr>
                <w:rFonts w:ascii="Times New Roman" w:hAnsi="Times New Roman" w:cs="Times New Roman"/>
                <w:sz w:val="28"/>
              </w:rPr>
              <w:t>3</w:t>
            </w:r>
          </w:p>
        </w:tc>
        <w:tc>
          <w:tcPr>
            <w:tcW w:w="1730" w:type="dxa"/>
          </w:tcPr>
          <w:p w:rsidR="003C4B01" w:rsidRDefault="003C4B01" w:rsidP="006625FC">
            <w:pPr>
              <w:jc w:val="both"/>
              <w:rPr>
                <w:rFonts w:ascii="Times New Roman" w:hAnsi="Times New Roman" w:cs="Times New Roman"/>
                <w:sz w:val="28"/>
              </w:rPr>
            </w:pPr>
            <w:r>
              <w:rPr>
                <w:rFonts w:ascii="Times New Roman" w:hAnsi="Times New Roman" w:cs="Times New Roman"/>
                <w:sz w:val="28"/>
              </w:rPr>
              <w:t>Мотивация и рекрутинг</w:t>
            </w:r>
          </w:p>
        </w:tc>
        <w:tc>
          <w:tcPr>
            <w:tcW w:w="6497" w:type="dxa"/>
          </w:tcPr>
          <w:p w:rsidR="003C4B01" w:rsidRPr="007950D1" w:rsidRDefault="003C4B01" w:rsidP="008465D6">
            <w:pPr>
              <w:pStyle w:val="a3"/>
              <w:numPr>
                <w:ilvl w:val="0"/>
                <w:numId w:val="81"/>
              </w:numPr>
              <w:ind w:left="0" w:firstLine="8"/>
              <w:jc w:val="both"/>
              <w:rPr>
                <w:rFonts w:ascii="Times New Roman" w:hAnsi="Times New Roman" w:cs="Times New Roman"/>
                <w:sz w:val="28"/>
                <w:szCs w:val="28"/>
              </w:rPr>
            </w:pPr>
            <w:r w:rsidRPr="007950D1">
              <w:rPr>
                <w:rFonts w:ascii="Times New Roman" w:hAnsi="Times New Roman" w:cs="Times New Roman"/>
                <w:sz w:val="28"/>
                <w:szCs w:val="28"/>
              </w:rPr>
              <w:t>На ваш взгляд, какой канал распространения информации о вашей организации наиболее эффективен при рекрутировании молодёжи – социальные медиа, филиалы при университетах и колледжах, освещение мероприятий, проводимых организацией, по телевидению и в интернете, «сарафанное радио» или иной канал?/</w:t>
            </w:r>
            <w:r w:rsidRPr="007950D1">
              <w:rPr>
                <w:rFonts w:ascii="Times New Roman" w:eastAsia="Times New Roman" w:hAnsi="Times New Roman" w:cs="Times New Roman"/>
                <w:sz w:val="28"/>
                <w:szCs w:val="28"/>
                <w:lang w:eastAsia="ru-RU"/>
              </w:rPr>
              <w:t>Сіздің ойыңызша, жастарды ұйымға тартуда ақпарат таратудың қай арнасы ең тиімді болып табылады – әлеуметтік желілер, университеттер мен колледждер жанындағы филиалдар, ұйым өткізетін іс-шараларды теледидар мен интернетте жариялау, «ауызша таралатын ақпарат» («сарафан радиосы») немесе өзге арна ма?</w:t>
            </w:r>
          </w:p>
          <w:p w:rsidR="003C4B01" w:rsidRPr="007950D1" w:rsidRDefault="003C4B01" w:rsidP="008465D6">
            <w:pPr>
              <w:pStyle w:val="a3"/>
              <w:numPr>
                <w:ilvl w:val="0"/>
                <w:numId w:val="81"/>
              </w:numPr>
              <w:ind w:left="0" w:firstLine="8"/>
              <w:jc w:val="both"/>
              <w:rPr>
                <w:rFonts w:ascii="Times New Roman" w:hAnsi="Times New Roman" w:cs="Times New Roman"/>
                <w:sz w:val="28"/>
                <w:szCs w:val="28"/>
              </w:rPr>
            </w:pPr>
            <w:r w:rsidRPr="007950D1">
              <w:rPr>
                <w:rFonts w:ascii="Times New Roman" w:hAnsi="Times New Roman" w:cs="Times New Roman"/>
                <w:sz w:val="28"/>
                <w:szCs w:val="28"/>
              </w:rPr>
              <w:t xml:space="preserve">Как вы полагаете, что может мотивировать молодого человека к участию в деятельности вашей </w:t>
            </w:r>
            <w:proofErr w:type="gramStart"/>
            <w:r w:rsidRPr="007950D1">
              <w:rPr>
                <w:rFonts w:ascii="Times New Roman" w:hAnsi="Times New Roman" w:cs="Times New Roman"/>
                <w:sz w:val="28"/>
                <w:szCs w:val="28"/>
              </w:rPr>
              <w:t>организации?/</w:t>
            </w:r>
            <w:proofErr w:type="gramEnd"/>
            <w:r w:rsidRPr="007950D1">
              <w:rPr>
                <w:rFonts w:ascii="Times New Roman" w:eastAsia="Times New Roman" w:hAnsi="Times New Roman" w:cs="Times New Roman"/>
                <w:sz w:val="28"/>
                <w:szCs w:val="28"/>
                <w:lang w:eastAsia="ru-RU"/>
              </w:rPr>
              <w:t xml:space="preserve"> Сіздің пікіріңізше, жастарды ұйымыңыздың қызметіне қатысуға не ынталандыруы мүмкін?</w:t>
            </w:r>
          </w:p>
          <w:p w:rsidR="003C4B01" w:rsidRPr="007950D1" w:rsidRDefault="003C4B01" w:rsidP="008465D6">
            <w:pPr>
              <w:pStyle w:val="a3"/>
              <w:numPr>
                <w:ilvl w:val="0"/>
                <w:numId w:val="81"/>
              </w:numPr>
              <w:ind w:left="0" w:firstLine="8"/>
              <w:jc w:val="both"/>
              <w:rPr>
                <w:rFonts w:ascii="Times New Roman" w:hAnsi="Times New Roman" w:cs="Times New Roman"/>
                <w:sz w:val="28"/>
                <w:szCs w:val="28"/>
              </w:rPr>
            </w:pPr>
            <w:r w:rsidRPr="007950D1">
              <w:rPr>
                <w:rFonts w:ascii="Times New Roman" w:hAnsi="Times New Roman" w:cs="Times New Roman"/>
                <w:sz w:val="28"/>
                <w:szCs w:val="28"/>
              </w:rPr>
              <w:t xml:space="preserve">На ваш взгляд, играет ли роль подписка на страницу вашей организации в социальных медиа в мотивации к участию в </w:t>
            </w:r>
            <w:proofErr w:type="gramStart"/>
            <w:r w:rsidRPr="007950D1">
              <w:rPr>
                <w:rFonts w:ascii="Times New Roman" w:hAnsi="Times New Roman" w:cs="Times New Roman"/>
                <w:sz w:val="28"/>
                <w:szCs w:val="28"/>
              </w:rPr>
              <w:t>ней?/</w:t>
            </w:r>
            <w:proofErr w:type="gramEnd"/>
            <w:r w:rsidRPr="007950D1">
              <w:rPr>
                <w:rFonts w:ascii="Times New Roman" w:eastAsia="Times New Roman" w:hAnsi="Times New Roman" w:cs="Times New Roman"/>
                <w:sz w:val="28"/>
                <w:szCs w:val="28"/>
                <w:lang w:eastAsia="ru-RU"/>
              </w:rPr>
              <w:t xml:space="preserve"> Сіздің ойыңызша, ұйымыңыздың әлеуметтік желілердегі парақшасына жазылу жастардың оның қызметіне қатысу ынтасына әсер ете ме? </w:t>
            </w:r>
          </w:p>
        </w:tc>
        <w:tc>
          <w:tcPr>
            <w:tcW w:w="851" w:type="dxa"/>
          </w:tcPr>
          <w:p w:rsidR="003C4B01" w:rsidRDefault="003C4B01" w:rsidP="006625FC">
            <w:pPr>
              <w:jc w:val="both"/>
              <w:rPr>
                <w:rFonts w:ascii="Times New Roman" w:hAnsi="Times New Roman" w:cs="Times New Roman"/>
                <w:sz w:val="28"/>
              </w:rPr>
            </w:pPr>
          </w:p>
        </w:tc>
      </w:tr>
    </w:tbl>
    <w:p w:rsidR="003C4B01" w:rsidRDefault="003C4B01" w:rsidP="003C4B01">
      <w:pPr>
        <w:spacing w:after="0" w:line="240" w:lineRule="auto"/>
        <w:ind w:firstLine="567"/>
        <w:jc w:val="both"/>
        <w:rPr>
          <w:rFonts w:ascii="Times New Roman" w:hAnsi="Times New Roman" w:cs="Times New Roman"/>
          <w:sz w:val="28"/>
        </w:rPr>
      </w:pPr>
    </w:p>
    <w:p w:rsidR="003C4B01" w:rsidRDefault="003C4B01" w:rsidP="003C4B01">
      <w:pPr>
        <w:spacing w:after="0" w:line="240" w:lineRule="auto"/>
        <w:ind w:firstLine="567"/>
        <w:jc w:val="center"/>
        <w:rPr>
          <w:rFonts w:ascii="Times New Roman" w:hAnsi="Times New Roman" w:cs="Times New Roman"/>
          <w:b/>
          <w:i/>
          <w:sz w:val="28"/>
        </w:rPr>
      </w:pPr>
      <w:r>
        <w:rPr>
          <w:rFonts w:ascii="Times New Roman" w:hAnsi="Times New Roman" w:cs="Times New Roman"/>
          <w:b/>
          <w:i/>
          <w:sz w:val="28"/>
        </w:rPr>
        <w:t>Благодарим вас за участие в интервью!</w:t>
      </w:r>
    </w:p>
    <w:p w:rsidR="003C4B01" w:rsidRPr="004C4406" w:rsidRDefault="003C4B01" w:rsidP="003C4B01">
      <w:pPr>
        <w:spacing w:after="0" w:line="240" w:lineRule="auto"/>
        <w:ind w:firstLine="567"/>
        <w:jc w:val="center"/>
        <w:rPr>
          <w:rFonts w:ascii="Times New Roman" w:hAnsi="Times New Roman" w:cs="Times New Roman"/>
          <w:b/>
          <w:i/>
          <w:sz w:val="28"/>
          <w:szCs w:val="28"/>
        </w:rPr>
      </w:pPr>
      <w:r w:rsidRPr="004C4406">
        <w:rPr>
          <w:rFonts w:ascii="Times New Roman" w:hAnsi="Times New Roman" w:cs="Times New Roman"/>
          <w:b/>
          <w:i/>
          <w:sz w:val="28"/>
          <w:szCs w:val="28"/>
        </w:rPr>
        <w:t>Сұхбатқа қатысқаныңыз үшін алғысымызды білдіреміз!</w:t>
      </w:r>
    </w:p>
    <w:p w:rsidR="003C4B01" w:rsidRDefault="003C4B01"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845CAB">
      <w:pPr>
        <w:jc w:val="center"/>
        <w:rPr>
          <w:rFonts w:ascii="Times New Roman" w:hAnsi="Times New Roman" w:cs="Times New Roman"/>
          <w:b/>
          <w:sz w:val="28"/>
        </w:rPr>
      </w:pPr>
      <w:r>
        <w:rPr>
          <w:rFonts w:ascii="Times New Roman" w:hAnsi="Times New Roman" w:cs="Times New Roman"/>
          <w:b/>
          <w:sz w:val="28"/>
        </w:rPr>
        <w:lastRenderedPageBreak/>
        <w:t>ПРИЛОЖЕНИЕ Е</w:t>
      </w:r>
    </w:p>
    <w:p w:rsidR="00845CAB" w:rsidRDefault="00845CAB" w:rsidP="00845CAB">
      <w:pPr>
        <w:jc w:val="center"/>
        <w:rPr>
          <w:rFonts w:ascii="Times New Roman" w:hAnsi="Times New Roman" w:cs="Times New Roman"/>
          <w:b/>
          <w:sz w:val="28"/>
        </w:rPr>
      </w:pPr>
      <w:r w:rsidRPr="00E5221A">
        <w:rPr>
          <w:rFonts w:ascii="Times New Roman" w:hAnsi="Times New Roman" w:cs="Times New Roman"/>
          <w:b/>
          <w:sz w:val="28"/>
        </w:rPr>
        <w:t xml:space="preserve">ПРОГРАММА </w:t>
      </w:r>
      <w:r>
        <w:rPr>
          <w:rFonts w:ascii="Times New Roman" w:hAnsi="Times New Roman" w:cs="Times New Roman"/>
          <w:b/>
          <w:sz w:val="28"/>
        </w:rPr>
        <w:t>КАЧЕСТВЕННОГО</w:t>
      </w:r>
      <w:r w:rsidRPr="00E5221A">
        <w:rPr>
          <w:rFonts w:ascii="Times New Roman" w:hAnsi="Times New Roman" w:cs="Times New Roman"/>
          <w:b/>
          <w:sz w:val="28"/>
        </w:rPr>
        <w:t xml:space="preserve"> ИССЛЕДОВАНИЯ</w:t>
      </w:r>
      <w:r>
        <w:rPr>
          <w:rFonts w:ascii="Times New Roman" w:hAnsi="Times New Roman" w:cs="Times New Roman"/>
          <w:b/>
          <w:sz w:val="28"/>
        </w:rPr>
        <w:t xml:space="preserve"> (2)</w:t>
      </w:r>
    </w:p>
    <w:p w:rsidR="00845CAB" w:rsidRDefault="00845CAB" w:rsidP="00845CAB">
      <w:pPr>
        <w:spacing w:after="0" w:line="240" w:lineRule="auto"/>
        <w:ind w:firstLine="567"/>
        <w:jc w:val="both"/>
        <w:rPr>
          <w:rFonts w:ascii="Times New Roman" w:hAnsi="Times New Roman" w:cs="Times New Roman"/>
          <w:sz w:val="28"/>
        </w:rPr>
      </w:pPr>
      <w:r>
        <w:rPr>
          <w:rFonts w:ascii="Times New Roman" w:hAnsi="Times New Roman" w:cs="Times New Roman"/>
          <w:b/>
          <w:sz w:val="28"/>
        </w:rPr>
        <w:t>Цель социологического исследования</w:t>
      </w:r>
      <w:r>
        <w:rPr>
          <w:rFonts w:ascii="Times New Roman" w:hAnsi="Times New Roman" w:cs="Times New Roman"/>
          <w:sz w:val="28"/>
        </w:rPr>
        <w:t>: выявить проблемы гражданского вовлечения молодёжи Казахстана в офлайн гражданскую активность, сложности мотивации молодёжи к активизации офлайн вовлечения, а также прояснить место фактора онлайн гражданского и негражданского вовлечения молодёжи в социальные медиа.</w:t>
      </w:r>
    </w:p>
    <w:p w:rsidR="00845CAB" w:rsidRDefault="00845CAB" w:rsidP="00845CAB">
      <w:pPr>
        <w:spacing w:after="0" w:line="240" w:lineRule="auto"/>
        <w:ind w:firstLine="567"/>
        <w:jc w:val="both"/>
        <w:rPr>
          <w:rFonts w:ascii="Times New Roman" w:hAnsi="Times New Roman" w:cs="Times New Roman"/>
          <w:sz w:val="28"/>
        </w:rPr>
      </w:pPr>
      <w:r w:rsidRPr="003032AB">
        <w:rPr>
          <w:rFonts w:ascii="Times New Roman" w:hAnsi="Times New Roman" w:cs="Times New Roman"/>
          <w:b/>
          <w:sz w:val="28"/>
        </w:rPr>
        <w:t>Объектами социологического исследования являются</w:t>
      </w:r>
      <w:r>
        <w:rPr>
          <w:rFonts w:ascii="Times New Roman" w:hAnsi="Times New Roman" w:cs="Times New Roman"/>
          <w:sz w:val="28"/>
        </w:rPr>
        <w:t>: эксперты-политологи Республики Казахстан, чьей сферой научной экспертизы являются институты гражданского общества, молодёжь как социально-политическая группа, а также цифровое вовлечение молодёжи.</w:t>
      </w:r>
    </w:p>
    <w:p w:rsidR="00845CAB" w:rsidRDefault="00845CAB" w:rsidP="00845CAB">
      <w:pPr>
        <w:spacing w:after="0" w:line="240" w:lineRule="auto"/>
        <w:ind w:firstLine="567"/>
        <w:jc w:val="both"/>
        <w:rPr>
          <w:rFonts w:ascii="Times New Roman" w:hAnsi="Times New Roman" w:cs="Times New Roman"/>
          <w:sz w:val="28"/>
        </w:rPr>
      </w:pPr>
      <w:r w:rsidRPr="00917EF4">
        <w:rPr>
          <w:rFonts w:ascii="Times New Roman" w:hAnsi="Times New Roman" w:cs="Times New Roman"/>
          <w:b/>
          <w:sz w:val="28"/>
        </w:rPr>
        <w:t>География исследования</w:t>
      </w:r>
      <w:r>
        <w:rPr>
          <w:rFonts w:ascii="Times New Roman" w:hAnsi="Times New Roman" w:cs="Times New Roman"/>
          <w:sz w:val="28"/>
        </w:rPr>
        <w:t>: город Алматы.</w:t>
      </w:r>
    </w:p>
    <w:p w:rsidR="00845CAB" w:rsidRDefault="00845CAB" w:rsidP="00845CAB">
      <w:pPr>
        <w:spacing w:after="0" w:line="240" w:lineRule="auto"/>
        <w:ind w:firstLine="567"/>
        <w:jc w:val="both"/>
        <w:rPr>
          <w:rFonts w:ascii="Times New Roman" w:hAnsi="Times New Roman" w:cs="Times New Roman"/>
          <w:sz w:val="28"/>
        </w:rPr>
      </w:pPr>
      <w:r w:rsidRPr="00315888">
        <w:rPr>
          <w:rFonts w:ascii="Times New Roman" w:hAnsi="Times New Roman" w:cs="Times New Roman"/>
          <w:b/>
          <w:sz w:val="28"/>
        </w:rPr>
        <w:t>Генеральная совокупность исследования</w:t>
      </w:r>
      <w:r>
        <w:rPr>
          <w:rFonts w:ascii="Times New Roman" w:hAnsi="Times New Roman" w:cs="Times New Roman"/>
          <w:sz w:val="28"/>
        </w:rPr>
        <w:t>: представители экспертного политологического сообщества Республики Казахстан.</w:t>
      </w:r>
    </w:p>
    <w:p w:rsidR="00845CAB" w:rsidRDefault="00845CAB" w:rsidP="00845CAB">
      <w:pPr>
        <w:spacing w:after="0" w:line="240" w:lineRule="auto"/>
        <w:ind w:firstLine="567"/>
        <w:jc w:val="both"/>
        <w:rPr>
          <w:rFonts w:ascii="Times New Roman" w:hAnsi="Times New Roman" w:cs="Times New Roman"/>
          <w:sz w:val="28"/>
        </w:rPr>
      </w:pPr>
      <w:r w:rsidRPr="00171D19">
        <w:rPr>
          <w:rFonts w:ascii="Times New Roman" w:hAnsi="Times New Roman" w:cs="Times New Roman"/>
          <w:b/>
          <w:sz w:val="28"/>
        </w:rPr>
        <w:t>Выборка</w:t>
      </w:r>
      <w:r>
        <w:rPr>
          <w:rFonts w:ascii="Times New Roman" w:hAnsi="Times New Roman" w:cs="Times New Roman"/>
          <w:sz w:val="28"/>
        </w:rPr>
        <w:t xml:space="preserve"> </w:t>
      </w:r>
      <w:r w:rsidRPr="00315888">
        <w:rPr>
          <w:rFonts w:ascii="Times New Roman" w:hAnsi="Times New Roman" w:cs="Times New Roman"/>
          <w:b/>
          <w:sz w:val="28"/>
        </w:rPr>
        <w:t>исследования</w:t>
      </w:r>
      <w:r>
        <w:rPr>
          <w:rFonts w:ascii="Times New Roman" w:hAnsi="Times New Roman" w:cs="Times New Roman"/>
          <w:sz w:val="28"/>
        </w:rPr>
        <w:t>: метод критериальной выборки (10 полуструктурированных интервью с представителями экспертного сообщества).</w:t>
      </w:r>
    </w:p>
    <w:p w:rsidR="00845CAB" w:rsidRDefault="00845CAB" w:rsidP="00845CAB">
      <w:pPr>
        <w:spacing w:after="0" w:line="240" w:lineRule="auto"/>
        <w:ind w:firstLine="567"/>
        <w:jc w:val="both"/>
        <w:rPr>
          <w:rFonts w:ascii="Times New Roman" w:hAnsi="Times New Roman" w:cs="Times New Roman"/>
          <w:sz w:val="28"/>
        </w:rPr>
      </w:pPr>
      <w:r w:rsidRPr="00D17D85">
        <w:rPr>
          <w:rFonts w:ascii="Times New Roman" w:hAnsi="Times New Roman" w:cs="Times New Roman"/>
          <w:b/>
          <w:sz w:val="28"/>
        </w:rPr>
        <w:t>Метод сбора данных</w:t>
      </w:r>
      <w:r>
        <w:rPr>
          <w:rFonts w:ascii="Times New Roman" w:hAnsi="Times New Roman" w:cs="Times New Roman"/>
          <w:sz w:val="28"/>
        </w:rPr>
        <w:t>: для опроса будет применяться индивидуальное глубинное интервью в форме личной устной беседы.</w:t>
      </w:r>
    </w:p>
    <w:p w:rsidR="00845CAB" w:rsidRDefault="00845CAB" w:rsidP="00845CAB">
      <w:pPr>
        <w:spacing w:after="0" w:line="240" w:lineRule="auto"/>
        <w:ind w:firstLine="567"/>
        <w:jc w:val="both"/>
        <w:rPr>
          <w:rFonts w:ascii="Times New Roman" w:hAnsi="Times New Roman" w:cs="Times New Roman"/>
          <w:sz w:val="28"/>
        </w:rPr>
      </w:pPr>
      <w:r w:rsidRPr="00EF48C5">
        <w:rPr>
          <w:rFonts w:ascii="Times New Roman" w:hAnsi="Times New Roman" w:cs="Times New Roman"/>
          <w:b/>
          <w:sz w:val="28"/>
        </w:rPr>
        <w:t>Инструментарий исследования</w:t>
      </w:r>
      <w:r>
        <w:rPr>
          <w:rFonts w:ascii="Times New Roman" w:hAnsi="Times New Roman" w:cs="Times New Roman"/>
          <w:b/>
          <w:sz w:val="28"/>
        </w:rPr>
        <w:t>:</w:t>
      </w:r>
      <w:r>
        <w:rPr>
          <w:rFonts w:ascii="Times New Roman" w:hAnsi="Times New Roman" w:cs="Times New Roman"/>
          <w:sz w:val="28"/>
        </w:rPr>
        <w:t xml:space="preserve"> разработан гайд для интервью на русском и казахском языках. Конкретное решение по использованию языка инструментария принимается респондентом свободно и самостоятельно.</w:t>
      </w:r>
    </w:p>
    <w:p w:rsidR="00845CAB" w:rsidRDefault="00845CAB" w:rsidP="00845CAB">
      <w:pPr>
        <w:spacing w:after="0" w:line="240" w:lineRule="auto"/>
        <w:ind w:firstLine="567"/>
        <w:jc w:val="both"/>
        <w:rPr>
          <w:rFonts w:ascii="Times New Roman" w:hAnsi="Times New Roman" w:cs="Times New Roman"/>
          <w:sz w:val="28"/>
        </w:rPr>
      </w:pPr>
      <w:r w:rsidRPr="00012F07">
        <w:rPr>
          <w:rFonts w:ascii="Times New Roman" w:hAnsi="Times New Roman" w:cs="Times New Roman"/>
          <w:b/>
          <w:sz w:val="28"/>
        </w:rPr>
        <w:t>Этические вопросы</w:t>
      </w:r>
      <w:r>
        <w:rPr>
          <w:rFonts w:ascii="Times New Roman" w:hAnsi="Times New Roman" w:cs="Times New Roman"/>
          <w:sz w:val="28"/>
        </w:rPr>
        <w:t>: участие в интервью добровольное, на основе согласия респондентов.</w:t>
      </w:r>
    </w:p>
    <w:p w:rsidR="00845CAB" w:rsidRPr="00D17D85" w:rsidRDefault="00845CAB" w:rsidP="00845CAB">
      <w:pPr>
        <w:spacing w:after="0" w:line="240" w:lineRule="auto"/>
        <w:ind w:firstLine="567"/>
        <w:jc w:val="both"/>
        <w:rPr>
          <w:rFonts w:ascii="Times New Roman" w:hAnsi="Times New Roman" w:cs="Times New Roman"/>
          <w:sz w:val="28"/>
        </w:rPr>
      </w:pPr>
      <w:r w:rsidRPr="00254330">
        <w:rPr>
          <w:rFonts w:ascii="Times New Roman" w:hAnsi="Times New Roman" w:cs="Times New Roman"/>
          <w:b/>
          <w:sz w:val="28"/>
        </w:rPr>
        <w:t>Обработка полученных данных</w:t>
      </w:r>
      <w:r>
        <w:rPr>
          <w:rFonts w:ascii="Times New Roman" w:hAnsi="Times New Roman" w:cs="Times New Roman"/>
          <w:sz w:val="28"/>
        </w:rPr>
        <w:t>:</w:t>
      </w:r>
      <w:r w:rsidRPr="00254330">
        <w:t xml:space="preserve"> </w:t>
      </w:r>
      <w:r w:rsidRPr="00254330">
        <w:rPr>
          <w:rFonts w:ascii="Times New Roman" w:hAnsi="Times New Roman" w:cs="Times New Roman"/>
          <w:sz w:val="28"/>
          <w:szCs w:val="28"/>
        </w:rPr>
        <w:t>ре</w:t>
      </w:r>
      <w:r w:rsidRPr="00254330">
        <w:rPr>
          <w:rFonts w:ascii="Times New Roman" w:hAnsi="Times New Roman" w:cs="Times New Roman"/>
          <w:sz w:val="28"/>
        </w:rPr>
        <w:t xml:space="preserve">зультаты интервью </w:t>
      </w:r>
      <w:r>
        <w:rPr>
          <w:rFonts w:ascii="Times New Roman" w:hAnsi="Times New Roman" w:cs="Times New Roman"/>
          <w:sz w:val="28"/>
        </w:rPr>
        <w:t>будут</w:t>
      </w:r>
      <w:r w:rsidRPr="00254330">
        <w:rPr>
          <w:rFonts w:ascii="Times New Roman" w:hAnsi="Times New Roman" w:cs="Times New Roman"/>
          <w:sz w:val="28"/>
        </w:rPr>
        <w:t xml:space="preserve"> обработаны с использованием методов тематического анализа, сравнительного анализа и качественного контент-анализа</w:t>
      </w:r>
      <w:r>
        <w:rPr>
          <w:rFonts w:ascii="Times New Roman" w:hAnsi="Times New Roman" w:cs="Times New Roman"/>
          <w:sz w:val="28"/>
        </w:rPr>
        <w:t>. Для повышения надёжности результатов анализа будет применяться метод триангуляции (сопоставление с результатами других исследований, обсуждение в разных аудиториях).</w:t>
      </w:r>
    </w:p>
    <w:p w:rsidR="00845CAB" w:rsidRPr="00171D19" w:rsidRDefault="00845CAB" w:rsidP="00845CAB">
      <w:pPr>
        <w:spacing w:after="0" w:line="240" w:lineRule="auto"/>
        <w:ind w:firstLine="567"/>
        <w:jc w:val="both"/>
        <w:rPr>
          <w:rFonts w:ascii="Times New Roman" w:hAnsi="Times New Roman" w:cs="Times New Roman"/>
          <w:sz w:val="28"/>
        </w:rPr>
      </w:pPr>
    </w:p>
    <w:p w:rsidR="00845CAB" w:rsidRPr="000A389B" w:rsidRDefault="00845CAB" w:rsidP="00845CAB">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p>
    <w:p w:rsidR="00845CAB" w:rsidRPr="0079400B" w:rsidRDefault="00845CAB" w:rsidP="00845CAB"/>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845CAB"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75E4C" w:rsidRPr="00C75E4C" w:rsidRDefault="00C75E4C" w:rsidP="00C75E4C">
      <w:pPr>
        <w:jc w:val="center"/>
        <w:rPr>
          <w:rFonts w:ascii="Times New Roman" w:hAnsi="Times New Roman" w:cs="Times New Roman"/>
          <w:b/>
          <w:sz w:val="28"/>
        </w:rPr>
      </w:pPr>
      <w:r w:rsidRPr="00C75E4C">
        <w:rPr>
          <w:rFonts w:ascii="Times New Roman" w:hAnsi="Times New Roman" w:cs="Times New Roman"/>
          <w:b/>
          <w:sz w:val="28"/>
        </w:rPr>
        <w:lastRenderedPageBreak/>
        <w:t>ПРИЛОЖЕНИЕ Ж</w:t>
      </w:r>
    </w:p>
    <w:p w:rsidR="00C75E4C" w:rsidRPr="00C75E4C" w:rsidRDefault="00C75E4C" w:rsidP="00C75E4C">
      <w:pPr>
        <w:spacing w:line="256" w:lineRule="auto"/>
        <w:jc w:val="center"/>
        <w:rPr>
          <w:rFonts w:ascii="Times New Roman" w:eastAsia="Calibri" w:hAnsi="Times New Roman" w:cs="Times New Roman"/>
          <w:b/>
          <w:sz w:val="28"/>
        </w:rPr>
      </w:pPr>
      <w:r w:rsidRPr="00C75E4C">
        <w:rPr>
          <w:rFonts w:ascii="Times New Roman" w:eastAsia="Calibri" w:hAnsi="Times New Roman" w:cs="Times New Roman"/>
          <w:b/>
          <w:sz w:val="28"/>
        </w:rPr>
        <w:t>РУКОВОДСТВО ДЛЯ ГЛУБИННОГО ИНТЕРВЬЮ (2)</w:t>
      </w:r>
    </w:p>
    <w:p w:rsidR="00C75E4C" w:rsidRPr="00C75E4C" w:rsidRDefault="00C75E4C" w:rsidP="00C75E4C">
      <w:pPr>
        <w:spacing w:after="0" w:line="240" w:lineRule="auto"/>
        <w:ind w:firstLine="567"/>
        <w:jc w:val="both"/>
        <w:rPr>
          <w:rFonts w:ascii="Times New Roman" w:eastAsia="Calibri" w:hAnsi="Times New Roman" w:cs="Times New Roman"/>
          <w:b/>
          <w:sz w:val="28"/>
        </w:rPr>
      </w:pPr>
      <w:r w:rsidRPr="00C75E4C">
        <w:rPr>
          <w:rFonts w:ascii="Times New Roman" w:eastAsia="Calibri" w:hAnsi="Times New Roman" w:cs="Times New Roman"/>
          <w:b/>
          <w:sz w:val="28"/>
        </w:rPr>
        <w:t>Основные положения.</w:t>
      </w:r>
    </w:p>
    <w:p w:rsidR="00C75E4C" w:rsidRPr="00C75E4C" w:rsidRDefault="00C75E4C" w:rsidP="00C75E4C">
      <w:pPr>
        <w:spacing w:after="0" w:line="240" w:lineRule="auto"/>
        <w:ind w:firstLine="567"/>
        <w:jc w:val="both"/>
        <w:rPr>
          <w:rFonts w:ascii="Times New Roman" w:eastAsia="Calibri" w:hAnsi="Times New Roman" w:cs="Times New Roman"/>
          <w:sz w:val="28"/>
        </w:rPr>
      </w:pPr>
      <w:r w:rsidRPr="00C75E4C">
        <w:rPr>
          <w:rFonts w:ascii="Times New Roman" w:eastAsia="Calibri" w:hAnsi="Times New Roman" w:cs="Times New Roman"/>
          <w:b/>
          <w:sz w:val="28"/>
        </w:rPr>
        <w:t>Цель документа</w:t>
      </w:r>
      <w:r w:rsidRPr="00C75E4C">
        <w:rPr>
          <w:rFonts w:ascii="Times New Roman" w:eastAsia="Calibri" w:hAnsi="Times New Roman" w:cs="Times New Roman"/>
          <w:sz w:val="28"/>
        </w:rPr>
        <w:t>: ознакомление с вопросами и темами, рассматриваемыми в интервью. В ходе беседы интервьюер может комбинировать вопросы, задавать уточняющие и проясняющие вопросы, углубляться в какую-либо тему, которая является наиболее релевантной для исследования, либо игнорировать вопросы, которые уже были затронуты в процессе интервью. Вопросы не меняются местами, однако, интервьюируемые респонденты могут добавить нюанс или аспект ответа, не учтённый вопросами, для лучшего достижения целей, поставленных интервью.</w:t>
      </w:r>
    </w:p>
    <w:p w:rsidR="00C75E4C" w:rsidRPr="00C75E4C" w:rsidRDefault="00C75E4C" w:rsidP="00C75E4C">
      <w:pPr>
        <w:spacing w:after="0" w:line="240" w:lineRule="auto"/>
        <w:ind w:firstLine="567"/>
        <w:jc w:val="both"/>
        <w:rPr>
          <w:rFonts w:ascii="Times New Roman" w:eastAsia="Calibri" w:hAnsi="Times New Roman" w:cs="Times New Roman"/>
          <w:sz w:val="28"/>
        </w:rPr>
      </w:pPr>
    </w:p>
    <w:p w:rsidR="00C75E4C" w:rsidRPr="00C75E4C" w:rsidRDefault="00C75E4C" w:rsidP="00C75E4C">
      <w:pPr>
        <w:spacing w:after="0" w:line="240" w:lineRule="auto"/>
        <w:ind w:firstLine="567"/>
        <w:jc w:val="both"/>
        <w:rPr>
          <w:rFonts w:ascii="Times New Roman" w:eastAsia="Calibri" w:hAnsi="Times New Roman" w:cs="Times New Roman"/>
          <w:sz w:val="28"/>
        </w:rPr>
      </w:pPr>
      <w:r w:rsidRPr="00C75E4C">
        <w:rPr>
          <w:rFonts w:ascii="Times New Roman" w:eastAsia="Calibri" w:hAnsi="Times New Roman" w:cs="Times New Roman"/>
          <w:b/>
          <w:sz w:val="28"/>
        </w:rPr>
        <w:t>Представление (5 минут)</w:t>
      </w:r>
      <w:r w:rsidRPr="00C75E4C">
        <w:rPr>
          <w:rFonts w:ascii="Times New Roman" w:eastAsia="Calibri" w:hAnsi="Times New Roman" w:cs="Times New Roman"/>
          <w:sz w:val="28"/>
        </w:rPr>
        <w:t>:</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Уважаемый(ая) участник интервью!</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Меня зовут Анастасия Федорова, я являюсь докторанткой Института философии, политологии и религиоведения Комитета науки Министерства науки и высшего образования Республики Казахстан (ИФПР КН МНВО РК).</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В настоящее время я провожу диссертационное исследование на тему: «Роль информационных технологий в становлении и развитии институтов гражданского общества в Казахстане».</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Цель данного интервью – изучение влияния информационных технологий и социальных медиа на деятельность молодёжных общественных организаций, а также на процессы развития гражданского общества в Республике Казахстан.</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Полученные в ходе интервью данные будут использованы исключительно в научных целях и сопоставлены с результатами социологического опроса молодёжи Казахстана, а также с данными регрессионного анализа, проведённого в рамках диссертационного исследования.</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Благодарю Вас за согласие принять участие в интервью и за Ваш вклад в развитие научного исследования.</w:t>
      </w:r>
    </w:p>
    <w:p w:rsidR="00C75E4C" w:rsidRPr="00C75E4C" w:rsidRDefault="00C75E4C" w:rsidP="00C75E4C">
      <w:pPr>
        <w:spacing w:after="0" w:line="240" w:lineRule="auto"/>
        <w:ind w:firstLine="567"/>
        <w:jc w:val="both"/>
        <w:rPr>
          <w:rFonts w:ascii="Times New Roman" w:eastAsia="Calibri" w:hAnsi="Times New Roman" w:cs="Times New Roman"/>
          <w:sz w:val="28"/>
        </w:rPr>
      </w:pP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Құрметті сұхбатқа қатысушы!</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Менің атым Анастасия Федорова, мен Қазақстан Республикасы Ғылым және жоғары білім министрлігі Ғылым комитетінің Философия, саясаттану және дінтану институтының (ҚР ҒЖБМ ҒК ФСДИ) докторантымын.</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Қазіргі уақытта мен «Қазақстандағы азаматтық қоғам институттарының қалыптасуы мен дамуындағы ақпараттық технологиялардың рөлі» тақырыбында диссертациялық зерттеу жүргізудемін.</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Осы сұхбаттың мақсаты – ақпараттық технологиялар мен әлеуметтік медианың жастар қоғамдық ұйымдарының қызметіне, сондай-ақ Қазақстан Республикасындағы азаматтық қоғамның даму үдерістеріне ықпалын зерттеу.</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 xml:space="preserve">Сұхбат барысында алынған мәліметтер тек ғылыми мақсатта пайдаланылып, Қазақстан жастары арасында жүргізілген әлеуметтік </w:t>
      </w:r>
      <w:r w:rsidRPr="00C75E4C">
        <w:rPr>
          <w:rFonts w:ascii="Times New Roman" w:eastAsia="Calibri" w:hAnsi="Times New Roman" w:cs="Times New Roman"/>
          <w:i/>
          <w:sz w:val="28"/>
        </w:rPr>
        <w:lastRenderedPageBreak/>
        <w:t>сауалнама нәтижелерімен, сондай-ақ диссертациялық зерттеу аясында жүргізілген регрессиялық талдау деректерімен салыстырылатын болады.</w:t>
      </w:r>
    </w:p>
    <w:p w:rsidR="00C75E4C" w:rsidRPr="00C75E4C" w:rsidRDefault="00C75E4C" w:rsidP="00C75E4C">
      <w:pPr>
        <w:spacing w:after="0" w:line="240" w:lineRule="auto"/>
        <w:ind w:firstLine="567"/>
        <w:jc w:val="both"/>
        <w:rPr>
          <w:rFonts w:ascii="Times New Roman" w:eastAsia="Calibri" w:hAnsi="Times New Roman" w:cs="Times New Roman"/>
          <w:i/>
          <w:sz w:val="28"/>
        </w:rPr>
      </w:pPr>
      <w:r w:rsidRPr="00C75E4C">
        <w:rPr>
          <w:rFonts w:ascii="Times New Roman" w:eastAsia="Calibri" w:hAnsi="Times New Roman" w:cs="Times New Roman"/>
          <w:i/>
          <w:sz w:val="28"/>
        </w:rPr>
        <w:t>Сұхбатқа қатысуға келісім бергеніңіз үшін және ғылыми зерттеудің дамуына қосқан үлесіңіз үшін алғыс білдіремін.</w:t>
      </w:r>
    </w:p>
    <w:p w:rsidR="00C75E4C" w:rsidRPr="00C75E4C" w:rsidRDefault="00C75E4C" w:rsidP="00C75E4C">
      <w:pPr>
        <w:jc w:val="center"/>
        <w:rPr>
          <w:rFonts w:ascii="Times New Roman" w:hAnsi="Times New Roman" w:cs="Times New Roman"/>
          <w:b/>
          <w:sz w:val="28"/>
        </w:rPr>
      </w:pPr>
    </w:p>
    <w:tbl>
      <w:tblPr>
        <w:tblStyle w:val="af4"/>
        <w:tblW w:w="0" w:type="dxa"/>
        <w:tblLayout w:type="fixed"/>
        <w:tblLook w:val="04A0" w:firstRow="1" w:lastRow="0" w:firstColumn="1" w:lastColumn="0" w:noHBand="0" w:noVBand="1"/>
      </w:tblPr>
      <w:tblGrid>
        <w:gridCol w:w="415"/>
        <w:gridCol w:w="1730"/>
        <w:gridCol w:w="6497"/>
        <w:gridCol w:w="851"/>
      </w:tblGrid>
      <w:tr w:rsidR="00C75E4C" w:rsidRPr="00C75E4C" w:rsidTr="006625FC">
        <w:tc>
          <w:tcPr>
            <w:tcW w:w="2145" w:type="dxa"/>
            <w:gridSpan w:val="2"/>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center"/>
              <w:rPr>
                <w:rFonts w:ascii="Times New Roman" w:hAnsi="Times New Roman" w:cs="Times New Roman"/>
                <w:b/>
                <w:sz w:val="28"/>
              </w:rPr>
            </w:pPr>
            <w:r w:rsidRPr="00C75E4C">
              <w:rPr>
                <w:rFonts w:ascii="Times New Roman" w:hAnsi="Times New Roman" w:cs="Times New Roman"/>
                <w:b/>
                <w:sz w:val="28"/>
              </w:rPr>
              <w:t>БЛОК</w:t>
            </w:r>
          </w:p>
        </w:tc>
        <w:tc>
          <w:tcPr>
            <w:tcW w:w="6497"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center"/>
              <w:rPr>
                <w:rFonts w:ascii="Times New Roman" w:hAnsi="Times New Roman" w:cs="Times New Roman"/>
                <w:b/>
                <w:sz w:val="28"/>
              </w:rPr>
            </w:pPr>
            <w:r w:rsidRPr="00C75E4C">
              <w:rPr>
                <w:rFonts w:ascii="Times New Roman" w:hAnsi="Times New Roman" w:cs="Times New Roman"/>
                <w:b/>
                <w:sz w:val="28"/>
              </w:rPr>
              <w:t>Вопросы</w:t>
            </w:r>
          </w:p>
        </w:tc>
        <w:tc>
          <w:tcPr>
            <w:tcW w:w="851"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center"/>
              <w:rPr>
                <w:rFonts w:ascii="Times New Roman" w:hAnsi="Times New Roman" w:cs="Times New Roman"/>
                <w:b/>
                <w:sz w:val="28"/>
              </w:rPr>
            </w:pPr>
            <w:r w:rsidRPr="00C75E4C">
              <w:rPr>
                <w:rFonts w:ascii="Times New Roman" w:hAnsi="Times New Roman" w:cs="Times New Roman"/>
                <w:b/>
                <w:sz w:val="28"/>
              </w:rPr>
              <w:t>Комментарии</w:t>
            </w:r>
          </w:p>
        </w:tc>
      </w:tr>
      <w:tr w:rsidR="00C75E4C" w:rsidRPr="00C75E4C" w:rsidTr="006625FC">
        <w:tc>
          <w:tcPr>
            <w:tcW w:w="9493" w:type="dxa"/>
            <w:gridSpan w:val="4"/>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center"/>
              <w:rPr>
                <w:rFonts w:ascii="Times New Roman" w:hAnsi="Times New Roman" w:cs="Times New Roman"/>
                <w:b/>
                <w:i/>
                <w:sz w:val="28"/>
              </w:rPr>
            </w:pPr>
            <w:r w:rsidRPr="00C75E4C">
              <w:rPr>
                <w:rFonts w:ascii="Times New Roman" w:hAnsi="Times New Roman" w:cs="Times New Roman"/>
                <w:b/>
                <w:i/>
                <w:sz w:val="28"/>
              </w:rPr>
              <w:t>БЛОК 1</w:t>
            </w:r>
          </w:p>
        </w:tc>
      </w:tr>
      <w:tr w:rsidR="00C75E4C" w:rsidRPr="00C75E4C" w:rsidTr="006625FC">
        <w:tc>
          <w:tcPr>
            <w:tcW w:w="415"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both"/>
              <w:rPr>
                <w:rFonts w:ascii="Times New Roman" w:hAnsi="Times New Roman" w:cs="Times New Roman"/>
                <w:sz w:val="28"/>
              </w:rPr>
            </w:pPr>
            <w:r w:rsidRPr="00C75E4C">
              <w:rPr>
                <w:rFonts w:ascii="Times New Roman" w:hAnsi="Times New Roman" w:cs="Times New Roman"/>
                <w:sz w:val="28"/>
              </w:rPr>
              <w:t>1</w:t>
            </w:r>
          </w:p>
        </w:tc>
        <w:tc>
          <w:tcPr>
            <w:tcW w:w="1730"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both"/>
              <w:rPr>
                <w:rFonts w:ascii="Times New Roman" w:hAnsi="Times New Roman" w:cs="Times New Roman"/>
                <w:sz w:val="28"/>
              </w:rPr>
            </w:pPr>
            <w:r w:rsidRPr="00C75E4C">
              <w:rPr>
                <w:rFonts w:ascii="Times New Roman" w:hAnsi="Times New Roman" w:cs="Times New Roman"/>
                <w:sz w:val="28"/>
              </w:rPr>
              <w:t>Теоретико-методологический блок</w:t>
            </w:r>
          </w:p>
        </w:tc>
        <w:tc>
          <w:tcPr>
            <w:tcW w:w="6497" w:type="dxa"/>
            <w:tcBorders>
              <w:top w:val="single" w:sz="4" w:space="0" w:color="auto"/>
              <w:left w:val="single" w:sz="4" w:space="0" w:color="auto"/>
              <w:bottom w:val="single" w:sz="4" w:space="0" w:color="auto"/>
              <w:right w:val="single" w:sz="4" w:space="0" w:color="auto"/>
            </w:tcBorders>
            <w:hideMark/>
          </w:tcPr>
          <w:p w:rsidR="00C75E4C" w:rsidRPr="00C75E4C" w:rsidRDefault="00C75E4C" w:rsidP="008465D6">
            <w:pPr>
              <w:numPr>
                <w:ilvl w:val="0"/>
                <w:numId w:val="82"/>
              </w:numPr>
              <w:spacing w:line="256" w:lineRule="auto"/>
              <w:ind w:left="0" w:firstLine="0"/>
              <w:contextualSpacing/>
              <w:jc w:val="both"/>
              <w:rPr>
                <w:rFonts w:ascii="Times New Roman" w:hAnsi="Times New Roman" w:cs="Times New Roman"/>
                <w:sz w:val="28"/>
              </w:rPr>
            </w:pPr>
            <w:r w:rsidRPr="00C75E4C">
              <w:rPr>
                <w:rFonts w:ascii="Times New Roman" w:hAnsi="Times New Roman" w:cs="Times New Roman"/>
                <w:sz w:val="28"/>
              </w:rPr>
              <w:t xml:space="preserve">Насколько, на Ваш взгляд, применима к казахстанским реалиям концепция технологического детерминизма, согласно которой цифровые технологии оказывают определяющее влияние на общественные </w:t>
            </w:r>
            <w:proofErr w:type="gramStart"/>
            <w:r w:rsidRPr="00C75E4C">
              <w:rPr>
                <w:rFonts w:ascii="Times New Roman" w:hAnsi="Times New Roman" w:cs="Times New Roman"/>
                <w:sz w:val="28"/>
              </w:rPr>
              <w:t>процессы?/</w:t>
            </w:r>
            <w:proofErr w:type="gramEnd"/>
            <w:r w:rsidRPr="00C75E4C">
              <w:rPr>
                <w:rFonts w:ascii="Times New Roman" w:eastAsia="Times New Roman" w:hAnsi="Times New Roman" w:cs="Times New Roman"/>
                <w:sz w:val="24"/>
                <w:szCs w:val="24"/>
                <w:lang w:eastAsia="ru-RU"/>
              </w:rPr>
              <w:t xml:space="preserve"> </w:t>
            </w:r>
            <w:r w:rsidRPr="00C75E4C">
              <w:rPr>
                <w:rFonts w:ascii="Times New Roman" w:hAnsi="Times New Roman" w:cs="Times New Roman"/>
                <w:sz w:val="28"/>
              </w:rPr>
              <w:t xml:space="preserve">Сіздің ойыңызша, цифрлық технологиялар қоғамдық үдерістерге айқындаушы әсер етеді деген технологиялық детерминизм тұжырымдамасы Қазақстанның қазіргі шындығына қаншалықты сәйкес келеді? </w:t>
            </w:r>
          </w:p>
          <w:p w:rsidR="00C75E4C" w:rsidRPr="00C75E4C" w:rsidRDefault="00C75E4C" w:rsidP="008465D6">
            <w:pPr>
              <w:numPr>
                <w:ilvl w:val="0"/>
                <w:numId w:val="82"/>
              </w:numPr>
              <w:spacing w:line="256" w:lineRule="auto"/>
              <w:ind w:left="0" w:firstLine="0"/>
              <w:contextualSpacing/>
              <w:jc w:val="both"/>
              <w:rPr>
                <w:rFonts w:ascii="Times New Roman" w:hAnsi="Times New Roman" w:cs="Times New Roman"/>
                <w:sz w:val="28"/>
              </w:rPr>
            </w:pPr>
            <w:r w:rsidRPr="00C75E4C">
              <w:rPr>
                <w:rFonts w:ascii="Times New Roman" w:hAnsi="Times New Roman" w:cs="Times New Roman"/>
                <w:sz w:val="28"/>
              </w:rPr>
              <w:t xml:space="preserve">Как Вы оцениваете влияние цифровых технологий на развитие гражданского общества в </w:t>
            </w:r>
            <w:proofErr w:type="gramStart"/>
            <w:r w:rsidRPr="00C75E4C">
              <w:rPr>
                <w:rFonts w:ascii="Times New Roman" w:hAnsi="Times New Roman" w:cs="Times New Roman"/>
                <w:sz w:val="28"/>
              </w:rPr>
              <w:t>Казахстане?/</w:t>
            </w:r>
            <w:proofErr w:type="gramEnd"/>
            <w:r w:rsidRPr="00C75E4C">
              <w:rPr>
                <w:rFonts w:ascii="Times New Roman" w:hAnsi="Times New Roman" w:cs="Times New Roman"/>
                <w:sz w:val="28"/>
              </w:rPr>
              <w:t>Қазақстандағы азаматтық қоғамның дамуына цифрлық технологиялардың ықпалын қалай бағалайсыз?</w:t>
            </w:r>
          </w:p>
          <w:p w:rsidR="00C75E4C" w:rsidRPr="00C75E4C" w:rsidRDefault="00C75E4C" w:rsidP="008465D6">
            <w:pPr>
              <w:numPr>
                <w:ilvl w:val="0"/>
                <w:numId w:val="82"/>
              </w:numPr>
              <w:spacing w:line="256" w:lineRule="auto"/>
              <w:ind w:left="0" w:firstLine="0"/>
              <w:contextualSpacing/>
              <w:jc w:val="both"/>
              <w:rPr>
                <w:rFonts w:ascii="Times New Roman" w:hAnsi="Times New Roman" w:cs="Times New Roman"/>
                <w:sz w:val="28"/>
              </w:rPr>
            </w:pPr>
            <w:r w:rsidRPr="00C75E4C">
              <w:rPr>
                <w:rFonts w:ascii="Times New Roman" w:hAnsi="Times New Roman" w:cs="Times New Roman"/>
                <w:sz w:val="28"/>
              </w:rPr>
              <w:t xml:space="preserve">Можно ли утверждать, что цифровые технологии являются одним из ключевых факторов трансформации гражданского общества Казахстана? </w:t>
            </w:r>
            <w:proofErr w:type="gramStart"/>
            <w:r w:rsidRPr="00C75E4C">
              <w:rPr>
                <w:rFonts w:ascii="Times New Roman" w:hAnsi="Times New Roman" w:cs="Times New Roman"/>
                <w:sz w:val="28"/>
              </w:rPr>
              <w:t>Почему?/</w:t>
            </w:r>
            <w:proofErr w:type="gramEnd"/>
            <w:r w:rsidRPr="00C75E4C">
              <w:rPr>
                <w:rFonts w:ascii="Times New Roman" w:eastAsia="Times New Roman" w:hAnsi="Times New Roman" w:cs="Times New Roman"/>
                <w:sz w:val="24"/>
                <w:szCs w:val="24"/>
                <w:lang w:eastAsia="ru-RU"/>
              </w:rPr>
              <w:t xml:space="preserve"> </w:t>
            </w:r>
            <w:r w:rsidRPr="00C75E4C">
              <w:rPr>
                <w:rFonts w:ascii="Times New Roman" w:hAnsi="Times New Roman" w:cs="Times New Roman"/>
                <w:sz w:val="28"/>
              </w:rPr>
              <w:t>Цифрлық технологияларды Қазақстандағы азаматтық қоғамның трансформациясының негізгі факторларының бірі деп айтуға бола ма? Неліктен?</w:t>
            </w:r>
          </w:p>
          <w:p w:rsidR="00C75E4C" w:rsidRPr="00C75E4C" w:rsidRDefault="00C75E4C" w:rsidP="008465D6">
            <w:pPr>
              <w:numPr>
                <w:ilvl w:val="0"/>
                <w:numId w:val="82"/>
              </w:numPr>
              <w:spacing w:line="256" w:lineRule="auto"/>
              <w:ind w:left="0" w:firstLine="0"/>
              <w:contextualSpacing/>
              <w:jc w:val="both"/>
              <w:rPr>
                <w:rFonts w:ascii="Times New Roman" w:hAnsi="Times New Roman" w:cs="Times New Roman"/>
                <w:sz w:val="28"/>
              </w:rPr>
            </w:pPr>
            <w:r w:rsidRPr="00C75E4C">
              <w:rPr>
                <w:rFonts w:ascii="Times New Roman" w:hAnsi="Times New Roman" w:cs="Times New Roman"/>
                <w:sz w:val="28"/>
              </w:rPr>
              <w:t>Как Вы относитесь к теории социальных сил, согласно которой влияние технологий зависит от уровня культурного, социального и политического развития общества? /</w:t>
            </w:r>
            <w:r w:rsidRPr="00C75E4C">
              <w:rPr>
                <w:rFonts w:ascii="Times New Roman" w:eastAsia="Times New Roman" w:hAnsi="Times New Roman" w:cs="Times New Roman"/>
                <w:sz w:val="24"/>
                <w:szCs w:val="24"/>
                <w:lang w:eastAsia="ru-RU"/>
              </w:rPr>
              <w:t xml:space="preserve"> </w:t>
            </w:r>
            <w:r w:rsidRPr="00C75E4C">
              <w:rPr>
                <w:rFonts w:ascii="Times New Roman" w:hAnsi="Times New Roman" w:cs="Times New Roman"/>
                <w:sz w:val="28"/>
              </w:rPr>
              <w:t>Технологиялардың ықпалы қоғамның мәдени, әлеуметтік және саяси даму деңгейіне тәуелді деген әлеуметтік күштер теориясына Сіз қалай қарайсыз?</w:t>
            </w:r>
          </w:p>
          <w:p w:rsidR="00C75E4C" w:rsidRPr="00C75E4C" w:rsidRDefault="00C75E4C" w:rsidP="008465D6">
            <w:pPr>
              <w:numPr>
                <w:ilvl w:val="0"/>
                <w:numId w:val="82"/>
              </w:numPr>
              <w:ind w:left="0" w:firstLine="0"/>
              <w:contextualSpacing/>
              <w:jc w:val="both"/>
              <w:rPr>
                <w:rFonts w:ascii="Times New Roman" w:hAnsi="Times New Roman" w:cs="Times New Roman"/>
                <w:sz w:val="28"/>
                <w:szCs w:val="28"/>
              </w:rPr>
            </w:pPr>
            <w:r w:rsidRPr="00C75E4C">
              <w:rPr>
                <w:rFonts w:ascii="Times New Roman" w:hAnsi="Times New Roman" w:cs="Times New Roman"/>
                <w:sz w:val="28"/>
              </w:rPr>
              <w:t xml:space="preserve">Какая из двух концепций – технологический детерминизм или теория социальных сил – в большей степени подходит для анализа влияния цифровых технологий на гражданское общество Казахстана? </w:t>
            </w:r>
            <w:proofErr w:type="gramStart"/>
            <w:r w:rsidRPr="00C75E4C">
              <w:rPr>
                <w:rFonts w:ascii="Times New Roman" w:hAnsi="Times New Roman" w:cs="Times New Roman"/>
                <w:sz w:val="28"/>
              </w:rPr>
              <w:t>Почему?/</w:t>
            </w:r>
            <w:proofErr w:type="gramEnd"/>
            <w:r w:rsidRPr="00C75E4C">
              <w:rPr>
                <w:rFonts w:ascii="Times New Roman" w:eastAsia="Times New Roman" w:hAnsi="Times New Roman" w:cs="Times New Roman"/>
                <w:sz w:val="24"/>
                <w:szCs w:val="24"/>
                <w:lang w:eastAsia="ru-RU"/>
              </w:rPr>
              <w:t xml:space="preserve"> </w:t>
            </w:r>
            <w:r w:rsidRPr="00C75E4C">
              <w:rPr>
                <w:rFonts w:ascii="Times New Roman" w:hAnsi="Times New Roman" w:cs="Times New Roman"/>
                <w:sz w:val="28"/>
              </w:rPr>
              <w:t xml:space="preserve">Сіздің ойыңызша, екі </w:t>
            </w:r>
            <w:r w:rsidRPr="00C75E4C">
              <w:rPr>
                <w:rFonts w:ascii="Times New Roman" w:hAnsi="Times New Roman" w:cs="Times New Roman"/>
                <w:sz w:val="28"/>
              </w:rPr>
              <w:lastRenderedPageBreak/>
              <w:t>тұжырымдаманың – технологиялық детерминизм мен әлеуметтік күштер теориясының – қайсысы Қазақстандағы азаматтық қоғамға цифрлық технологиялардың әсерін талдауға көбірек сәйкес келеді? Неліктен?</w:t>
            </w:r>
          </w:p>
        </w:tc>
        <w:tc>
          <w:tcPr>
            <w:tcW w:w="851" w:type="dxa"/>
            <w:tcBorders>
              <w:top w:val="single" w:sz="4" w:space="0" w:color="auto"/>
              <w:left w:val="single" w:sz="4" w:space="0" w:color="auto"/>
              <w:bottom w:val="single" w:sz="4" w:space="0" w:color="auto"/>
              <w:right w:val="single" w:sz="4" w:space="0" w:color="auto"/>
            </w:tcBorders>
          </w:tcPr>
          <w:p w:rsidR="00C75E4C" w:rsidRPr="00C75E4C" w:rsidRDefault="00C75E4C" w:rsidP="00C75E4C">
            <w:pPr>
              <w:jc w:val="both"/>
              <w:rPr>
                <w:rFonts w:ascii="Times New Roman" w:hAnsi="Times New Roman" w:cs="Times New Roman"/>
                <w:sz w:val="28"/>
                <w:szCs w:val="28"/>
              </w:rPr>
            </w:pPr>
          </w:p>
        </w:tc>
      </w:tr>
      <w:tr w:rsidR="00C75E4C" w:rsidRPr="00C75E4C" w:rsidTr="006625FC">
        <w:tc>
          <w:tcPr>
            <w:tcW w:w="9493" w:type="dxa"/>
            <w:gridSpan w:val="4"/>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center"/>
              <w:rPr>
                <w:rFonts w:ascii="Times New Roman" w:hAnsi="Times New Roman" w:cs="Times New Roman"/>
                <w:sz w:val="28"/>
              </w:rPr>
            </w:pPr>
            <w:r w:rsidRPr="00C75E4C">
              <w:rPr>
                <w:rFonts w:ascii="Times New Roman" w:hAnsi="Times New Roman" w:cs="Times New Roman"/>
                <w:b/>
                <w:i/>
                <w:sz w:val="28"/>
              </w:rPr>
              <w:t>БЛОК 2</w:t>
            </w:r>
          </w:p>
        </w:tc>
      </w:tr>
      <w:tr w:rsidR="00C75E4C" w:rsidRPr="00C75E4C" w:rsidTr="006625FC">
        <w:tc>
          <w:tcPr>
            <w:tcW w:w="415"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both"/>
              <w:rPr>
                <w:rFonts w:ascii="Times New Roman" w:hAnsi="Times New Roman" w:cs="Times New Roman"/>
                <w:sz w:val="28"/>
              </w:rPr>
            </w:pPr>
            <w:r w:rsidRPr="00C75E4C">
              <w:rPr>
                <w:rFonts w:ascii="Times New Roman" w:hAnsi="Times New Roman" w:cs="Times New Roman"/>
                <w:sz w:val="28"/>
              </w:rPr>
              <w:t>2</w:t>
            </w:r>
          </w:p>
        </w:tc>
        <w:tc>
          <w:tcPr>
            <w:tcW w:w="1730"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both"/>
              <w:rPr>
                <w:rFonts w:ascii="Times New Roman" w:hAnsi="Times New Roman" w:cs="Times New Roman"/>
                <w:sz w:val="28"/>
              </w:rPr>
            </w:pPr>
            <w:r w:rsidRPr="00C75E4C">
              <w:rPr>
                <w:rFonts w:ascii="Times New Roman" w:hAnsi="Times New Roman" w:cs="Times New Roman"/>
                <w:sz w:val="28"/>
              </w:rPr>
              <w:t>Онлайн-гражданское участие молодёжи</w:t>
            </w:r>
          </w:p>
        </w:tc>
        <w:tc>
          <w:tcPr>
            <w:tcW w:w="6497" w:type="dxa"/>
            <w:tcBorders>
              <w:top w:val="single" w:sz="4" w:space="0" w:color="auto"/>
              <w:left w:val="single" w:sz="4" w:space="0" w:color="auto"/>
              <w:bottom w:val="single" w:sz="4" w:space="0" w:color="auto"/>
              <w:right w:val="single" w:sz="4" w:space="0" w:color="auto"/>
            </w:tcBorders>
            <w:hideMark/>
          </w:tcPr>
          <w:p w:rsidR="00C75E4C" w:rsidRPr="00C75E4C" w:rsidRDefault="00C75E4C" w:rsidP="008465D6">
            <w:pPr>
              <w:numPr>
                <w:ilvl w:val="0"/>
                <w:numId w:val="83"/>
              </w:numPr>
              <w:ind w:left="151" w:hanging="151"/>
              <w:contextualSpacing/>
              <w:jc w:val="both"/>
              <w:rPr>
                <w:rFonts w:ascii="Times New Roman" w:eastAsia="Times New Roman" w:hAnsi="Times New Roman" w:cs="Times New Roman"/>
                <w:sz w:val="28"/>
                <w:szCs w:val="28"/>
                <w:lang w:eastAsia="ru-RU"/>
              </w:rPr>
            </w:pPr>
            <w:r w:rsidRPr="00C75E4C">
              <w:rPr>
                <w:rFonts w:ascii="Times New Roman" w:eastAsia="Times New Roman" w:hAnsi="Times New Roman" w:cs="Times New Roman"/>
                <w:sz w:val="28"/>
                <w:szCs w:val="28"/>
                <w:lang w:eastAsia="ru-RU"/>
              </w:rPr>
              <w:t xml:space="preserve">Как Вы полагаете, каковы основные цели использования социальных медиа молодёжью </w:t>
            </w:r>
            <w:proofErr w:type="gramStart"/>
            <w:r w:rsidRPr="00C75E4C">
              <w:rPr>
                <w:rFonts w:ascii="Times New Roman" w:eastAsia="Times New Roman" w:hAnsi="Times New Roman" w:cs="Times New Roman"/>
                <w:sz w:val="28"/>
                <w:szCs w:val="28"/>
                <w:lang w:eastAsia="ru-RU"/>
              </w:rPr>
              <w:t>Казахстана?/</w:t>
            </w:r>
            <w:proofErr w:type="gramEnd"/>
            <w:r w:rsidRPr="00C75E4C">
              <w:t xml:space="preserve"> </w:t>
            </w:r>
            <w:r w:rsidRPr="00C75E4C">
              <w:rPr>
                <w:rFonts w:ascii="Times New Roman" w:eastAsia="Times New Roman" w:hAnsi="Times New Roman" w:cs="Times New Roman"/>
                <w:sz w:val="28"/>
                <w:szCs w:val="28"/>
                <w:lang w:eastAsia="ru-RU"/>
              </w:rPr>
              <w:t>Сіздің ойыңызша, Қазақстан жастарының әлеуметтік медианы пайдаланудағы негізгі мақсаттары қандай?</w:t>
            </w:r>
          </w:p>
          <w:p w:rsidR="00C75E4C" w:rsidRPr="00C75E4C" w:rsidRDefault="00C75E4C" w:rsidP="008465D6">
            <w:pPr>
              <w:numPr>
                <w:ilvl w:val="0"/>
                <w:numId w:val="83"/>
              </w:numPr>
              <w:spacing w:line="256" w:lineRule="auto"/>
              <w:ind w:left="151" w:hanging="151"/>
              <w:contextualSpacing/>
              <w:jc w:val="both"/>
              <w:rPr>
                <w:rFonts w:ascii="Times New Roman" w:eastAsia="Times New Roman" w:hAnsi="Times New Roman" w:cs="Times New Roman"/>
                <w:sz w:val="28"/>
                <w:szCs w:val="28"/>
                <w:lang w:eastAsia="ru-RU"/>
              </w:rPr>
            </w:pPr>
            <w:r w:rsidRPr="00C75E4C">
              <w:rPr>
                <w:rFonts w:ascii="Times New Roman" w:eastAsia="Times New Roman" w:hAnsi="Times New Roman" w:cs="Times New Roman"/>
                <w:sz w:val="28"/>
                <w:szCs w:val="28"/>
                <w:lang w:eastAsia="ru-RU"/>
              </w:rPr>
              <w:t xml:space="preserve">Как Вы считаете, какую роль социальные медиа играют в жизни молодёжи Казахстана в </w:t>
            </w:r>
            <w:proofErr w:type="gramStart"/>
            <w:r w:rsidRPr="00C75E4C">
              <w:rPr>
                <w:rFonts w:ascii="Times New Roman" w:eastAsia="Times New Roman" w:hAnsi="Times New Roman" w:cs="Times New Roman"/>
                <w:sz w:val="28"/>
                <w:szCs w:val="28"/>
                <w:lang w:eastAsia="ru-RU"/>
              </w:rPr>
              <w:t>целом?/</w:t>
            </w:r>
            <w:proofErr w:type="gramEnd"/>
            <w:r w:rsidRPr="00C75E4C">
              <w:rPr>
                <w:rFonts w:ascii="Times New Roman" w:hAnsi="Times New Roman" w:cs="Times New Roman"/>
                <w:sz w:val="28"/>
              </w:rPr>
              <w:t xml:space="preserve"> </w:t>
            </w:r>
            <w:r w:rsidRPr="00C75E4C">
              <w:rPr>
                <w:rFonts w:ascii="Times New Roman" w:eastAsia="Times New Roman" w:hAnsi="Times New Roman" w:cs="Times New Roman"/>
                <w:sz w:val="28"/>
                <w:szCs w:val="28"/>
                <w:lang w:eastAsia="ru-RU"/>
              </w:rPr>
              <w:t>Сіздің пікіріңізше, әлеуметтік медиа жалпы Қазақстан жастарының өмірінде қандай рөл атқарады?</w:t>
            </w:r>
          </w:p>
          <w:p w:rsidR="00C75E4C" w:rsidRPr="00C75E4C" w:rsidRDefault="00C75E4C" w:rsidP="008465D6">
            <w:pPr>
              <w:numPr>
                <w:ilvl w:val="0"/>
                <w:numId w:val="83"/>
              </w:numPr>
              <w:spacing w:line="256" w:lineRule="auto"/>
              <w:ind w:left="151" w:hanging="151"/>
              <w:contextualSpacing/>
              <w:jc w:val="both"/>
              <w:rPr>
                <w:rFonts w:ascii="Times New Roman" w:eastAsia="Times New Roman" w:hAnsi="Times New Roman" w:cs="Times New Roman"/>
                <w:sz w:val="28"/>
                <w:szCs w:val="28"/>
                <w:lang w:eastAsia="ru-RU"/>
              </w:rPr>
            </w:pPr>
            <w:r w:rsidRPr="00C75E4C">
              <w:rPr>
                <w:rFonts w:ascii="Times New Roman" w:eastAsia="Times New Roman" w:hAnsi="Times New Roman" w:cs="Times New Roman"/>
                <w:sz w:val="28"/>
                <w:szCs w:val="28"/>
                <w:lang w:eastAsia="ru-RU"/>
              </w:rPr>
              <w:t xml:space="preserve">На Ваш взгляд, оказывают ли социальные медиа влияние на гражданскую активность молодёжи? Если да, то в какой </w:t>
            </w:r>
            <w:proofErr w:type="gramStart"/>
            <w:r w:rsidRPr="00C75E4C">
              <w:rPr>
                <w:rFonts w:ascii="Times New Roman" w:eastAsia="Times New Roman" w:hAnsi="Times New Roman" w:cs="Times New Roman"/>
                <w:sz w:val="28"/>
                <w:szCs w:val="28"/>
                <w:lang w:eastAsia="ru-RU"/>
              </w:rPr>
              <w:t>степени?/</w:t>
            </w:r>
            <w:proofErr w:type="gramEnd"/>
            <w:r w:rsidRPr="00C75E4C">
              <w:rPr>
                <w:rFonts w:ascii="Times New Roman" w:hAnsi="Times New Roman" w:cs="Times New Roman"/>
                <w:sz w:val="28"/>
              </w:rPr>
              <w:t xml:space="preserve"> </w:t>
            </w:r>
            <w:r w:rsidRPr="00C75E4C">
              <w:rPr>
                <w:rFonts w:ascii="Times New Roman" w:eastAsia="Times New Roman" w:hAnsi="Times New Roman" w:cs="Times New Roman"/>
                <w:sz w:val="28"/>
                <w:szCs w:val="28"/>
                <w:lang w:eastAsia="ru-RU"/>
              </w:rPr>
              <w:t>Сіздің ойыңызша, әлеуметтік медиа жастардың азаматтық белсенділігіне әсер ете ме? Егер әсер етсе, ол қандай деңгейде?</w:t>
            </w:r>
          </w:p>
          <w:p w:rsidR="00C75E4C" w:rsidRPr="00C75E4C" w:rsidRDefault="00C75E4C" w:rsidP="008465D6">
            <w:pPr>
              <w:numPr>
                <w:ilvl w:val="0"/>
                <w:numId w:val="83"/>
              </w:numPr>
              <w:ind w:left="151" w:hanging="151"/>
              <w:contextualSpacing/>
              <w:jc w:val="both"/>
              <w:rPr>
                <w:rFonts w:ascii="Times New Roman" w:hAnsi="Times New Roman" w:cs="Times New Roman"/>
                <w:sz w:val="28"/>
              </w:rPr>
            </w:pPr>
            <w:r w:rsidRPr="00C75E4C">
              <w:rPr>
                <w:rFonts w:ascii="Times New Roman" w:eastAsia="Times New Roman" w:hAnsi="Times New Roman" w:cs="Times New Roman"/>
                <w:sz w:val="28"/>
                <w:szCs w:val="28"/>
                <w:lang w:eastAsia="ru-RU"/>
              </w:rPr>
              <w:t>Как, по Вашему мнению, социальные медиа влияют на участие молодёжи в деятельности молодёжных общественных организаций в Казахстане?/ Сіздің ойыңызша, әлеуметтік медиа Қазақстандағы жастардың жастар қоғамдық ұйымдарының қызметіне қатысуына қалай әсер етеді?</w:t>
            </w:r>
          </w:p>
        </w:tc>
        <w:tc>
          <w:tcPr>
            <w:tcW w:w="851" w:type="dxa"/>
            <w:tcBorders>
              <w:top w:val="single" w:sz="4" w:space="0" w:color="auto"/>
              <w:left w:val="single" w:sz="4" w:space="0" w:color="auto"/>
              <w:bottom w:val="single" w:sz="4" w:space="0" w:color="auto"/>
              <w:right w:val="single" w:sz="4" w:space="0" w:color="auto"/>
            </w:tcBorders>
          </w:tcPr>
          <w:p w:rsidR="00C75E4C" w:rsidRPr="00C75E4C" w:rsidRDefault="00C75E4C" w:rsidP="00C75E4C">
            <w:pPr>
              <w:jc w:val="both"/>
              <w:rPr>
                <w:rFonts w:ascii="Times New Roman" w:hAnsi="Times New Roman" w:cs="Times New Roman"/>
                <w:sz w:val="28"/>
              </w:rPr>
            </w:pPr>
          </w:p>
        </w:tc>
      </w:tr>
      <w:tr w:rsidR="00C75E4C" w:rsidRPr="00C75E4C" w:rsidTr="006625FC">
        <w:tc>
          <w:tcPr>
            <w:tcW w:w="9493" w:type="dxa"/>
            <w:gridSpan w:val="4"/>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center"/>
              <w:rPr>
                <w:rFonts w:ascii="Times New Roman" w:hAnsi="Times New Roman" w:cs="Times New Roman"/>
                <w:sz w:val="28"/>
                <w:szCs w:val="28"/>
              </w:rPr>
            </w:pPr>
            <w:r w:rsidRPr="00C75E4C">
              <w:rPr>
                <w:rFonts w:ascii="Times New Roman" w:hAnsi="Times New Roman" w:cs="Times New Roman"/>
                <w:b/>
                <w:i/>
                <w:sz w:val="28"/>
                <w:szCs w:val="28"/>
              </w:rPr>
              <w:t>БЛОК 3</w:t>
            </w:r>
          </w:p>
        </w:tc>
      </w:tr>
      <w:tr w:rsidR="00C75E4C" w:rsidRPr="00C75E4C" w:rsidTr="006625FC">
        <w:tc>
          <w:tcPr>
            <w:tcW w:w="415"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both"/>
              <w:rPr>
                <w:rFonts w:ascii="Times New Roman" w:hAnsi="Times New Roman" w:cs="Times New Roman"/>
                <w:sz w:val="28"/>
              </w:rPr>
            </w:pPr>
            <w:r w:rsidRPr="00C75E4C">
              <w:rPr>
                <w:rFonts w:ascii="Times New Roman" w:hAnsi="Times New Roman" w:cs="Times New Roman"/>
                <w:sz w:val="28"/>
              </w:rPr>
              <w:t>3</w:t>
            </w:r>
          </w:p>
        </w:tc>
        <w:tc>
          <w:tcPr>
            <w:tcW w:w="1730" w:type="dxa"/>
            <w:tcBorders>
              <w:top w:val="single" w:sz="4" w:space="0" w:color="auto"/>
              <w:left w:val="single" w:sz="4" w:space="0" w:color="auto"/>
              <w:bottom w:val="single" w:sz="4" w:space="0" w:color="auto"/>
              <w:right w:val="single" w:sz="4" w:space="0" w:color="auto"/>
            </w:tcBorders>
            <w:hideMark/>
          </w:tcPr>
          <w:p w:rsidR="00C75E4C" w:rsidRPr="00C75E4C" w:rsidRDefault="00C75E4C" w:rsidP="00C75E4C">
            <w:pPr>
              <w:jc w:val="both"/>
              <w:rPr>
                <w:rFonts w:ascii="Times New Roman" w:hAnsi="Times New Roman" w:cs="Times New Roman"/>
                <w:sz w:val="28"/>
              </w:rPr>
            </w:pPr>
            <w:r w:rsidRPr="00C75E4C">
              <w:rPr>
                <w:rFonts w:ascii="Times New Roman" w:hAnsi="Times New Roman" w:cs="Times New Roman"/>
                <w:sz w:val="28"/>
              </w:rPr>
              <w:t>Офлайн-гражданское участие молодёжи</w:t>
            </w:r>
          </w:p>
        </w:tc>
        <w:tc>
          <w:tcPr>
            <w:tcW w:w="6497" w:type="dxa"/>
            <w:tcBorders>
              <w:top w:val="single" w:sz="4" w:space="0" w:color="auto"/>
              <w:left w:val="single" w:sz="4" w:space="0" w:color="auto"/>
              <w:bottom w:val="single" w:sz="4" w:space="0" w:color="auto"/>
              <w:right w:val="single" w:sz="4" w:space="0" w:color="auto"/>
            </w:tcBorders>
            <w:hideMark/>
          </w:tcPr>
          <w:p w:rsidR="00C75E4C" w:rsidRPr="00C75E4C" w:rsidRDefault="00C75E4C" w:rsidP="008465D6">
            <w:pPr>
              <w:numPr>
                <w:ilvl w:val="0"/>
                <w:numId w:val="84"/>
              </w:numPr>
              <w:spacing w:line="256" w:lineRule="auto"/>
              <w:ind w:left="9" w:firstLine="0"/>
              <w:contextualSpacing/>
              <w:jc w:val="both"/>
              <w:rPr>
                <w:rFonts w:ascii="Times New Roman" w:hAnsi="Times New Roman" w:cs="Times New Roman"/>
                <w:sz w:val="28"/>
                <w:szCs w:val="28"/>
              </w:rPr>
            </w:pPr>
            <w:r w:rsidRPr="00C75E4C">
              <w:rPr>
                <w:rFonts w:ascii="Times New Roman" w:hAnsi="Times New Roman" w:cs="Times New Roman"/>
                <w:sz w:val="28"/>
                <w:szCs w:val="28"/>
              </w:rPr>
              <w:t xml:space="preserve">Как Вы считаете, каков общий уровень участия молодёжи Казахстана в деятельности молодёжных </w:t>
            </w:r>
            <w:r w:rsidRPr="00C75E4C">
              <w:rPr>
                <w:rFonts w:ascii="Times New Roman" w:eastAsia="Times New Roman" w:hAnsi="Times New Roman" w:cs="Times New Roman"/>
                <w:sz w:val="28"/>
                <w:szCs w:val="28"/>
                <w:lang w:eastAsia="ru-RU"/>
              </w:rPr>
              <w:t xml:space="preserve">общественных </w:t>
            </w:r>
            <w:proofErr w:type="gramStart"/>
            <w:r w:rsidRPr="00C75E4C">
              <w:rPr>
                <w:rFonts w:ascii="Times New Roman" w:eastAsia="Times New Roman" w:hAnsi="Times New Roman" w:cs="Times New Roman"/>
                <w:sz w:val="28"/>
                <w:szCs w:val="28"/>
                <w:lang w:eastAsia="ru-RU"/>
              </w:rPr>
              <w:t>организаций</w:t>
            </w:r>
            <w:r w:rsidRPr="00C75E4C">
              <w:rPr>
                <w:rFonts w:ascii="Times New Roman" w:hAnsi="Times New Roman" w:cs="Times New Roman"/>
                <w:sz w:val="28"/>
                <w:szCs w:val="28"/>
              </w:rPr>
              <w:t>?/</w:t>
            </w:r>
            <w:proofErr w:type="gramEnd"/>
            <w:r w:rsidRPr="00C75E4C">
              <w:rPr>
                <w:rFonts w:ascii="Times New Roman" w:hAnsi="Times New Roman" w:cs="Times New Roman"/>
                <w:sz w:val="28"/>
                <w:szCs w:val="28"/>
              </w:rPr>
              <w:t xml:space="preserve"> Сіздің ойыңызша, Қазақстан жастарының жастар қоғамдық ұйымдарының қызметіне қатысуының жалпы деңгейі қандай?</w:t>
            </w:r>
          </w:p>
          <w:p w:rsidR="00C75E4C" w:rsidRPr="00C75E4C" w:rsidRDefault="00C75E4C" w:rsidP="008465D6">
            <w:pPr>
              <w:numPr>
                <w:ilvl w:val="0"/>
                <w:numId w:val="84"/>
              </w:numPr>
              <w:spacing w:line="256" w:lineRule="auto"/>
              <w:ind w:left="9" w:firstLine="0"/>
              <w:contextualSpacing/>
              <w:jc w:val="both"/>
              <w:rPr>
                <w:rFonts w:ascii="Times New Roman" w:hAnsi="Times New Roman" w:cs="Times New Roman"/>
                <w:sz w:val="28"/>
                <w:szCs w:val="28"/>
              </w:rPr>
            </w:pPr>
            <w:r w:rsidRPr="00C75E4C">
              <w:rPr>
                <w:rFonts w:ascii="Times New Roman" w:hAnsi="Times New Roman" w:cs="Times New Roman"/>
                <w:sz w:val="28"/>
                <w:szCs w:val="28"/>
              </w:rPr>
              <w:t xml:space="preserve">Какие факторы, на Ваш взгляд, влияют на уровень вовлечённости молодёжи в работу молодёжных </w:t>
            </w:r>
            <w:r w:rsidRPr="00C75E4C">
              <w:rPr>
                <w:rFonts w:ascii="Times New Roman" w:eastAsia="Times New Roman" w:hAnsi="Times New Roman" w:cs="Times New Roman"/>
                <w:sz w:val="28"/>
                <w:szCs w:val="28"/>
                <w:lang w:eastAsia="ru-RU"/>
              </w:rPr>
              <w:t xml:space="preserve">общественных </w:t>
            </w:r>
            <w:proofErr w:type="gramStart"/>
            <w:r w:rsidRPr="00C75E4C">
              <w:rPr>
                <w:rFonts w:ascii="Times New Roman" w:eastAsia="Times New Roman" w:hAnsi="Times New Roman" w:cs="Times New Roman"/>
                <w:sz w:val="28"/>
                <w:szCs w:val="28"/>
                <w:lang w:eastAsia="ru-RU"/>
              </w:rPr>
              <w:t>организаций</w:t>
            </w:r>
            <w:r w:rsidRPr="00C75E4C">
              <w:rPr>
                <w:rFonts w:ascii="Times New Roman" w:hAnsi="Times New Roman" w:cs="Times New Roman"/>
                <w:sz w:val="28"/>
                <w:szCs w:val="28"/>
              </w:rPr>
              <w:t>?/</w:t>
            </w:r>
            <w:proofErr w:type="gramEnd"/>
            <w:r w:rsidRPr="00C75E4C">
              <w:rPr>
                <w:rFonts w:ascii="Times New Roman" w:hAnsi="Times New Roman" w:cs="Times New Roman"/>
                <w:sz w:val="28"/>
                <w:szCs w:val="28"/>
              </w:rPr>
              <w:t xml:space="preserve"> Сіздің пікіріңізше, жастардың жастар қоғамдық ұйымдарының жұмысына тартылу деңгейіне қандай факторлар әсер етеді?</w:t>
            </w:r>
          </w:p>
          <w:p w:rsidR="00C75E4C" w:rsidRPr="00C75E4C" w:rsidRDefault="00C75E4C" w:rsidP="008465D6">
            <w:pPr>
              <w:numPr>
                <w:ilvl w:val="0"/>
                <w:numId w:val="84"/>
              </w:numPr>
              <w:spacing w:line="256" w:lineRule="auto"/>
              <w:ind w:left="9" w:firstLine="0"/>
              <w:contextualSpacing/>
              <w:jc w:val="both"/>
              <w:rPr>
                <w:rFonts w:ascii="Times New Roman" w:hAnsi="Times New Roman" w:cs="Times New Roman"/>
                <w:sz w:val="28"/>
                <w:szCs w:val="28"/>
              </w:rPr>
            </w:pPr>
            <w:r w:rsidRPr="00C75E4C">
              <w:rPr>
                <w:rFonts w:ascii="Times New Roman" w:hAnsi="Times New Roman" w:cs="Times New Roman"/>
                <w:sz w:val="28"/>
                <w:szCs w:val="28"/>
              </w:rPr>
              <w:lastRenderedPageBreak/>
              <w:t xml:space="preserve">Насколько активно молодёжные </w:t>
            </w:r>
            <w:r w:rsidRPr="00C75E4C">
              <w:rPr>
                <w:rFonts w:ascii="Times New Roman" w:eastAsia="Times New Roman" w:hAnsi="Times New Roman" w:cs="Times New Roman"/>
                <w:sz w:val="28"/>
                <w:szCs w:val="28"/>
                <w:lang w:eastAsia="ru-RU"/>
              </w:rPr>
              <w:t>общественные организации</w:t>
            </w:r>
            <w:r w:rsidRPr="00C75E4C">
              <w:rPr>
                <w:rFonts w:ascii="Times New Roman" w:hAnsi="Times New Roman" w:cs="Times New Roman"/>
                <w:sz w:val="28"/>
                <w:szCs w:val="28"/>
              </w:rPr>
              <w:t xml:space="preserve"> в Казахстане используют социальные медиа в своей </w:t>
            </w:r>
            <w:proofErr w:type="gramStart"/>
            <w:r w:rsidRPr="00C75E4C">
              <w:rPr>
                <w:rFonts w:ascii="Times New Roman" w:hAnsi="Times New Roman" w:cs="Times New Roman"/>
                <w:sz w:val="28"/>
                <w:szCs w:val="28"/>
              </w:rPr>
              <w:t>деятельности?/</w:t>
            </w:r>
            <w:proofErr w:type="gramEnd"/>
            <w:r w:rsidRPr="00C75E4C">
              <w:rPr>
                <w:rFonts w:ascii="Times New Roman" w:hAnsi="Times New Roman" w:cs="Times New Roman"/>
                <w:sz w:val="28"/>
                <w:szCs w:val="28"/>
              </w:rPr>
              <w:t xml:space="preserve"> Қазақстандағы жастар қоғамдық ұйымдары өз қызметінде әлеуметтік медианы қаншалықты белсенді қолданады?</w:t>
            </w:r>
          </w:p>
          <w:p w:rsidR="00C75E4C" w:rsidRPr="00C75E4C" w:rsidRDefault="00C75E4C" w:rsidP="008465D6">
            <w:pPr>
              <w:numPr>
                <w:ilvl w:val="0"/>
                <w:numId w:val="84"/>
              </w:numPr>
              <w:ind w:left="9" w:firstLine="0"/>
              <w:contextualSpacing/>
              <w:jc w:val="both"/>
              <w:rPr>
                <w:rFonts w:ascii="Times New Roman" w:hAnsi="Times New Roman" w:cs="Times New Roman"/>
                <w:sz w:val="28"/>
                <w:szCs w:val="28"/>
              </w:rPr>
            </w:pPr>
            <w:r w:rsidRPr="00C75E4C">
              <w:rPr>
                <w:rFonts w:ascii="Times New Roman" w:hAnsi="Times New Roman" w:cs="Times New Roman"/>
                <w:sz w:val="28"/>
                <w:szCs w:val="28"/>
              </w:rPr>
              <w:t xml:space="preserve">Какие основные функции выполняют социальные медиа для молодёжных </w:t>
            </w:r>
            <w:r w:rsidRPr="00C75E4C">
              <w:rPr>
                <w:rFonts w:ascii="Times New Roman" w:eastAsia="Times New Roman" w:hAnsi="Times New Roman" w:cs="Times New Roman"/>
                <w:sz w:val="28"/>
                <w:szCs w:val="28"/>
                <w:lang w:eastAsia="ru-RU"/>
              </w:rPr>
              <w:t>общественных организаций</w:t>
            </w:r>
            <w:r w:rsidRPr="00C75E4C">
              <w:rPr>
                <w:rFonts w:ascii="Times New Roman" w:hAnsi="Times New Roman" w:cs="Times New Roman"/>
                <w:sz w:val="28"/>
                <w:szCs w:val="28"/>
              </w:rPr>
              <w:t xml:space="preserve"> (информирование, мобилизация, коммуникация и т.д.</w:t>
            </w:r>
            <w:proofErr w:type="gramStart"/>
            <w:r w:rsidRPr="00C75E4C">
              <w:rPr>
                <w:rFonts w:ascii="Times New Roman" w:hAnsi="Times New Roman" w:cs="Times New Roman"/>
                <w:sz w:val="28"/>
                <w:szCs w:val="28"/>
              </w:rPr>
              <w:t>)?/</w:t>
            </w:r>
            <w:proofErr w:type="gramEnd"/>
            <w:r w:rsidRPr="00C75E4C">
              <w:t xml:space="preserve"> </w:t>
            </w:r>
            <w:r w:rsidRPr="00C75E4C">
              <w:rPr>
                <w:rFonts w:ascii="Times New Roman" w:hAnsi="Times New Roman" w:cs="Times New Roman"/>
                <w:sz w:val="28"/>
                <w:szCs w:val="28"/>
              </w:rPr>
              <w:t>Әлеуметтік медиа жастар қоғамдық ұйымдары үшін қандай негізгі функцияларды атқарады (ақпараттандыру, жұмылдыру, коммуникация және т.б.)?</w:t>
            </w:r>
          </w:p>
          <w:p w:rsidR="00C75E4C" w:rsidRPr="00C75E4C" w:rsidRDefault="00C75E4C" w:rsidP="008465D6">
            <w:pPr>
              <w:numPr>
                <w:ilvl w:val="0"/>
                <w:numId w:val="84"/>
              </w:numPr>
              <w:ind w:left="9" w:firstLine="0"/>
              <w:contextualSpacing/>
              <w:jc w:val="both"/>
              <w:rPr>
                <w:rFonts w:ascii="Times New Roman" w:hAnsi="Times New Roman" w:cs="Times New Roman"/>
                <w:sz w:val="28"/>
                <w:szCs w:val="28"/>
              </w:rPr>
            </w:pPr>
            <w:r w:rsidRPr="00C75E4C">
              <w:rPr>
                <w:rFonts w:ascii="Times New Roman" w:hAnsi="Times New Roman" w:cs="Times New Roman"/>
                <w:sz w:val="28"/>
                <w:szCs w:val="28"/>
              </w:rPr>
              <w:t xml:space="preserve">Какова, по Вашему мнению, ключевая цель использования социальных медиа молодёжными </w:t>
            </w:r>
            <w:r w:rsidRPr="00C75E4C">
              <w:rPr>
                <w:rFonts w:ascii="Times New Roman" w:eastAsia="Times New Roman" w:hAnsi="Times New Roman" w:cs="Times New Roman"/>
                <w:sz w:val="28"/>
                <w:szCs w:val="28"/>
                <w:lang w:eastAsia="ru-RU"/>
              </w:rPr>
              <w:t>общественными организациями</w:t>
            </w:r>
            <w:r w:rsidRPr="00C75E4C">
              <w:rPr>
                <w:rFonts w:ascii="Times New Roman" w:hAnsi="Times New Roman" w:cs="Times New Roman"/>
                <w:sz w:val="28"/>
                <w:szCs w:val="28"/>
              </w:rPr>
              <w:t>? / Сіздің ойыңызша, жастар қоғамдық ұйымдарының әлеуметтік медианы пайдаланудағы негізгі мақсаты қандай?</w:t>
            </w:r>
          </w:p>
        </w:tc>
        <w:tc>
          <w:tcPr>
            <w:tcW w:w="851" w:type="dxa"/>
            <w:tcBorders>
              <w:top w:val="single" w:sz="4" w:space="0" w:color="auto"/>
              <w:left w:val="single" w:sz="4" w:space="0" w:color="auto"/>
              <w:bottom w:val="single" w:sz="4" w:space="0" w:color="auto"/>
              <w:right w:val="single" w:sz="4" w:space="0" w:color="auto"/>
            </w:tcBorders>
          </w:tcPr>
          <w:p w:rsidR="00C75E4C" w:rsidRPr="00C75E4C" w:rsidRDefault="00C75E4C" w:rsidP="00C75E4C">
            <w:pPr>
              <w:jc w:val="both"/>
              <w:rPr>
                <w:rFonts w:ascii="Times New Roman" w:hAnsi="Times New Roman" w:cs="Times New Roman"/>
                <w:sz w:val="28"/>
              </w:rPr>
            </w:pPr>
          </w:p>
        </w:tc>
      </w:tr>
    </w:tbl>
    <w:p w:rsidR="00C75E4C" w:rsidRPr="00C75E4C" w:rsidRDefault="00C75E4C" w:rsidP="00C75E4C">
      <w:pPr>
        <w:spacing w:after="0" w:line="240" w:lineRule="auto"/>
        <w:ind w:firstLine="567"/>
        <w:jc w:val="both"/>
        <w:rPr>
          <w:rFonts w:ascii="Times New Roman" w:hAnsi="Times New Roman" w:cs="Times New Roman"/>
          <w:sz w:val="28"/>
        </w:rPr>
      </w:pPr>
    </w:p>
    <w:p w:rsidR="00C75E4C" w:rsidRPr="00C75E4C" w:rsidRDefault="00C75E4C" w:rsidP="00C75E4C">
      <w:pPr>
        <w:spacing w:after="0" w:line="240" w:lineRule="auto"/>
        <w:ind w:firstLine="567"/>
        <w:jc w:val="center"/>
        <w:rPr>
          <w:rFonts w:ascii="Times New Roman" w:hAnsi="Times New Roman" w:cs="Times New Roman"/>
          <w:b/>
          <w:i/>
          <w:sz w:val="28"/>
        </w:rPr>
      </w:pPr>
      <w:r w:rsidRPr="00C75E4C">
        <w:rPr>
          <w:rFonts w:ascii="Times New Roman" w:hAnsi="Times New Roman" w:cs="Times New Roman"/>
          <w:b/>
          <w:i/>
          <w:sz w:val="28"/>
        </w:rPr>
        <w:t>Благодарим вас за участие в интервью!</w:t>
      </w:r>
    </w:p>
    <w:p w:rsidR="00C75E4C" w:rsidRPr="00C75E4C" w:rsidRDefault="00C75E4C" w:rsidP="00C75E4C">
      <w:pPr>
        <w:spacing w:after="0" w:line="240" w:lineRule="auto"/>
        <w:ind w:firstLine="567"/>
        <w:jc w:val="center"/>
        <w:rPr>
          <w:rFonts w:ascii="Times New Roman" w:hAnsi="Times New Roman" w:cs="Times New Roman"/>
          <w:b/>
          <w:i/>
          <w:sz w:val="28"/>
          <w:szCs w:val="28"/>
        </w:rPr>
      </w:pPr>
      <w:r w:rsidRPr="00C75E4C">
        <w:rPr>
          <w:rFonts w:ascii="Times New Roman" w:hAnsi="Times New Roman" w:cs="Times New Roman"/>
          <w:b/>
          <w:i/>
          <w:sz w:val="28"/>
          <w:szCs w:val="28"/>
        </w:rPr>
        <w:t>Сұхбатқа қатысқаныңыз үшін алғысымызды білдіреміз!</w:t>
      </w:r>
    </w:p>
    <w:p w:rsidR="00C75E4C" w:rsidRPr="00C75E4C" w:rsidRDefault="00C75E4C" w:rsidP="00C75E4C">
      <w:pPr>
        <w:jc w:val="both"/>
        <w:rPr>
          <w:rFonts w:ascii="Times New Roman" w:hAnsi="Times New Roman" w:cs="Times New Roman"/>
          <w:sz w:val="28"/>
        </w:rPr>
      </w:pPr>
    </w:p>
    <w:p w:rsidR="00845CAB" w:rsidRPr="00CE2B36" w:rsidRDefault="00845CAB"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E2B36" w:rsidRPr="00CE2B36" w:rsidRDefault="00CE2B36" w:rsidP="00643AAC">
      <w:pPr>
        <w:shd w:val="clear" w:color="auto" w:fill="FFFFFF"/>
        <w:tabs>
          <w:tab w:val="left" w:pos="709"/>
        </w:tabs>
        <w:spacing w:after="0" w:line="240" w:lineRule="auto"/>
        <w:ind w:firstLine="709"/>
        <w:jc w:val="both"/>
        <w:rPr>
          <w:rFonts w:ascii="Times New Roman" w:eastAsiaTheme="minorEastAsia" w:hAnsi="Times New Roman" w:cs="Times New Roman"/>
          <w:bCs/>
          <w:sz w:val="28"/>
          <w:szCs w:val="28"/>
          <w:lang w:eastAsia="ru-RU"/>
        </w:rPr>
      </w:pPr>
    </w:p>
    <w:p w:rsidR="00C31CBF" w:rsidRDefault="00C31CBF" w:rsidP="00643AAC">
      <w:pPr>
        <w:spacing w:after="0" w:line="240" w:lineRule="auto"/>
        <w:ind w:firstLine="709"/>
        <w:jc w:val="both"/>
        <w:rPr>
          <w:rFonts w:ascii="Times New Roman" w:hAnsi="Times New Roman" w:cs="Times New Roman"/>
          <w:sz w:val="28"/>
        </w:rPr>
      </w:pPr>
    </w:p>
    <w:p w:rsidR="00C31CBF" w:rsidRPr="00A12636" w:rsidRDefault="00C31CBF" w:rsidP="00643AAC">
      <w:pPr>
        <w:spacing w:after="0" w:line="240" w:lineRule="auto"/>
        <w:ind w:firstLine="709"/>
        <w:jc w:val="both"/>
        <w:rPr>
          <w:rFonts w:ascii="Times New Roman" w:hAnsi="Times New Roman" w:cs="Times New Roman"/>
          <w:sz w:val="28"/>
        </w:rPr>
      </w:pPr>
    </w:p>
    <w:sectPr w:rsidR="00C31CBF" w:rsidRPr="00A12636" w:rsidSect="00B46B14">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5D6" w:rsidRDefault="008465D6" w:rsidP="00D85E8A">
      <w:pPr>
        <w:spacing w:after="0" w:line="240" w:lineRule="auto"/>
      </w:pPr>
      <w:r>
        <w:separator/>
      </w:r>
    </w:p>
  </w:endnote>
  <w:endnote w:type="continuationSeparator" w:id="0">
    <w:p w:rsidR="008465D6" w:rsidRDefault="008465D6" w:rsidP="00D85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957436"/>
      <w:docPartObj>
        <w:docPartGallery w:val="Page Numbers (Bottom of Page)"/>
        <w:docPartUnique/>
      </w:docPartObj>
    </w:sdtPr>
    <w:sdtContent>
      <w:p w:rsidR="006625FC" w:rsidRDefault="006625FC">
        <w:pPr>
          <w:pStyle w:val="a6"/>
          <w:jc w:val="center"/>
        </w:pPr>
        <w:r>
          <w:fldChar w:fldCharType="begin"/>
        </w:r>
        <w:r>
          <w:instrText>PAGE   \* MERGEFORMAT</w:instrText>
        </w:r>
        <w:r>
          <w:fldChar w:fldCharType="separate"/>
        </w:r>
        <w:r w:rsidR="00105B94">
          <w:rPr>
            <w:noProof/>
          </w:rPr>
          <w:t>8</w:t>
        </w:r>
        <w:r>
          <w:fldChar w:fldCharType="end"/>
        </w:r>
      </w:p>
    </w:sdtContent>
  </w:sdt>
  <w:p w:rsidR="006625FC" w:rsidRPr="00D85E8A" w:rsidRDefault="006625FC" w:rsidP="00D85E8A">
    <w:pPr>
      <w:pStyle w:val="a6"/>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5D6" w:rsidRDefault="008465D6" w:rsidP="00D85E8A">
      <w:pPr>
        <w:spacing w:after="0" w:line="240" w:lineRule="auto"/>
      </w:pPr>
      <w:r>
        <w:separator/>
      </w:r>
    </w:p>
  </w:footnote>
  <w:footnote w:type="continuationSeparator" w:id="0">
    <w:p w:rsidR="008465D6" w:rsidRDefault="008465D6" w:rsidP="00D85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DEA"/>
    <w:multiLevelType w:val="hybridMultilevel"/>
    <w:tmpl w:val="7D3033B6"/>
    <w:lvl w:ilvl="0" w:tplc="68B8DA5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491CD8"/>
    <w:multiLevelType w:val="hybridMultilevel"/>
    <w:tmpl w:val="618CC414"/>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EB38AE"/>
    <w:multiLevelType w:val="multilevel"/>
    <w:tmpl w:val="1DAC9576"/>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B2A25"/>
    <w:multiLevelType w:val="hybridMultilevel"/>
    <w:tmpl w:val="86E0B7AE"/>
    <w:lvl w:ilvl="0" w:tplc="0A24476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D304E"/>
    <w:multiLevelType w:val="hybridMultilevel"/>
    <w:tmpl w:val="34305D46"/>
    <w:lvl w:ilvl="0" w:tplc="0130FB44">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896BBE"/>
    <w:multiLevelType w:val="hybridMultilevel"/>
    <w:tmpl w:val="BA562C3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E4D51F7"/>
    <w:multiLevelType w:val="hybridMultilevel"/>
    <w:tmpl w:val="87FEA2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12F6E80"/>
    <w:multiLevelType w:val="hybridMultilevel"/>
    <w:tmpl w:val="0A52678A"/>
    <w:lvl w:ilvl="0" w:tplc="ED209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510585"/>
    <w:multiLevelType w:val="hybridMultilevel"/>
    <w:tmpl w:val="5ABC67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1EA7167"/>
    <w:multiLevelType w:val="hybridMultilevel"/>
    <w:tmpl w:val="EEC0D822"/>
    <w:lvl w:ilvl="0" w:tplc="DFA09288">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A337CC"/>
    <w:multiLevelType w:val="multilevel"/>
    <w:tmpl w:val="1DAC9576"/>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F799C"/>
    <w:multiLevelType w:val="hybridMultilevel"/>
    <w:tmpl w:val="A992B372"/>
    <w:lvl w:ilvl="0" w:tplc="F3966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6B138E9"/>
    <w:multiLevelType w:val="multilevel"/>
    <w:tmpl w:val="1AE2D502"/>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326D96"/>
    <w:multiLevelType w:val="hybridMultilevel"/>
    <w:tmpl w:val="91003CF0"/>
    <w:lvl w:ilvl="0" w:tplc="4C1ADA62">
      <w:start w:val="1"/>
      <w:numFmt w:val="decimal"/>
      <w:lvlText w:val="%1)"/>
      <w:lvlJc w:val="left"/>
      <w:pPr>
        <w:ind w:left="1119" w:hanging="41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E2F1743"/>
    <w:multiLevelType w:val="hybridMultilevel"/>
    <w:tmpl w:val="51A0B894"/>
    <w:lvl w:ilvl="0" w:tplc="985A4310">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0533F9"/>
    <w:multiLevelType w:val="hybridMultilevel"/>
    <w:tmpl w:val="0EBEDC7E"/>
    <w:lvl w:ilvl="0" w:tplc="989E8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1F2F0195"/>
    <w:multiLevelType w:val="hybridMultilevel"/>
    <w:tmpl w:val="0574AF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F577834"/>
    <w:multiLevelType w:val="hybridMultilevel"/>
    <w:tmpl w:val="933AB9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3B21DFE"/>
    <w:multiLevelType w:val="hybridMultilevel"/>
    <w:tmpl w:val="7E26EDEE"/>
    <w:lvl w:ilvl="0" w:tplc="FDD2E7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5A61B1B"/>
    <w:multiLevelType w:val="hybridMultilevel"/>
    <w:tmpl w:val="00B6BAB6"/>
    <w:lvl w:ilvl="0" w:tplc="9ED4CE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137490"/>
    <w:multiLevelType w:val="hybridMultilevel"/>
    <w:tmpl w:val="1646EC7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295D0474"/>
    <w:multiLevelType w:val="hybridMultilevel"/>
    <w:tmpl w:val="A7B2D434"/>
    <w:lvl w:ilvl="0" w:tplc="EF264EF4">
      <w:start w:val="3"/>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9C6770"/>
    <w:multiLevelType w:val="hybridMultilevel"/>
    <w:tmpl w:val="8FFAD134"/>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2B174C27"/>
    <w:multiLevelType w:val="hybridMultilevel"/>
    <w:tmpl w:val="CB3406C4"/>
    <w:lvl w:ilvl="0" w:tplc="6D86186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BA75972"/>
    <w:multiLevelType w:val="hybridMultilevel"/>
    <w:tmpl w:val="2F288426"/>
    <w:lvl w:ilvl="0" w:tplc="A4F60E7E">
      <w:start w:val="1"/>
      <w:numFmt w:val="decimal"/>
      <w:lvlText w:val="%1)"/>
      <w:lvlJc w:val="left"/>
      <w:pPr>
        <w:ind w:left="1269" w:hanging="5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C376A94"/>
    <w:multiLevelType w:val="hybridMultilevel"/>
    <w:tmpl w:val="B846F75C"/>
    <w:lvl w:ilvl="0" w:tplc="5AF626C2">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6" w15:restartNumberingAfterBreak="0">
    <w:nsid w:val="2E551C12"/>
    <w:multiLevelType w:val="hybridMultilevel"/>
    <w:tmpl w:val="29FE4D0A"/>
    <w:lvl w:ilvl="0" w:tplc="284C571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2B21EFF"/>
    <w:multiLevelType w:val="multilevel"/>
    <w:tmpl w:val="32AEBE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415C6D"/>
    <w:multiLevelType w:val="hybridMultilevel"/>
    <w:tmpl w:val="840C3D18"/>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9E96BFC"/>
    <w:multiLevelType w:val="hybridMultilevel"/>
    <w:tmpl w:val="BF06CA16"/>
    <w:lvl w:ilvl="0" w:tplc="88A481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3D552680"/>
    <w:multiLevelType w:val="hybridMultilevel"/>
    <w:tmpl w:val="32CE66EC"/>
    <w:lvl w:ilvl="0" w:tplc="C9F44C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3DAF19D1"/>
    <w:multiLevelType w:val="hybridMultilevel"/>
    <w:tmpl w:val="AEDCBDEC"/>
    <w:lvl w:ilvl="0" w:tplc="5838E53A">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3E2F5EC2"/>
    <w:multiLevelType w:val="hybridMultilevel"/>
    <w:tmpl w:val="C33C7C2A"/>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3F5858B9"/>
    <w:multiLevelType w:val="hybridMultilevel"/>
    <w:tmpl w:val="94EA63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00E24BA"/>
    <w:multiLevelType w:val="hybridMultilevel"/>
    <w:tmpl w:val="E408A024"/>
    <w:lvl w:ilvl="0" w:tplc="EE7CB10E">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42877AE5"/>
    <w:multiLevelType w:val="hybridMultilevel"/>
    <w:tmpl w:val="EBB07A2E"/>
    <w:lvl w:ilvl="0" w:tplc="689EE59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6" w15:restartNumberingAfterBreak="0">
    <w:nsid w:val="430E2A97"/>
    <w:multiLevelType w:val="hybridMultilevel"/>
    <w:tmpl w:val="5AC4A8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3375B89"/>
    <w:multiLevelType w:val="hybridMultilevel"/>
    <w:tmpl w:val="A358F9AE"/>
    <w:lvl w:ilvl="0" w:tplc="02945DDE">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458D6F7B"/>
    <w:multiLevelType w:val="hybridMultilevel"/>
    <w:tmpl w:val="08C25A22"/>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5D67457"/>
    <w:multiLevelType w:val="hybridMultilevel"/>
    <w:tmpl w:val="229AB810"/>
    <w:lvl w:ilvl="0" w:tplc="D59AFF24">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474E31B4"/>
    <w:multiLevelType w:val="hybridMultilevel"/>
    <w:tmpl w:val="71EC0A3E"/>
    <w:lvl w:ilvl="0" w:tplc="CC7C279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47AF403C"/>
    <w:multiLevelType w:val="hybridMultilevel"/>
    <w:tmpl w:val="DA269DC4"/>
    <w:lvl w:ilvl="0" w:tplc="C014332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486C0ECD"/>
    <w:multiLevelType w:val="hybridMultilevel"/>
    <w:tmpl w:val="9F62ED9E"/>
    <w:lvl w:ilvl="0" w:tplc="B78CF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49690264"/>
    <w:multiLevelType w:val="multilevel"/>
    <w:tmpl w:val="7CD2256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056400"/>
    <w:multiLevelType w:val="multilevel"/>
    <w:tmpl w:val="1DAC9576"/>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A0B5A54"/>
    <w:multiLevelType w:val="multilevel"/>
    <w:tmpl w:val="FCE0CB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B8F61C6"/>
    <w:multiLevelType w:val="hybridMultilevel"/>
    <w:tmpl w:val="F86039F0"/>
    <w:lvl w:ilvl="0" w:tplc="3EFA4AB2">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4DE81048"/>
    <w:multiLevelType w:val="hybridMultilevel"/>
    <w:tmpl w:val="FB9AF250"/>
    <w:lvl w:ilvl="0" w:tplc="CA1882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4E833A87"/>
    <w:multiLevelType w:val="hybridMultilevel"/>
    <w:tmpl w:val="882A15D6"/>
    <w:lvl w:ilvl="0" w:tplc="C0143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50EC46EC"/>
    <w:multiLevelType w:val="hybridMultilevel"/>
    <w:tmpl w:val="7926067E"/>
    <w:lvl w:ilvl="0" w:tplc="ECF4DA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515566AA"/>
    <w:multiLevelType w:val="hybridMultilevel"/>
    <w:tmpl w:val="E2A2FCD8"/>
    <w:lvl w:ilvl="0" w:tplc="04190011">
      <w:start w:val="1"/>
      <w:numFmt w:val="decimal"/>
      <w:lvlText w:val="%1)"/>
      <w:lvlJc w:val="left"/>
      <w:pPr>
        <w:ind w:left="177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51FC086B"/>
    <w:multiLevelType w:val="hybridMultilevel"/>
    <w:tmpl w:val="3ED8558E"/>
    <w:lvl w:ilvl="0" w:tplc="DCB832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54145741"/>
    <w:multiLevelType w:val="hybridMultilevel"/>
    <w:tmpl w:val="8ABE3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61945A9"/>
    <w:multiLevelType w:val="hybridMultilevel"/>
    <w:tmpl w:val="69E29D9A"/>
    <w:lvl w:ilvl="0" w:tplc="81529460">
      <w:start w:val="4"/>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71F7EE7"/>
    <w:multiLevelType w:val="hybridMultilevel"/>
    <w:tmpl w:val="EF148B30"/>
    <w:lvl w:ilvl="0" w:tplc="48DEEE4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59055420"/>
    <w:multiLevelType w:val="hybridMultilevel"/>
    <w:tmpl w:val="1ED4365E"/>
    <w:lvl w:ilvl="0" w:tplc="3EFA4AB2">
      <w:start w:val="1"/>
      <w:numFmt w:val="decimal"/>
      <w:lvlText w:val="%1)"/>
      <w:lvlJc w:val="left"/>
      <w:pPr>
        <w:ind w:left="2487" w:hanging="360"/>
      </w:pPr>
      <w:rPr>
        <w:rFonts w:hint="default"/>
        <w:sz w:val="28"/>
        <w:szCs w:val="28"/>
      </w:rPr>
    </w:lvl>
    <w:lvl w:ilvl="1" w:tplc="3EFA4AB2">
      <w:start w:val="1"/>
      <w:numFmt w:val="decimal"/>
      <w:lvlText w:val="%2)"/>
      <w:lvlJc w:val="left"/>
      <w:pPr>
        <w:ind w:left="2149" w:hanging="360"/>
      </w:pPr>
      <w:rPr>
        <w:rFonts w:hint="default"/>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592C36E8"/>
    <w:multiLevelType w:val="hybridMultilevel"/>
    <w:tmpl w:val="4634C120"/>
    <w:lvl w:ilvl="0" w:tplc="B9D24BB4">
      <w:start w:val="2"/>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9CA73E8"/>
    <w:multiLevelType w:val="hybridMultilevel"/>
    <w:tmpl w:val="88A6F2A4"/>
    <w:lvl w:ilvl="0" w:tplc="DD98B35E">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A972206"/>
    <w:multiLevelType w:val="hybridMultilevel"/>
    <w:tmpl w:val="21287B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5BC27248"/>
    <w:multiLevelType w:val="hybridMultilevel"/>
    <w:tmpl w:val="107A6B38"/>
    <w:lvl w:ilvl="0" w:tplc="04190011">
      <w:start w:val="1"/>
      <w:numFmt w:val="decimal"/>
      <w:lvlText w:val="%1)"/>
      <w:lvlJc w:val="left"/>
      <w:pPr>
        <w:ind w:left="1360" w:hanging="360"/>
      </w:pPr>
    </w:lvl>
    <w:lvl w:ilvl="1" w:tplc="04190019" w:tentative="1">
      <w:start w:val="1"/>
      <w:numFmt w:val="lowerLetter"/>
      <w:lvlText w:val="%2."/>
      <w:lvlJc w:val="left"/>
      <w:pPr>
        <w:ind w:left="208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3520" w:hanging="360"/>
      </w:pPr>
    </w:lvl>
    <w:lvl w:ilvl="4" w:tplc="04190019" w:tentative="1">
      <w:start w:val="1"/>
      <w:numFmt w:val="lowerLetter"/>
      <w:lvlText w:val="%5."/>
      <w:lvlJc w:val="left"/>
      <w:pPr>
        <w:ind w:left="4240" w:hanging="360"/>
      </w:pPr>
    </w:lvl>
    <w:lvl w:ilvl="5" w:tplc="0419001B" w:tentative="1">
      <w:start w:val="1"/>
      <w:numFmt w:val="lowerRoman"/>
      <w:lvlText w:val="%6."/>
      <w:lvlJc w:val="right"/>
      <w:pPr>
        <w:ind w:left="4960" w:hanging="180"/>
      </w:pPr>
    </w:lvl>
    <w:lvl w:ilvl="6" w:tplc="0419000F" w:tentative="1">
      <w:start w:val="1"/>
      <w:numFmt w:val="decimal"/>
      <w:lvlText w:val="%7."/>
      <w:lvlJc w:val="left"/>
      <w:pPr>
        <w:ind w:left="5680" w:hanging="360"/>
      </w:pPr>
    </w:lvl>
    <w:lvl w:ilvl="7" w:tplc="04190019" w:tentative="1">
      <w:start w:val="1"/>
      <w:numFmt w:val="lowerLetter"/>
      <w:lvlText w:val="%8."/>
      <w:lvlJc w:val="left"/>
      <w:pPr>
        <w:ind w:left="6400" w:hanging="360"/>
      </w:pPr>
    </w:lvl>
    <w:lvl w:ilvl="8" w:tplc="0419001B" w:tentative="1">
      <w:start w:val="1"/>
      <w:numFmt w:val="lowerRoman"/>
      <w:lvlText w:val="%9."/>
      <w:lvlJc w:val="right"/>
      <w:pPr>
        <w:ind w:left="7120" w:hanging="180"/>
      </w:pPr>
    </w:lvl>
  </w:abstractNum>
  <w:abstractNum w:abstractNumId="60" w15:restartNumberingAfterBreak="0">
    <w:nsid w:val="5C735EE8"/>
    <w:multiLevelType w:val="hybridMultilevel"/>
    <w:tmpl w:val="09EE672A"/>
    <w:lvl w:ilvl="0" w:tplc="871492B6">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1" w15:restartNumberingAfterBreak="0">
    <w:nsid w:val="60073BDB"/>
    <w:multiLevelType w:val="hybridMultilevel"/>
    <w:tmpl w:val="072CA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1B06829"/>
    <w:multiLevelType w:val="hybridMultilevel"/>
    <w:tmpl w:val="0A4C6872"/>
    <w:lvl w:ilvl="0" w:tplc="415275B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635511E7"/>
    <w:multiLevelType w:val="hybridMultilevel"/>
    <w:tmpl w:val="363C0C02"/>
    <w:lvl w:ilvl="0" w:tplc="D9D6842A">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371288D"/>
    <w:multiLevelType w:val="hybridMultilevel"/>
    <w:tmpl w:val="8BE0B25A"/>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5" w15:restartNumberingAfterBreak="0">
    <w:nsid w:val="63A02AEF"/>
    <w:multiLevelType w:val="multilevel"/>
    <w:tmpl w:val="AADEA400"/>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FD279D"/>
    <w:multiLevelType w:val="hybridMultilevel"/>
    <w:tmpl w:val="65FAAD26"/>
    <w:lvl w:ilvl="0" w:tplc="E8BC27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5430C04"/>
    <w:multiLevelType w:val="hybridMultilevel"/>
    <w:tmpl w:val="4614ED46"/>
    <w:lvl w:ilvl="0" w:tplc="04190011">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8" w15:restartNumberingAfterBreak="0">
    <w:nsid w:val="67950F05"/>
    <w:multiLevelType w:val="hybridMultilevel"/>
    <w:tmpl w:val="B9A20A4C"/>
    <w:lvl w:ilvl="0" w:tplc="2236EE0C">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B0C7AFE"/>
    <w:multiLevelType w:val="hybridMultilevel"/>
    <w:tmpl w:val="CADE2E12"/>
    <w:lvl w:ilvl="0" w:tplc="F4F02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15:restartNumberingAfterBreak="0">
    <w:nsid w:val="6BE755EB"/>
    <w:multiLevelType w:val="hybridMultilevel"/>
    <w:tmpl w:val="A0CA04FC"/>
    <w:lvl w:ilvl="0" w:tplc="EE7CB10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6ED5318F"/>
    <w:multiLevelType w:val="multilevel"/>
    <w:tmpl w:val="1DAC9576"/>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F07AD7"/>
    <w:multiLevelType w:val="hybridMultilevel"/>
    <w:tmpl w:val="42D6580A"/>
    <w:lvl w:ilvl="0" w:tplc="BE32FBB6">
      <w:start w:val="1"/>
      <w:numFmt w:val="decimal"/>
      <w:lvlText w:val="%1)"/>
      <w:lvlJc w:val="left"/>
      <w:pPr>
        <w:ind w:left="1149" w:hanging="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76E5726E"/>
    <w:multiLevelType w:val="hybridMultilevel"/>
    <w:tmpl w:val="5FF0F9FA"/>
    <w:lvl w:ilvl="0" w:tplc="8EE4459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776F1ED0"/>
    <w:multiLevelType w:val="hybridMultilevel"/>
    <w:tmpl w:val="92787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C4F3A56"/>
    <w:multiLevelType w:val="hybridMultilevel"/>
    <w:tmpl w:val="C234D2AE"/>
    <w:lvl w:ilvl="0" w:tplc="2F0409A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7CAC2C58"/>
    <w:multiLevelType w:val="hybridMultilevel"/>
    <w:tmpl w:val="4FE09F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15:restartNumberingAfterBreak="0">
    <w:nsid w:val="7D0C7752"/>
    <w:multiLevelType w:val="multilevel"/>
    <w:tmpl w:val="B29EF7FC"/>
    <w:lvl w:ilvl="0">
      <w:start w:val="1"/>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7D916EC3"/>
    <w:multiLevelType w:val="hybridMultilevel"/>
    <w:tmpl w:val="3820A0D6"/>
    <w:lvl w:ilvl="0" w:tplc="8EDC30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7F053E0B"/>
    <w:multiLevelType w:val="hybridMultilevel"/>
    <w:tmpl w:val="CC7AFF9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7F110E03"/>
    <w:multiLevelType w:val="hybridMultilevel"/>
    <w:tmpl w:val="93080862"/>
    <w:lvl w:ilvl="0" w:tplc="2B805D26">
      <w:start w:val="5"/>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43"/>
  </w:num>
  <w:num w:numId="3">
    <w:abstractNumId w:val="27"/>
  </w:num>
  <w:num w:numId="4">
    <w:abstractNumId w:val="77"/>
  </w:num>
  <w:num w:numId="5">
    <w:abstractNumId w:val="38"/>
  </w:num>
  <w:num w:numId="6">
    <w:abstractNumId w:val="7"/>
  </w:num>
  <w:num w:numId="7">
    <w:abstractNumId w:val="48"/>
  </w:num>
  <w:num w:numId="8">
    <w:abstractNumId w:val="66"/>
  </w:num>
  <w:num w:numId="9">
    <w:abstractNumId w:val="13"/>
  </w:num>
  <w:num w:numId="10">
    <w:abstractNumId w:val="72"/>
  </w:num>
  <w:num w:numId="11">
    <w:abstractNumId w:val="69"/>
  </w:num>
  <w:num w:numId="12">
    <w:abstractNumId w:val="41"/>
  </w:num>
  <w:num w:numId="13">
    <w:abstractNumId w:val="26"/>
  </w:num>
  <w:num w:numId="14">
    <w:abstractNumId w:val="11"/>
  </w:num>
  <w:num w:numId="15">
    <w:abstractNumId w:val="29"/>
  </w:num>
  <w:num w:numId="16">
    <w:abstractNumId w:val="30"/>
  </w:num>
  <w:num w:numId="17">
    <w:abstractNumId w:val="78"/>
  </w:num>
  <w:num w:numId="18">
    <w:abstractNumId w:val="6"/>
  </w:num>
  <w:num w:numId="19">
    <w:abstractNumId w:val="39"/>
  </w:num>
  <w:num w:numId="20">
    <w:abstractNumId w:val="46"/>
  </w:num>
  <w:num w:numId="21">
    <w:abstractNumId w:val="55"/>
  </w:num>
  <w:num w:numId="22">
    <w:abstractNumId w:val="36"/>
  </w:num>
  <w:num w:numId="23">
    <w:abstractNumId w:val="62"/>
  </w:num>
  <w:num w:numId="24">
    <w:abstractNumId w:val="54"/>
  </w:num>
  <w:num w:numId="25">
    <w:abstractNumId w:val="9"/>
  </w:num>
  <w:num w:numId="26">
    <w:abstractNumId w:val="49"/>
  </w:num>
  <w:num w:numId="27">
    <w:abstractNumId w:val="63"/>
  </w:num>
  <w:num w:numId="28">
    <w:abstractNumId w:val="8"/>
  </w:num>
  <w:num w:numId="29">
    <w:abstractNumId w:val="23"/>
  </w:num>
  <w:num w:numId="30">
    <w:abstractNumId w:val="18"/>
  </w:num>
  <w:num w:numId="31">
    <w:abstractNumId w:val="47"/>
  </w:num>
  <w:num w:numId="32">
    <w:abstractNumId w:val="51"/>
  </w:num>
  <w:num w:numId="33">
    <w:abstractNumId w:val="79"/>
  </w:num>
  <w:num w:numId="34">
    <w:abstractNumId w:val="32"/>
  </w:num>
  <w:num w:numId="35">
    <w:abstractNumId w:val="15"/>
  </w:num>
  <w:num w:numId="36">
    <w:abstractNumId w:val="5"/>
  </w:num>
  <w:num w:numId="37">
    <w:abstractNumId w:val="50"/>
  </w:num>
  <w:num w:numId="38">
    <w:abstractNumId w:val="1"/>
  </w:num>
  <w:num w:numId="39">
    <w:abstractNumId w:val="17"/>
  </w:num>
  <w:num w:numId="40">
    <w:abstractNumId w:val="73"/>
  </w:num>
  <w:num w:numId="41">
    <w:abstractNumId w:val="59"/>
  </w:num>
  <w:num w:numId="42">
    <w:abstractNumId w:val="20"/>
  </w:num>
  <w:num w:numId="43">
    <w:abstractNumId w:val="22"/>
  </w:num>
  <w:num w:numId="44">
    <w:abstractNumId w:val="3"/>
  </w:num>
  <w:num w:numId="45">
    <w:abstractNumId w:val="33"/>
  </w:num>
  <w:num w:numId="46">
    <w:abstractNumId w:val="57"/>
  </w:num>
  <w:num w:numId="47">
    <w:abstractNumId w:val="4"/>
  </w:num>
  <w:num w:numId="48">
    <w:abstractNumId w:val="65"/>
  </w:num>
  <w:num w:numId="49">
    <w:abstractNumId w:val="28"/>
  </w:num>
  <w:num w:numId="50">
    <w:abstractNumId w:val="14"/>
  </w:num>
  <w:num w:numId="51">
    <w:abstractNumId w:val="58"/>
  </w:num>
  <w:num w:numId="52">
    <w:abstractNumId w:val="2"/>
  </w:num>
  <w:num w:numId="53">
    <w:abstractNumId w:val="10"/>
  </w:num>
  <w:num w:numId="54">
    <w:abstractNumId w:val="44"/>
  </w:num>
  <w:num w:numId="55">
    <w:abstractNumId w:val="71"/>
  </w:num>
  <w:num w:numId="56">
    <w:abstractNumId w:val="12"/>
  </w:num>
  <w:num w:numId="57">
    <w:abstractNumId w:val="24"/>
  </w:num>
  <w:num w:numId="58">
    <w:abstractNumId w:val="76"/>
  </w:num>
  <w:num w:numId="59">
    <w:abstractNumId w:val="21"/>
  </w:num>
  <w:num w:numId="60">
    <w:abstractNumId w:val="56"/>
  </w:num>
  <w:num w:numId="61">
    <w:abstractNumId w:val="53"/>
  </w:num>
  <w:num w:numId="62">
    <w:abstractNumId w:val="64"/>
  </w:num>
  <w:num w:numId="63">
    <w:abstractNumId w:val="60"/>
  </w:num>
  <w:num w:numId="64">
    <w:abstractNumId w:val="67"/>
  </w:num>
  <w:num w:numId="65">
    <w:abstractNumId w:val="25"/>
  </w:num>
  <w:num w:numId="66">
    <w:abstractNumId w:val="68"/>
  </w:num>
  <w:num w:numId="67">
    <w:abstractNumId w:val="16"/>
  </w:num>
  <w:num w:numId="68">
    <w:abstractNumId w:val="40"/>
  </w:num>
  <w:num w:numId="69">
    <w:abstractNumId w:val="75"/>
  </w:num>
  <w:num w:numId="70">
    <w:abstractNumId w:val="19"/>
  </w:num>
  <w:num w:numId="71">
    <w:abstractNumId w:val="42"/>
  </w:num>
  <w:num w:numId="72">
    <w:abstractNumId w:val="80"/>
  </w:num>
  <w:num w:numId="73">
    <w:abstractNumId w:val="35"/>
  </w:num>
  <w:num w:numId="74">
    <w:abstractNumId w:val="70"/>
  </w:num>
  <w:num w:numId="75">
    <w:abstractNumId w:val="34"/>
  </w:num>
  <w:num w:numId="76">
    <w:abstractNumId w:val="31"/>
  </w:num>
  <w:num w:numId="77">
    <w:abstractNumId w:val="0"/>
  </w:num>
  <w:num w:numId="78">
    <w:abstractNumId w:val="37"/>
  </w:num>
  <w:num w:numId="79">
    <w:abstractNumId w:val="52"/>
  </w:num>
  <w:num w:numId="80">
    <w:abstractNumId w:val="61"/>
  </w:num>
  <w:num w:numId="81">
    <w:abstractNumId w:val="74"/>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7A7"/>
    <w:rsid w:val="000121CA"/>
    <w:rsid w:val="0001764F"/>
    <w:rsid w:val="00017838"/>
    <w:rsid w:val="00091764"/>
    <w:rsid w:val="000A6E9A"/>
    <w:rsid w:val="000C079C"/>
    <w:rsid w:val="000E0ABC"/>
    <w:rsid w:val="000F4CAA"/>
    <w:rsid w:val="00103708"/>
    <w:rsid w:val="00103D4F"/>
    <w:rsid w:val="00105B94"/>
    <w:rsid w:val="00122B41"/>
    <w:rsid w:val="001243E0"/>
    <w:rsid w:val="00127D21"/>
    <w:rsid w:val="00135C23"/>
    <w:rsid w:val="00142745"/>
    <w:rsid w:val="00167412"/>
    <w:rsid w:val="001725E3"/>
    <w:rsid w:val="00177694"/>
    <w:rsid w:val="00177A2F"/>
    <w:rsid w:val="0019543B"/>
    <w:rsid w:val="001A3F92"/>
    <w:rsid w:val="001B5DD3"/>
    <w:rsid w:val="001D057E"/>
    <w:rsid w:val="002017A6"/>
    <w:rsid w:val="002023A8"/>
    <w:rsid w:val="002423B5"/>
    <w:rsid w:val="00262066"/>
    <w:rsid w:val="00263A2A"/>
    <w:rsid w:val="002664CB"/>
    <w:rsid w:val="0028126F"/>
    <w:rsid w:val="002C0A6E"/>
    <w:rsid w:val="002F71CE"/>
    <w:rsid w:val="00311903"/>
    <w:rsid w:val="00324D57"/>
    <w:rsid w:val="0033196B"/>
    <w:rsid w:val="00333281"/>
    <w:rsid w:val="003364FA"/>
    <w:rsid w:val="00344C36"/>
    <w:rsid w:val="00351D35"/>
    <w:rsid w:val="0035342E"/>
    <w:rsid w:val="0035551E"/>
    <w:rsid w:val="00377F64"/>
    <w:rsid w:val="00384768"/>
    <w:rsid w:val="00392AB0"/>
    <w:rsid w:val="003A443B"/>
    <w:rsid w:val="003C4461"/>
    <w:rsid w:val="003C4B01"/>
    <w:rsid w:val="003D1DF8"/>
    <w:rsid w:val="003E7EBF"/>
    <w:rsid w:val="004153C4"/>
    <w:rsid w:val="004308B3"/>
    <w:rsid w:val="00437789"/>
    <w:rsid w:val="00442356"/>
    <w:rsid w:val="00442A16"/>
    <w:rsid w:val="00442B28"/>
    <w:rsid w:val="00444588"/>
    <w:rsid w:val="0044634B"/>
    <w:rsid w:val="00453E64"/>
    <w:rsid w:val="00456156"/>
    <w:rsid w:val="00461656"/>
    <w:rsid w:val="00462C0F"/>
    <w:rsid w:val="00465571"/>
    <w:rsid w:val="004706EF"/>
    <w:rsid w:val="00477EE9"/>
    <w:rsid w:val="00496E7A"/>
    <w:rsid w:val="004B1FCF"/>
    <w:rsid w:val="004B59C2"/>
    <w:rsid w:val="004C2827"/>
    <w:rsid w:val="004E1443"/>
    <w:rsid w:val="004F7A31"/>
    <w:rsid w:val="00522304"/>
    <w:rsid w:val="00523715"/>
    <w:rsid w:val="00531B1A"/>
    <w:rsid w:val="005348A6"/>
    <w:rsid w:val="00556281"/>
    <w:rsid w:val="00561B45"/>
    <w:rsid w:val="0057612E"/>
    <w:rsid w:val="00592759"/>
    <w:rsid w:val="00596197"/>
    <w:rsid w:val="005A6540"/>
    <w:rsid w:val="005B1EBE"/>
    <w:rsid w:val="005D1273"/>
    <w:rsid w:val="0063342A"/>
    <w:rsid w:val="00643AAC"/>
    <w:rsid w:val="006625FC"/>
    <w:rsid w:val="00662D41"/>
    <w:rsid w:val="00663C26"/>
    <w:rsid w:val="00665284"/>
    <w:rsid w:val="00680C9C"/>
    <w:rsid w:val="00681FDE"/>
    <w:rsid w:val="006A3510"/>
    <w:rsid w:val="006A7169"/>
    <w:rsid w:val="0076092F"/>
    <w:rsid w:val="007644C8"/>
    <w:rsid w:val="0076579D"/>
    <w:rsid w:val="00777C09"/>
    <w:rsid w:val="00780172"/>
    <w:rsid w:val="0078084C"/>
    <w:rsid w:val="00785DCB"/>
    <w:rsid w:val="00787AF6"/>
    <w:rsid w:val="007A5068"/>
    <w:rsid w:val="007B70B6"/>
    <w:rsid w:val="007C69D0"/>
    <w:rsid w:val="007F7B83"/>
    <w:rsid w:val="00802661"/>
    <w:rsid w:val="00803FB6"/>
    <w:rsid w:val="00807ABF"/>
    <w:rsid w:val="008446FC"/>
    <w:rsid w:val="00845CAB"/>
    <w:rsid w:val="008465D6"/>
    <w:rsid w:val="008638C9"/>
    <w:rsid w:val="00867063"/>
    <w:rsid w:val="00891CE3"/>
    <w:rsid w:val="0089686D"/>
    <w:rsid w:val="008C41A7"/>
    <w:rsid w:val="008E78D8"/>
    <w:rsid w:val="008F3F65"/>
    <w:rsid w:val="008F4695"/>
    <w:rsid w:val="008F66BD"/>
    <w:rsid w:val="00900863"/>
    <w:rsid w:val="0092006E"/>
    <w:rsid w:val="00921990"/>
    <w:rsid w:val="00923768"/>
    <w:rsid w:val="00925A80"/>
    <w:rsid w:val="0093085C"/>
    <w:rsid w:val="009426A5"/>
    <w:rsid w:val="00943E5E"/>
    <w:rsid w:val="00960CBF"/>
    <w:rsid w:val="00962F1A"/>
    <w:rsid w:val="00970DBB"/>
    <w:rsid w:val="009D1400"/>
    <w:rsid w:val="009F0702"/>
    <w:rsid w:val="009F6A03"/>
    <w:rsid w:val="00A038A2"/>
    <w:rsid w:val="00A056FF"/>
    <w:rsid w:val="00A12636"/>
    <w:rsid w:val="00A13FD2"/>
    <w:rsid w:val="00A2171A"/>
    <w:rsid w:val="00A25AE4"/>
    <w:rsid w:val="00A50D9F"/>
    <w:rsid w:val="00A833C9"/>
    <w:rsid w:val="00AB3168"/>
    <w:rsid w:val="00AD428E"/>
    <w:rsid w:val="00AE476E"/>
    <w:rsid w:val="00B06278"/>
    <w:rsid w:val="00B1108C"/>
    <w:rsid w:val="00B15CA9"/>
    <w:rsid w:val="00B24CB7"/>
    <w:rsid w:val="00B33728"/>
    <w:rsid w:val="00B337F5"/>
    <w:rsid w:val="00B41428"/>
    <w:rsid w:val="00B46B14"/>
    <w:rsid w:val="00B632E7"/>
    <w:rsid w:val="00B63CB5"/>
    <w:rsid w:val="00B66F12"/>
    <w:rsid w:val="00B70BE1"/>
    <w:rsid w:val="00B84709"/>
    <w:rsid w:val="00BA7527"/>
    <w:rsid w:val="00BC5C76"/>
    <w:rsid w:val="00BC6771"/>
    <w:rsid w:val="00BE559C"/>
    <w:rsid w:val="00BE6374"/>
    <w:rsid w:val="00BE7B04"/>
    <w:rsid w:val="00BF7035"/>
    <w:rsid w:val="00C31CBF"/>
    <w:rsid w:val="00C31CE8"/>
    <w:rsid w:val="00C356A3"/>
    <w:rsid w:val="00C4083E"/>
    <w:rsid w:val="00C47237"/>
    <w:rsid w:val="00C50EF8"/>
    <w:rsid w:val="00C53578"/>
    <w:rsid w:val="00C60B24"/>
    <w:rsid w:val="00C75E4C"/>
    <w:rsid w:val="00CA1EF8"/>
    <w:rsid w:val="00CA7A0D"/>
    <w:rsid w:val="00CC22D6"/>
    <w:rsid w:val="00CC694B"/>
    <w:rsid w:val="00CD217D"/>
    <w:rsid w:val="00CE2B36"/>
    <w:rsid w:val="00D109F5"/>
    <w:rsid w:val="00D132CE"/>
    <w:rsid w:val="00D149EF"/>
    <w:rsid w:val="00D14BE8"/>
    <w:rsid w:val="00D35C0E"/>
    <w:rsid w:val="00D42F45"/>
    <w:rsid w:val="00D52772"/>
    <w:rsid w:val="00D615A1"/>
    <w:rsid w:val="00D67412"/>
    <w:rsid w:val="00D6785D"/>
    <w:rsid w:val="00D85DE2"/>
    <w:rsid w:val="00D85E8A"/>
    <w:rsid w:val="00D875DE"/>
    <w:rsid w:val="00D97CFE"/>
    <w:rsid w:val="00DB77FC"/>
    <w:rsid w:val="00DC4A98"/>
    <w:rsid w:val="00DC4F07"/>
    <w:rsid w:val="00DD2450"/>
    <w:rsid w:val="00DD28A9"/>
    <w:rsid w:val="00DE525D"/>
    <w:rsid w:val="00DE5C0F"/>
    <w:rsid w:val="00DE6D17"/>
    <w:rsid w:val="00DF0F2D"/>
    <w:rsid w:val="00DF6080"/>
    <w:rsid w:val="00E0573D"/>
    <w:rsid w:val="00E47E9F"/>
    <w:rsid w:val="00E54377"/>
    <w:rsid w:val="00E545E0"/>
    <w:rsid w:val="00E56E3D"/>
    <w:rsid w:val="00E6464D"/>
    <w:rsid w:val="00E664C4"/>
    <w:rsid w:val="00E67158"/>
    <w:rsid w:val="00E74439"/>
    <w:rsid w:val="00E770DB"/>
    <w:rsid w:val="00E77C60"/>
    <w:rsid w:val="00E80A4E"/>
    <w:rsid w:val="00E847DF"/>
    <w:rsid w:val="00E97EDF"/>
    <w:rsid w:val="00EA1364"/>
    <w:rsid w:val="00EB4958"/>
    <w:rsid w:val="00EF028B"/>
    <w:rsid w:val="00F2153A"/>
    <w:rsid w:val="00F34F60"/>
    <w:rsid w:val="00F35763"/>
    <w:rsid w:val="00F42892"/>
    <w:rsid w:val="00F46AC8"/>
    <w:rsid w:val="00F56C13"/>
    <w:rsid w:val="00F61254"/>
    <w:rsid w:val="00F7447C"/>
    <w:rsid w:val="00F761C0"/>
    <w:rsid w:val="00F847A7"/>
    <w:rsid w:val="00F90397"/>
    <w:rsid w:val="00F91B68"/>
    <w:rsid w:val="00F95FE7"/>
    <w:rsid w:val="00FA1411"/>
    <w:rsid w:val="00FA2A18"/>
    <w:rsid w:val="00FA472C"/>
    <w:rsid w:val="00FA5D7B"/>
    <w:rsid w:val="00FC58AC"/>
    <w:rsid w:val="00FC624E"/>
    <w:rsid w:val="00FC745F"/>
    <w:rsid w:val="00FC7C06"/>
    <w:rsid w:val="00FD5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1BD6B"/>
  <w15:chartTrackingRefBased/>
  <w15:docId w15:val="{A14E3F3E-6744-47AB-B7C6-D9FEE2D4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E2B36"/>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semiHidden/>
    <w:unhideWhenUsed/>
    <w:qFormat/>
    <w:rsid w:val="00A12636"/>
    <w:pPr>
      <w:keepNext/>
      <w:keepLines/>
      <w:spacing w:before="40" w:after="0"/>
      <w:outlineLvl w:val="1"/>
    </w:pPr>
    <w:rPr>
      <w:rFonts w:ascii="Cambria" w:eastAsia="Times New Roman" w:hAnsi="Cambria" w:cs="Times New Roman"/>
      <w:color w:val="365F9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ABC"/>
    <w:pPr>
      <w:ind w:left="720"/>
      <w:contextualSpacing/>
    </w:pPr>
  </w:style>
  <w:style w:type="paragraph" w:styleId="a4">
    <w:name w:val="header"/>
    <w:basedOn w:val="a"/>
    <w:link w:val="a5"/>
    <w:uiPriority w:val="99"/>
    <w:unhideWhenUsed/>
    <w:rsid w:val="00D85E8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85E8A"/>
  </w:style>
  <w:style w:type="paragraph" w:styleId="a6">
    <w:name w:val="footer"/>
    <w:basedOn w:val="a"/>
    <w:link w:val="a7"/>
    <w:uiPriority w:val="99"/>
    <w:unhideWhenUsed/>
    <w:rsid w:val="00D85E8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85E8A"/>
  </w:style>
  <w:style w:type="character" w:styleId="a8">
    <w:name w:val="Hyperlink"/>
    <w:basedOn w:val="a0"/>
    <w:uiPriority w:val="99"/>
    <w:unhideWhenUsed/>
    <w:rsid w:val="00BE7B04"/>
    <w:rPr>
      <w:color w:val="0563C1" w:themeColor="hyperlink"/>
      <w:u w:val="single"/>
    </w:rPr>
  </w:style>
  <w:style w:type="paragraph" w:customStyle="1" w:styleId="21">
    <w:name w:val="Заголовок 21"/>
    <w:basedOn w:val="a"/>
    <w:next w:val="a"/>
    <w:uiPriority w:val="9"/>
    <w:semiHidden/>
    <w:unhideWhenUsed/>
    <w:qFormat/>
    <w:rsid w:val="00A12636"/>
    <w:pPr>
      <w:keepNext/>
      <w:keepLines/>
      <w:spacing w:before="40" w:after="0" w:line="276" w:lineRule="auto"/>
      <w:outlineLvl w:val="1"/>
    </w:pPr>
    <w:rPr>
      <w:rFonts w:ascii="Cambria" w:eastAsia="Times New Roman" w:hAnsi="Cambria" w:cs="Times New Roman"/>
      <w:color w:val="365F91"/>
      <w:sz w:val="26"/>
      <w:szCs w:val="26"/>
      <w:lang w:eastAsia="ru-RU"/>
    </w:rPr>
  </w:style>
  <w:style w:type="numbering" w:customStyle="1" w:styleId="11">
    <w:name w:val="Нет списка1"/>
    <w:next w:val="a2"/>
    <w:uiPriority w:val="99"/>
    <w:semiHidden/>
    <w:unhideWhenUsed/>
    <w:rsid w:val="00A12636"/>
  </w:style>
  <w:style w:type="paragraph" w:styleId="a9">
    <w:name w:val="Balloon Text"/>
    <w:basedOn w:val="a"/>
    <w:link w:val="aa"/>
    <w:uiPriority w:val="99"/>
    <w:semiHidden/>
    <w:unhideWhenUsed/>
    <w:rsid w:val="00A12636"/>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A1263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A12636"/>
    <w:rPr>
      <w:rFonts w:ascii="Cambria" w:eastAsia="Times New Roman" w:hAnsi="Cambria" w:cs="Times New Roman"/>
      <w:color w:val="365F91"/>
      <w:sz w:val="26"/>
      <w:szCs w:val="26"/>
    </w:rPr>
  </w:style>
  <w:style w:type="character" w:styleId="ab">
    <w:name w:val="Strong"/>
    <w:basedOn w:val="a0"/>
    <w:uiPriority w:val="22"/>
    <w:qFormat/>
    <w:rsid w:val="00A12636"/>
    <w:rPr>
      <w:b/>
      <w:bCs/>
    </w:rPr>
  </w:style>
  <w:style w:type="paragraph" w:styleId="ac">
    <w:name w:val="Normal (Web)"/>
    <w:basedOn w:val="a"/>
    <w:uiPriority w:val="99"/>
    <w:semiHidden/>
    <w:unhideWhenUsed/>
    <w:rsid w:val="00A12636"/>
    <w:pPr>
      <w:spacing w:after="200" w:line="276" w:lineRule="auto"/>
    </w:pPr>
    <w:rPr>
      <w:rFonts w:ascii="Times New Roman" w:eastAsia="Times New Roman" w:hAnsi="Times New Roman" w:cs="Times New Roman"/>
      <w:sz w:val="24"/>
      <w:szCs w:val="24"/>
      <w:lang w:eastAsia="ru-RU"/>
    </w:rPr>
  </w:style>
  <w:style w:type="character" w:customStyle="1" w:styleId="210">
    <w:name w:val="Заголовок 2 Знак1"/>
    <w:basedOn w:val="a0"/>
    <w:uiPriority w:val="9"/>
    <w:semiHidden/>
    <w:rsid w:val="00A12636"/>
    <w:rPr>
      <w:rFonts w:asciiTheme="majorHAnsi" w:eastAsiaTheme="majorEastAsia" w:hAnsiTheme="majorHAnsi" w:cstheme="majorBidi"/>
      <w:color w:val="2E74B5" w:themeColor="accent1" w:themeShade="BF"/>
      <w:sz w:val="26"/>
      <w:szCs w:val="26"/>
    </w:rPr>
  </w:style>
  <w:style w:type="character" w:styleId="ad">
    <w:name w:val="annotation reference"/>
    <w:basedOn w:val="a0"/>
    <w:uiPriority w:val="99"/>
    <w:semiHidden/>
    <w:unhideWhenUsed/>
    <w:rsid w:val="00780172"/>
    <w:rPr>
      <w:sz w:val="16"/>
      <w:szCs w:val="16"/>
    </w:rPr>
  </w:style>
  <w:style w:type="paragraph" w:styleId="ae">
    <w:name w:val="annotation text"/>
    <w:basedOn w:val="a"/>
    <w:link w:val="af"/>
    <w:uiPriority w:val="99"/>
    <w:semiHidden/>
    <w:unhideWhenUsed/>
    <w:rsid w:val="00780172"/>
    <w:pPr>
      <w:spacing w:line="240" w:lineRule="auto"/>
    </w:pPr>
    <w:rPr>
      <w:sz w:val="20"/>
      <w:szCs w:val="20"/>
    </w:rPr>
  </w:style>
  <w:style w:type="character" w:customStyle="1" w:styleId="af">
    <w:name w:val="Текст примечания Знак"/>
    <w:basedOn w:val="a0"/>
    <w:link w:val="ae"/>
    <w:uiPriority w:val="99"/>
    <w:semiHidden/>
    <w:rsid w:val="00780172"/>
    <w:rPr>
      <w:sz w:val="20"/>
      <w:szCs w:val="20"/>
    </w:rPr>
  </w:style>
  <w:style w:type="paragraph" w:styleId="af0">
    <w:name w:val="annotation subject"/>
    <w:basedOn w:val="ae"/>
    <w:next w:val="ae"/>
    <w:link w:val="af1"/>
    <w:uiPriority w:val="99"/>
    <w:semiHidden/>
    <w:unhideWhenUsed/>
    <w:rsid w:val="00780172"/>
    <w:rPr>
      <w:b/>
      <w:bCs/>
    </w:rPr>
  </w:style>
  <w:style w:type="character" w:customStyle="1" w:styleId="af1">
    <w:name w:val="Тема примечания Знак"/>
    <w:basedOn w:val="af"/>
    <w:link w:val="af0"/>
    <w:uiPriority w:val="99"/>
    <w:semiHidden/>
    <w:rsid w:val="00780172"/>
    <w:rPr>
      <w:b/>
      <w:bCs/>
      <w:sz w:val="20"/>
      <w:szCs w:val="20"/>
    </w:rPr>
  </w:style>
  <w:style w:type="paragraph" w:styleId="af2">
    <w:name w:val="Revision"/>
    <w:hidden/>
    <w:uiPriority w:val="99"/>
    <w:semiHidden/>
    <w:rsid w:val="00780172"/>
    <w:pPr>
      <w:spacing w:after="0" w:line="240" w:lineRule="auto"/>
    </w:pPr>
  </w:style>
  <w:style w:type="character" w:styleId="af3">
    <w:name w:val="Emphasis"/>
    <w:basedOn w:val="a0"/>
    <w:uiPriority w:val="20"/>
    <w:qFormat/>
    <w:rsid w:val="00780172"/>
    <w:rPr>
      <w:i/>
      <w:iCs/>
    </w:rPr>
  </w:style>
  <w:style w:type="character" w:customStyle="1" w:styleId="no-wikidata">
    <w:name w:val="no-wikidata"/>
    <w:basedOn w:val="a0"/>
    <w:rsid w:val="00780172"/>
  </w:style>
  <w:style w:type="table" w:styleId="af4">
    <w:name w:val="Table Grid"/>
    <w:basedOn w:val="a1"/>
    <w:uiPriority w:val="39"/>
    <w:rsid w:val="001A3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laceholder Text"/>
    <w:basedOn w:val="a0"/>
    <w:uiPriority w:val="99"/>
    <w:semiHidden/>
    <w:rsid w:val="001A3F92"/>
    <w:rPr>
      <w:color w:val="808080"/>
    </w:rPr>
  </w:style>
  <w:style w:type="character" w:customStyle="1" w:styleId="10">
    <w:name w:val="Заголовок 1 Знак"/>
    <w:basedOn w:val="a0"/>
    <w:link w:val="1"/>
    <w:uiPriority w:val="9"/>
    <w:rsid w:val="00CE2B36"/>
    <w:rPr>
      <w:rFonts w:asciiTheme="majorHAnsi" w:eastAsiaTheme="majorEastAsia" w:hAnsiTheme="majorHAnsi" w:cstheme="majorBidi"/>
      <w:color w:val="2E74B5" w:themeColor="accent1" w:themeShade="BF"/>
      <w:sz w:val="32"/>
      <w:szCs w:val="32"/>
      <w:lang w:eastAsia="ru-RU"/>
    </w:rPr>
  </w:style>
  <w:style w:type="numbering" w:customStyle="1" w:styleId="22">
    <w:name w:val="Нет списка2"/>
    <w:next w:val="a2"/>
    <w:uiPriority w:val="99"/>
    <w:semiHidden/>
    <w:unhideWhenUsed/>
    <w:rsid w:val="00CE2B36"/>
  </w:style>
  <w:style w:type="character" w:customStyle="1" w:styleId="link1">
    <w:name w:val="link1"/>
    <w:basedOn w:val="a0"/>
    <w:rsid w:val="00CE2B36"/>
  </w:style>
  <w:style w:type="character" w:styleId="af6">
    <w:name w:val="FollowedHyperlink"/>
    <w:basedOn w:val="a0"/>
    <w:uiPriority w:val="99"/>
    <w:semiHidden/>
    <w:unhideWhenUsed/>
    <w:rsid w:val="00CE2B36"/>
    <w:rPr>
      <w:color w:val="954F72" w:themeColor="followedHyperlink"/>
      <w:u w:val="single"/>
    </w:rPr>
  </w:style>
  <w:style w:type="character" w:customStyle="1" w:styleId="c-bibliographic-informationvalue">
    <w:name w:val="c-bibliographic-information__value"/>
    <w:basedOn w:val="a0"/>
    <w:rsid w:val="00CE2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8.xml"/><Relationship Id="rId47" Type="http://schemas.openxmlformats.org/officeDocument/2006/relationships/chart" Target="charts/chart33.xml"/><Relationship Id="rId63" Type="http://schemas.openxmlformats.org/officeDocument/2006/relationships/image" Target="media/image19.png"/><Relationship Id="rId68" Type="http://schemas.openxmlformats.org/officeDocument/2006/relationships/image" Target="media/image24.png"/><Relationship Id="rId84" Type="http://schemas.openxmlformats.org/officeDocument/2006/relationships/hyperlink" Target="https://stat.gov.kz" TargetMode="External"/><Relationship Id="rId89" Type="http://schemas.openxmlformats.org/officeDocument/2006/relationships/hyperlink" Target="https://www.statista.com/statistics/517757/fixed-broadband-subscriptions-per-100-inhabitants-in-kazakhstan/"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5.xml"/><Relationship Id="rId107" Type="http://schemas.openxmlformats.org/officeDocument/2006/relationships/hyperlink" Target="https://kaztag.kz/ru/news/odobrena-kontseptsiya-zakona-rk-o-30-kvote-dlya-zhenshchin-i-molodezhi-v-partspiskakh?utm_source=chatgpt.com" TargetMode="Externa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image" Target="media/image9.png"/><Relationship Id="rId58" Type="http://schemas.openxmlformats.org/officeDocument/2006/relationships/image" Target="media/image14.png"/><Relationship Id="rId66" Type="http://schemas.openxmlformats.org/officeDocument/2006/relationships/image" Target="media/image22.png"/><Relationship Id="rId74" Type="http://schemas.openxmlformats.org/officeDocument/2006/relationships/hyperlink" Target="https://doi.org/10.17976/jpps/2019.02.10" TargetMode="External"/><Relationship Id="rId79" Type="http://schemas.openxmlformats.org/officeDocument/2006/relationships/hyperlink" Target="http://hdr.undp.org" TargetMode="External"/><Relationship Id="rId87" Type="http://schemas.openxmlformats.org/officeDocument/2006/relationships/hyperlink" Target="https://adilet.zan.kz/rus/docs/P2400000592?utm_source=chatgpt.com" TargetMode="External"/><Relationship Id="rId102" Type="http://schemas.openxmlformats.org/officeDocument/2006/relationships/hyperlink" Target="https://www.akorda.kz/ru/ob-obyavlenii-goda-cifrovizacii-i-iskusstvennogo-intellekta-601222?utm_source=chatgpt.com" TargetMode="External"/><Relationship Id="rId110" Type="http://schemas.openxmlformats.org/officeDocument/2006/relationships/hyperlink" Target="mailto:anastassiya7fedorova@gmail.com" TargetMode="External"/><Relationship Id="rId5" Type="http://schemas.openxmlformats.org/officeDocument/2006/relationships/webSettings" Target="webSettings.xml"/><Relationship Id="rId61" Type="http://schemas.openxmlformats.org/officeDocument/2006/relationships/image" Target="media/image17.png"/><Relationship Id="rId82" Type="http://schemas.openxmlformats.org/officeDocument/2006/relationships/hyperlink" Target="https://adilet.zan.kz/rus/docs/U2000000390?utm_source=chatgpt.com" TargetMode="External"/><Relationship Id="rId90" Type="http://schemas.openxmlformats.org/officeDocument/2006/relationships/hyperlink" Target="https://www.itu.int" TargetMode="External"/><Relationship Id="rId95" Type="http://schemas.openxmlformats.org/officeDocument/2006/relationships/hyperlink" Target="https://doi.org/10.1080/09588221.2020.1830805" TargetMode="Externa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image" Target="media/image12.png"/><Relationship Id="rId64" Type="http://schemas.openxmlformats.org/officeDocument/2006/relationships/image" Target="media/image20.png"/><Relationship Id="rId69" Type="http://schemas.openxmlformats.org/officeDocument/2006/relationships/image" Target="media/image25.png"/><Relationship Id="rId77" Type="http://schemas.openxmlformats.org/officeDocument/2006/relationships/hyperlink" Target="https://www.worldvaluessurvey.org/WVSContents.jsp" TargetMode="External"/><Relationship Id="rId100" Type="http://schemas.openxmlformats.org/officeDocument/2006/relationships/hyperlink" Target="https://www.statista.com" TargetMode="External"/><Relationship Id="rId105" Type="http://schemas.openxmlformats.org/officeDocument/2006/relationships/hyperlink" Target="https://www.gov.kz" TargetMode="External"/><Relationship Id="rId113" Type="http://schemas.openxmlformats.org/officeDocument/2006/relationships/theme" Target="theme/theme1.xml"/><Relationship Id="rId8" Type="http://schemas.openxmlformats.org/officeDocument/2006/relationships/hyperlink" Target="https://adilet.zan.kz/rus/docs/K950001000_" TargetMode="External"/><Relationship Id="rId51" Type="http://schemas.openxmlformats.org/officeDocument/2006/relationships/image" Target="media/image7.png"/><Relationship Id="rId72" Type="http://schemas.openxmlformats.org/officeDocument/2006/relationships/hyperlink" Target="https://www.akorda.kz/ru/poslanie-glavy-gosudarstva-kasym-zhomarta-tokaeva-narodu-kazahstana-kazahstan-v-epohu-iskusstvennogo-intellekta-aktualnye-zadachi-i-ih-resheniya-cherez-cifrovuyu-transformaciyu-885145?utm_source=chatgpt.com" TargetMode="External"/><Relationship Id="rId80" Type="http://schemas.openxmlformats.org/officeDocument/2006/relationships/hyperlink" Target="https://adilet.zan.kz/rus/docs/U2000000390?utm_source=chatgpt.com" TargetMode="External"/><Relationship Id="rId85" Type="http://schemas.openxmlformats.org/officeDocument/2006/relationships/hyperlink" Target="https://forbes.kz/stats/internetauditoriya_kazahstana_portret_i_predpochteniya_polzovatelya" TargetMode="External"/><Relationship Id="rId93" Type="http://schemas.openxmlformats.org/officeDocument/2006/relationships/hyperlink" Target="http://janeknight.typepad.com/socialmedia/2009/10/a-history-of-social-media.html" TargetMode="External"/><Relationship Id="rId98" Type="http://schemas.openxmlformats.org/officeDocument/2006/relationships/hyperlink" Target="https://mediascope.net/en/"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image" Target="media/image15.png"/><Relationship Id="rId67" Type="http://schemas.openxmlformats.org/officeDocument/2006/relationships/image" Target="media/image23.png"/><Relationship Id="rId103" Type="http://schemas.openxmlformats.org/officeDocument/2006/relationships/hyperlink" Target="https://kz.kursiv.media/2025-08-11/zhzh-perevesti-chati-v-aitu/" TargetMode="External"/><Relationship Id="rId108" Type="http://schemas.openxmlformats.org/officeDocument/2006/relationships/footer" Target="footer1.xml"/><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image" Target="media/image10.png"/><Relationship Id="rId62" Type="http://schemas.openxmlformats.org/officeDocument/2006/relationships/image" Target="media/image18.png"/><Relationship Id="rId70" Type="http://schemas.openxmlformats.org/officeDocument/2006/relationships/image" Target="media/image26.png"/><Relationship Id="rId75" Type="http://schemas.openxmlformats.org/officeDocument/2006/relationships/hyperlink" Target="https://www.nur.kz/1711408-kakim-dolzen-byt-idealnyj-kazahstanec-rasskazal-nazarbaev.html" TargetMode="External"/><Relationship Id="rId83" Type="http://schemas.openxmlformats.org/officeDocument/2006/relationships/hyperlink" Target="https://www.gov.kz/memleket/entities/economy/documents/details/696423?directionId=200&amp;lang=ru&amp;utm_source=chatgpt.com" TargetMode="External"/><Relationship Id="rId88" Type="http://schemas.openxmlformats.org/officeDocument/2006/relationships/hyperlink" Target="https://doi.org/10.31887/DCNS.2020.22.2/mhilbert" TargetMode="External"/><Relationship Id="rId91" Type="http://schemas.openxmlformats.org/officeDocument/2006/relationships/hyperlink" Target="https://www.internetlivestats.com/internet-users/kazakhstan/" TargetMode="External"/><Relationship Id="rId96" Type="http://schemas.openxmlformats.org/officeDocument/2006/relationships/hyperlink" Target="http://site.nic.ru/content/view/358/33/" TargetMode="External"/><Relationship Id="rId111" Type="http://schemas.openxmlformats.org/officeDocument/2006/relationships/hyperlink" Target="mailto:anastassiya7fedorova@gmail.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chart" Target="charts/chart35.xml"/><Relationship Id="rId57" Type="http://schemas.openxmlformats.org/officeDocument/2006/relationships/image" Target="media/image13.png"/><Relationship Id="rId106" Type="http://schemas.openxmlformats.org/officeDocument/2006/relationships/hyperlink" Target="https://www.inform.kz/ru/maslihati-vnesli-li-novshestva-molodie-deputati-2a5cfa" TargetMode="External"/><Relationship Id="rId10" Type="http://schemas.openxmlformats.org/officeDocument/2006/relationships/chart" Target="charts/chart1.xml"/><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image" Target="media/image8.png"/><Relationship Id="rId60" Type="http://schemas.openxmlformats.org/officeDocument/2006/relationships/image" Target="media/image16.png"/><Relationship Id="rId65" Type="http://schemas.openxmlformats.org/officeDocument/2006/relationships/image" Target="media/image21.png"/><Relationship Id="rId73" Type="http://schemas.openxmlformats.org/officeDocument/2006/relationships/hyperlink" Target="https://adilet.zan.kz/rus/docs/Z2300000030?utm_source=chatgpt.com" TargetMode="External"/><Relationship Id="rId78" Type="http://schemas.openxmlformats.org/officeDocument/2006/relationships/hyperlink" Target="https://doi.org/10.4135/9781446280447" TargetMode="External"/><Relationship Id="rId81" Type="http://schemas.openxmlformats.org/officeDocument/2006/relationships/hyperlink" Target="https://adilet.zan.kz/rus/docs/U2000000390?utm_source=chatgpt.com" TargetMode="External"/><Relationship Id="rId86" Type="http://schemas.openxmlformats.org/officeDocument/2006/relationships/hyperlink" Target="https://adilet.zan.kz/rus/docs/U2000000390?utm_source=chatgpt.com" TargetMode="External"/><Relationship Id="rId94" Type="http://schemas.openxmlformats.org/officeDocument/2006/relationships/hyperlink" Target="http://www.forrester.com/empowered/ladder2010" TargetMode="External"/><Relationship Id="rId99" Type="http://schemas.openxmlformats.org/officeDocument/2006/relationships/hyperlink" Target="https://tilmedia.kz/en/info/202" TargetMode="External"/><Relationship Id="rId101" Type="http://schemas.openxmlformats.org/officeDocument/2006/relationships/hyperlink" Target="https://www.brandanalytics.com" TargetMode="External"/><Relationship Id="rId4" Type="http://schemas.openxmlformats.org/officeDocument/2006/relationships/settings" Target="settings.xml"/><Relationship Id="rId9" Type="http://schemas.openxmlformats.org/officeDocument/2006/relationships/hyperlink" Target="https://stat.gov.kz/ru/" TargetMode="External"/><Relationship Id="rId13" Type="http://schemas.openxmlformats.org/officeDocument/2006/relationships/image" Target="media/image3.png"/><Relationship Id="rId18" Type="http://schemas.openxmlformats.org/officeDocument/2006/relationships/chart" Target="charts/chart4.xml"/><Relationship Id="rId39" Type="http://schemas.openxmlformats.org/officeDocument/2006/relationships/chart" Target="charts/chart25.xml"/><Relationship Id="rId109" Type="http://schemas.openxmlformats.org/officeDocument/2006/relationships/image" Target="media/image27.jpeg"/><Relationship Id="rId34" Type="http://schemas.openxmlformats.org/officeDocument/2006/relationships/chart" Target="charts/chart20.xml"/><Relationship Id="rId50" Type="http://schemas.openxmlformats.org/officeDocument/2006/relationships/image" Target="media/image6.png"/><Relationship Id="rId55" Type="http://schemas.openxmlformats.org/officeDocument/2006/relationships/image" Target="media/image11.png"/><Relationship Id="rId76" Type="http://schemas.openxmlformats.org/officeDocument/2006/relationships/hyperlink" Target="https://www.akorda.kz/ru/poslanie-glavy-gosudarstva-kasym-zhomarta-tokaeva-narodu-kazahstana-183048" TargetMode="External"/><Relationship Id="rId97" Type="http://schemas.openxmlformats.org/officeDocument/2006/relationships/hyperlink" Target="http://journal.fibreculture.org/issue5/depeuter_dyerwitheford.html" TargetMode="External"/><Relationship Id="rId104" Type="http://schemas.openxmlformats.org/officeDocument/2006/relationships/hyperlink" Target="https://centrasia.org/person.php?st=1610606998&amp;utm_source=chatgpt.com" TargetMode="External"/><Relationship Id="rId7" Type="http://schemas.openxmlformats.org/officeDocument/2006/relationships/endnotes" Target="endnotes.xml"/><Relationship Id="rId71" Type="http://schemas.openxmlformats.org/officeDocument/2006/relationships/chart" Target="charts/chart36.xml"/><Relationship Id="rId92" Type="http://schemas.openxmlformats.org/officeDocument/2006/relationships/hyperlink" Target="http://eurasian-defence.ru/sites/default/files/pdf/vestnik_podberezkinai.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29.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Excel34.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Excel35.xlsx"/><Relationship Id="rId1" Type="http://schemas.openxmlformats.org/officeDocument/2006/relationships/themeOverride" Target="../theme/themeOverride36.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Количество общественных объединений Казахстана с 1991 по 1996 год</c:v>
                </c:pt>
              </c:strCache>
            </c:strRef>
          </c:tx>
          <c:spPr>
            <a:solidFill>
              <a:schemeClr val="tx1"/>
            </a:solidFill>
            <a:ln>
              <a:noFill/>
            </a:ln>
            <a:effectLst/>
          </c:spPr>
          <c:invertIfNegative val="0"/>
          <c:cat>
            <c:strRef>
              <c:f>Лист1!$A$2:$A$4</c:f>
              <c:strCache>
                <c:ptCount val="3"/>
                <c:pt idx="0">
                  <c:v>1991-1992</c:v>
                </c:pt>
                <c:pt idx="1">
                  <c:v>1993-1995</c:v>
                </c:pt>
                <c:pt idx="2">
                  <c:v>1996</c:v>
                </c:pt>
              </c:strCache>
            </c:strRef>
          </c:cat>
          <c:val>
            <c:numRef>
              <c:f>Лист1!$B$2:$B$4</c:f>
              <c:numCache>
                <c:formatCode>General</c:formatCode>
                <c:ptCount val="3"/>
                <c:pt idx="0">
                  <c:v>306</c:v>
                </c:pt>
                <c:pt idx="1">
                  <c:v>253</c:v>
                </c:pt>
                <c:pt idx="2">
                  <c:v>68</c:v>
                </c:pt>
              </c:numCache>
            </c:numRef>
          </c:val>
          <c:extLst>
            <c:ext xmlns:c16="http://schemas.microsoft.com/office/drawing/2014/chart" uri="{C3380CC4-5D6E-409C-BE32-E72D297353CC}">
              <c16:uniqueId val="{00000000-DFA6-4DF0-AA3A-08435314BBBD}"/>
            </c:ext>
          </c:extLst>
        </c:ser>
        <c:dLbls>
          <c:showLegendKey val="0"/>
          <c:showVal val="0"/>
          <c:showCatName val="0"/>
          <c:showSerName val="0"/>
          <c:showPercent val="0"/>
          <c:showBubbleSize val="0"/>
        </c:dLbls>
        <c:gapWidth val="182"/>
        <c:axId val="262947584"/>
        <c:axId val="262949120"/>
      </c:barChart>
      <c:catAx>
        <c:axId val="262947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62949120"/>
        <c:crosses val="autoZero"/>
        <c:auto val="1"/>
        <c:lblAlgn val="ctr"/>
        <c:lblOffset val="100"/>
        <c:noMultiLvlLbl val="0"/>
      </c:catAx>
      <c:valAx>
        <c:axId val="262949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947584"/>
        <c:crosses val="autoZero"/>
        <c:crossBetween val="between"/>
      </c:valAx>
      <c:spPr>
        <a:noFill/>
        <a:ln>
          <a:noFill/>
        </a:ln>
        <a:effectLst/>
      </c:spPr>
    </c:plotArea>
    <c:legend>
      <c:legendPos val="b"/>
      <c:layout>
        <c:manualLayout>
          <c:xMode val="edge"/>
          <c:yMode val="edge"/>
          <c:x val="0.13739092517588655"/>
          <c:y val="0.89245766066951127"/>
          <c:w val="0.73818936047628192"/>
          <c:h val="5.29415470125057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2019 год</c:v>
                </c:pt>
              </c:strCache>
            </c:strRef>
          </c:tx>
          <c:spPr>
            <a:solidFill>
              <a:schemeClr val="tx1"/>
            </a:solidFill>
            <a:ln>
              <a:solidFill>
                <a:schemeClr val="tx1"/>
              </a:solidFill>
            </a:ln>
            <a:effectLst/>
          </c:spPr>
          <c:invertIfNegative val="0"/>
          <c:cat>
            <c:strRef>
              <c:f>Лист1!$A$2:$A$17</c:f>
              <c:strCache>
                <c:ptCount val="16"/>
                <c:pt idx="0">
                  <c:v>ВКонтакте</c:v>
                </c:pt>
                <c:pt idx="1">
                  <c:v>Instagram</c:v>
                </c:pt>
                <c:pt idx="2">
                  <c:v>Facebook</c:v>
                </c:pt>
                <c:pt idx="3">
                  <c:v>What'sApp</c:v>
                </c:pt>
                <c:pt idx="4">
                  <c:v>YouTube</c:v>
                </c:pt>
                <c:pt idx="5">
                  <c:v>Telegram</c:v>
                </c:pt>
                <c:pt idx="6">
                  <c:v>Мой Мир</c:v>
                </c:pt>
                <c:pt idx="7">
                  <c:v>Snapchat</c:v>
                </c:pt>
                <c:pt idx="8">
                  <c:v>Twitter</c:v>
                </c:pt>
                <c:pt idx="9">
                  <c:v>Google</c:v>
                </c:pt>
                <c:pt idx="10">
                  <c:v>LinkedIn</c:v>
                </c:pt>
                <c:pt idx="11">
                  <c:v>Pinterest</c:v>
                </c:pt>
                <c:pt idx="12">
                  <c:v>Viber</c:v>
                </c:pt>
                <c:pt idx="13">
                  <c:v>Reddit</c:v>
                </c:pt>
                <c:pt idx="14">
                  <c:v>Skype</c:v>
                </c:pt>
                <c:pt idx="15">
                  <c:v>Одноклассники</c:v>
                </c:pt>
              </c:strCache>
            </c:strRef>
          </c:cat>
          <c:val>
            <c:numRef>
              <c:f>Лист1!$B$2:$B$17</c:f>
              <c:numCache>
                <c:formatCode>0.00%</c:formatCode>
                <c:ptCount val="16"/>
                <c:pt idx="0">
                  <c:v>0.91600000000000004</c:v>
                </c:pt>
                <c:pt idx="1">
                  <c:v>0.89500000000000002</c:v>
                </c:pt>
                <c:pt idx="2">
                  <c:v>0.46800000000000003</c:v>
                </c:pt>
                <c:pt idx="3">
                  <c:v>0.39200000000000002</c:v>
                </c:pt>
                <c:pt idx="4">
                  <c:v>0.26600000000000001</c:v>
                </c:pt>
                <c:pt idx="5">
                  <c:v>0.20899999999999999</c:v>
                </c:pt>
                <c:pt idx="6">
                  <c:v>9.0899999999999995E-2</c:v>
                </c:pt>
                <c:pt idx="7">
                  <c:v>8.4000000000000005E-2</c:v>
                </c:pt>
                <c:pt idx="8">
                  <c:v>7.6999999999999999E-2</c:v>
                </c:pt>
                <c:pt idx="9">
                  <c:v>5.6000000000000001E-2</c:v>
                </c:pt>
                <c:pt idx="10">
                  <c:v>3.5000000000000003E-2</c:v>
                </c:pt>
                <c:pt idx="11">
                  <c:v>2.8000000000000001E-2</c:v>
                </c:pt>
                <c:pt idx="12">
                  <c:v>2.0899999999999998E-2</c:v>
                </c:pt>
                <c:pt idx="13">
                  <c:v>2.0899999999999998E-2</c:v>
                </c:pt>
                <c:pt idx="14">
                  <c:v>1.4E-2</c:v>
                </c:pt>
                <c:pt idx="15">
                  <c:v>7.0000000000000001E-3</c:v>
                </c:pt>
              </c:numCache>
            </c:numRef>
          </c:val>
          <c:extLst>
            <c:ext xmlns:c16="http://schemas.microsoft.com/office/drawing/2014/chart" uri="{C3380CC4-5D6E-409C-BE32-E72D297353CC}">
              <c16:uniqueId val="{00000000-DCF7-4E8A-885A-007B402121B1}"/>
            </c:ext>
          </c:extLst>
        </c:ser>
        <c:dLbls>
          <c:showLegendKey val="0"/>
          <c:showVal val="0"/>
          <c:showCatName val="0"/>
          <c:showSerName val="0"/>
          <c:showPercent val="0"/>
          <c:showBubbleSize val="0"/>
        </c:dLbls>
        <c:gapWidth val="219"/>
        <c:overlap val="-27"/>
        <c:axId val="258273280"/>
        <c:axId val="258274816"/>
      </c:barChart>
      <c:catAx>
        <c:axId val="25827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274816"/>
        <c:crosses val="autoZero"/>
        <c:auto val="1"/>
        <c:lblAlgn val="ctr"/>
        <c:lblOffset val="100"/>
        <c:noMultiLvlLbl val="0"/>
      </c:catAx>
      <c:valAx>
        <c:axId val="258274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58273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2020 год</c:v>
                </c:pt>
              </c:strCache>
            </c:strRef>
          </c:tx>
          <c:spPr>
            <a:solidFill>
              <a:sysClr val="windowText" lastClr="000000"/>
            </a:solidFill>
            <a:ln>
              <a:solidFill>
                <a:schemeClr val="tx1"/>
              </a:solidFill>
            </a:ln>
            <a:effectLst/>
          </c:spPr>
          <c:invertIfNegative val="0"/>
          <c:cat>
            <c:strRef>
              <c:f>Лист1!$A$2:$A$17</c:f>
              <c:strCache>
                <c:ptCount val="16"/>
                <c:pt idx="0">
                  <c:v>Instagram</c:v>
                </c:pt>
                <c:pt idx="1">
                  <c:v>ВКонтакте</c:v>
                </c:pt>
                <c:pt idx="2">
                  <c:v>Telegram</c:v>
                </c:pt>
                <c:pt idx="3">
                  <c:v>What'sApp</c:v>
                </c:pt>
                <c:pt idx="4">
                  <c:v>Facebook</c:v>
                </c:pt>
                <c:pt idx="5">
                  <c:v>Twitter</c:v>
                </c:pt>
                <c:pt idx="6">
                  <c:v>YouTube</c:v>
                </c:pt>
                <c:pt idx="7">
                  <c:v>Pinterest</c:v>
                </c:pt>
                <c:pt idx="8">
                  <c:v>Мой Мир</c:v>
                </c:pt>
                <c:pt idx="9">
                  <c:v>Snapchat</c:v>
                </c:pt>
                <c:pt idx="10">
                  <c:v>Reddit</c:v>
                </c:pt>
                <c:pt idx="11">
                  <c:v>TikTok</c:v>
                </c:pt>
                <c:pt idx="12">
                  <c:v>Одноклассники</c:v>
                </c:pt>
                <c:pt idx="13">
                  <c:v>Zenly</c:v>
                </c:pt>
                <c:pt idx="14">
                  <c:v>Skype</c:v>
                </c:pt>
                <c:pt idx="15">
                  <c:v>LinkedIn</c:v>
                </c:pt>
              </c:strCache>
            </c:strRef>
          </c:cat>
          <c:val>
            <c:numRef>
              <c:f>Лист1!$B$2:$B$17</c:f>
              <c:numCache>
                <c:formatCode>0.00%</c:formatCode>
                <c:ptCount val="16"/>
                <c:pt idx="0">
                  <c:v>0.93400000000000005</c:v>
                </c:pt>
                <c:pt idx="1">
                  <c:v>0.89700000000000002</c:v>
                </c:pt>
                <c:pt idx="2">
                  <c:v>0.71499999999999997</c:v>
                </c:pt>
                <c:pt idx="3">
                  <c:v>0.67200000000000004</c:v>
                </c:pt>
                <c:pt idx="4" formatCode="0%">
                  <c:v>0.35</c:v>
                </c:pt>
                <c:pt idx="5">
                  <c:v>0.16700000000000001</c:v>
                </c:pt>
                <c:pt idx="6">
                  <c:v>0.124</c:v>
                </c:pt>
                <c:pt idx="7">
                  <c:v>5.0999999999999997E-2</c:v>
                </c:pt>
                <c:pt idx="8">
                  <c:v>4.3999999999999997E-2</c:v>
                </c:pt>
                <c:pt idx="9">
                  <c:v>3.5999999999999997E-2</c:v>
                </c:pt>
                <c:pt idx="10">
                  <c:v>3.5999999999999997E-2</c:v>
                </c:pt>
                <c:pt idx="11">
                  <c:v>3.5999999999999997E-2</c:v>
                </c:pt>
                <c:pt idx="12">
                  <c:v>2.9000000000000001E-2</c:v>
                </c:pt>
                <c:pt idx="13">
                  <c:v>2.9000000000000001E-2</c:v>
                </c:pt>
                <c:pt idx="14">
                  <c:v>1.4999999999999999E-2</c:v>
                </c:pt>
                <c:pt idx="15">
                  <c:v>7.0000000000000001E-3</c:v>
                </c:pt>
              </c:numCache>
            </c:numRef>
          </c:val>
          <c:extLst>
            <c:ext xmlns:c16="http://schemas.microsoft.com/office/drawing/2014/chart" uri="{C3380CC4-5D6E-409C-BE32-E72D297353CC}">
              <c16:uniqueId val="{00000000-F767-498B-9E1C-A45BD029BCAF}"/>
            </c:ext>
          </c:extLst>
        </c:ser>
        <c:dLbls>
          <c:showLegendKey val="0"/>
          <c:showVal val="0"/>
          <c:showCatName val="0"/>
          <c:showSerName val="0"/>
          <c:showPercent val="0"/>
          <c:showBubbleSize val="0"/>
        </c:dLbls>
        <c:gapWidth val="219"/>
        <c:overlap val="-27"/>
        <c:axId val="259548672"/>
        <c:axId val="259550208"/>
      </c:barChart>
      <c:catAx>
        <c:axId val="25954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9550208"/>
        <c:crosses val="autoZero"/>
        <c:auto val="1"/>
        <c:lblAlgn val="ctr"/>
        <c:lblOffset val="100"/>
        <c:noMultiLvlLbl val="0"/>
      </c:catAx>
      <c:valAx>
        <c:axId val="259550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5954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2023 год</c:v>
                </c:pt>
              </c:strCache>
            </c:strRef>
          </c:tx>
          <c:spPr>
            <a:solidFill>
              <a:sysClr val="windowText" lastClr="000000"/>
            </a:solidFill>
            <a:ln>
              <a:solidFill>
                <a:schemeClr val="tx1"/>
              </a:solidFill>
            </a:ln>
            <a:effectLst/>
          </c:spPr>
          <c:invertIfNegative val="0"/>
          <c:cat>
            <c:strRef>
              <c:f>Лист1!$A$2:$A$13</c:f>
              <c:strCache>
                <c:ptCount val="12"/>
                <c:pt idx="0">
                  <c:v>Instagram</c:v>
                </c:pt>
                <c:pt idx="1">
                  <c:v>TikTok</c:v>
                </c:pt>
                <c:pt idx="2">
                  <c:v>Telegram</c:v>
                </c:pt>
                <c:pt idx="3">
                  <c:v>What's App</c:v>
                </c:pt>
                <c:pt idx="4">
                  <c:v>ВКонтакте</c:v>
                </c:pt>
                <c:pt idx="5">
                  <c:v>Threads</c:v>
                </c:pt>
                <c:pt idx="6">
                  <c:v>YouTube</c:v>
                </c:pt>
                <c:pt idx="7">
                  <c:v>Facebook</c:v>
                </c:pt>
                <c:pt idx="8">
                  <c:v>X</c:v>
                </c:pt>
                <c:pt idx="9">
                  <c:v>Snapchat</c:v>
                </c:pt>
                <c:pt idx="10">
                  <c:v>Pinterest</c:v>
                </c:pt>
                <c:pt idx="11">
                  <c:v>LinkedIn</c:v>
                </c:pt>
              </c:strCache>
            </c:strRef>
          </c:cat>
          <c:val>
            <c:numRef>
              <c:f>Лист1!$B$2:$B$13</c:f>
              <c:numCache>
                <c:formatCode>0%</c:formatCode>
                <c:ptCount val="12"/>
                <c:pt idx="0">
                  <c:v>0.93</c:v>
                </c:pt>
                <c:pt idx="1">
                  <c:v>0.75</c:v>
                </c:pt>
                <c:pt idx="2">
                  <c:v>0.4</c:v>
                </c:pt>
                <c:pt idx="3">
                  <c:v>0.3</c:v>
                </c:pt>
                <c:pt idx="4">
                  <c:v>0.2</c:v>
                </c:pt>
                <c:pt idx="5">
                  <c:v>0.15</c:v>
                </c:pt>
                <c:pt idx="6">
                  <c:v>0.12</c:v>
                </c:pt>
                <c:pt idx="7">
                  <c:v>0.09</c:v>
                </c:pt>
                <c:pt idx="8">
                  <c:v>0.09</c:v>
                </c:pt>
                <c:pt idx="9">
                  <c:v>7.0000000000000007E-2</c:v>
                </c:pt>
                <c:pt idx="10">
                  <c:v>0.06</c:v>
                </c:pt>
                <c:pt idx="11">
                  <c:v>0.03</c:v>
                </c:pt>
              </c:numCache>
            </c:numRef>
          </c:val>
          <c:extLst>
            <c:ext xmlns:c16="http://schemas.microsoft.com/office/drawing/2014/chart" uri="{C3380CC4-5D6E-409C-BE32-E72D297353CC}">
              <c16:uniqueId val="{00000000-D9D3-4190-B079-9AE1DDCDF913}"/>
            </c:ext>
          </c:extLst>
        </c:ser>
        <c:dLbls>
          <c:showLegendKey val="0"/>
          <c:showVal val="0"/>
          <c:showCatName val="0"/>
          <c:showSerName val="0"/>
          <c:showPercent val="0"/>
          <c:showBubbleSize val="0"/>
        </c:dLbls>
        <c:gapWidth val="219"/>
        <c:overlap val="-27"/>
        <c:axId val="284933120"/>
        <c:axId val="284943104"/>
      </c:barChart>
      <c:catAx>
        <c:axId val="28493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4943104"/>
        <c:crosses val="autoZero"/>
        <c:auto val="1"/>
        <c:lblAlgn val="ctr"/>
        <c:lblOffset val="100"/>
        <c:noMultiLvlLbl val="0"/>
      </c:catAx>
      <c:valAx>
        <c:axId val="284943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4933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Несколько раз в день</c:v>
                </c:pt>
              </c:strCache>
            </c:strRef>
          </c:tx>
          <c:spPr>
            <a:solidFill>
              <a:sysClr val="windowText" lastClr="000000"/>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Лист1!$B$2:$B$4</c:f>
              <c:numCache>
                <c:formatCode>0.00%</c:formatCode>
                <c:ptCount val="3"/>
                <c:pt idx="0">
                  <c:v>0.89500000000000002</c:v>
                </c:pt>
                <c:pt idx="1">
                  <c:v>0.90500000000000003</c:v>
                </c:pt>
                <c:pt idx="2">
                  <c:v>0.72499999999999998</c:v>
                </c:pt>
              </c:numCache>
            </c:numRef>
          </c:val>
          <c:extLst>
            <c:ext xmlns:c16="http://schemas.microsoft.com/office/drawing/2014/chart" uri="{C3380CC4-5D6E-409C-BE32-E72D297353CC}">
              <c16:uniqueId val="{00000000-19C9-4735-AB1C-2DC28C8F7172}"/>
            </c:ext>
          </c:extLst>
        </c:ser>
        <c:ser>
          <c:idx val="1"/>
          <c:order val="1"/>
          <c:tx>
            <c:strRef>
              <c:f>Лист1!$C$1</c:f>
              <c:strCache>
                <c:ptCount val="1"/>
                <c:pt idx="0">
                  <c:v>1 раз в день</c:v>
                </c:pt>
              </c:strCache>
            </c:strRef>
          </c:tx>
          <c:spPr>
            <a:solidFill>
              <a:schemeClr val="bg1"/>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Лист1!$C$2:$C$4</c:f>
              <c:numCache>
                <c:formatCode>0.00%</c:formatCode>
                <c:ptCount val="3"/>
                <c:pt idx="0">
                  <c:v>5.6000000000000001E-2</c:v>
                </c:pt>
                <c:pt idx="1">
                  <c:v>7.0000000000000001E-3</c:v>
                </c:pt>
                <c:pt idx="2" formatCode="0%">
                  <c:v>0.13</c:v>
                </c:pt>
              </c:numCache>
            </c:numRef>
          </c:val>
          <c:extLst>
            <c:ext xmlns:c16="http://schemas.microsoft.com/office/drawing/2014/chart" uri="{C3380CC4-5D6E-409C-BE32-E72D297353CC}">
              <c16:uniqueId val="{00000001-19C9-4735-AB1C-2DC28C8F7172}"/>
            </c:ext>
          </c:extLst>
        </c:ser>
        <c:ser>
          <c:idx val="2"/>
          <c:order val="2"/>
          <c:tx>
            <c:strRef>
              <c:f>Лист1!$D$1</c:f>
              <c:strCache>
                <c:ptCount val="1"/>
                <c:pt idx="0">
                  <c:v>Несколько раз в неделю</c:v>
                </c:pt>
              </c:strCache>
            </c:strRef>
          </c:tx>
          <c:spPr>
            <a:solidFill>
              <a:schemeClr val="accent3"/>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Лист1!$D$2:$D$4</c:f>
              <c:numCache>
                <c:formatCode>0.00%</c:formatCode>
                <c:ptCount val="3"/>
                <c:pt idx="0">
                  <c:v>2.8000000000000001E-2</c:v>
                </c:pt>
                <c:pt idx="1">
                  <c:v>7.2999999999999995E-2</c:v>
                </c:pt>
                <c:pt idx="2">
                  <c:v>8.5000000000000006E-2</c:v>
                </c:pt>
              </c:numCache>
            </c:numRef>
          </c:val>
          <c:extLst>
            <c:ext xmlns:c16="http://schemas.microsoft.com/office/drawing/2014/chart" uri="{C3380CC4-5D6E-409C-BE32-E72D297353CC}">
              <c16:uniqueId val="{00000002-19C9-4735-AB1C-2DC28C8F7172}"/>
            </c:ext>
          </c:extLst>
        </c:ser>
        <c:ser>
          <c:idx val="3"/>
          <c:order val="3"/>
          <c:tx>
            <c:strRef>
              <c:f>Лист1!$E$1</c:f>
              <c:strCache>
                <c:ptCount val="1"/>
                <c:pt idx="0">
                  <c:v>1 раз в неделю</c:v>
                </c:pt>
              </c:strCache>
            </c:strRef>
          </c:tx>
          <c:spPr>
            <a:pattFill prst="pct20">
              <a:fgClr>
                <a:sysClr val="windowText" lastClr="000000"/>
              </a:fgClr>
              <a:bgClr>
                <a:schemeClr val="bg1"/>
              </a:bgClr>
            </a:patt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Лист1!$E$2:$E$4</c:f>
              <c:numCache>
                <c:formatCode>0.00%</c:formatCode>
                <c:ptCount val="3"/>
                <c:pt idx="0">
                  <c:v>5.0000000000000001E-3</c:v>
                </c:pt>
                <c:pt idx="1">
                  <c:v>8.0000000000000002E-3</c:v>
                </c:pt>
                <c:pt idx="2" formatCode="0%">
                  <c:v>0.01</c:v>
                </c:pt>
              </c:numCache>
            </c:numRef>
          </c:val>
          <c:extLst>
            <c:ext xmlns:c16="http://schemas.microsoft.com/office/drawing/2014/chart" uri="{C3380CC4-5D6E-409C-BE32-E72D297353CC}">
              <c16:uniqueId val="{00000003-19C9-4735-AB1C-2DC28C8F7172}"/>
            </c:ext>
          </c:extLst>
        </c:ser>
        <c:ser>
          <c:idx val="4"/>
          <c:order val="4"/>
          <c:tx>
            <c:strRef>
              <c:f>Лист1!$F$1</c:f>
              <c:strCache>
                <c:ptCount val="1"/>
                <c:pt idx="0">
                  <c:v>Реже 1 раза в неделю</c:v>
                </c:pt>
              </c:strCache>
            </c:strRef>
          </c:tx>
          <c:spPr>
            <a:pattFill prst="wdUpDiag">
              <a:fgClr>
                <a:sysClr val="windowText" lastClr="000000"/>
              </a:fgClr>
              <a:bgClr>
                <a:schemeClr val="bg1"/>
              </a:bgClr>
            </a:patt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Лист1!$F$2:$F$4</c:f>
              <c:numCache>
                <c:formatCode>0.00%</c:formatCode>
                <c:ptCount val="3"/>
                <c:pt idx="0">
                  <c:v>1.4E-2</c:v>
                </c:pt>
                <c:pt idx="1">
                  <c:v>7.0000000000000001E-3</c:v>
                </c:pt>
                <c:pt idx="2" formatCode="0%">
                  <c:v>0.05</c:v>
                </c:pt>
              </c:numCache>
            </c:numRef>
          </c:val>
          <c:extLst>
            <c:ext xmlns:c16="http://schemas.microsoft.com/office/drawing/2014/chart" uri="{C3380CC4-5D6E-409C-BE32-E72D297353CC}">
              <c16:uniqueId val="{00000004-19C9-4735-AB1C-2DC28C8F7172}"/>
            </c:ext>
          </c:extLst>
        </c:ser>
        <c:dLbls>
          <c:showLegendKey val="0"/>
          <c:showVal val="0"/>
          <c:showCatName val="0"/>
          <c:showSerName val="0"/>
          <c:showPercent val="0"/>
          <c:showBubbleSize val="0"/>
        </c:dLbls>
        <c:gapWidth val="219"/>
        <c:overlap val="-27"/>
        <c:axId val="284976640"/>
        <c:axId val="284978176"/>
      </c:barChart>
      <c:catAx>
        <c:axId val="28497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4978176"/>
        <c:crosses val="autoZero"/>
        <c:auto val="1"/>
        <c:lblAlgn val="ctr"/>
        <c:lblOffset val="100"/>
        <c:noMultiLvlLbl val="0"/>
      </c:catAx>
      <c:valAx>
        <c:axId val="2849781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497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Развлечение</c:v>
                </c:pt>
              </c:strCache>
            </c:strRef>
          </c:tx>
          <c:spPr>
            <a:solidFill>
              <a:sysClr val="windowText" lastClr="000000"/>
            </a:solid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Лист1!$B$2:$B$4</c:f>
              <c:numCache>
                <c:formatCode>0.00%</c:formatCode>
                <c:ptCount val="3"/>
                <c:pt idx="0">
                  <c:v>0.97899999999999998</c:v>
                </c:pt>
                <c:pt idx="1">
                  <c:v>0.95599999999999996</c:v>
                </c:pt>
                <c:pt idx="2">
                  <c:v>0.93500000000000005</c:v>
                </c:pt>
              </c:numCache>
            </c:numRef>
          </c:val>
          <c:extLst>
            <c:ext xmlns:c16="http://schemas.microsoft.com/office/drawing/2014/chart" uri="{C3380CC4-5D6E-409C-BE32-E72D297353CC}">
              <c16:uniqueId val="{00000000-FA70-4CB4-ADFE-F1D61B039C55}"/>
            </c:ext>
          </c:extLst>
        </c:ser>
        <c:ser>
          <c:idx val="1"/>
          <c:order val="1"/>
          <c:tx>
            <c:strRef>
              <c:f>Лист1!$C$1</c:f>
              <c:strCache>
                <c:ptCount val="1"/>
                <c:pt idx="0">
                  <c:v>Завожу новых друзей</c:v>
                </c:pt>
              </c:strCache>
            </c:strRef>
          </c:tx>
          <c:spPr>
            <a:solidFill>
              <a:schemeClr val="bg1"/>
            </a:solid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Лист1!$C$2:$C$4</c:f>
              <c:numCache>
                <c:formatCode>0%</c:formatCode>
                <c:ptCount val="3"/>
                <c:pt idx="0" formatCode="0.00%">
                  <c:v>0.19600000000000001</c:v>
                </c:pt>
                <c:pt idx="1">
                  <c:v>0.27</c:v>
                </c:pt>
                <c:pt idx="2">
                  <c:v>0.24</c:v>
                </c:pt>
              </c:numCache>
            </c:numRef>
          </c:val>
          <c:extLst>
            <c:ext xmlns:c16="http://schemas.microsoft.com/office/drawing/2014/chart" uri="{C3380CC4-5D6E-409C-BE32-E72D297353CC}">
              <c16:uniqueId val="{00000001-FA70-4CB4-ADFE-F1D61B039C55}"/>
            </c:ext>
          </c:extLst>
        </c:ser>
        <c:ser>
          <c:idx val="2"/>
          <c:order val="2"/>
          <c:tx>
            <c:strRef>
              <c:f>Лист1!$D$1</c:f>
              <c:strCache>
                <c:ptCount val="1"/>
                <c:pt idx="0">
                  <c:v>Общаюсь по работе</c:v>
                </c:pt>
              </c:strCache>
            </c:strRef>
          </c:tx>
          <c:spPr>
            <a:solidFill>
              <a:schemeClr val="accent3"/>
            </a:solid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Лист1!$D$2:$D$4</c:f>
              <c:numCache>
                <c:formatCode>0%</c:formatCode>
                <c:ptCount val="3"/>
                <c:pt idx="0" formatCode="0.00%">
                  <c:v>0.126</c:v>
                </c:pt>
                <c:pt idx="1">
                  <c:v>0.15</c:v>
                </c:pt>
                <c:pt idx="2" formatCode="0.00%">
                  <c:v>0.27500000000000002</c:v>
                </c:pt>
              </c:numCache>
            </c:numRef>
          </c:val>
          <c:extLst>
            <c:ext xmlns:c16="http://schemas.microsoft.com/office/drawing/2014/chart" uri="{C3380CC4-5D6E-409C-BE32-E72D297353CC}">
              <c16:uniqueId val="{00000002-FA70-4CB4-ADFE-F1D61B039C55}"/>
            </c:ext>
          </c:extLst>
        </c:ser>
        <c:ser>
          <c:idx val="3"/>
          <c:order val="3"/>
          <c:tx>
            <c:strRef>
              <c:f>Лист1!$E$1</c:f>
              <c:strCache>
                <c:ptCount val="1"/>
                <c:pt idx="0">
                  <c:v>Общаюсь с однокурсниками</c:v>
                </c:pt>
              </c:strCache>
            </c:strRef>
          </c:tx>
          <c:spPr>
            <a:pattFill prst="pct5">
              <a:fgClr>
                <a:schemeClr val="tx1"/>
              </a:fgClr>
              <a:bgClr>
                <a:schemeClr val="bg1"/>
              </a:bgClr>
            </a:patt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Лист1!$E$2:$E$4</c:f>
              <c:numCache>
                <c:formatCode>0.00%</c:formatCode>
                <c:ptCount val="3"/>
                <c:pt idx="0">
                  <c:v>0.74099999999999999</c:v>
                </c:pt>
                <c:pt idx="1">
                  <c:v>0.84699999999999998</c:v>
                </c:pt>
                <c:pt idx="2">
                  <c:v>0.52500000000000002</c:v>
                </c:pt>
              </c:numCache>
            </c:numRef>
          </c:val>
          <c:extLst>
            <c:ext xmlns:c16="http://schemas.microsoft.com/office/drawing/2014/chart" uri="{C3380CC4-5D6E-409C-BE32-E72D297353CC}">
              <c16:uniqueId val="{00000003-FA70-4CB4-ADFE-F1D61B039C55}"/>
            </c:ext>
          </c:extLst>
        </c:ser>
        <c:ser>
          <c:idx val="4"/>
          <c:order val="4"/>
          <c:tx>
            <c:strRef>
              <c:f>Лист1!$F$1</c:f>
              <c:strCache>
                <c:ptCount val="1"/>
                <c:pt idx="0">
                  <c:v>Ищу единомышленников</c:v>
                </c:pt>
              </c:strCache>
            </c:strRef>
          </c:tx>
          <c:spPr>
            <a:pattFill prst="narHorz">
              <a:fgClr>
                <a:schemeClr val="tx1"/>
              </a:fgClr>
              <a:bgClr>
                <a:schemeClr val="bg1"/>
              </a:bgClr>
            </a:patt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Лист1!$F$2:$F$4</c:f>
              <c:numCache>
                <c:formatCode>0.00%</c:formatCode>
                <c:ptCount val="3"/>
                <c:pt idx="0">
                  <c:v>0.19600000000000001</c:v>
                </c:pt>
                <c:pt idx="1">
                  <c:v>0.39400000000000002</c:v>
                </c:pt>
                <c:pt idx="2" formatCode="0%">
                  <c:v>0.17</c:v>
                </c:pt>
              </c:numCache>
            </c:numRef>
          </c:val>
          <c:extLst>
            <c:ext xmlns:c16="http://schemas.microsoft.com/office/drawing/2014/chart" uri="{C3380CC4-5D6E-409C-BE32-E72D297353CC}">
              <c16:uniqueId val="{00000004-FA70-4CB4-ADFE-F1D61B039C55}"/>
            </c:ext>
          </c:extLst>
        </c:ser>
        <c:ser>
          <c:idx val="5"/>
          <c:order val="5"/>
          <c:tx>
            <c:strRef>
              <c:f>Лист1!$G$1</c:f>
              <c:strCache>
                <c:ptCount val="1"/>
                <c:pt idx="0">
                  <c:v>Собираю информацию об общественно-политической жизни РК</c:v>
                </c:pt>
              </c:strCache>
            </c:strRef>
          </c:tx>
          <c:spPr>
            <a:pattFill prst="ltVert">
              <a:fgClr>
                <a:schemeClr val="tx1"/>
              </a:fgClr>
              <a:bgClr>
                <a:schemeClr val="bg1"/>
              </a:bgClr>
            </a:patt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Лист1!$G$2:$G$4</c:f>
              <c:numCache>
                <c:formatCode>0.00%</c:formatCode>
                <c:ptCount val="3"/>
                <c:pt idx="0">
                  <c:v>0.36399999999999999</c:v>
                </c:pt>
                <c:pt idx="1">
                  <c:v>0.438</c:v>
                </c:pt>
                <c:pt idx="2" formatCode="0%">
                  <c:v>0.34</c:v>
                </c:pt>
              </c:numCache>
            </c:numRef>
          </c:val>
          <c:extLst>
            <c:ext xmlns:c16="http://schemas.microsoft.com/office/drawing/2014/chart" uri="{C3380CC4-5D6E-409C-BE32-E72D297353CC}">
              <c16:uniqueId val="{00000005-FA70-4CB4-ADFE-F1D61B039C55}"/>
            </c:ext>
          </c:extLst>
        </c:ser>
        <c:ser>
          <c:idx val="6"/>
          <c:order val="6"/>
          <c:tx>
            <c:strRef>
              <c:f>Лист1!$H$1</c:f>
              <c:strCache>
                <c:ptCount val="1"/>
                <c:pt idx="0">
                  <c:v>Обучение</c:v>
                </c:pt>
              </c:strCache>
            </c:strRef>
          </c:tx>
          <c:spPr>
            <a:pattFill prst="wdUpDiag">
              <a:fgClr>
                <a:schemeClr val="tx1"/>
              </a:fgClr>
              <a:bgClr>
                <a:schemeClr val="bg1"/>
              </a:bgClr>
            </a:patt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Лист1!$H$2:$H$4</c:f>
              <c:numCache>
                <c:formatCode>0.00%</c:formatCode>
                <c:ptCount val="3"/>
                <c:pt idx="0">
                  <c:v>5.6000000000000001E-2</c:v>
                </c:pt>
                <c:pt idx="1">
                  <c:v>5.8000000000000003E-2</c:v>
                </c:pt>
                <c:pt idx="2">
                  <c:v>5.0000000000000001E-3</c:v>
                </c:pt>
              </c:numCache>
            </c:numRef>
          </c:val>
          <c:extLst>
            <c:ext xmlns:c16="http://schemas.microsoft.com/office/drawing/2014/chart" uri="{C3380CC4-5D6E-409C-BE32-E72D297353CC}">
              <c16:uniqueId val="{00000006-FA70-4CB4-ADFE-F1D61B039C55}"/>
            </c:ext>
          </c:extLst>
        </c:ser>
        <c:ser>
          <c:idx val="7"/>
          <c:order val="7"/>
          <c:tx>
            <c:strRef>
              <c:f>Лист1!$I$1</c:f>
              <c:strCache>
                <c:ptCount val="1"/>
                <c:pt idx="0">
                  <c:v>Читаю и смотрю новости</c:v>
                </c:pt>
              </c:strCache>
            </c:strRef>
          </c:tx>
          <c:spPr>
            <a:pattFill prst="dkHorz">
              <a:fgClr>
                <a:schemeClr val="tx1"/>
              </a:fgClr>
              <a:bgClr>
                <a:schemeClr val="bg1"/>
              </a:bgClr>
            </a:patt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Лист1!$I$2:$I$4</c:f>
              <c:numCache>
                <c:formatCode>0.00%</c:formatCode>
                <c:ptCount val="3"/>
                <c:pt idx="0">
                  <c:v>5.6000000000000001E-2</c:v>
                </c:pt>
                <c:pt idx="1">
                  <c:v>2.9000000000000001E-2</c:v>
                </c:pt>
                <c:pt idx="2" formatCode="0%">
                  <c:v>0.01</c:v>
                </c:pt>
              </c:numCache>
            </c:numRef>
          </c:val>
          <c:extLst>
            <c:ext xmlns:c16="http://schemas.microsoft.com/office/drawing/2014/chart" uri="{C3380CC4-5D6E-409C-BE32-E72D297353CC}">
              <c16:uniqueId val="{00000007-FA70-4CB4-ADFE-F1D61B039C55}"/>
            </c:ext>
          </c:extLst>
        </c:ser>
        <c:ser>
          <c:idx val="8"/>
          <c:order val="8"/>
          <c:tx>
            <c:strRef>
              <c:f>Лист1!$J$1</c:f>
              <c:strCache>
                <c:ptCount val="1"/>
                <c:pt idx="0">
                  <c:v>Общаюсь с родственниками</c:v>
                </c:pt>
              </c:strCache>
            </c:strRef>
          </c:tx>
          <c:spPr>
            <a:solidFill>
              <a:schemeClr val="bg2">
                <a:lumMod val="50000"/>
              </a:schemeClr>
            </a:solidFill>
            <a:ln>
              <a:solidFill>
                <a:schemeClr val="tx1"/>
              </a:solidFill>
            </a:ln>
            <a:effectLst/>
          </c:spPr>
          <c:invertIfNegative val="0"/>
          <c:cat>
            <c:strRef>
              <c:f>Лист1!$A$2:$A$4</c:f>
              <c:strCache>
                <c:ptCount val="3"/>
                <c:pt idx="0">
                  <c:v>2019 год</c:v>
                </c:pt>
                <c:pt idx="1">
                  <c:v>2023 год</c:v>
                </c:pt>
                <c:pt idx="2">
                  <c:v>2025год</c:v>
                </c:pt>
              </c:strCache>
            </c:strRef>
          </c:cat>
          <c:val>
            <c:numRef>
              <c:f>Лист1!$J$2:$J$4</c:f>
              <c:numCache>
                <c:formatCode>0.00%</c:formatCode>
                <c:ptCount val="3"/>
                <c:pt idx="0">
                  <c:v>6.3E-2</c:v>
                </c:pt>
                <c:pt idx="1">
                  <c:v>8.0299999999999996E-2</c:v>
                </c:pt>
                <c:pt idx="2" formatCode="0%">
                  <c:v>0.02</c:v>
                </c:pt>
              </c:numCache>
            </c:numRef>
          </c:val>
          <c:extLst>
            <c:ext xmlns:c16="http://schemas.microsoft.com/office/drawing/2014/chart" uri="{C3380CC4-5D6E-409C-BE32-E72D297353CC}">
              <c16:uniqueId val="{00000008-FA70-4CB4-ADFE-F1D61B039C55}"/>
            </c:ext>
          </c:extLst>
        </c:ser>
        <c:dLbls>
          <c:showLegendKey val="0"/>
          <c:showVal val="0"/>
          <c:showCatName val="0"/>
          <c:showSerName val="0"/>
          <c:showPercent val="0"/>
          <c:showBubbleSize val="0"/>
        </c:dLbls>
        <c:gapWidth val="219"/>
        <c:overlap val="-27"/>
        <c:axId val="285537024"/>
        <c:axId val="285538560"/>
      </c:barChart>
      <c:catAx>
        <c:axId val="28553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5538560"/>
        <c:crosses val="autoZero"/>
        <c:auto val="1"/>
        <c:lblAlgn val="ctr"/>
        <c:lblOffset val="100"/>
        <c:noMultiLvlLbl val="0"/>
      </c:catAx>
      <c:valAx>
        <c:axId val="28553856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553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Да</c:v>
                </c:pt>
              </c:strCache>
            </c:strRef>
          </c:tx>
          <c:spPr>
            <a:solidFill>
              <a:sysClr val="windowText" lastClr="000000"/>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Лист1!$B$2:$B$4</c:f>
              <c:numCache>
                <c:formatCode>0%</c:formatCode>
                <c:ptCount val="3"/>
                <c:pt idx="0">
                  <c:v>0.33</c:v>
                </c:pt>
                <c:pt idx="1">
                  <c:v>0.47</c:v>
                </c:pt>
                <c:pt idx="2" formatCode="0.00%">
                  <c:v>0.17499999999999999</c:v>
                </c:pt>
              </c:numCache>
            </c:numRef>
          </c:val>
          <c:extLst>
            <c:ext xmlns:c16="http://schemas.microsoft.com/office/drawing/2014/chart" uri="{C3380CC4-5D6E-409C-BE32-E72D297353CC}">
              <c16:uniqueId val="{00000000-6869-4A71-B860-4356BF2777D6}"/>
            </c:ext>
          </c:extLst>
        </c:ser>
        <c:ser>
          <c:idx val="1"/>
          <c:order val="1"/>
          <c:tx>
            <c:strRef>
              <c:f>Лист1!$C$1</c:f>
              <c:strCache>
                <c:ptCount val="1"/>
                <c:pt idx="0">
                  <c:v>Нет</c:v>
                </c:pt>
              </c:strCache>
            </c:strRef>
          </c:tx>
          <c:spPr>
            <a:solidFill>
              <a:schemeClr val="bg1"/>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Лист1!$C$2:$C$4</c:f>
              <c:numCache>
                <c:formatCode>0%</c:formatCode>
                <c:ptCount val="3"/>
                <c:pt idx="0">
                  <c:v>0.36</c:v>
                </c:pt>
                <c:pt idx="1">
                  <c:v>0.32</c:v>
                </c:pt>
                <c:pt idx="2" formatCode="0.00%">
                  <c:v>0.63500000000000001</c:v>
                </c:pt>
              </c:numCache>
            </c:numRef>
          </c:val>
          <c:extLst>
            <c:ext xmlns:c16="http://schemas.microsoft.com/office/drawing/2014/chart" uri="{C3380CC4-5D6E-409C-BE32-E72D297353CC}">
              <c16:uniqueId val="{00000001-6869-4A71-B860-4356BF2777D6}"/>
            </c:ext>
          </c:extLst>
        </c:ser>
        <c:ser>
          <c:idx val="2"/>
          <c:order val="2"/>
          <c:tx>
            <c:strRef>
              <c:f>Лист1!$D$1</c:f>
              <c:strCache>
                <c:ptCount val="1"/>
                <c:pt idx="0">
                  <c:v>Затрудняюсь ответить</c:v>
                </c:pt>
              </c:strCache>
            </c:strRef>
          </c:tx>
          <c:spPr>
            <a:solidFill>
              <a:schemeClr val="accent3"/>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Лист1!$D$2:$D$4</c:f>
              <c:numCache>
                <c:formatCode>0%</c:formatCode>
                <c:ptCount val="3"/>
                <c:pt idx="0">
                  <c:v>0.31</c:v>
                </c:pt>
                <c:pt idx="1">
                  <c:v>0.21</c:v>
                </c:pt>
                <c:pt idx="2">
                  <c:v>0.19</c:v>
                </c:pt>
              </c:numCache>
            </c:numRef>
          </c:val>
          <c:extLst>
            <c:ext xmlns:c16="http://schemas.microsoft.com/office/drawing/2014/chart" uri="{C3380CC4-5D6E-409C-BE32-E72D297353CC}">
              <c16:uniqueId val="{00000002-6869-4A71-B860-4356BF2777D6}"/>
            </c:ext>
          </c:extLst>
        </c:ser>
        <c:dLbls>
          <c:showLegendKey val="0"/>
          <c:showVal val="0"/>
          <c:showCatName val="0"/>
          <c:showSerName val="0"/>
          <c:showPercent val="0"/>
          <c:showBubbleSize val="0"/>
        </c:dLbls>
        <c:gapWidth val="219"/>
        <c:overlap val="-27"/>
        <c:axId val="285598464"/>
        <c:axId val="285600000"/>
      </c:barChart>
      <c:catAx>
        <c:axId val="2855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5600000"/>
        <c:crosses val="autoZero"/>
        <c:auto val="1"/>
        <c:lblAlgn val="ctr"/>
        <c:lblOffset val="100"/>
        <c:noMultiLvlLbl val="0"/>
      </c:catAx>
      <c:valAx>
        <c:axId val="285600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559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Какие именно молодежные организации вы знаете?</c:v>
                </c:pt>
              </c:strCache>
            </c:strRef>
          </c:tx>
          <c:spPr>
            <a:solidFill>
              <a:sysClr val="windowText" lastClr="000000"/>
            </a:solidFill>
            <a:ln>
              <a:solidFill>
                <a:schemeClr val="tx1"/>
              </a:solidFill>
            </a:ln>
            <a:effectLst/>
          </c:spPr>
          <c:invertIfNegative val="0"/>
          <c:cat>
            <c:strRef>
              <c:f>Лист1!$A$2:$A$16</c:f>
              <c:strCache>
                <c:ptCount val="15"/>
                <c:pt idx="0">
                  <c:v>Жас Отан</c:v>
                </c:pt>
                <c:pt idx="1">
                  <c:v>AIESEC</c:v>
                </c:pt>
                <c:pt idx="2">
                  <c:v>Лига Волонтеров</c:v>
                </c:pt>
                <c:pt idx="3">
                  <c:v>Жас Улан</c:v>
                </c:pt>
                <c:pt idx="4">
                  <c:v>Нур Отан</c:v>
                </c:pt>
                <c:pt idx="5">
                  <c:v>Мер Юнион</c:v>
                </c:pt>
                <c:pt idx="6">
                  <c:v>Сункар</c:v>
                </c:pt>
                <c:pt idx="7">
                  <c:v>Ротаракт</c:v>
                </c:pt>
                <c:pt idx="8">
                  <c:v>Жастар</c:v>
                </c:pt>
                <c:pt idx="9">
                  <c:v>Жасыл Ел</c:v>
                </c:pt>
                <c:pt idx="10">
                  <c:v>Защитим Кок Жайлау</c:v>
                </c:pt>
                <c:pt idx="11">
                  <c:v>Мы Алматы</c:v>
                </c:pt>
                <c:pt idx="12">
                  <c:v>Жас Тулпар</c:v>
                </c:pt>
                <c:pt idx="13">
                  <c:v>Красный полумесяц</c:v>
                </c:pt>
                <c:pt idx="14">
                  <c:v>Студенческие организации ВУЗов</c:v>
                </c:pt>
              </c:strCache>
            </c:strRef>
          </c:cat>
          <c:val>
            <c:numRef>
              <c:f>Лист1!$B$2:$B$16</c:f>
              <c:numCache>
                <c:formatCode>0%</c:formatCode>
                <c:ptCount val="15"/>
                <c:pt idx="0" formatCode="0.00%">
                  <c:v>0.39500000000000002</c:v>
                </c:pt>
                <c:pt idx="1">
                  <c:v>0.23</c:v>
                </c:pt>
                <c:pt idx="2" formatCode="0.00%">
                  <c:v>0.20799999999999999</c:v>
                </c:pt>
                <c:pt idx="3" formatCode="0.00%">
                  <c:v>8.3000000000000004E-2</c:v>
                </c:pt>
                <c:pt idx="4" formatCode="0.00%">
                  <c:v>6.25E-2</c:v>
                </c:pt>
                <c:pt idx="5" formatCode="0.00%">
                  <c:v>4.2000000000000003E-2</c:v>
                </c:pt>
                <c:pt idx="6" formatCode="0.00%">
                  <c:v>2.0799999999999999E-2</c:v>
                </c:pt>
                <c:pt idx="7" formatCode="0.00%">
                  <c:v>2.0799999999999999E-2</c:v>
                </c:pt>
                <c:pt idx="8" formatCode="0.00%">
                  <c:v>2.0799999999999999E-2</c:v>
                </c:pt>
                <c:pt idx="9" formatCode="0.00%">
                  <c:v>2.0799999999999999E-2</c:v>
                </c:pt>
                <c:pt idx="10" formatCode="0.00%">
                  <c:v>2.0799999999999999E-2</c:v>
                </c:pt>
                <c:pt idx="11" formatCode="0.00%">
                  <c:v>2.0799999999999999E-2</c:v>
                </c:pt>
                <c:pt idx="12" formatCode="0.00%">
                  <c:v>2.0799999999999999E-2</c:v>
                </c:pt>
                <c:pt idx="13" formatCode="0.00%">
                  <c:v>2.0799999999999999E-2</c:v>
                </c:pt>
                <c:pt idx="14" formatCode="0.00%">
                  <c:v>2.0799999999999999E-2</c:v>
                </c:pt>
              </c:numCache>
            </c:numRef>
          </c:val>
          <c:extLst>
            <c:ext xmlns:c16="http://schemas.microsoft.com/office/drawing/2014/chart" uri="{C3380CC4-5D6E-409C-BE32-E72D297353CC}">
              <c16:uniqueId val="{00000000-6052-4435-A8C9-CF83995E4967}"/>
            </c:ext>
          </c:extLst>
        </c:ser>
        <c:dLbls>
          <c:showLegendKey val="0"/>
          <c:showVal val="0"/>
          <c:showCatName val="0"/>
          <c:showSerName val="0"/>
          <c:showPercent val="0"/>
          <c:showBubbleSize val="0"/>
        </c:dLbls>
        <c:gapWidth val="219"/>
        <c:overlap val="-27"/>
        <c:axId val="285718784"/>
        <c:axId val="285732864"/>
      </c:barChart>
      <c:catAx>
        <c:axId val="28571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5732864"/>
        <c:crosses val="autoZero"/>
        <c:auto val="1"/>
        <c:lblAlgn val="ctr"/>
        <c:lblOffset val="100"/>
        <c:noMultiLvlLbl val="0"/>
      </c:catAx>
      <c:valAx>
        <c:axId val="2857328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5718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Какие именно молодежные общественные организации вы знаете?</c:v>
                </c:pt>
              </c:strCache>
            </c:strRef>
          </c:tx>
          <c:spPr>
            <a:solidFill>
              <a:sysClr val="windowText" lastClr="000000"/>
            </a:solidFill>
            <a:ln>
              <a:solidFill>
                <a:schemeClr val="tx1"/>
              </a:solidFill>
            </a:ln>
            <a:effectLst/>
          </c:spPr>
          <c:invertIfNegative val="0"/>
          <c:cat>
            <c:strRef>
              <c:f>Лист1!$A$2:$A$9</c:f>
              <c:strCache>
                <c:ptCount val="8"/>
                <c:pt idx="0">
                  <c:v>Лига Волонтеров</c:v>
                </c:pt>
                <c:pt idx="1">
                  <c:v>Жас Отан</c:v>
                </c:pt>
                <c:pt idx="2">
                  <c:v>Студенческие организации ВУЗов</c:v>
                </c:pt>
                <c:pt idx="3">
                  <c:v>AIESEC</c:v>
                </c:pt>
                <c:pt idx="4">
                  <c:v>Оян, Казахстан</c:v>
                </c:pt>
                <c:pt idx="5">
                  <c:v>Жас Улан</c:v>
                </c:pt>
                <c:pt idx="6">
                  <c:v>Нур Отан</c:v>
                </c:pt>
                <c:pt idx="7">
                  <c:v>Enactus</c:v>
                </c:pt>
              </c:strCache>
            </c:strRef>
          </c:cat>
          <c:val>
            <c:numRef>
              <c:f>Лист1!$B$2:$B$9</c:f>
              <c:numCache>
                <c:formatCode>0.00%</c:formatCode>
                <c:ptCount val="8"/>
                <c:pt idx="0">
                  <c:v>0.32300000000000001</c:v>
                </c:pt>
                <c:pt idx="1">
                  <c:v>0.246</c:v>
                </c:pt>
                <c:pt idx="2">
                  <c:v>0.23100000000000001</c:v>
                </c:pt>
                <c:pt idx="3">
                  <c:v>0.107</c:v>
                </c:pt>
                <c:pt idx="4">
                  <c:v>6.2E-2</c:v>
                </c:pt>
                <c:pt idx="5">
                  <c:v>4.5999999999999999E-2</c:v>
                </c:pt>
                <c:pt idx="6">
                  <c:v>4.5999999999999999E-2</c:v>
                </c:pt>
                <c:pt idx="7">
                  <c:v>3.1E-2</c:v>
                </c:pt>
              </c:numCache>
            </c:numRef>
          </c:val>
          <c:extLst>
            <c:ext xmlns:c16="http://schemas.microsoft.com/office/drawing/2014/chart" uri="{C3380CC4-5D6E-409C-BE32-E72D297353CC}">
              <c16:uniqueId val="{00000000-D2AB-4879-890A-75E1BB3500EF}"/>
            </c:ext>
          </c:extLst>
        </c:ser>
        <c:dLbls>
          <c:showLegendKey val="0"/>
          <c:showVal val="0"/>
          <c:showCatName val="0"/>
          <c:showSerName val="0"/>
          <c:showPercent val="0"/>
          <c:showBubbleSize val="0"/>
        </c:dLbls>
        <c:gapWidth val="219"/>
        <c:overlap val="-27"/>
        <c:axId val="287919488"/>
        <c:axId val="287949952"/>
      </c:barChart>
      <c:catAx>
        <c:axId val="28791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7949952"/>
        <c:crosses val="autoZero"/>
        <c:auto val="1"/>
        <c:lblAlgn val="ctr"/>
        <c:lblOffset val="100"/>
        <c:noMultiLvlLbl val="0"/>
      </c:catAx>
      <c:valAx>
        <c:axId val="287949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7919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Волонтерские организации</c:v>
                </c:pt>
              </c:strCache>
            </c:strRef>
          </c:tx>
          <c:spPr>
            <a:solidFill>
              <a:sysClr val="windowText" lastClr="000000"/>
            </a:solidFill>
            <a:ln>
              <a:solidFill>
                <a:schemeClr val="tx1"/>
              </a:solidFill>
            </a:ln>
            <a:effectLst/>
          </c:spPr>
          <c:invertIfNegative val="0"/>
          <c:cat>
            <c:strRef>
              <c:f>Лист1!$A$2</c:f>
              <c:strCache>
                <c:ptCount val="1"/>
                <c:pt idx="0">
                  <c:v>2023 год</c:v>
                </c:pt>
              </c:strCache>
            </c:strRef>
          </c:cat>
          <c:val>
            <c:numRef>
              <c:f>Лист1!$B$2</c:f>
              <c:numCache>
                <c:formatCode>0%</c:formatCode>
                <c:ptCount val="1"/>
                <c:pt idx="0">
                  <c:v>0.8</c:v>
                </c:pt>
              </c:numCache>
            </c:numRef>
          </c:val>
          <c:extLst>
            <c:ext xmlns:c16="http://schemas.microsoft.com/office/drawing/2014/chart" uri="{C3380CC4-5D6E-409C-BE32-E72D297353CC}">
              <c16:uniqueId val="{00000000-945B-44B5-AE9E-E11E4E6B92D2}"/>
            </c:ext>
          </c:extLst>
        </c:ser>
        <c:ser>
          <c:idx val="1"/>
          <c:order val="1"/>
          <c:tx>
            <c:strRef>
              <c:f>Лист1!$C$1</c:f>
              <c:strCache>
                <c:ptCount val="1"/>
                <c:pt idx="0">
                  <c:v>AIESEC</c:v>
                </c:pt>
              </c:strCache>
            </c:strRef>
          </c:tx>
          <c:spPr>
            <a:solidFill>
              <a:schemeClr val="bg1"/>
            </a:solidFill>
            <a:ln>
              <a:solidFill>
                <a:schemeClr val="tx1"/>
              </a:solidFill>
            </a:ln>
            <a:effectLst/>
          </c:spPr>
          <c:invertIfNegative val="0"/>
          <c:cat>
            <c:strRef>
              <c:f>Лист1!$A$2</c:f>
              <c:strCache>
                <c:ptCount val="1"/>
                <c:pt idx="0">
                  <c:v>2023 год</c:v>
                </c:pt>
              </c:strCache>
            </c:strRef>
          </c:cat>
          <c:val>
            <c:numRef>
              <c:f>Лист1!$C$2</c:f>
              <c:numCache>
                <c:formatCode>0%</c:formatCode>
                <c:ptCount val="1"/>
                <c:pt idx="0">
                  <c:v>0.9</c:v>
                </c:pt>
              </c:numCache>
            </c:numRef>
          </c:val>
          <c:extLst>
            <c:ext xmlns:c16="http://schemas.microsoft.com/office/drawing/2014/chart" uri="{C3380CC4-5D6E-409C-BE32-E72D297353CC}">
              <c16:uniqueId val="{00000001-945B-44B5-AE9E-E11E4E6B92D2}"/>
            </c:ext>
          </c:extLst>
        </c:ser>
        <c:ser>
          <c:idx val="2"/>
          <c:order val="2"/>
          <c:tx>
            <c:strRef>
              <c:f>Лист1!$D$1</c:f>
              <c:strCache>
                <c:ptCount val="1"/>
                <c:pt idx="0">
                  <c:v>ESN</c:v>
                </c:pt>
              </c:strCache>
            </c:strRef>
          </c:tx>
          <c:spPr>
            <a:solidFill>
              <a:schemeClr val="accent3"/>
            </a:solidFill>
            <a:ln>
              <a:solidFill>
                <a:schemeClr val="tx1"/>
              </a:solidFill>
            </a:ln>
            <a:effectLst/>
          </c:spPr>
          <c:invertIfNegative val="0"/>
          <c:cat>
            <c:strRef>
              <c:f>Лист1!$A$2</c:f>
              <c:strCache>
                <c:ptCount val="1"/>
                <c:pt idx="0">
                  <c:v>2023 год</c:v>
                </c:pt>
              </c:strCache>
            </c:strRef>
          </c:cat>
          <c:val>
            <c:numRef>
              <c:f>Лист1!$D$2</c:f>
              <c:numCache>
                <c:formatCode>0%</c:formatCode>
                <c:ptCount val="1"/>
                <c:pt idx="0">
                  <c:v>0.5</c:v>
                </c:pt>
              </c:numCache>
            </c:numRef>
          </c:val>
          <c:extLst>
            <c:ext xmlns:c16="http://schemas.microsoft.com/office/drawing/2014/chart" uri="{C3380CC4-5D6E-409C-BE32-E72D297353CC}">
              <c16:uniqueId val="{00000002-945B-44B5-AE9E-E11E4E6B92D2}"/>
            </c:ext>
          </c:extLst>
        </c:ser>
        <c:ser>
          <c:idx val="3"/>
          <c:order val="3"/>
          <c:tx>
            <c:strRef>
              <c:f>Лист1!$E$1</c:f>
              <c:strCache>
                <c:ptCount val="1"/>
                <c:pt idx="0">
                  <c:v>Жасыл Ел</c:v>
                </c:pt>
              </c:strCache>
            </c:strRef>
          </c:tx>
          <c:spPr>
            <a:pattFill prst="wdUpDiag">
              <a:fgClr>
                <a:schemeClr val="tx1"/>
              </a:fgClr>
              <a:bgClr>
                <a:schemeClr val="bg1"/>
              </a:bgClr>
            </a:pattFill>
            <a:ln>
              <a:solidFill>
                <a:schemeClr val="tx1"/>
              </a:solidFill>
            </a:ln>
            <a:effectLst/>
          </c:spPr>
          <c:invertIfNegative val="0"/>
          <c:cat>
            <c:strRef>
              <c:f>Лист1!$A$2</c:f>
              <c:strCache>
                <c:ptCount val="1"/>
                <c:pt idx="0">
                  <c:v>2023 год</c:v>
                </c:pt>
              </c:strCache>
            </c:strRef>
          </c:cat>
          <c:val>
            <c:numRef>
              <c:f>Лист1!$E$2</c:f>
              <c:numCache>
                <c:formatCode>0%</c:formatCode>
                <c:ptCount val="1"/>
                <c:pt idx="0">
                  <c:v>0.4</c:v>
                </c:pt>
              </c:numCache>
            </c:numRef>
          </c:val>
          <c:extLst>
            <c:ext xmlns:c16="http://schemas.microsoft.com/office/drawing/2014/chart" uri="{C3380CC4-5D6E-409C-BE32-E72D297353CC}">
              <c16:uniqueId val="{00000003-945B-44B5-AE9E-E11E4E6B92D2}"/>
            </c:ext>
          </c:extLst>
        </c:ser>
        <c:ser>
          <c:idx val="4"/>
          <c:order val="4"/>
          <c:tx>
            <c:strRef>
              <c:f>Лист1!$F$1</c:f>
              <c:strCache>
                <c:ptCount val="1"/>
                <c:pt idx="0">
                  <c:v>Жастар Рухы</c:v>
                </c:pt>
              </c:strCache>
            </c:strRef>
          </c:tx>
          <c:spPr>
            <a:pattFill prst="dkHorz">
              <a:fgClr>
                <a:schemeClr val="tx1"/>
              </a:fgClr>
              <a:bgClr>
                <a:schemeClr val="bg1"/>
              </a:bgClr>
            </a:pattFill>
            <a:ln>
              <a:solidFill>
                <a:schemeClr val="tx1"/>
              </a:solidFill>
            </a:ln>
            <a:effectLst/>
          </c:spPr>
          <c:invertIfNegative val="0"/>
          <c:cat>
            <c:strRef>
              <c:f>Лист1!$A$2</c:f>
              <c:strCache>
                <c:ptCount val="1"/>
                <c:pt idx="0">
                  <c:v>2023 год</c:v>
                </c:pt>
              </c:strCache>
            </c:strRef>
          </c:cat>
          <c:val>
            <c:numRef>
              <c:f>Лист1!$F$2</c:f>
              <c:numCache>
                <c:formatCode>0%</c:formatCode>
                <c:ptCount val="1"/>
                <c:pt idx="0">
                  <c:v>0.3</c:v>
                </c:pt>
              </c:numCache>
            </c:numRef>
          </c:val>
          <c:extLst>
            <c:ext xmlns:c16="http://schemas.microsoft.com/office/drawing/2014/chart" uri="{C3380CC4-5D6E-409C-BE32-E72D297353CC}">
              <c16:uniqueId val="{00000004-945B-44B5-AE9E-E11E4E6B92D2}"/>
            </c:ext>
          </c:extLst>
        </c:ser>
        <c:ser>
          <c:idx val="5"/>
          <c:order val="5"/>
          <c:tx>
            <c:strRef>
              <c:f>Лист1!$G$1</c:f>
              <c:strCache>
                <c:ptCount val="1"/>
                <c:pt idx="0">
                  <c:v>Мист</c:v>
                </c:pt>
              </c:strCache>
            </c:strRef>
          </c:tx>
          <c:spPr>
            <a:pattFill prst="lgCheck">
              <a:fgClr>
                <a:schemeClr val="tx1"/>
              </a:fgClr>
              <a:bgClr>
                <a:schemeClr val="bg1"/>
              </a:bgClr>
            </a:pattFill>
            <a:ln>
              <a:solidFill>
                <a:schemeClr val="tx1"/>
              </a:solidFill>
            </a:ln>
            <a:effectLst/>
          </c:spPr>
          <c:invertIfNegative val="0"/>
          <c:cat>
            <c:strRef>
              <c:f>Лист1!$A$2</c:f>
              <c:strCache>
                <c:ptCount val="1"/>
                <c:pt idx="0">
                  <c:v>2023 год</c:v>
                </c:pt>
              </c:strCache>
            </c:strRef>
          </c:cat>
          <c:val>
            <c:numRef>
              <c:f>Лист1!$G$2</c:f>
              <c:numCache>
                <c:formatCode>0%</c:formatCode>
                <c:ptCount val="1"/>
                <c:pt idx="0">
                  <c:v>0.2</c:v>
                </c:pt>
              </c:numCache>
            </c:numRef>
          </c:val>
          <c:extLst>
            <c:ext xmlns:c16="http://schemas.microsoft.com/office/drawing/2014/chart" uri="{C3380CC4-5D6E-409C-BE32-E72D297353CC}">
              <c16:uniqueId val="{00000005-945B-44B5-AE9E-E11E4E6B92D2}"/>
            </c:ext>
          </c:extLst>
        </c:ser>
        <c:dLbls>
          <c:showLegendKey val="0"/>
          <c:showVal val="0"/>
          <c:showCatName val="0"/>
          <c:showSerName val="0"/>
          <c:showPercent val="0"/>
          <c:showBubbleSize val="0"/>
        </c:dLbls>
        <c:gapWidth val="219"/>
        <c:overlap val="-27"/>
        <c:axId val="288479872"/>
        <c:axId val="288555392"/>
      </c:barChart>
      <c:catAx>
        <c:axId val="288479872"/>
        <c:scaling>
          <c:orientation val="minMax"/>
        </c:scaling>
        <c:delete val="1"/>
        <c:axPos val="b"/>
        <c:numFmt formatCode="General" sourceLinked="1"/>
        <c:majorTickMark val="none"/>
        <c:minorTickMark val="none"/>
        <c:tickLblPos val="nextTo"/>
        <c:crossAx val="288555392"/>
        <c:crosses val="autoZero"/>
        <c:auto val="1"/>
        <c:lblAlgn val="ctr"/>
        <c:lblOffset val="100"/>
        <c:noMultiLvlLbl val="0"/>
      </c:catAx>
      <c:valAx>
        <c:axId val="288555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847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Да</c:v>
                </c:pt>
              </c:strCache>
            </c:strRef>
          </c:tx>
          <c:spPr>
            <a:solidFill>
              <a:sysClr val="windowText" lastClr="000000"/>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Лист1!$B$2:$B$4</c:f>
              <c:numCache>
                <c:formatCode>0.00%</c:formatCode>
                <c:ptCount val="3"/>
                <c:pt idx="0">
                  <c:v>0.126</c:v>
                </c:pt>
                <c:pt idx="1">
                  <c:v>0.25600000000000001</c:v>
                </c:pt>
                <c:pt idx="2">
                  <c:v>9.5000000000000001E-2</c:v>
                </c:pt>
              </c:numCache>
            </c:numRef>
          </c:val>
          <c:extLst>
            <c:ext xmlns:c16="http://schemas.microsoft.com/office/drawing/2014/chart" uri="{C3380CC4-5D6E-409C-BE32-E72D297353CC}">
              <c16:uniqueId val="{00000000-94EF-4D52-A546-9F73FB54CF6C}"/>
            </c:ext>
          </c:extLst>
        </c:ser>
        <c:ser>
          <c:idx val="1"/>
          <c:order val="1"/>
          <c:tx>
            <c:strRef>
              <c:f>Лист1!$C$1</c:f>
              <c:strCache>
                <c:ptCount val="1"/>
                <c:pt idx="0">
                  <c:v>Нет</c:v>
                </c:pt>
              </c:strCache>
            </c:strRef>
          </c:tx>
          <c:spPr>
            <a:solidFill>
              <a:schemeClr val="bg1"/>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Лист1!$C$2:$C$4</c:f>
              <c:numCache>
                <c:formatCode>0.00%</c:formatCode>
                <c:ptCount val="3"/>
                <c:pt idx="0">
                  <c:v>0.874</c:v>
                </c:pt>
                <c:pt idx="1">
                  <c:v>0.74399999999999999</c:v>
                </c:pt>
                <c:pt idx="2" formatCode="0%">
                  <c:v>0.81</c:v>
                </c:pt>
              </c:numCache>
            </c:numRef>
          </c:val>
          <c:extLst>
            <c:ext xmlns:c16="http://schemas.microsoft.com/office/drawing/2014/chart" uri="{C3380CC4-5D6E-409C-BE32-E72D297353CC}">
              <c16:uniqueId val="{00000001-94EF-4D52-A546-9F73FB54CF6C}"/>
            </c:ext>
          </c:extLst>
        </c:ser>
        <c:dLbls>
          <c:showLegendKey val="0"/>
          <c:showVal val="0"/>
          <c:showCatName val="0"/>
          <c:showSerName val="0"/>
          <c:showPercent val="0"/>
          <c:showBubbleSize val="0"/>
        </c:dLbls>
        <c:gapWidth val="219"/>
        <c:overlap val="-27"/>
        <c:axId val="288634752"/>
        <c:axId val="288636288"/>
      </c:barChart>
      <c:catAx>
        <c:axId val="28863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8636288"/>
        <c:crosses val="autoZero"/>
        <c:auto val="1"/>
        <c:lblAlgn val="ctr"/>
        <c:lblOffset val="100"/>
        <c:noMultiLvlLbl val="0"/>
      </c:catAx>
      <c:valAx>
        <c:axId val="2886362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863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Лист1!$B$1</c:f>
              <c:strCache>
                <c:ptCount val="1"/>
                <c:pt idx="0">
                  <c:v>Доступ к мобильному Интернету в Казахстане</c:v>
                </c:pt>
              </c:strCache>
            </c:strRef>
          </c:tx>
          <c:spPr>
            <a:ln w="28575" cap="rnd">
              <a:solidFill>
                <a:schemeClr val="tx1"/>
              </a:solidFill>
              <a:round/>
            </a:ln>
            <a:effectLst/>
          </c:spPr>
          <c:marker>
            <c:symbol val="circle"/>
            <c:size val="5"/>
            <c:spPr>
              <a:solidFill>
                <a:schemeClr val="tx1"/>
              </a:solidFill>
              <a:ln w="9525">
                <a:solidFill>
                  <a:schemeClr val="accent1"/>
                </a:solidFill>
              </a:ln>
              <a:effectLst/>
            </c:spPr>
          </c:marker>
          <c:cat>
            <c:numRef>
              <c:f>Лист1!$A$2:$A$16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Лист1!$B$2:$B$16</c:f>
              <c:numCache>
                <c:formatCode>General</c:formatCode>
                <c:ptCount val="15"/>
                <c:pt idx="0">
                  <c:v>1330730</c:v>
                </c:pt>
                <c:pt idx="1">
                  <c:v>2447000</c:v>
                </c:pt>
                <c:pt idx="2">
                  <c:v>5398000</c:v>
                </c:pt>
                <c:pt idx="3">
                  <c:v>7775737</c:v>
                </c:pt>
                <c:pt idx="4">
                  <c:v>12322676</c:v>
                </c:pt>
                <c:pt idx="5">
                  <c:v>14910573</c:v>
                </c:pt>
                <c:pt idx="6">
                  <c:v>17063200</c:v>
                </c:pt>
                <c:pt idx="7">
                  <c:v>19402600</c:v>
                </c:pt>
                <c:pt idx="8">
                  <c:v>25240800</c:v>
                </c:pt>
                <c:pt idx="9">
                  <c:v>30235400</c:v>
                </c:pt>
                <c:pt idx="10">
                  <c:v>30364900</c:v>
                </c:pt>
                <c:pt idx="11">
                  <c:v>28595600</c:v>
                </c:pt>
                <c:pt idx="12">
                  <c:v>26309300</c:v>
                </c:pt>
                <c:pt idx="13">
                  <c:v>25534800</c:v>
                </c:pt>
                <c:pt idx="14">
                  <c:v>26473000</c:v>
                </c:pt>
              </c:numCache>
            </c:numRef>
          </c:val>
          <c:smooth val="0"/>
          <c:extLst>
            <c:ext xmlns:c16="http://schemas.microsoft.com/office/drawing/2014/chart" uri="{C3380CC4-5D6E-409C-BE32-E72D297353CC}">
              <c16:uniqueId val="{00000000-3A84-487C-BA29-9FE5A0BFF072}"/>
            </c:ext>
          </c:extLst>
        </c:ser>
        <c:dLbls>
          <c:showLegendKey val="0"/>
          <c:showVal val="0"/>
          <c:showCatName val="0"/>
          <c:showSerName val="0"/>
          <c:showPercent val="0"/>
          <c:showBubbleSize val="0"/>
        </c:dLbls>
        <c:marker val="1"/>
        <c:smooth val="0"/>
        <c:axId val="143384960"/>
        <c:axId val="143386880"/>
      </c:lineChart>
      <c:catAx>
        <c:axId val="14338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386880"/>
        <c:crosses val="autoZero"/>
        <c:auto val="1"/>
        <c:lblAlgn val="ctr"/>
        <c:lblOffset val="100"/>
        <c:noMultiLvlLbl val="0"/>
      </c:catAx>
      <c:valAx>
        <c:axId val="14338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38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Укажите название организации, на страничку которой вы подписаны в социальных медиа.</c:v>
                </c:pt>
              </c:strCache>
            </c:strRef>
          </c:tx>
          <c:spPr>
            <a:solidFill>
              <a:sysClr val="windowText" lastClr="000000"/>
            </a:solidFill>
            <a:ln>
              <a:solidFill>
                <a:schemeClr val="tx1"/>
              </a:solidFill>
            </a:ln>
            <a:effectLst/>
          </c:spPr>
          <c:invertIfNegative val="0"/>
          <c:cat>
            <c:strRef>
              <c:f>Лист1!$A$2:$A$6</c:f>
              <c:strCache>
                <c:ptCount val="5"/>
                <c:pt idx="0">
                  <c:v>Лига Волонтеров</c:v>
                </c:pt>
                <c:pt idx="1">
                  <c:v>Студенческие организации ВУЗов</c:v>
                </c:pt>
                <c:pt idx="2">
                  <c:v>AIESEC</c:v>
                </c:pt>
                <c:pt idx="3">
                  <c:v>Жас Отан</c:v>
                </c:pt>
                <c:pt idx="4">
                  <c:v>Мер Юнион</c:v>
                </c:pt>
              </c:strCache>
            </c:strRef>
          </c:cat>
          <c:val>
            <c:numRef>
              <c:f>Лист1!$B$2:$B$6</c:f>
              <c:numCache>
                <c:formatCode>0%</c:formatCode>
                <c:ptCount val="5"/>
                <c:pt idx="0">
                  <c:v>0.68</c:v>
                </c:pt>
                <c:pt idx="1">
                  <c:v>0.44</c:v>
                </c:pt>
                <c:pt idx="2">
                  <c:v>0.4</c:v>
                </c:pt>
                <c:pt idx="3">
                  <c:v>0.36</c:v>
                </c:pt>
                <c:pt idx="4">
                  <c:v>0.36</c:v>
                </c:pt>
              </c:numCache>
            </c:numRef>
          </c:val>
          <c:extLst>
            <c:ext xmlns:c16="http://schemas.microsoft.com/office/drawing/2014/chart" uri="{C3380CC4-5D6E-409C-BE32-E72D297353CC}">
              <c16:uniqueId val="{00000000-14AC-467C-8601-9A50C38EA1B6}"/>
            </c:ext>
          </c:extLst>
        </c:ser>
        <c:dLbls>
          <c:showLegendKey val="0"/>
          <c:showVal val="0"/>
          <c:showCatName val="0"/>
          <c:showSerName val="0"/>
          <c:showPercent val="0"/>
          <c:showBubbleSize val="0"/>
        </c:dLbls>
        <c:gapWidth val="219"/>
        <c:overlap val="-27"/>
        <c:axId val="288644480"/>
        <c:axId val="285623424"/>
      </c:barChart>
      <c:catAx>
        <c:axId val="28864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5623424"/>
        <c:crosses val="autoZero"/>
        <c:auto val="1"/>
        <c:lblAlgn val="ctr"/>
        <c:lblOffset val="100"/>
        <c:noMultiLvlLbl val="0"/>
      </c:catAx>
      <c:valAx>
        <c:axId val="285623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864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Укажите название организации, на страничку которой вы подписаны в социальных медиа.</c:v>
                </c:pt>
              </c:strCache>
            </c:strRef>
          </c:tx>
          <c:spPr>
            <a:solidFill>
              <a:sysClr val="windowText" lastClr="000000"/>
            </a:solidFill>
            <a:ln>
              <a:solidFill>
                <a:schemeClr val="tx1"/>
              </a:solidFill>
            </a:ln>
            <a:effectLst/>
          </c:spPr>
          <c:invertIfNegative val="0"/>
          <c:cat>
            <c:strRef>
              <c:f>Лист1!$A$2:$A$16</c:f>
              <c:strCache>
                <c:ptCount val="15"/>
                <c:pt idx="0">
                  <c:v>Студенческие организации ВУЗов</c:v>
                </c:pt>
                <c:pt idx="1">
                  <c:v>Лига Волонтеров</c:v>
                </c:pt>
                <c:pt idx="2">
                  <c:v>Asar-ume</c:v>
                </c:pt>
                <c:pt idx="3">
                  <c:v>Ozgeris</c:v>
                </c:pt>
                <c:pt idx="4">
                  <c:v>AIESEC</c:v>
                </c:pt>
                <c:pt idx="5">
                  <c:v>Enactus</c:v>
                </c:pt>
                <c:pt idx="6">
                  <c:v>Жас Отан</c:v>
                </c:pt>
                <c:pt idx="7">
                  <c:v>Оян, Кз</c:v>
                </c:pt>
                <c:pt idx="8">
                  <c:v>Комек</c:v>
                </c:pt>
                <c:pt idx="9">
                  <c:v>Тазалык</c:v>
                </c:pt>
                <c:pt idx="10">
                  <c:v>Almacon</c:v>
                </c:pt>
                <c:pt idx="11">
                  <c:v>Almaty Eco</c:v>
                </c:pt>
                <c:pt idx="12">
                  <c:v>Hola</c:v>
                </c:pt>
                <c:pt idx="13">
                  <c:v>Qaz Volunteer</c:v>
                </c:pt>
                <c:pt idx="14">
                  <c:v>Qaz Society</c:v>
                </c:pt>
              </c:strCache>
            </c:strRef>
          </c:cat>
          <c:val>
            <c:numRef>
              <c:f>Лист1!$B$2:$B$16</c:f>
              <c:numCache>
                <c:formatCode>0%</c:formatCode>
                <c:ptCount val="15"/>
                <c:pt idx="0">
                  <c:v>0.4</c:v>
                </c:pt>
                <c:pt idx="1">
                  <c:v>0.2</c:v>
                </c:pt>
                <c:pt idx="2" formatCode="0.00%">
                  <c:v>8.5999999999999993E-2</c:v>
                </c:pt>
                <c:pt idx="3" formatCode="0.00%">
                  <c:v>8.5999999999999993E-2</c:v>
                </c:pt>
                <c:pt idx="4" formatCode="0.00%">
                  <c:v>5.7000000000000002E-2</c:v>
                </c:pt>
                <c:pt idx="5" formatCode="0.00%">
                  <c:v>2.9000000000000001E-2</c:v>
                </c:pt>
                <c:pt idx="6" formatCode="0.00%">
                  <c:v>2.9000000000000001E-2</c:v>
                </c:pt>
                <c:pt idx="7" formatCode="0.00%">
                  <c:v>2.9000000000000001E-2</c:v>
                </c:pt>
                <c:pt idx="8" formatCode="0.00%">
                  <c:v>2.9000000000000001E-2</c:v>
                </c:pt>
                <c:pt idx="9" formatCode="0.00%">
                  <c:v>2.9000000000000001E-2</c:v>
                </c:pt>
                <c:pt idx="10" formatCode="0.00%">
                  <c:v>2.9000000000000001E-2</c:v>
                </c:pt>
                <c:pt idx="11" formatCode="0.00%">
                  <c:v>2.9000000000000001E-2</c:v>
                </c:pt>
                <c:pt idx="12" formatCode="0.00%">
                  <c:v>2.9000000000000001E-2</c:v>
                </c:pt>
                <c:pt idx="13" formatCode="0.00%">
                  <c:v>2.9000000000000001E-2</c:v>
                </c:pt>
                <c:pt idx="14" formatCode="0.00%">
                  <c:v>2.9000000000000001E-2</c:v>
                </c:pt>
              </c:numCache>
            </c:numRef>
          </c:val>
          <c:extLst>
            <c:ext xmlns:c16="http://schemas.microsoft.com/office/drawing/2014/chart" uri="{C3380CC4-5D6E-409C-BE32-E72D297353CC}">
              <c16:uniqueId val="{00000000-54B1-4D96-956F-6EFC609A7EB3}"/>
            </c:ext>
          </c:extLst>
        </c:ser>
        <c:dLbls>
          <c:showLegendKey val="0"/>
          <c:showVal val="0"/>
          <c:showCatName val="0"/>
          <c:showSerName val="0"/>
          <c:showPercent val="0"/>
          <c:showBubbleSize val="0"/>
        </c:dLbls>
        <c:gapWidth val="219"/>
        <c:overlap val="-27"/>
        <c:axId val="289010432"/>
        <c:axId val="289011968"/>
      </c:barChart>
      <c:catAx>
        <c:axId val="28901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9011968"/>
        <c:crosses val="autoZero"/>
        <c:auto val="1"/>
        <c:lblAlgn val="ctr"/>
        <c:lblOffset val="100"/>
        <c:noMultiLvlLbl val="0"/>
      </c:catAx>
      <c:valAx>
        <c:axId val="289011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9010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AIESEC</c:v>
                </c:pt>
              </c:strCache>
            </c:strRef>
          </c:tx>
          <c:spPr>
            <a:solidFill>
              <a:schemeClr val="tx1"/>
            </a:solidFill>
            <a:ln>
              <a:solidFill>
                <a:schemeClr val="tx1"/>
              </a:solidFill>
            </a:ln>
            <a:effectLst/>
          </c:spPr>
          <c:invertIfNegative val="0"/>
          <c:cat>
            <c:strRef>
              <c:f>Лист1!$A$2</c:f>
              <c:strCache>
                <c:ptCount val="1"/>
                <c:pt idx="0">
                  <c:v>Категория 1</c:v>
                </c:pt>
              </c:strCache>
            </c:strRef>
          </c:cat>
          <c:val>
            <c:numRef>
              <c:f>Лист1!$B$2</c:f>
              <c:numCache>
                <c:formatCode>0%</c:formatCode>
                <c:ptCount val="1"/>
                <c:pt idx="0">
                  <c:v>0.6</c:v>
                </c:pt>
              </c:numCache>
            </c:numRef>
          </c:val>
          <c:extLst>
            <c:ext xmlns:c16="http://schemas.microsoft.com/office/drawing/2014/chart" uri="{C3380CC4-5D6E-409C-BE32-E72D297353CC}">
              <c16:uniqueId val="{00000000-F276-48EB-BFA7-3E901C9C029D}"/>
            </c:ext>
          </c:extLst>
        </c:ser>
        <c:ser>
          <c:idx val="1"/>
          <c:order val="1"/>
          <c:tx>
            <c:strRef>
              <c:f>Лист1!$C$1</c:f>
              <c:strCache>
                <c:ptCount val="1"/>
                <c:pt idx="0">
                  <c:v>ESN</c:v>
                </c:pt>
              </c:strCache>
            </c:strRef>
          </c:tx>
          <c:spPr>
            <a:solidFill>
              <a:schemeClr val="bg1"/>
            </a:solidFill>
            <a:ln>
              <a:solidFill>
                <a:schemeClr val="tx1"/>
              </a:solidFill>
            </a:ln>
            <a:effectLst/>
          </c:spPr>
          <c:invertIfNegative val="0"/>
          <c:cat>
            <c:strRef>
              <c:f>Лист1!$A$2</c:f>
              <c:strCache>
                <c:ptCount val="1"/>
                <c:pt idx="0">
                  <c:v>Категория 1</c:v>
                </c:pt>
              </c:strCache>
            </c:strRef>
          </c:cat>
          <c:val>
            <c:numRef>
              <c:f>Лист1!$C$2</c:f>
              <c:numCache>
                <c:formatCode>0%</c:formatCode>
                <c:ptCount val="1"/>
                <c:pt idx="0">
                  <c:v>0.45</c:v>
                </c:pt>
              </c:numCache>
            </c:numRef>
          </c:val>
          <c:extLst>
            <c:ext xmlns:c16="http://schemas.microsoft.com/office/drawing/2014/chart" uri="{C3380CC4-5D6E-409C-BE32-E72D297353CC}">
              <c16:uniqueId val="{00000001-F276-48EB-BFA7-3E901C9C029D}"/>
            </c:ext>
          </c:extLst>
        </c:ser>
        <c:ser>
          <c:idx val="2"/>
          <c:order val="2"/>
          <c:tx>
            <c:strRef>
              <c:f>Лист1!$D$1</c:f>
              <c:strCache>
                <c:ptCount val="1"/>
                <c:pt idx="0">
                  <c:v>UNICEF</c:v>
                </c:pt>
              </c:strCache>
            </c:strRef>
          </c:tx>
          <c:spPr>
            <a:solidFill>
              <a:schemeClr val="accent3"/>
            </a:solidFill>
            <a:ln>
              <a:solidFill>
                <a:schemeClr val="tx1"/>
              </a:solidFill>
            </a:ln>
            <a:effectLst/>
          </c:spPr>
          <c:invertIfNegative val="0"/>
          <c:cat>
            <c:strRef>
              <c:f>Лист1!$A$2</c:f>
              <c:strCache>
                <c:ptCount val="1"/>
                <c:pt idx="0">
                  <c:v>Категория 1</c:v>
                </c:pt>
              </c:strCache>
            </c:strRef>
          </c:cat>
          <c:val>
            <c:numRef>
              <c:f>Лист1!$D$2</c:f>
              <c:numCache>
                <c:formatCode>0%</c:formatCode>
                <c:ptCount val="1"/>
                <c:pt idx="0">
                  <c:v>0.14000000000000001</c:v>
                </c:pt>
              </c:numCache>
            </c:numRef>
          </c:val>
          <c:extLst>
            <c:ext xmlns:c16="http://schemas.microsoft.com/office/drawing/2014/chart" uri="{C3380CC4-5D6E-409C-BE32-E72D297353CC}">
              <c16:uniqueId val="{00000002-F276-48EB-BFA7-3E901C9C029D}"/>
            </c:ext>
          </c:extLst>
        </c:ser>
        <c:ser>
          <c:idx val="3"/>
          <c:order val="3"/>
          <c:tx>
            <c:strRef>
              <c:f>Лист1!$E$1</c:f>
              <c:strCache>
                <c:ptCount val="1"/>
                <c:pt idx="0">
                  <c:v>Жасыл Ел</c:v>
                </c:pt>
              </c:strCache>
            </c:strRef>
          </c:tx>
          <c:spPr>
            <a:pattFill prst="wdUpDiag">
              <a:fgClr>
                <a:schemeClr val="tx1"/>
              </a:fgClr>
              <a:bgClr>
                <a:schemeClr val="bg1"/>
              </a:bgClr>
            </a:pattFill>
            <a:ln>
              <a:solidFill>
                <a:schemeClr val="tx1"/>
              </a:solidFill>
            </a:ln>
            <a:effectLst/>
          </c:spPr>
          <c:invertIfNegative val="0"/>
          <c:cat>
            <c:strRef>
              <c:f>Лист1!$A$2</c:f>
              <c:strCache>
                <c:ptCount val="1"/>
                <c:pt idx="0">
                  <c:v>Категория 1</c:v>
                </c:pt>
              </c:strCache>
            </c:strRef>
          </c:cat>
          <c:val>
            <c:numRef>
              <c:f>Лист1!$E$2</c:f>
              <c:numCache>
                <c:formatCode>0%</c:formatCode>
                <c:ptCount val="1"/>
                <c:pt idx="0">
                  <c:v>0.13</c:v>
                </c:pt>
              </c:numCache>
            </c:numRef>
          </c:val>
          <c:extLst>
            <c:ext xmlns:c16="http://schemas.microsoft.com/office/drawing/2014/chart" uri="{C3380CC4-5D6E-409C-BE32-E72D297353CC}">
              <c16:uniqueId val="{00000003-F276-48EB-BFA7-3E901C9C029D}"/>
            </c:ext>
          </c:extLst>
        </c:ser>
        <c:ser>
          <c:idx val="4"/>
          <c:order val="4"/>
          <c:tx>
            <c:strRef>
              <c:f>Лист1!$F$1</c:f>
              <c:strCache>
                <c:ptCount val="1"/>
                <c:pt idx="0">
                  <c:v>Feminita</c:v>
                </c:pt>
              </c:strCache>
            </c:strRef>
          </c:tx>
          <c:spPr>
            <a:pattFill prst="ltHorz">
              <a:fgClr>
                <a:schemeClr val="tx1"/>
              </a:fgClr>
              <a:bgClr>
                <a:schemeClr val="bg1"/>
              </a:bgClr>
            </a:pattFill>
            <a:ln>
              <a:solidFill>
                <a:schemeClr val="tx1"/>
              </a:solidFill>
            </a:ln>
            <a:effectLst/>
          </c:spPr>
          <c:invertIfNegative val="0"/>
          <c:cat>
            <c:strRef>
              <c:f>Лист1!$A$2</c:f>
              <c:strCache>
                <c:ptCount val="1"/>
                <c:pt idx="0">
                  <c:v>Категория 1</c:v>
                </c:pt>
              </c:strCache>
            </c:strRef>
          </c:cat>
          <c:val>
            <c:numRef>
              <c:f>Лист1!$F$2</c:f>
              <c:numCache>
                <c:formatCode>0%</c:formatCode>
                <c:ptCount val="1"/>
                <c:pt idx="0">
                  <c:v>0.11</c:v>
                </c:pt>
              </c:numCache>
            </c:numRef>
          </c:val>
          <c:extLst>
            <c:ext xmlns:c16="http://schemas.microsoft.com/office/drawing/2014/chart" uri="{C3380CC4-5D6E-409C-BE32-E72D297353CC}">
              <c16:uniqueId val="{00000004-F276-48EB-BFA7-3E901C9C029D}"/>
            </c:ext>
          </c:extLst>
        </c:ser>
        <c:ser>
          <c:idx val="5"/>
          <c:order val="5"/>
          <c:tx>
            <c:strRef>
              <c:f>Лист1!$G$1</c:f>
              <c:strCache>
                <c:ptCount val="1"/>
                <c:pt idx="0">
                  <c:v>Волонтёрские организации</c:v>
                </c:pt>
              </c:strCache>
            </c:strRef>
          </c:tx>
          <c:spPr>
            <a:pattFill prst="ltVert">
              <a:fgClr>
                <a:schemeClr val="tx1"/>
              </a:fgClr>
              <a:bgClr>
                <a:schemeClr val="bg1"/>
              </a:bgClr>
            </a:pattFill>
            <a:ln>
              <a:solidFill>
                <a:schemeClr val="tx1"/>
              </a:solidFill>
            </a:ln>
            <a:effectLst/>
          </c:spPr>
          <c:invertIfNegative val="0"/>
          <c:cat>
            <c:strRef>
              <c:f>Лист1!$A$2</c:f>
              <c:strCache>
                <c:ptCount val="1"/>
                <c:pt idx="0">
                  <c:v>Категория 1</c:v>
                </c:pt>
              </c:strCache>
            </c:strRef>
          </c:cat>
          <c:val>
            <c:numRef>
              <c:f>Лист1!$G$2</c:f>
              <c:numCache>
                <c:formatCode>0%</c:formatCode>
                <c:ptCount val="1"/>
                <c:pt idx="0">
                  <c:v>0.08</c:v>
                </c:pt>
              </c:numCache>
            </c:numRef>
          </c:val>
          <c:extLst>
            <c:ext xmlns:c16="http://schemas.microsoft.com/office/drawing/2014/chart" uri="{C3380CC4-5D6E-409C-BE32-E72D297353CC}">
              <c16:uniqueId val="{00000005-F276-48EB-BFA7-3E901C9C029D}"/>
            </c:ext>
          </c:extLst>
        </c:ser>
        <c:dLbls>
          <c:showLegendKey val="0"/>
          <c:showVal val="0"/>
          <c:showCatName val="0"/>
          <c:showSerName val="0"/>
          <c:showPercent val="0"/>
          <c:showBubbleSize val="0"/>
        </c:dLbls>
        <c:gapWidth val="219"/>
        <c:overlap val="-27"/>
        <c:axId val="288997376"/>
        <c:axId val="288998912"/>
      </c:barChart>
      <c:catAx>
        <c:axId val="288997376"/>
        <c:scaling>
          <c:orientation val="minMax"/>
        </c:scaling>
        <c:delete val="1"/>
        <c:axPos val="b"/>
        <c:numFmt formatCode="General" sourceLinked="1"/>
        <c:majorTickMark val="none"/>
        <c:minorTickMark val="none"/>
        <c:tickLblPos val="nextTo"/>
        <c:crossAx val="288998912"/>
        <c:crosses val="autoZero"/>
        <c:auto val="1"/>
        <c:lblAlgn val="ctr"/>
        <c:lblOffset val="100"/>
        <c:noMultiLvlLbl val="0"/>
      </c:catAx>
      <c:valAx>
        <c:axId val="288998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899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Да</c:v>
                </c:pt>
              </c:strCache>
            </c:strRef>
          </c:tx>
          <c:spPr>
            <a:solidFill>
              <a:schemeClr val="tx1"/>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Лист1!$B$2:$B$4</c:f>
              <c:numCache>
                <c:formatCode>0%</c:formatCode>
                <c:ptCount val="3"/>
                <c:pt idx="0" formatCode="0.00%">
                  <c:v>0.1875</c:v>
                </c:pt>
                <c:pt idx="1">
                  <c:v>0.27</c:v>
                </c:pt>
                <c:pt idx="2">
                  <c:v>0.1</c:v>
                </c:pt>
              </c:numCache>
            </c:numRef>
          </c:val>
          <c:extLst>
            <c:ext xmlns:c16="http://schemas.microsoft.com/office/drawing/2014/chart" uri="{C3380CC4-5D6E-409C-BE32-E72D297353CC}">
              <c16:uniqueId val="{00000000-A32F-4A26-A407-E3F216B36081}"/>
            </c:ext>
          </c:extLst>
        </c:ser>
        <c:ser>
          <c:idx val="1"/>
          <c:order val="1"/>
          <c:tx>
            <c:strRef>
              <c:f>Лист1!$C$1</c:f>
              <c:strCache>
                <c:ptCount val="1"/>
                <c:pt idx="0">
                  <c:v>Нет</c:v>
                </c:pt>
              </c:strCache>
            </c:strRef>
          </c:tx>
          <c:spPr>
            <a:solidFill>
              <a:schemeClr val="bg1"/>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Лист1!$C$2:$C$4</c:f>
              <c:numCache>
                <c:formatCode>0%</c:formatCode>
                <c:ptCount val="3"/>
                <c:pt idx="0" formatCode="0.00%">
                  <c:v>0.8125</c:v>
                </c:pt>
                <c:pt idx="1">
                  <c:v>0.73</c:v>
                </c:pt>
                <c:pt idx="2">
                  <c:v>0.9</c:v>
                </c:pt>
              </c:numCache>
            </c:numRef>
          </c:val>
          <c:extLst>
            <c:ext xmlns:c16="http://schemas.microsoft.com/office/drawing/2014/chart" uri="{C3380CC4-5D6E-409C-BE32-E72D297353CC}">
              <c16:uniqueId val="{00000001-A32F-4A26-A407-E3F216B36081}"/>
            </c:ext>
          </c:extLst>
        </c:ser>
        <c:dLbls>
          <c:showLegendKey val="0"/>
          <c:showVal val="0"/>
          <c:showCatName val="0"/>
          <c:showSerName val="0"/>
          <c:showPercent val="0"/>
          <c:showBubbleSize val="0"/>
        </c:dLbls>
        <c:gapWidth val="219"/>
        <c:overlap val="-27"/>
        <c:axId val="290044544"/>
        <c:axId val="290070912"/>
      </c:barChart>
      <c:catAx>
        <c:axId val="29004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0070912"/>
        <c:crosses val="autoZero"/>
        <c:auto val="1"/>
        <c:lblAlgn val="ctr"/>
        <c:lblOffset val="100"/>
        <c:noMultiLvlLbl val="0"/>
      </c:catAx>
      <c:valAx>
        <c:axId val="290070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004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Укажите название организации, в деятельности которой вы принимали участие</c:v>
                </c:pt>
              </c:strCache>
            </c:strRef>
          </c:tx>
          <c:spPr>
            <a:solidFill>
              <a:sysClr val="windowText" lastClr="000000"/>
            </a:solidFill>
            <a:ln>
              <a:solidFill>
                <a:schemeClr val="tx1"/>
              </a:solidFill>
            </a:ln>
            <a:effectLst/>
          </c:spPr>
          <c:invertIfNegative val="0"/>
          <c:cat>
            <c:strRef>
              <c:f>Лист1!$A$2:$A$12</c:f>
              <c:strCache>
                <c:ptCount val="11"/>
                <c:pt idx="0">
                  <c:v>Лига Волонтеров</c:v>
                </c:pt>
                <c:pt idx="1">
                  <c:v>Жас Улан</c:v>
                </c:pt>
                <c:pt idx="2">
                  <c:v>AIESEC</c:v>
                </c:pt>
                <c:pt idx="3">
                  <c:v>Студенческие организации ВУЗов</c:v>
                </c:pt>
                <c:pt idx="4">
                  <c:v>Жас Отан</c:v>
                </c:pt>
                <c:pt idx="5">
                  <c:v>Красный Полумесяц</c:v>
                </c:pt>
                <c:pt idx="6">
                  <c:v>МыАлматы</c:v>
                </c:pt>
                <c:pt idx="7">
                  <c:v>МерЮнион</c:v>
                </c:pt>
                <c:pt idx="8">
                  <c:v>Жас Урпак</c:v>
                </c:pt>
                <c:pt idx="9">
                  <c:v>Таза Кала</c:v>
                </c:pt>
                <c:pt idx="10">
                  <c:v>Миск</c:v>
                </c:pt>
              </c:strCache>
            </c:strRef>
          </c:cat>
          <c:val>
            <c:numRef>
              <c:f>Лист1!$B$2:$B$12</c:f>
              <c:numCache>
                <c:formatCode>0.00%</c:formatCode>
                <c:ptCount val="11"/>
                <c:pt idx="0">
                  <c:v>0.316</c:v>
                </c:pt>
                <c:pt idx="1">
                  <c:v>0.21049999999999999</c:v>
                </c:pt>
                <c:pt idx="2">
                  <c:v>0.158</c:v>
                </c:pt>
                <c:pt idx="3">
                  <c:v>0.158</c:v>
                </c:pt>
                <c:pt idx="4">
                  <c:v>0.105</c:v>
                </c:pt>
                <c:pt idx="5">
                  <c:v>5.2999999999999999E-2</c:v>
                </c:pt>
                <c:pt idx="6">
                  <c:v>5.2999999999999999E-2</c:v>
                </c:pt>
                <c:pt idx="7">
                  <c:v>5.2999999999999999E-2</c:v>
                </c:pt>
                <c:pt idx="8">
                  <c:v>5.2999999999999999E-2</c:v>
                </c:pt>
                <c:pt idx="9">
                  <c:v>5.2999999999999999E-2</c:v>
                </c:pt>
                <c:pt idx="10">
                  <c:v>5.2999999999999999E-2</c:v>
                </c:pt>
              </c:numCache>
            </c:numRef>
          </c:val>
          <c:extLst>
            <c:ext xmlns:c16="http://schemas.microsoft.com/office/drawing/2014/chart" uri="{C3380CC4-5D6E-409C-BE32-E72D297353CC}">
              <c16:uniqueId val="{00000000-7F74-497F-A34B-39F8300F52D5}"/>
            </c:ext>
          </c:extLst>
        </c:ser>
        <c:dLbls>
          <c:showLegendKey val="0"/>
          <c:showVal val="0"/>
          <c:showCatName val="0"/>
          <c:showSerName val="0"/>
          <c:showPercent val="0"/>
          <c:showBubbleSize val="0"/>
        </c:dLbls>
        <c:gapWidth val="219"/>
        <c:overlap val="-27"/>
        <c:axId val="289661312"/>
        <c:axId val="289662848"/>
      </c:barChart>
      <c:catAx>
        <c:axId val="28966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9662848"/>
        <c:crosses val="autoZero"/>
        <c:auto val="1"/>
        <c:lblAlgn val="ctr"/>
        <c:lblOffset val="100"/>
        <c:noMultiLvlLbl val="0"/>
      </c:catAx>
      <c:valAx>
        <c:axId val="2896628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9661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Укажите название организации, в деятельности которой вы принимали участие</c:v>
                </c:pt>
              </c:strCache>
            </c:strRef>
          </c:tx>
          <c:spPr>
            <a:solidFill>
              <a:sysClr val="windowText" lastClr="000000"/>
            </a:solidFill>
            <a:ln>
              <a:solidFill>
                <a:schemeClr val="tx1"/>
              </a:solidFill>
            </a:ln>
            <a:effectLst/>
          </c:spPr>
          <c:invertIfNegative val="0"/>
          <c:cat>
            <c:strRef>
              <c:f>Лист1!$A$2:$A$9</c:f>
              <c:strCache>
                <c:ptCount val="8"/>
                <c:pt idx="0">
                  <c:v>Лига Волонтеров</c:v>
                </c:pt>
                <c:pt idx="1">
                  <c:v>Студенческие организации ВУЗов</c:v>
                </c:pt>
                <c:pt idx="2">
                  <c:v>Volunteer.kz</c:v>
                </c:pt>
                <c:pt idx="3">
                  <c:v>Synergy Global Forum Volunteer</c:v>
                </c:pt>
                <c:pt idx="4">
                  <c:v>Комек</c:v>
                </c:pt>
                <c:pt idx="5">
                  <c:v>AIESEC</c:v>
                </c:pt>
                <c:pt idx="6">
                  <c:v>Тазалык</c:v>
                </c:pt>
                <c:pt idx="7">
                  <c:v>Жас Отан</c:v>
                </c:pt>
              </c:strCache>
            </c:strRef>
          </c:cat>
          <c:val>
            <c:numRef>
              <c:f>Лист1!$B$2:$B$9</c:f>
              <c:numCache>
                <c:formatCode>0.00%</c:formatCode>
                <c:ptCount val="8"/>
                <c:pt idx="0">
                  <c:v>0.40500000000000003</c:v>
                </c:pt>
                <c:pt idx="1">
                  <c:v>0.2702</c:v>
                </c:pt>
                <c:pt idx="2">
                  <c:v>0.2432</c:v>
                </c:pt>
                <c:pt idx="3">
                  <c:v>0.13500000000000001</c:v>
                </c:pt>
                <c:pt idx="4">
                  <c:v>8.1100000000000005E-2</c:v>
                </c:pt>
                <c:pt idx="5">
                  <c:v>8.1100000000000005E-2</c:v>
                </c:pt>
                <c:pt idx="6">
                  <c:v>5.4100000000000002E-2</c:v>
                </c:pt>
                <c:pt idx="7">
                  <c:v>2.7E-2</c:v>
                </c:pt>
              </c:numCache>
            </c:numRef>
          </c:val>
          <c:extLst>
            <c:ext xmlns:c16="http://schemas.microsoft.com/office/drawing/2014/chart" uri="{C3380CC4-5D6E-409C-BE32-E72D297353CC}">
              <c16:uniqueId val="{00000000-4A8A-4698-9746-345351E42A42}"/>
            </c:ext>
          </c:extLst>
        </c:ser>
        <c:dLbls>
          <c:showLegendKey val="0"/>
          <c:showVal val="0"/>
          <c:showCatName val="0"/>
          <c:showSerName val="0"/>
          <c:showPercent val="0"/>
          <c:showBubbleSize val="0"/>
        </c:dLbls>
        <c:gapWidth val="219"/>
        <c:overlap val="-27"/>
        <c:axId val="290555008"/>
        <c:axId val="290556544"/>
      </c:barChart>
      <c:catAx>
        <c:axId val="29055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90556544"/>
        <c:crosses val="autoZero"/>
        <c:auto val="1"/>
        <c:lblAlgn val="ctr"/>
        <c:lblOffset val="100"/>
        <c:noMultiLvlLbl val="0"/>
      </c:catAx>
      <c:valAx>
        <c:axId val="290556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9055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Волонтерская деятельность (неинституционализированная)</c:v>
                </c:pt>
              </c:strCache>
            </c:strRef>
          </c:tx>
          <c:spPr>
            <a:solidFill>
              <a:sysClr val="windowText" lastClr="000000"/>
            </a:solidFill>
            <a:ln>
              <a:solidFill>
                <a:schemeClr val="tx1"/>
              </a:solidFill>
            </a:ln>
            <a:effectLst/>
          </c:spPr>
          <c:invertIfNegative val="0"/>
          <c:cat>
            <c:strRef>
              <c:f>Лист1!$A$2</c:f>
              <c:strCache>
                <c:ptCount val="1"/>
                <c:pt idx="0">
                  <c:v>Категория 1</c:v>
                </c:pt>
              </c:strCache>
            </c:strRef>
          </c:cat>
          <c:val>
            <c:numRef>
              <c:f>Лист1!$B$2</c:f>
              <c:numCache>
                <c:formatCode>0%</c:formatCode>
                <c:ptCount val="1"/>
                <c:pt idx="0">
                  <c:v>0.65</c:v>
                </c:pt>
              </c:numCache>
            </c:numRef>
          </c:val>
          <c:extLst>
            <c:ext xmlns:c16="http://schemas.microsoft.com/office/drawing/2014/chart" uri="{C3380CC4-5D6E-409C-BE32-E72D297353CC}">
              <c16:uniqueId val="{00000000-9059-438D-B145-A101F39ADC5E}"/>
            </c:ext>
          </c:extLst>
        </c:ser>
        <c:ser>
          <c:idx val="1"/>
          <c:order val="1"/>
          <c:tx>
            <c:strRef>
              <c:f>Лист1!$C$1</c:f>
              <c:strCache>
                <c:ptCount val="1"/>
                <c:pt idx="0">
                  <c:v>ESN</c:v>
                </c:pt>
              </c:strCache>
            </c:strRef>
          </c:tx>
          <c:spPr>
            <a:solidFill>
              <a:schemeClr val="bg1"/>
            </a:solidFill>
            <a:ln>
              <a:solidFill>
                <a:schemeClr val="tx1"/>
              </a:solidFill>
            </a:ln>
            <a:effectLst/>
          </c:spPr>
          <c:invertIfNegative val="0"/>
          <c:cat>
            <c:strRef>
              <c:f>Лист1!$A$2</c:f>
              <c:strCache>
                <c:ptCount val="1"/>
                <c:pt idx="0">
                  <c:v>Категория 1</c:v>
                </c:pt>
              </c:strCache>
            </c:strRef>
          </c:cat>
          <c:val>
            <c:numRef>
              <c:f>Лист1!$C$2</c:f>
              <c:numCache>
                <c:formatCode>0%</c:formatCode>
                <c:ptCount val="1"/>
                <c:pt idx="0">
                  <c:v>0.45</c:v>
                </c:pt>
              </c:numCache>
            </c:numRef>
          </c:val>
          <c:extLst>
            <c:ext xmlns:c16="http://schemas.microsoft.com/office/drawing/2014/chart" uri="{C3380CC4-5D6E-409C-BE32-E72D297353CC}">
              <c16:uniqueId val="{00000001-9059-438D-B145-A101F39ADC5E}"/>
            </c:ext>
          </c:extLst>
        </c:ser>
        <c:ser>
          <c:idx val="2"/>
          <c:order val="2"/>
          <c:tx>
            <c:strRef>
              <c:f>Лист1!$D$1</c:f>
              <c:strCache>
                <c:ptCount val="1"/>
                <c:pt idx="0">
                  <c:v>AIESEC</c:v>
                </c:pt>
              </c:strCache>
            </c:strRef>
          </c:tx>
          <c:spPr>
            <a:solidFill>
              <a:schemeClr val="accent3"/>
            </a:solidFill>
            <a:ln>
              <a:solidFill>
                <a:schemeClr val="tx1"/>
              </a:solidFill>
            </a:ln>
            <a:effectLst/>
          </c:spPr>
          <c:invertIfNegative val="0"/>
          <c:cat>
            <c:strRef>
              <c:f>Лист1!$A$2</c:f>
              <c:strCache>
                <c:ptCount val="1"/>
                <c:pt idx="0">
                  <c:v>Категория 1</c:v>
                </c:pt>
              </c:strCache>
            </c:strRef>
          </c:cat>
          <c:val>
            <c:numRef>
              <c:f>Лист1!$D$2</c:f>
              <c:numCache>
                <c:formatCode>0%</c:formatCode>
                <c:ptCount val="1"/>
                <c:pt idx="0">
                  <c:v>0.2</c:v>
                </c:pt>
              </c:numCache>
            </c:numRef>
          </c:val>
          <c:extLst>
            <c:ext xmlns:c16="http://schemas.microsoft.com/office/drawing/2014/chart" uri="{C3380CC4-5D6E-409C-BE32-E72D297353CC}">
              <c16:uniqueId val="{00000002-9059-438D-B145-A101F39ADC5E}"/>
            </c:ext>
          </c:extLst>
        </c:ser>
        <c:ser>
          <c:idx val="3"/>
          <c:order val="3"/>
          <c:tx>
            <c:strRef>
              <c:f>Лист1!$E$1</c:f>
              <c:strCache>
                <c:ptCount val="1"/>
                <c:pt idx="0">
                  <c:v>Жана адамдар</c:v>
                </c:pt>
              </c:strCache>
            </c:strRef>
          </c:tx>
          <c:spPr>
            <a:pattFill prst="wdUpDiag">
              <a:fgClr>
                <a:schemeClr val="tx1"/>
              </a:fgClr>
              <a:bgClr>
                <a:schemeClr val="bg1"/>
              </a:bgClr>
            </a:pattFill>
            <a:ln>
              <a:solidFill>
                <a:schemeClr val="tx1"/>
              </a:solidFill>
            </a:ln>
            <a:effectLst/>
          </c:spPr>
          <c:invertIfNegative val="0"/>
          <c:cat>
            <c:strRef>
              <c:f>Лист1!$A$2</c:f>
              <c:strCache>
                <c:ptCount val="1"/>
                <c:pt idx="0">
                  <c:v>Категория 1</c:v>
                </c:pt>
              </c:strCache>
            </c:strRef>
          </c:cat>
          <c:val>
            <c:numRef>
              <c:f>Лист1!$E$2</c:f>
              <c:numCache>
                <c:formatCode>0%</c:formatCode>
                <c:ptCount val="1"/>
                <c:pt idx="0">
                  <c:v>0.15</c:v>
                </c:pt>
              </c:numCache>
            </c:numRef>
          </c:val>
          <c:extLst>
            <c:ext xmlns:c16="http://schemas.microsoft.com/office/drawing/2014/chart" uri="{C3380CC4-5D6E-409C-BE32-E72D297353CC}">
              <c16:uniqueId val="{00000003-9059-438D-B145-A101F39ADC5E}"/>
            </c:ext>
          </c:extLst>
        </c:ser>
        <c:ser>
          <c:idx val="4"/>
          <c:order val="4"/>
          <c:tx>
            <c:strRef>
              <c:f>Лист1!$F$1</c:f>
              <c:strCache>
                <c:ptCount val="1"/>
                <c:pt idx="0">
                  <c:v>Лига Волонтеров</c:v>
                </c:pt>
              </c:strCache>
            </c:strRef>
          </c:tx>
          <c:spPr>
            <a:pattFill prst="ltVert">
              <a:fgClr>
                <a:schemeClr val="tx1"/>
              </a:fgClr>
              <a:bgClr>
                <a:schemeClr val="bg1"/>
              </a:bgClr>
            </a:pattFill>
            <a:ln>
              <a:solidFill>
                <a:schemeClr val="tx1">
                  <a:alpha val="93000"/>
                </a:schemeClr>
              </a:solidFill>
            </a:ln>
            <a:effectLst/>
          </c:spPr>
          <c:invertIfNegative val="0"/>
          <c:cat>
            <c:strRef>
              <c:f>Лист1!$A$2</c:f>
              <c:strCache>
                <c:ptCount val="1"/>
                <c:pt idx="0">
                  <c:v>Категория 1</c:v>
                </c:pt>
              </c:strCache>
            </c:strRef>
          </c:cat>
          <c:val>
            <c:numRef>
              <c:f>Лист1!$F$2</c:f>
              <c:numCache>
                <c:formatCode>0%</c:formatCode>
                <c:ptCount val="1"/>
                <c:pt idx="0">
                  <c:v>0.1</c:v>
                </c:pt>
              </c:numCache>
            </c:numRef>
          </c:val>
          <c:extLst>
            <c:ext xmlns:c16="http://schemas.microsoft.com/office/drawing/2014/chart" uri="{C3380CC4-5D6E-409C-BE32-E72D297353CC}">
              <c16:uniqueId val="{00000004-9059-438D-B145-A101F39ADC5E}"/>
            </c:ext>
          </c:extLst>
        </c:ser>
        <c:ser>
          <c:idx val="5"/>
          <c:order val="5"/>
          <c:tx>
            <c:strRef>
              <c:f>Лист1!$G$1</c:f>
              <c:strCache>
                <c:ptCount val="1"/>
                <c:pt idx="0">
                  <c:v>Другие волонтёрские организации</c:v>
                </c:pt>
              </c:strCache>
            </c:strRef>
          </c:tx>
          <c:spPr>
            <a:pattFill prst="ltHorz">
              <a:fgClr>
                <a:schemeClr val="tx1"/>
              </a:fgClr>
              <a:bgClr>
                <a:schemeClr val="bg1"/>
              </a:bgClr>
            </a:pattFill>
            <a:ln>
              <a:solidFill>
                <a:schemeClr val="tx1"/>
              </a:solidFill>
            </a:ln>
            <a:effectLst/>
          </c:spPr>
          <c:invertIfNegative val="0"/>
          <c:cat>
            <c:strRef>
              <c:f>Лист1!$A$2</c:f>
              <c:strCache>
                <c:ptCount val="1"/>
                <c:pt idx="0">
                  <c:v>Категория 1</c:v>
                </c:pt>
              </c:strCache>
            </c:strRef>
          </c:cat>
          <c:val>
            <c:numRef>
              <c:f>Лист1!$G$2</c:f>
              <c:numCache>
                <c:formatCode>0%</c:formatCode>
                <c:ptCount val="1"/>
                <c:pt idx="0">
                  <c:v>0.05</c:v>
                </c:pt>
              </c:numCache>
            </c:numRef>
          </c:val>
          <c:extLst>
            <c:ext xmlns:c16="http://schemas.microsoft.com/office/drawing/2014/chart" uri="{C3380CC4-5D6E-409C-BE32-E72D297353CC}">
              <c16:uniqueId val="{00000005-9059-438D-B145-A101F39ADC5E}"/>
            </c:ext>
          </c:extLst>
        </c:ser>
        <c:ser>
          <c:idx val="6"/>
          <c:order val="6"/>
          <c:tx>
            <c:strRef>
              <c:f>Лист1!$H$1</c:f>
              <c:strCache>
                <c:ptCount val="1"/>
              </c:strCache>
            </c:strRef>
          </c:tx>
          <c:spPr>
            <a:solidFill>
              <a:schemeClr val="accent1">
                <a:lumMod val="60000"/>
              </a:schemeClr>
            </a:solidFill>
            <a:ln>
              <a:noFill/>
            </a:ln>
            <a:effectLst/>
          </c:spPr>
          <c:invertIfNegative val="0"/>
          <c:cat>
            <c:strRef>
              <c:f>Лист1!$A$2</c:f>
              <c:strCache>
                <c:ptCount val="1"/>
                <c:pt idx="0">
                  <c:v>Категория 1</c:v>
                </c:pt>
              </c:strCache>
            </c:strRef>
          </c:cat>
          <c:val>
            <c:numRef>
              <c:f>Лист1!$H$2</c:f>
              <c:numCache>
                <c:formatCode>General</c:formatCode>
                <c:ptCount val="1"/>
              </c:numCache>
            </c:numRef>
          </c:val>
          <c:extLst>
            <c:ext xmlns:c16="http://schemas.microsoft.com/office/drawing/2014/chart" uri="{C3380CC4-5D6E-409C-BE32-E72D297353CC}">
              <c16:uniqueId val="{00000006-9059-438D-B145-A101F39ADC5E}"/>
            </c:ext>
          </c:extLst>
        </c:ser>
        <c:ser>
          <c:idx val="7"/>
          <c:order val="7"/>
          <c:tx>
            <c:strRef>
              <c:f>Лист1!$I$1</c:f>
              <c:strCache>
                <c:ptCount val="1"/>
              </c:strCache>
            </c:strRef>
          </c:tx>
          <c:spPr>
            <a:solidFill>
              <a:schemeClr val="accent2">
                <a:lumMod val="60000"/>
              </a:schemeClr>
            </a:solidFill>
            <a:ln>
              <a:noFill/>
            </a:ln>
            <a:effectLst/>
          </c:spPr>
          <c:invertIfNegative val="0"/>
          <c:cat>
            <c:strRef>
              <c:f>Лист1!$A$2</c:f>
              <c:strCache>
                <c:ptCount val="1"/>
                <c:pt idx="0">
                  <c:v>Категория 1</c:v>
                </c:pt>
              </c:strCache>
            </c:strRef>
          </c:cat>
          <c:val>
            <c:numRef>
              <c:f>Лист1!$I$2</c:f>
              <c:numCache>
                <c:formatCode>General</c:formatCode>
                <c:ptCount val="1"/>
              </c:numCache>
            </c:numRef>
          </c:val>
          <c:extLst>
            <c:ext xmlns:c16="http://schemas.microsoft.com/office/drawing/2014/chart" uri="{C3380CC4-5D6E-409C-BE32-E72D297353CC}">
              <c16:uniqueId val="{00000007-9059-438D-B145-A101F39ADC5E}"/>
            </c:ext>
          </c:extLst>
        </c:ser>
        <c:dLbls>
          <c:showLegendKey val="0"/>
          <c:showVal val="0"/>
          <c:showCatName val="0"/>
          <c:showSerName val="0"/>
          <c:showPercent val="0"/>
          <c:showBubbleSize val="0"/>
        </c:dLbls>
        <c:gapWidth val="219"/>
        <c:overlap val="-27"/>
        <c:axId val="290630272"/>
        <c:axId val="290722176"/>
      </c:barChart>
      <c:catAx>
        <c:axId val="290630272"/>
        <c:scaling>
          <c:orientation val="minMax"/>
        </c:scaling>
        <c:delete val="1"/>
        <c:axPos val="b"/>
        <c:numFmt formatCode="General" sourceLinked="1"/>
        <c:majorTickMark val="none"/>
        <c:minorTickMark val="none"/>
        <c:tickLblPos val="nextTo"/>
        <c:crossAx val="290722176"/>
        <c:crosses val="autoZero"/>
        <c:auto val="1"/>
        <c:lblAlgn val="ctr"/>
        <c:lblOffset val="100"/>
        <c:noMultiLvlLbl val="0"/>
      </c:catAx>
      <c:valAx>
        <c:axId val="290722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0630272"/>
        <c:crosses val="autoZero"/>
        <c:crossBetween val="between"/>
      </c:valAx>
      <c:spPr>
        <a:noFill/>
        <a:ln>
          <a:noFill/>
        </a:ln>
        <a:effectLst/>
      </c:spPr>
    </c:plotArea>
    <c:legend>
      <c:legendPos val="b"/>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Укажите причину, по которой вы захотели познакомиться с членами организации лично</c:v>
                </c:pt>
              </c:strCache>
            </c:strRef>
          </c:tx>
          <c:dPt>
            <c:idx val="0"/>
            <c:bubble3D val="0"/>
            <c:spPr>
              <a:solidFill>
                <a:sysClr val="windowText" lastClr="000000"/>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DDF-40C3-93F1-A9E43F650068}"/>
              </c:ext>
            </c:extLst>
          </c:dPt>
          <c:dPt>
            <c:idx val="1"/>
            <c:bubble3D val="0"/>
            <c:spPr>
              <a:solidFill>
                <a:schemeClr val="bg1"/>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DDF-40C3-93F1-A9E43F650068}"/>
              </c:ext>
            </c:extLst>
          </c:dPt>
          <c:dPt>
            <c:idx val="2"/>
            <c:bubble3D val="0"/>
            <c:spPr>
              <a:solidFill>
                <a:schemeClr val="accent3"/>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DDF-40C3-93F1-A9E43F650068}"/>
              </c:ext>
            </c:extLst>
          </c:dPt>
          <c:dPt>
            <c:idx val="3"/>
            <c:bubble3D val="0"/>
            <c:spPr>
              <a:pattFill prst="dotGrid">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DDF-40C3-93F1-A9E43F650068}"/>
              </c:ext>
            </c:extLst>
          </c:dPt>
          <c:dPt>
            <c:idx val="4"/>
            <c:bubble3D val="0"/>
            <c:spPr>
              <a:pattFill prst="plaid">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3DDF-40C3-93F1-A9E43F650068}"/>
              </c:ext>
            </c:extLst>
          </c:dPt>
          <c:dPt>
            <c:idx val="5"/>
            <c:bubble3D val="0"/>
            <c:spPr>
              <a:pattFill prst="wdUpDiag">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3DDF-40C3-93F1-A9E43F650068}"/>
              </c:ext>
            </c:extLst>
          </c:dPt>
          <c:dPt>
            <c:idx val="6"/>
            <c:bubble3D val="0"/>
            <c:spPr>
              <a:pattFill prst="zigZag">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3DDF-40C3-93F1-A9E43F650068}"/>
              </c:ext>
            </c:extLst>
          </c:dPt>
          <c:dLbls>
            <c:dLbl>
              <c:idx val="1"/>
              <c:tx>
                <c:rich>
                  <a:bodyPr/>
                  <a:lstStyle/>
                  <a:p>
                    <a:fld id="{3756AC4B-E66C-4DD1-91E6-DF8EC2F6FD7F}"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DDF-40C3-93F1-A9E43F6500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Новые знакомства</c:v>
                </c:pt>
                <c:pt idx="1">
                  <c:v>Опыт</c:v>
                </c:pt>
                <c:pt idx="2">
                  <c:v>Интерес</c:v>
                </c:pt>
                <c:pt idx="3">
                  <c:v>Общение</c:v>
                </c:pt>
                <c:pt idx="4">
                  <c:v>Новые знания</c:v>
                </c:pt>
                <c:pt idx="5">
                  <c:v>Желание участвовать</c:v>
                </c:pt>
                <c:pt idx="6">
                  <c:v>Улучшить деятельность организации</c:v>
                </c:pt>
              </c:strCache>
            </c:strRef>
          </c:cat>
          <c:val>
            <c:numRef>
              <c:f>Лист1!$B$2:$B$8</c:f>
              <c:numCache>
                <c:formatCode>0%</c:formatCode>
                <c:ptCount val="7"/>
                <c:pt idx="0">
                  <c:v>0.43</c:v>
                </c:pt>
                <c:pt idx="1">
                  <c:v>0.25</c:v>
                </c:pt>
                <c:pt idx="2">
                  <c:v>0.25</c:v>
                </c:pt>
                <c:pt idx="3">
                  <c:v>0.21</c:v>
                </c:pt>
                <c:pt idx="4">
                  <c:v>0.2</c:v>
                </c:pt>
                <c:pt idx="5">
                  <c:v>0.18</c:v>
                </c:pt>
                <c:pt idx="6">
                  <c:v>0.1</c:v>
                </c:pt>
              </c:numCache>
            </c:numRef>
          </c:val>
          <c:extLst>
            <c:ext xmlns:c16="http://schemas.microsoft.com/office/drawing/2014/chart" uri="{C3380CC4-5D6E-409C-BE32-E72D297353CC}">
              <c16:uniqueId val="{0000000E-3DDF-40C3-93F1-A9E43F65006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Укажите причину, по которой вам НЕ захотелось познакомиться с другими членами организации лично</c:v>
                </c:pt>
              </c:strCache>
            </c:strRef>
          </c:tx>
          <c:dPt>
            <c:idx val="0"/>
            <c:bubble3D val="0"/>
            <c:spPr>
              <a:solidFill>
                <a:sysClr val="windowText" lastClr="000000"/>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1FF-431D-BCD3-53CBD2D6ACDE}"/>
              </c:ext>
            </c:extLst>
          </c:dPt>
          <c:dPt>
            <c:idx val="1"/>
            <c:bubble3D val="0"/>
            <c:spPr>
              <a:solidFill>
                <a:schemeClr val="bg1"/>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1FF-431D-BCD3-53CBD2D6ACDE}"/>
              </c:ext>
            </c:extLst>
          </c:dPt>
          <c:dPt>
            <c:idx val="2"/>
            <c:bubble3D val="0"/>
            <c:spPr>
              <a:solidFill>
                <a:schemeClr val="accent3"/>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1FF-431D-BCD3-53CBD2D6ACDE}"/>
              </c:ext>
            </c:extLst>
          </c:dPt>
          <c:dPt>
            <c:idx val="3"/>
            <c:bubble3D val="0"/>
            <c:spPr>
              <a:pattFill prst="wdDnDiag">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1FF-431D-BCD3-53CBD2D6ACDE}"/>
              </c:ext>
            </c:extLst>
          </c:dPt>
          <c:dLbls>
            <c:dLbl>
              <c:idx val="1"/>
              <c:tx>
                <c:rich>
                  <a:bodyPr/>
                  <a:lstStyle/>
                  <a:p>
                    <a:fld id="{81ADF77C-47AC-45B7-8111-EA3255C448E4}"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1FF-431D-BCD3-53CBD2D6ACD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Неинтересно</c:v>
                </c:pt>
                <c:pt idx="1">
                  <c:v>Нет заинтересованности в новых знакомых</c:v>
                </c:pt>
                <c:pt idx="2">
                  <c:v>Много неоплачиваемой работы</c:v>
                </c:pt>
                <c:pt idx="3">
                  <c:v>Вынужденное участие</c:v>
                </c:pt>
              </c:strCache>
            </c:strRef>
          </c:cat>
          <c:val>
            <c:numRef>
              <c:f>Лист1!$B$2:$B$5</c:f>
              <c:numCache>
                <c:formatCode>0%</c:formatCode>
                <c:ptCount val="4"/>
                <c:pt idx="0">
                  <c:v>0.8</c:v>
                </c:pt>
                <c:pt idx="1">
                  <c:v>0.4</c:v>
                </c:pt>
                <c:pt idx="2">
                  <c:v>0.1</c:v>
                </c:pt>
                <c:pt idx="3">
                  <c:v>0.1</c:v>
                </c:pt>
              </c:numCache>
            </c:numRef>
          </c:val>
          <c:extLst>
            <c:ext xmlns:c16="http://schemas.microsoft.com/office/drawing/2014/chart" uri="{C3380CC4-5D6E-409C-BE32-E72D297353CC}">
              <c16:uniqueId val="{00000008-51FF-431D-BCD3-53CBD2D6ACD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Захотелось ли вам познакомиться с другими членами организации лично?</c:v>
                </c:pt>
              </c:strCache>
            </c:strRef>
          </c:tx>
          <c:dPt>
            <c:idx val="0"/>
            <c:bubble3D val="0"/>
            <c:spPr>
              <a:solidFill>
                <a:sysClr val="windowText" lastClr="000000"/>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F08-4B4D-957D-F16A259F0F7B}"/>
              </c:ext>
            </c:extLst>
          </c:dPt>
          <c:dPt>
            <c:idx val="1"/>
            <c:bubble3D val="0"/>
            <c:spPr>
              <a:solidFill>
                <a:schemeClr val="bg1"/>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F08-4B4D-957D-F16A259F0F7B}"/>
              </c:ext>
            </c:extLst>
          </c:dPt>
          <c:dPt>
            <c:idx val="2"/>
            <c:bubble3D val="0"/>
            <c:spPr>
              <a:solidFill>
                <a:schemeClr val="accent3"/>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F08-4B4D-957D-F16A259F0F7B}"/>
              </c:ext>
            </c:extLst>
          </c:dPt>
          <c:dPt>
            <c:idx val="3"/>
            <c:bubble3D val="0"/>
            <c:spPr>
              <a:pattFill prst="wdDnDiag">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0F08-4B4D-957D-F16A259F0F7B}"/>
              </c:ext>
            </c:extLst>
          </c:dPt>
          <c:dPt>
            <c:idx val="4"/>
            <c:bubble3D val="0"/>
            <c:spPr>
              <a:pattFill prst="smCheck">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0F08-4B4D-957D-F16A259F0F7B}"/>
              </c:ext>
            </c:extLst>
          </c:dPt>
          <c:dPt>
            <c:idx val="5"/>
            <c:bubble3D val="0"/>
            <c:spPr>
              <a:pattFill prst="pct10">
                <a:fgClr>
                  <a:schemeClr val="tx1"/>
                </a:fgClr>
                <a:bgClr>
                  <a:schemeClr val="bg1"/>
                </a:bgClr>
              </a:pattFill>
              <a:ln>
                <a:solidFill>
                  <a:schemeClr val="tx1">
                    <a:alpha val="99000"/>
                  </a:schemeClr>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0F08-4B4D-957D-F16A259F0F7B}"/>
              </c:ext>
            </c:extLst>
          </c:dPt>
          <c:dPt>
            <c:idx val="6"/>
            <c:bubble3D val="0"/>
            <c:spPr>
              <a:pattFill prst="dkVert">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0F08-4B4D-957D-F16A259F0F7B}"/>
              </c:ext>
            </c:extLst>
          </c:dPt>
          <c:dLbls>
            <c:dLbl>
              <c:idx val="1"/>
              <c:tx>
                <c:rich>
                  <a:bodyPr/>
                  <a:lstStyle/>
                  <a:p>
                    <a:fld id="{96A27F04-B6FA-4352-94B9-4F94E27176A8}"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F08-4B4D-957D-F16A259F0F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Интерес</c:v>
                </c:pt>
                <c:pt idx="1">
                  <c:v>Творческая деятельность</c:v>
                </c:pt>
                <c:pt idx="2">
                  <c:v>Новые знакомства</c:v>
                </c:pt>
                <c:pt idx="3">
                  <c:v>Желание чувствовать себя ответственным</c:v>
                </c:pt>
                <c:pt idx="4">
                  <c:v>Опыт общественной деятельности</c:v>
                </c:pt>
                <c:pt idx="5">
                  <c:v>Патриотизм</c:v>
                </c:pt>
                <c:pt idx="6">
                  <c:v>Чувство принадлежности к организации (идентичность)</c:v>
                </c:pt>
              </c:strCache>
            </c:strRef>
          </c:cat>
          <c:val>
            <c:numRef>
              <c:f>Лист1!$B$2:$B$8</c:f>
              <c:numCache>
                <c:formatCode>0%</c:formatCode>
                <c:ptCount val="7"/>
                <c:pt idx="0">
                  <c:v>0.85</c:v>
                </c:pt>
                <c:pt idx="1">
                  <c:v>0.7</c:v>
                </c:pt>
                <c:pt idx="2">
                  <c:v>0.65</c:v>
                </c:pt>
                <c:pt idx="3">
                  <c:v>0.55000000000000004</c:v>
                </c:pt>
                <c:pt idx="4">
                  <c:v>0.55000000000000004</c:v>
                </c:pt>
                <c:pt idx="5">
                  <c:v>0.35</c:v>
                </c:pt>
                <c:pt idx="6">
                  <c:v>0.3</c:v>
                </c:pt>
              </c:numCache>
            </c:numRef>
          </c:val>
          <c:extLst>
            <c:ext xmlns:c16="http://schemas.microsoft.com/office/drawing/2014/chart" uri="{C3380CC4-5D6E-409C-BE32-E72D297353CC}">
              <c16:uniqueId val="{0000000E-0F08-4B4D-957D-F16A259F0F7B}"/>
            </c:ext>
          </c:extLst>
        </c:ser>
        <c:dLbls>
          <c:showLegendKey val="0"/>
          <c:showVal val="0"/>
          <c:showCatName val="0"/>
          <c:showSerName val="0"/>
          <c:showPercent val="1"/>
          <c:showBubbleSize val="0"/>
          <c:showLeaderLines val="1"/>
        </c:dLbls>
        <c:firstSliceAng val="0"/>
        <c:holeSize val="6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Количество Интернет-пользователей в Казахстане</c:v>
                </c:pt>
              </c:strCache>
            </c:strRef>
          </c:tx>
          <c:spPr>
            <a:ln w="28575" cap="rnd">
              <a:solidFill>
                <a:schemeClr val="tx1"/>
              </a:solidFill>
              <a:round/>
            </a:ln>
            <a:effectLst/>
          </c:spPr>
          <c:marker>
            <c:symbol val="circle"/>
            <c:size val="5"/>
            <c:spPr>
              <a:solidFill>
                <a:schemeClr val="accent1"/>
              </a:solidFill>
              <a:ln w="9525" cap="sq">
                <a:solidFill>
                  <a:schemeClr val="tx1"/>
                </a:solidFill>
              </a:ln>
              <a:effectLst/>
            </c:spPr>
          </c:marker>
          <c:cat>
            <c:numRef>
              <c:f>Лист1!$A$2:$A$15</c:f>
              <c:numCache>
                <c:formatCode>General</c:formatCode>
                <c:ptCount val="14"/>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numCache>
            </c:numRef>
          </c:cat>
          <c:val>
            <c:numRef>
              <c:f>Лист1!$B$2:$B$15</c:f>
              <c:numCache>
                <c:formatCode>General</c:formatCode>
                <c:ptCount val="14"/>
                <c:pt idx="0">
                  <c:v>302849</c:v>
                </c:pt>
                <c:pt idx="1">
                  <c:v>405364</c:v>
                </c:pt>
                <c:pt idx="2">
                  <c:v>457636</c:v>
                </c:pt>
                <c:pt idx="3">
                  <c:v>509966</c:v>
                </c:pt>
                <c:pt idx="4">
                  <c:v>633361</c:v>
                </c:pt>
                <c:pt idx="5">
                  <c:v>1750756</c:v>
                </c:pt>
                <c:pt idx="6">
                  <c:v>2929901</c:v>
                </c:pt>
                <c:pt idx="7">
                  <c:v>5154157</c:v>
                </c:pt>
                <c:pt idx="8">
                  <c:v>8376478</c:v>
                </c:pt>
                <c:pt idx="9">
                  <c:v>8968471</c:v>
                </c:pt>
                <c:pt idx="10">
                  <c:v>9233755</c:v>
                </c:pt>
                <c:pt idx="11">
                  <c:v>9535283</c:v>
                </c:pt>
                <c:pt idx="12">
                  <c:v>9784837</c:v>
                </c:pt>
                <c:pt idx="13">
                  <c:v>9961519</c:v>
                </c:pt>
              </c:numCache>
            </c:numRef>
          </c:val>
          <c:smooth val="0"/>
          <c:extLst>
            <c:ext xmlns:c16="http://schemas.microsoft.com/office/drawing/2014/chart" uri="{C3380CC4-5D6E-409C-BE32-E72D297353CC}">
              <c16:uniqueId val="{00000000-D9DB-4C60-8699-A56FD0BC5B92}"/>
            </c:ext>
          </c:extLst>
        </c:ser>
        <c:dLbls>
          <c:showLegendKey val="0"/>
          <c:showVal val="0"/>
          <c:showCatName val="0"/>
          <c:showSerName val="0"/>
          <c:showPercent val="0"/>
          <c:showBubbleSize val="0"/>
        </c:dLbls>
        <c:marker val="1"/>
        <c:smooth val="0"/>
        <c:axId val="143352192"/>
        <c:axId val="143354112"/>
      </c:lineChart>
      <c:catAx>
        <c:axId val="14335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354112"/>
        <c:crosses val="autoZero"/>
        <c:auto val="1"/>
        <c:lblAlgn val="ctr"/>
        <c:lblOffset val="100"/>
        <c:noMultiLvlLbl val="0"/>
      </c:catAx>
      <c:valAx>
        <c:axId val="143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35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Укажите причину, по которой вам НЕ захотелось познакомиться с другими членами организации лично</c:v>
                </c:pt>
              </c:strCache>
            </c:strRef>
          </c:tx>
          <c:dPt>
            <c:idx val="0"/>
            <c:bubble3D val="0"/>
            <c:spPr>
              <a:solidFill>
                <a:sysClr val="windowText" lastClr="000000"/>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B54-4206-92CB-B0A66C0BAE01}"/>
              </c:ext>
            </c:extLst>
          </c:dPt>
          <c:dPt>
            <c:idx val="1"/>
            <c:bubble3D val="0"/>
            <c:spPr>
              <a:solidFill>
                <a:schemeClr val="bg1"/>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B54-4206-92CB-B0A66C0BAE01}"/>
              </c:ext>
            </c:extLst>
          </c:dPt>
          <c:dPt>
            <c:idx val="2"/>
            <c:bubble3D val="0"/>
            <c:spPr>
              <a:solidFill>
                <a:schemeClr val="accent3"/>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B54-4206-92CB-B0A66C0BAE01}"/>
              </c:ext>
            </c:extLst>
          </c:dPt>
          <c:dPt>
            <c:idx val="3"/>
            <c:bubble3D val="0"/>
            <c:spPr>
              <a:pattFill prst="wdDnDiag">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B54-4206-92CB-B0A66C0BAE01}"/>
              </c:ext>
            </c:extLst>
          </c:dPt>
          <c:dLbls>
            <c:dLbl>
              <c:idx val="1"/>
              <c:tx>
                <c:rich>
                  <a:bodyPr/>
                  <a:lstStyle/>
                  <a:p>
                    <a:fld id="{4C7739F7-52F0-435C-9004-B052BBE27290}"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B54-4206-92CB-B0A66C0BAE0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Неинтересно</c:v>
                </c:pt>
                <c:pt idx="1">
                  <c:v>Добровольная, безвозмездная деятельность мне не важна</c:v>
                </c:pt>
                <c:pt idx="2">
                  <c:v>Новые знакомства мне не нужны</c:v>
                </c:pt>
                <c:pt idx="3">
                  <c:v>Мне достаточно виртуального общения</c:v>
                </c:pt>
              </c:strCache>
            </c:strRef>
          </c:cat>
          <c:val>
            <c:numRef>
              <c:f>Лист1!$B$2:$B$5</c:f>
              <c:numCache>
                <c:formatCode>0%</c:formatCode>
                <c:ptCount val="4"/>
                <c:pt idx="0">
                  <c:v>0.8</c:v>
                </c:pt>
                <c:pt idx="1">
                  <c:v>0.5</c:v>
                </c:pt>
                <c:pt idx="2">
                  <c:v>0.3</c:v>
                </c:pt>
                <c:pt idx="3">
                  <c:v>0.3</c:v>
                </c:pt>
              </c:numCache>
            </c:numRef>
          </c:val>
          <c:extLst>
            <c:ext xmlns:c16="http://schemas.microsoft.com/office/drawing/2014/chart" uri="{C3380CC4-5D6E-409C-BE32-E72D297353CC}">
              <c16:uniqueId val="{00000008-AB54-4206-92CB-B0A66C0BAE0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546043378842527"/>
          <c:y val="9.587903882704317E-2"/>
          <c:w val="0.32261497689459528"/>
          <c:h val="0.5722244094488188"/>
        </c:manualLayout>
      </c:layout>
      <c:doughnutChart>
        <c:varyColors val="1"/>
        <c:ser>
          <c:idx val="0"/>
          <c:order val="0"/>
          <c:tx>
            <c:strRef>
              <c:f>Лист1!$B$1</c:f>
              <c:strCache>
                <c:ptCount val="1"/>
                <c:pt idx="0">
                  <c:v>Продажи</c:v>
                </c:pt>
              </c:strCache>
            </c:strRef>
          </c:tx>
          <c:spPr>
            <a:ln>
              <a:solidFill>
                <a:schemeClr val="tx1"/>
              </a:solidFill>
            </a:ln>
          </c:spPr>
          <c:dPt>
            <c:idx val="0"/>
            <c:bubble3D val="0"/>
            <c:spPr>
              <a:solidFill>
                <a:schemeClr val="tx1"/>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1-9E62-4E58-954D-3B0FA2B20436}"/>
              </c:ext>
            </c:extLst>
          </c:dPt>
          <c:dPt>
            <c:idx val="1"/>
            <c:bubble3D val="0"/>
            <c:spPr>
              <a:solidFill>
                <a:schemeClr val="bg1"/>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3-9E62-4E58-954D-3B0FA2B20436}"/>
              </c:ext>
            </c:extLst>
          </c:dPt>
          <c:dPt>
            <c:idx val="2"/>
            <c:bubble3D val="0"/>
            <c:spPr>
              <a:solidFill>
                <a:schemeClr val="accent3"/>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5-9E62-4E58-954D-3B0FA2B20436}"/>
              </c:ext>
            </c:extLst>
          </c:dPt>
          <c:dPt>
            <c:idx val="3"/>
            <c:bubble3D val="0"/>
            <c:spPr>
              <a:pattFill prst="wdUpDiag">
                <a:fgClr>
                  <a:sysClr val="windowText" lastClr="000000"/>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7-9E62-4E58-954D-3B0FA2B20436}"/>
              </c:ext>
            </c:extLst>
          </c:dPt>
          <c:dPt>
            <c:idx val="4"/>
            <c:bubble3D val="0"/>
            <c:spPr>
              <a:pattFill prst="ltHorz">
                <a:fgClr>
                  <a:sysClr val="windowText" lastClr="000000"/>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9-9E62-4E58-954D-3B0FA2B20436}"/>
              </c:ext>
            </c:extLst>
          </c:dPt>
          <c:dPt>
            <c:idx val="5"/>
            <c:bubble3D val="0"/>
            <c:spPr>
              <a:pattFill prst="plaid">
                <a:fgClr>
                  <a:sysClr val="windowText" lastClr="000000"/>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B-9E62-4E58-954D-3B0FA2B20436}"/>
              </c:ext>
            </c:extLst>
          </c:dPt>
          <c:dLbls>
            <c:dLbl>
              <c:idx val="1"/>
              <c:tx>
                <c:rich>
                  <a:bodyPr/>
                  <a:lstStyle/>
                  <a:p>
                    <a:fld id="{EA987703-2AB5-4318-B786-81E7B60F27AB}"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62-4E58-954D-3B0FA2B2043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Найти единомышленников</c:v>
                </c:pt>
                <c:pt idx="1">
                  <c:v>Интересные люди</c:v>
                </c:pt>
                <c:pt idx="2">
                  <c:v>Обмен опытом</c:v>
                </c:pt>
                <c:pt idx="3">
                  <c:v>Обучение в одном университете</c:v>
                </c:pt>
                <c:pt idx="4">
                  <c:v>Интересное времяпрепровождение</c:v>
                </c:pt>
                <c:pt idx="5">
                  <c:v>Работа в команде</c:v>
                </c:pt>
              </c:strCache>
            </c:strRef>
          </c:cat>
          <c:val>
            <c:numRef>
              <c:f>Лист1!$B$2:$B$7</c:f>
              <c:numCache>
                <c:formatCode>0%</c:formatCode>
                <c:ptCount val="6"/>
                <c:pt idx="0">
                  <c:v>0.48</c:v>
                </c:pt>
                <c:pt idx="1">
                  <c:v>0.36</c:v>
                </c:pt>
                <c:pt idx="2">
                  <c:v>0.2</c:v>
                </c:pt>
                <c:pt idx="3">
                  <c:v>0.15</c:v>
                </c:pt>
                <c:pt idx="4">
                  <c:v>0.1</c:v>
                </c:pt>
                <c:pt idx="5">
                  <c:v>0.04</c:v>
                </c:pt>
              </c:numCache>
            </c:numRef>
          </c:val>
          <c:extLst>
            <c:ext xmlns:c16="http://schemas.microsoft.com/office/drawing/2014/chart" uri="{C3380CC4-5D6E-409C-BE32-E72D297353CC}">
              <c16:uniqueId val="{0000000C-9E62-4E58-954D-3B0FA2B20436}"/>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514854913969085"/>
          <c:y val="8.5360267466566678E-2"/>
          <c:w val="0.26192512394284045"/>
          <c:h val="0.44901449818772654"/>
        </c:manualLayout>
      </c:layout>
      <c:doughnutChart>
        <c:varyColors val="1"/>
        <c:ser>
          <c:idx val="0"/>
          <c:order val="0"/>
          <c:tx>
            <c:strRef>
              <c:f>Лист1!$B$1</c:f>
              <c:strCache>
                <c:ptCount val="1"/>
                <c:pt idx="0">
                  <c:v>Продажи</c:v>
                </c:pt>
              </c:strCache>
            </c:strRef>
          </c:tx>
          <c:spPr>
            <a:ln>
              <a:solidFill>
                <a:schemeClr val="tx1"/>
              </a:solidFill>
            </a:ln>
          </c:spPr>
          <c:dPt>
            <c:idx val="0"/>
            <c:bubble3D val="0"/>
            <c:spPr>
              <a:solidFill>
                <a:sysClr val="windowText" lastClr="000000"/>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1-A588-4B60-98D8-61FCCC83566A}"/>
              </c:ext>
            </c:extLst>
          </c:dPt>
          <c:dPt>
            <c:idx val="1"/>
            <c:bubble3D val="0"/>
            <c:spPr>
              <a:solidFill>
                <a:schemeClr val="bg1"/>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3-A588-4B60-98D8-61FCCC83566A}"/>
              </c:ext>
            </c:extLst>
          </c:dPt>
          <c:dPt>
            <c:idx val="2"/>
            <c:bubble3D val="0"/>
            <c:spPr>
              <a:solidFill>
                <a:schemeClr val="accent3"/>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5-A588-4B60-98D8-61FCCC83566A}"/>
              </c:ext>
            </c:extLst>
          </c:dPt>
          <c:dPt>
            <c:idx val="3"/>
            <c:bubble3D val="0"/>
            <c:spPr>
              <a:pattFill prst="wdUpDiag">
                <a:fgClr>
                  <a:schemeClr val="tx1"/>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7-A588-4B60-98D8-61FCCC83566A}"/>
              </c:ext>
            </c:extLst>
          </c:dPt>
          <c:dPt>
            <c:idx val="4"/>
            <c:bubble3D val="0"/>
            <c:spPr>
              <a:pattFill prst="ltVert">
                <a:fgClr>
                  <a:schemeClr val="tx1"/>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9-A588-4B60-98D8-61FCCC83566A}"/>
              </c:ext>
            </c:extLst>
          </c:dPt>
          <c:dLbls>
            <c:dLbl>
              <c:idx val="1"/>
              <c:tx>
                <c:rich>
                  <a:bodyPr/>
                  <a:lstStyle/>
                  <a:p>
                    <a:fld id="{B907FE9B-CFFC-4FF7-B835-DF7414EF9E9F}"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588-4B60-98D8-61FCCC8356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Неинтересно</c:v>
                </c:pt>
                <c:pt idx="1">
                  <c:v>Не совпали ценности</c:v>
                </c:pt>
                <c:pt idx="2">
                  <c:v>Не понравилось поведение остальных участников</c:v>
                </c:pt>
                <c:pt idx="3">
                  <c:v>Не люблю много общаться</c:v>
                </c:pt>
                <c:pt idx="4">
                  <c:v>Мне такая деятельность безразлична</c:v>
                </c:pt>
              </c:strCache>
            </c:strRef>
          </c:cat>
          <c:val>
            <c:numRef>
              <c:f>Лист1!$B$2:$B$6</c:f>
              <c:numCache>
                <c:formatCode>0%</c:formatCode>
                <c:ptCount val="5"/>
                <c:pt idx="0">
                  <c:v>0.54</c:v>
                </c:pt>
                <c:pt idx="1">
                  <c:v>0.33</c:v>
                </c:pt>
                <c:pt idx="2">
                  <c:v>0.2</c:v>
                </c:pt>
                <c:pt idx="3">
                  <c:v>0.2</c:v>
                </c:pt>
                <c:pt idx="4">
                  <c:v>0.1</c:v>
                </c:pt>
              </c:numCache>
            </c:numRef>
          </c:val>
          <c:extLst>
            <c:ext xmlns:c16="http://schemas.microsoft.com/office/drawing/2014/chart" uri="{C3380CC4-5D6E-409C-BE32-E72D297353CC}">
              <c16:uniqueId val="{0000000A-A588-4B60-98D8-61FCCC83566A}"/>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Как вы узнали об общественной организации, упомянутой вами?</c:v>
                </c:pt>
              </c:strCache>
            </c:strRef>
          </c:tx>
          <c:dPt>
            <c:idx val="0"/>
            <c:bubble3D val="0"/>
            <c:spPr>
              <a:solidFill>
                <a:sysClr val="windowText" lastClr="000000"/>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8DE-4A00-BFB0-B056BB56CB83}"/>
              </c:ext>
            </c:extLst>
          </c:dPt>
          <c:dPt>
            <c:idx val="1"/>
            <c:bubble3D val="0"/>
            <c:spPr>
              <a:solidFill>
                <a:schemeClr val="bg1"/>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8DE-4A00-BFB0-B056BB56CB83}"/>
              </c:ext>
            </c:extLst>
          </c:dPt>
          <c:dPt>
            <c:idx val="2"/>
            <c:bubble3D val="0"/>
            <c:spPr>
              <a:solidFill>
                <a:schemeClr val="accent3"/>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8DE-4A00-BFB0-B056BB56CB83}"/>
              </c:ext>
            </c:extLst>
          </c:dPt>
          <c:dPt>
            <c:idx val="3"/>
            <c:bubble3D val="0"/>
            <c:spPr>
              <a:pattFill prst="sphere">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8DE-4A00-BFB0-B056BB56CB83}"/>
              </c:ext>
            </c:extLst>
          </c:dPt>
          <c:dPt>
            <c:idx val="4"/>
            <c:bubble3D val="0"/>
            <c:spPr>
              <a:pattFill prst="dkUpDiag">
                <a:fgClr>
                  <a:sysClr val="windowText" lastClr="000000"/>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38DE-4A00-BFB0-B056BB56CB83}"/>
              </c:ext>
            </c:extLst>
          </c:dPt>
          <c:dPt>
            <c:idx val="5"/>
            <c:bubble3D val="0"/>
            <c:spPr>
              <a:pattFill prst="pct5">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38DE-4A00-BFB0-B056BB56CB83}"/>
              </c:ext>
            </c:extLst>
          </c:dPt>
          <c:dPt>
            <c:idx val="6"/>
            <c:bubble3D val="0"/>
            <c:spPr>
              <a:pattFill prst="wdDnDiag">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38DE-4A00-BFB0-B056BB56CB83}"/>
              </c:ext>
            </c:extLst>
          </c:dPt>
          <c:dLbls>
            <c:dLbl>
              <c:idx val="1"/>
              <c:tx>
                <c:rich>
                  <a:bodyPr/>
                  <a:lstStyle/>
                  <a:p>
                    <a:fld id="{6E1C41AF-5515-4C9A-A437-C7F1A2873864}"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8DE-4A00-BFB0-B056BB56CB8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От друзей</c:v>
                </c:pt>
                <c:pt idx="1">
                  <c:v>В университете</c:v>
                </c:pt>
                <c:pt idx="2">
                  <c:v>В социальных медиа</c:v>
                </c:pt>
                <c:pt idx="3">
                  <c:v>В школе</c:v>
                </c:pt>
                <c:pt idx="4">
                  <c:v>В семье</c:v>
                </c:pt>
                <c:pt idx="5">
                  <c:v>В электронных СМИ</c:v>
                </c:pt>
                <c:pt idx="6">
                  <c:v>В печатных СМИ</c:v>
                </c:pt>
              </c:strCache>
            </c:strRef>
          </c:cat>
          <c:val>
            <c:numRef>
              <c:f>Лист1!$B$2:$B$8</c:f>
              <c:numCache>
                <c:formatCode>0.00%</c:formatCode>
                <c:ptCount val="7"/>
                <c:pt idx="0">
                  <c:v>0.59299999999999997</c:v>
                </c:pt>
                <c:pt idx="1">
                  <c:v>0.40699999999999997</c:v>
                </c:pt>
                <c:pt idx="2">
                  <c:v>0.25900000000000001</c:v>
                </c:pt>
                <c:pt idx="3">
                  <c:v>0.222</c:v>
                </c:pt>
                <c:pt idx="4">
                  <c:v>7.3999999999999996E-2</c:v>
                </c:pt>
                <c:pt idx="5">
                  <c:v>3.6999999999999998E-2</c:v>
                </c:pt>
                <c:pt idx="6">
                  <c:v>3.6999999999999998E-2</c:v>
                </c:pt>
              </c:numCache>
            </c:numRef>
          </c:val>
          <c:extLst>
            <c:ext xmlns:c16="http://schemas.microsoft.com/office/drawing/2014/chart" uri="{C3380CC4-5D6E-409C-BE32-E72D297353CC}">
              <c16:uniqueId val="{0000000E-38DE-4A00-BFB0-B056BB56CB8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Как вы узнали об организации, упомянутой вами?</c:v>
                </c:pt>
              </c:strCache>
            </c:strRef>
          </c:tx>
          <c:dPt>
            <c:idx val="0"/>
            <c:bubble3D val="0"/>
            <c:spPr>
              <a:solidFill>
                <a:sysClr val="windowText" lastClr="000000"/>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108-42CE-BD5D-AEB4B3D0419B}"/>
              </c:ext>
            </c:extLst>
          </c:dPt>
          <c:dPt>
            <c:idx val="1"/>
            <c:bubble3D val="0"/>
            <c:spPr>
              <a:solidFill>
                <a:schemeClr val="bg1"/>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108-42CE-BD5D-AEB4B3D0419B}"/>
              </c:ext>
            </c:extLst>
          </c:dPt>
          <c:dPt>
            <c:idx val="2"/>
            <c:bubble3D val="0"/>
            <c:spPr>
              <a:solidFill>
                <a:schemeClr val="accent3"/>
              </a:solid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108-42CE-BD5D-AEB4B3D0419B}"/>
              </c:ext>
            </c:extLst>
          </c:dPt>
          <c:dPt>
            <c:idx val="3"/>
            <c:bubble3D val="0"/>
            <c:spPr>
              <a:pattFill prst="pct5">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108-42CE-BD5D-AEB4B3D0419B}"/>
              </c:ext>
            </c:extLst>
          </c:dPt>
          <c:dPt>
            <c:idx val="4"/>
            <c:bubble3D val="0"/>
            <c:spPr>
              <a:pattFill prst="ltVert">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9108-42CE-BD5D-AEB4B3D0419B}"/>
              </c:ext>
            </c:extLst>
          </c:dPt>
          <c:dPt>
            <c:idx val="5"/>
            <c:bubble3D val="0"/>
            <c:spPr>
              <a:pattFill prst="dashVert">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9108-42CE-BD5D-AEB4B3D0419B}"/>
              </c:ext>
            </c:extLst>
          </c:dPt>
          <c:dPt>
            <c:idx val="6"/>
            <c:bubble3D val="0"/>
            <c:spPr>
              <a:pattFill prst="wdDnDiag">
                <a:fgClr>
                  <a:schemeClr val="tx1"/>
                </a:fgClr>
                <a:bgClr>
                  <a:schemeClr val="bg1"/>
                </a:bgClr>
              </a:pattFill>
              <a:ln>
                <a:solidFill>
                  <a:schemeClr val="tx1"/>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9108-42CE-BD5D-AEB4B3D0419B}"/>
              </c:ext>
            </c:extLst>
          </c:dPt>
          <c:dLbls>
            <c:dLbl>
              <c:idx val="1"/>
              <c:tx>
                <c:rich>
                  <a:bodyPr/>
                  <a:lstStyle/>
                  <a:p>
                    <a:fld id="{BC39ED50-FAFA-4A07-A984-170D3EB663E2}"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108-42CE-BD5D-AEB4B3D0419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От друзей</c:v>
                </c:pt>
                <c:pt idx="1">
                  <c:v>В социальных медиа</c:v>
                </c:pt>
                <c:pt idx="2">
                  <c:v>В университете</c:v>
                </c:pt>
                <c:pt idx="3">
                  <c:v>В электронных СМИ</c:v>
                </c:pt>
                <c:pt idx="4">
                  <c:v>В школе</c:v>
                </c:pt>
                <c:pt idx="5">
                  <c:v>В семье</c:v>
                </c:pt>
                <c:pt idx="6">
                  <c:v>В печатных СМИ</c:v>
                </c:pt>
              </c:strCache>
            </c:strRef>
          </c:cat>
          <c:val>
            <c:numRef>
              <c:f>Лист1!$B$2:$B$8</c:f>
              <c:numCache>
                <c:formatCode>0.00%</c:formatCode>
                <c:ptCount val="7"/>
                <c:pt idx="0">
                  <c:v>0.86499999999999999</c:v>
                </c:pt>
                <c:pt idx="1">
                  <c:v>0.54049999999999998</c:v>
                </c:pt>
                <c:pt idx="2">
                  <c:v>0.24329999999999999</c:v>
                </c:pt>
                <c:pt idx="3">
                  <c:v>0.13500000000000001</c:v>
                </c:pt>
                <c:pt idx="4">
                  <c:v>8.1100000000000005E-2</c:v>
                </c:pt>
                <c:pt idx="5">
                  <c:v>5.4100000000000002E-2</c:v>
                </c:pt>
                <c:pt idx="6">
                  <c:v>2.7E-2</c:v>
                </c:pt>
              </c:numCache>
            </c:numRef>
          </c:val>
          <c:extLst>
            <c:ext xmlns:c16="http://schemas.microsoft.com/office/drawing/2014/chart" uri="{C3380CC4-5D6E-409C-BE32-E72D297353CC}">
              <c16:uniqueId val="{0000000E-9108-42CE-BD5D-AEB4B3D0419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09320129997602"/>
          <c:y val="0.10123854252143094"/>
          <c:w val="0.37027897136126686"/>
          <c:h val="0.59277476124797046"/>
        </c:manualLayout>
      </c:layout>
      <c:doughnutChart>
        <c:varyColors val="1"/>
        <c:ser>
          <c:idx val="0"/>
          <c:order val="0"/>
          <c:tx>
            <c:strRef>
              <c:f>Лист1!$B$1</c:f>
              <c:strCache>
                <c:ptCount val="1"/>
                <c:pt idx="0">
                  <c:v>Продажи</c:v>
                </c:pt>
              </c:strCache>
            </c:strRef>
          </c:tx>
          <c:spPr>
            <a:ln>
              <a:solidFill>
                <a:schemeClr val="tx1"/>
              </a:solidFill>
            </a:ln>
          </c:spPr>
          <c:dPt>
            <c:idx val="0"/>
            <c:bubble3D val="0"/>
            <c:spPr>
              <a:solidFill>
                <a:schemeClr val="tx1"/>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1-107A-41E2-95B9-8FCDF2AFA5D0}"/>
              </c:ext>
            </c:extLst>
          </c:dPt>
          <c:dPt>
            <c:idx val="1"/>
            <c:bubble3D val="0"/>
            <c:spPr>
              <a:solidFill>
                <a:schemeClr val="bg1"/>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3-107A-41E2-95B9-8FCDF2AFA5D0}"/>
              </c:ext>
            </c:extLst>
          </c:dPt>
          <c:dPt>
            <c:idx val="2"/>
            <c:bubble3D val="0"/>
            <c:spPr>
              <a:solidFill>
                <a:schemeClr val="accent3"/>
              </a:solid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5-107A-41E2-95B9-8FCDF2AFA5D0}"/>
              </c:ext>
            </c:extLst>
          </c:dPt>
          <c:dPt>
            <c:idx val="3"/>
            <c:bubble3D val="0"/>
            <c:spPr>
              <a:pattFill prst="wdUpDiag">
                <a:fgClr>
                  <a:schemeClr val="tx1"/>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7-107A-41E2-95B9-8FCDF2AFA5D0}"/>
              </c:ext>
            </c:extLst>
          </c:dPt>
          <c:dPt>
            <c:idx val="4"/>
            <c:bubble3D val="0"/>
            <c:spPr>
              <a:pattFill prst="ltVert">
                <a:fgClr>
                  <a:schemeClr val="tx1"/>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9-107A-41E2-95B9-8FCDF2AFA5D0}"/>
              </c:ext>
            </c:extLst>
          </c:dPt>
          <c:dPt>
            <c:idx val="5"/>
            <c:bubble3D val="0"/>
            <c:spPr>
              <a:pattFill prst="lgConfetti">
                <a:fgClr>
                  <a:schemeClr val="tx1"/>
                </a:fgClr>
                <a:bgClr>
                  <a:schemeClr val="bg1"/>
                </a:bgClr>
              </a:pattFill>
              <a:ln>
                <a:solidFill>
                  <a:schemeClr val="tx1"/>
                </a:solidFill>
              </a:ln>
              <a:effectLst>
                <a:outerShdw blurRad="317500" algn="ctr" rotWithShape="0">
                  <a:prstClr val="black">
                    <a:alpha val="25000"/>
                  </a:prstClr>
                </a:outerShdw>
              </a:effectLst>
            </c:spPr>
            <c:extLst>
              <c:ext xmlns:c16="http://schemas.microsoft.com/office/drawing/2014/chart" uri="{C3380CC4-5D6E-409C-BE32-E72D297353CC}">
                <c16:uniqueId val="{0000000B-107A-41E2-95B9-8FCDF2AFA5D0}"/>
              </c:ext>
            </c:extLst>
          </c:dPt>
          <c:dLbls>
            <c:dLbl>
              <c:idx val="1"/>
              <c:tx>
                <c:rich>
                  <a:bodyPr/>
                  <a:lstStyle/>
                  <a:p>
                    <a:fld id="{657D8D17-F4D0-4A2E-B540-8C1A44C0D59B}" type="PERCENTAGE">
                      <a:rPr lang="en-US">
                        <a:solidFill>
                          <a:sysClr val="windowText" lastClr="000000"/>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07A-41E2-95B9-8FCDF2AFA5D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От друзей</c:v>
                </c:pt>
                <c:pt idx="1">
                  <c:v>В социальных медиа</c:v>
                </c:pt>
                <c:pt idx="2">
                  <c:v>В университете</c:v>
                </c:pt>
                <c:pt idx="3">
                  <c:v>От промоутеров</c:v>
                </c:pt>
                <c:pt idx="4">
                  <c:v>В семье</c:v>
                </c:pt>
                <c:pt idx="5">
                  <c:v>В онлайн СМИ</c:v>
                </c:pt>
              </c:strCache>
            </c:strRef>
          </c:cat>
          <c:val>
            <c:numRef>
              <c:f>Лист1!$B$2:$B$7</c:f>
              <c:numCache>
                <c:formatCode>0.00%</c:formatCode>
                <c:ptCount val="6"/>
                <c:pt idx="0">
                  <c:v>0.17499999999999999</c:v>
                </c:pt>
                <c:pt idx="1">
                  <c:v>0.105</c:v>
                </c:pt>
                <c:pt idx="2">
                  <c:v>9.5000000000000001E-2</c:v>
                </c:pt>
                <c:pt idx="3" formatCode="0%">
                  <c:v>0.03</c:v>
                </c:pt>
                <c:pt idx="4">
                  <c:v>2.5000000000000001E-2</c:v>
                </c:pt>
                <c:pt idx="5">
                  <c:v>1.4999999999999999E-2</c:v>
                </c:pt>
              </c:numCache>
            </c:numRef>
          </c:val>
          <c:extLst>
            <c:ext xmlns:c16="http://schemas.microsoft.com/office/drawing/2014/chart" uri="{C3380CC4-5D6E-409C-BE32-E72D297353CC}">
              <c16:uniqueId val="{0000000C-107A-41E2-95B9-8FCDF2AFA5D0}"/>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Развлечение</c:v>
                </c:pt>
              </c:strCache>
            </c:strRef>
          </c:tx>
          <c:spPr>
            <a:solidFill>
              <a:schemeClr val="tx1"/>
            </a:solidFill>
            <a:ln>
              <a:solidFill>
                <a:schemeClr val="tx1"/>
              </a:solidFill>
            </a:ln>
            <a:effectLst/>
          </c:spPr>
          <c:invertIfNegative val="0"/>
          <c:cat>
            <c:strRef>
              <c:f>Лист1!$A$2:$A$11</c:f>
              <c:strCache>
                <c:ptCount val="10"/>
                <c:pt idx="0">
                  <c:v>Эксперт 1</c:v>
                </c:pt>
                <c:pt idx="1">
                  <c:v>Эксперт 2</c:v>
                </c:pt>
                <c:pt idx="2">
                  <c:v>Эксперт 3</c:v>
                </c:pt>
                <c:pt idx="3">
                  <c:v>Эксперт 4</c:v>
                </c:pt>
                <c:pt idx="4">
                  <c:v>Эксперт 5</c:v>
                </c:pt>
                <c:pt idx="5">
                  <c:v>Эксперт 6</c:v>
                </c:pt>
                <c:pt idx="6">
                  <c:v>Эксперт 7</c:v>
                </c:pt>
                <c:pt idx="7">
                  <c:v>Эксперт 8</c:v>
                </c:pt>
                <c:pt idx="8">
                  <c:v>Эксперт 9</c:v>
                </c:pt>
                <c:pt idx="9">
                  <c:v>Эксперт 10</c:v>
                </c:pt>
              </c:strCache>
            </c:strRef>
          </c:cat>
          <c:val>
            <c:numRef>
              <c:f>Лист1!$B$2:$B$11</c:f>
              <c:numCache>
                <c:formatCode>General</c:formatCode>
                <c:ptCount val="10"/>
                <c:pt idx="0">
                  <c:v>1</c:v>
                </c:pt>
                <c:pt idx="1">
                  <c:v>1</c:v>
                </c:pt>
                <c:pt idx="2">
                  <c:v>10</c:v>
                </c:pt>
                <c:pt idx="3">
                  <c:v>1</c:v>
                </c:pt>
                <c:pt idx="4">
                  <c:v>1</c:v>
                </c:pt>
                <c:pt idx="5">
                  <c:v>1</c:v>
                </c:pt>
                <c:pt idx="6">
                  <c:v>5</c:v>
                </c:pt>
                <c:pt idx="7">
                  <c:v>1</c:v>
                </c:pt>
                <c:pt idx="8">
                  <c:v>10</c:v>
                </c:pt>
                <c:pt idx="9">
                  <c:v>1</c:v>
                </c:pt>
              </c:numCache>
            </c:numRef>
          </c:val>
          <c:extLst>
            <c:ext xmlns:c16="http://schemas.microsoft.com/office/drawing/2014/chart" uri="{C3380CC4-5D6E-409C-BE32-E72D297353CC}">
              <c16:uniqueId val="{00000000-0B4A-4B60-90B4-82B5C3A98EC8}"/>
            </c:ext>
          </c:extLst>
        </c:ser>
        <c:ser>
          <c:idx val="1"/>
          <c:order val="1"/>
          <c:tx>
            <c:strRef>
              <c:f>Лист1!$C$1</c:f>
              <c:strCache>
                <c:ptCount val="1"/>
                <c:pt idx="0">
                  <c:v>Общение</c:v>
                </c:pt>
              </c:strCache>
            </c:strRef>
          </c:tx>
          <c:spPr>
            <a:solidFill>
              <a:schemeClr val="bg1"/>
            </a:solidFill>
            <a:ln>
              <a:solidFill>
                <a:schemeClr val="tx1"/>
              </a:solidFill>
            </a:ln>
            <a:effectLst/>
          </c:spPr>
          <c:invertIfNegative val="0"/>
          <c:cat>
            <c:strRef>
              <c:f>Лист1!$A$2:$A$11</c:f>
              <c:strCache>
                <c:ptCount val="10"/>
                <c:pt idx="0">
                  <c:v>Эксперт 1</c:v>
                </c:pt>
                <c:pt idx="1">
                  <c:v>Эксперт 2</c:v>
                </c:pt>
                <c:pt idx="2">
                  <c:v>Эксперт 3</c:v>
                </c:pt>
                <c:pt idx="3">
                  <c:v>Эксперт 4</c:v>
                </c:pt>
                <c:pt idx="4">
                  <c:v>Эксперт 5</c:v>
                </c:pt>
                <c:pt idx="5">
                  <c:v>Эксперт 6</c:v>
                </c:pt>
                <c:pt idx="6">
                  <c:v>Эксперт 7</c:v>
                </c:pt>
                <c:pt idx="7">
                  <c:v>Эксперт 8</c:v>
                </c:pt>
                <c:pt idx="8">
                  <c:v>Эксперт 9</c:v>
                </c:pt>
                <c:pt idx="9">
                  <c:v>Эксперт 10</c:v>
                </c:pt>
              </c:strCache>
            </c:strRef>
          </c:cat>
          <c:val>
            <c:numRef>
              <c:f>Лист1!$C$2:$C$11</c:f>
              <c:numCache>
                <c:formatCode>General</c:formatCode>
                <c:ptCount val="10"/>
                <c:pt idx="0">
                  <c:v>5</c:v>
                </c:pt>
                <c:pt idx="1">
                  <c:v>10</c:v>
                </c:pt>
                <c:pt idx="2">
                  <c:v>7</c:v>
                </c:pt>
                <c:pt idx="3">
                  <c:v>5</c:v>
                </c:pt>
                <c:pt idx="4">
                  <c:v>7</c:v>
                </c:pt>
                <c:pt idx="5">
                  <c:v>1</c:v>
                </c:pt>
                <c:pt idx="6">
                  <c:v>10</c:v>
                </c:pt>
                <c:pt idx="7">
                  <c:v>1</c:v>
                </c:pt>
                <c:pt idx="8">
                  <c:v>7</c:v>
                </c:pt>
                <c:pt idx="9">
                  <c:v>3</c:v>
                </c:pt>
              </c:numCache>
            </c:numRef>
          </c:val>
          <c:extLst>
            <c:ext xmlns:c16="http://schemas.microsoft.com/office/drawing/2014/chart" uri="{C3380CC4-5D6E-409C-BE32-E72D297353CC}">
              <c16:uniqueId val="{00000001-0B4A-4B60-90B4-82B5C3A98EC8}"/>
            </c:ext>
          </c:extLst>
        </c:ser>
        <c:ser>
          <c:idx val="2"/>
          <c:order val="2"/>
          <c:tx>
            <c:strRef>
              <c:f>Лист1!$D$1</c:f>
              <c:strCache>
                <c:ptCount val="1"/>
                <c:pt idx="0">
                  <c:v>Самовыражение (блоггинг)</c:v>
                </c:pt>
              </c:strCache>
            </c:strRef>
          </c:tx>
          <c:spPr>
            <a:solidFill>
              <a:schemeClr val="accent3"/>
            </a:solidFill>
            <a:ln>
              <a:solidFill>
                <a:schemeClr val="tx1"/>
              </a:solidFill>
            </a:ln>
            <a:effectLst/>
          </c:spPr>
          <c:invertIfNegative val="0"/>
          <c:cat>
            <c:strRef>
              <c:f>Лист1!$A$2:$A$11</c:f>
              <c:strCache>
                <c:ptCount val="10"/>
                <c:pt idx="0">
                  <c:v>Эксперт 1</c:v>
                </c:pt>
                <c:pt idx="1">
                  <c:v>Эксперт 2</c:v>
                </c:pt>
                <c:pt idx="2">
                  <c:v>Эксперт 3</c:v>
                </c:pt>
                <c:pt idx="3">
                  <c:v>Эксперт 4</c:v>
                </c:pt>
                <c:pt idx="4">
                  <c:v>Эксперт 5</c:v>
                </c:pt>
                <c:pt idx="5">
                  <c:v>Эксперт 6</c:v>
                </c:pt>
                <c:pt idx="6">
                  <c:v>Эксперт 7</c:v>
                </c:pt>
                <c:pt idx="7">
                  <c:v>Эксперт 8</c:v>
                </c:pt>
                <c:pt idx="8">
                  <c:v>Эксперт 9</c:v>
                </c:pt>
                <c:pt idx="9">
                  <c:v>Эксперт 10</c:v>
                </c:pt>
              </c:strCache>
            </c:strRef>
          </c:cat>
          <c:val>
            <c:numRef>
              <c:f>Лист1!$D$2:$D$11</c:f>
              <c:numCache>
                <c:formatCode>General</c:formatCode>
                <c:ptCount val="10"/>
                <c:pt idx="0">
                  <c:v>1</c:v>
                </c:pt>
                <c:pt idx="1">
                  <c:v>1</c:v>
                </c:pt>
                <c:pt idx="2">
                  <c:v>1</c:v>
                </c:pt>
                <c:pt idx="3">
                  <c:v>10</c:v>
                </c:pt>
                <c:pt idx="4">
                  <c:v>10</c:v>
                </c:pt>
                <c:pt idx="5">
                  <c:v>10</c:v>
                </c:pt>
                <c:pt idx="6">
                  <c:v>1</c:v>
                </c:pt>
                <c:pt idx="7">
                  <c:v>1</c:v>
                </c:pt>
                <c:pt idx="8">
                  <c:v>7</c:v>
                </c:pt>
                <c:pt idx="9">
                  <c:v>5</c:v>
                </c:pt>
              </c:numCache>
            </c:numRef>
          </c:val>
          <c:extLst>
            <c:ext xmlns:c16="http://schemas.microsoft.com/office/drawing/2014/chart" uri="{C3380CC4-5D6E-409C-BE32-E72D297353CC}">
              <c16:uniqueId val="{00000002-0B4A-4B60-90B4-82B5C3A98EC8}"/>
            </c:ext>
          </c:extLst>
        </c:ser>
        <c:ser>
          <c:idx val="3"/>
          <c:order val="3"/>
          <c:tx>
            <c:strRef>
              <c:f>Лист1!$E$1</c:f>
              <c:strCache>
                <c:ptCount val="1"/>
                <c:pt idx="0">
                  <c:v>Поиск информации общественно-политического характера</c:v>
                </c:pt>
              </c:strCache>
            </c:strRef>
          </c:tx>
          <c:spPr>
            <a:pattFill prst="wdDnDiag">
              <a:fgClr>
                <a:schemeClr val="tx1"/>
              </a:fgClr>
              <a:bgClr>
                <a:schemeClr val="bg1"/>
              </a:bgClr>
            </a:pattFill>
            <a:ln>
              <a:solidFill>
                <a:schemeClr val="tx1"/>
              </a:solidFill>
            </a:ln>
            <a:effectLst/>
          </c:spPr>
          <c:invertIfNegative val="0"/>
          <c:cat>
            <c:strRef>
              <c:f>Лист1!$A$2:$A$11</c:f>
              <c:strCache>
                <c:ptCount val="10"/>
                <c:pt idx="0">
                  <c:v>Эксперт 1</c:v>
                </c:pt>
                <c:pt idx="1">
                  <c:v>Эксперт 2</c:v>
                </c:pt>
                <c:pt idx="2">
                  <c:v>Эксперт 3</c:v>
                </c:pt>
                <c:pt idx="3">
                  <c:v>Эксперт 4</c:v>
                </c:pt>
                <c:pt idx="4">
                  <c:v>Эксперт 5</c:v>
                </c:pt>
                <c:pt idx="5">
                  <c:v>Эксперт 6</c:v>
                </c:pt>
                <c:pt idx="6">
                  <c:v>Эксперт 7</c:v>
                </c:pt>
                <c:pt idx="7">
                  <c:v>Эксперт 8</c:v>
                </c:pt>
                <c:pt idx="8">
                  <c:v>Эксперт 9</c:v>
                </c:pt>
                <c:pt idx="9">
                  <c:v>Эксперт 10</c:v>
                </c:pt>
              </c:strCache>
            </c:strRef>
          </c:cat>
          <c:val>
            <c:numRef>
              <c:f>Лист1!$E$2:$E$11</c:f>
              <c:numCache>
                <c:formatCode>General</c:formatCode>
                <c:ptCount val="10"/>
                <c:pt idx="0">
                  <c:v>1</c:v>
                </c:pt>
                <c:pt idx="1">
                  <c:v>1</c:v>
                </c:pt>
                <c:pt idx="2">
                  <c:v>1</c:v>
                </c:pt>
                <c:pt idx="3">
                  <c:v>1</c:v>
                </c:pt>
                <c:pt idx="4">
                  <c:v>5</c:v>
                </c:pt>
                <c:pt idx="5">
                  <c:v>3</c:v>
                </c:pt>
                <c:pt idx="6">
                  <c:v>1</c:v>
                </c:pt>
                <c:pt idx="7">
                  <c:v>1</c:v>
                </c:pt>
                <c:pt idx="8">
                  <c:v>1</c:v>
                </c:pt>
                <c:pt idx="9">
                  <c:v>5</c:v>
                </c:pt>
              </c:numCache>
            </c:numRef>
          </c:val>
          <c:extLst>
            <c:ext xmlns:c16="http://schemas.microsoft.com/office/drawing/2014/chart" uri="{C3380CC4-5D6E-409C-BE32-E72D297353CC}">
              <c16:uniqueId val="{00000003-0B4A-4B60-90B4-82B5C3A98EC8}"/>
            </c:ext>
          </c:extLst>
        </c:ser>
        <c:ser>
          <c:idx val="4"/>
          <c:order val="4"/>
          <c:tx>
            <c:strRef>
              <c:f>Лист1!$F$1</c:f>
              <c:strCache>
                <c:ptCount val="1"/>
                <c:pt idx="0">
                  <c:v>Идентичность (тренды)</c:v>
                </c:pt>
              </c:strCache>
            </c:strRef>
          </c:tx>
          <c:spPr>
            <a:pattFill prst="narHorz">
              <a:fgClr>
                <a:schemeClr val="tx1"/>
              </a:fgClr>
              <a:bgClr>
                <a:schemeClr val="bg1"/>
              </a:bgClr>
            </a:pattFill>
            <a:ln>
              <a:solidFill>
                <a:schemeClr val="tx1"/>
              </a:solidFill>
            </a:ln>
            <a:effectLst/>
          </c:spPr>
          <c:invertIfNegative val="0"/>
          <c:cat>
            <c:strRef>
              <c:f>Лист1!$A$2:$A$11</c:f>
              <c:strCache>
                <c:ptCount val="10"/>
                <c:pt idx="0">
                  <c:v>Эксперт 1</c:v>
                </c:pt>
                <c:pt idx="1">
                  <c:v>Эксперт 2</c:v>
                </c:pt>
                <c:pt idx="2">
                  <c:v>Эксперт 3</c:v>
                </c:pt>
                <c:pt idx="3">
                  <c:v>Эксперт 4</c:v>
                </c:pt>
                <c:pt idx="4">
                  <c:v>Эксперт 5</c:v>
                </c:pt>
                <c:pt idx="5">
                  <c:v>Эксперт 6</c:v>
                </c:pt>
                <c:pt idx="6">
                  <c:v>Эксперт 7</c:v>
                </c:pt>
                <c:pt idx="7">
                  <c:v>Эксперт 8</c:v>
                </c:pt>
                <c:pt idx="8">
                  <c:v>Эксперт 9</c:v>
                </c:pt>
                <c:pt idx="9">
                  <c:v>Эксперт 10</c:v>
                </c:pt>
              </c:strCache>
            </c:strRef>
          </c:cat>
          <c:val>
            <c:numRef>
              <c:f>Лист1!$F$2:$F$11</c:f>
              <c:numCache>
                <c:formatCode>General</c:formatCode>
                <c:ptCount val="10"/>
                <c:pt idx="0">
                  <c:v>9</c:v>
                </c:pt>
                <c:pt idx="1">
                  <c:v>1</c:v>
                </c:pt>
                <c:pt idx="2">
                  <c:v>1</c:v>
                </c:pt>
                <c:pt idx="3">
                  <c:v>6</c:v>
                </c:pt>
                <c:pt idx="4">
                  <c:v>1</c:v>
                </c:pt>
                <c:pt idx="5">
                  <c:v>1</c:v>
                </c:pt>
                <c:pt idx="6">
                  <c:v>1</c:v>
                </c:pt>
                <c:pt idx="7">
                  <c:v>10</c:v>
                </c:pt>
                <c:pt idx="8">
                  <c:v>3</c:v>
                </c:pt>
                <c:pt idx="9">
                  <c:v>7</c:v>
                </c:pt>
              </c:numCache>
            </c:numRef>
          </c:val>
          <c:extLst>
            <c:ext xmlns:c16="http://schemas.microsoft.com/office/drawing/2014/chart" uri="{C3380CC4-5D6E-409C-BE32-E72D297353CC}">
              <c16:uniqueId val="{00000004-0B4A-4B60-90B4-82B5C3A98EC8}"/>
            </c:ext>
          </c:extLst>
        </c:ser>
        <c:ser>
          <c:idx val="5"/>
          <c:order val="5"/>
          <c:tx>
            <c:strRef>
              <c:f>Лист1!$G$1</c:f>
              <c:strCache>
                <c:ptCount val="1"/>
                <c:pt idx="0">
                  <c:v>Потребление товаров и услуг</c:v>
                </c:pt>
              </c:strCache>
            </c:strRef>
          </c:tx>
          <c:spPr>
            <a:pattFill prst="lgGrid">
              <a:fgClr>
                <a:schemeClr val="tx1"/>
              </a:fgClr>
              <a:bgClr>
                <a:schemeClr val="bg1"/>
              </a:bgClr>
            </a:pattFill>
            <a:ln>
              <a:solidFill>
                <a:schemeClr val="tx1"/>
              </a:solidFill>
            </a:ln>
            <a:effectLst/>
          </c:spPr>
          <c:invertIfNegative val="0"/>
          <c:cat>
            <c:strRef>
              <c:f>Лист1!$A$2:$A$11</c:f>
              <c:strCache>
                <c:ptCount val="10"/>
                <c:pt idx="0">
                  <c:v>Эксперт 1</c:v>
                </c:pt>
                <c:pt idx="1">
                  <c:v>Эксперт 2</c:v>
                </c:pt>
                <c:pt idx="2">
                  <c:v>Эксперт 3</c:v>
                </c:pt>
                <c:pt idx="3">
                  <c:v>Эксперт 4</c:v>
                </c:pt>
                <c:pt idx="4">
                  <c:v>Эксперт 5</c:v>
                </c:pt>
                <c:pt idx="5">
                  <c:v>Эксперт 6</c:v>
                </c:pt>
                <c:pt idx="6">
                  <c:v>Эксперт 7</c:v>
                </c:pt>
                <c:pt idx="7">
                  <c:v>Эксперт 8</c:v>
                </c:pt>
                <c:pt idx="8">
                  <c:v>Эксперт 9</c:v>
                </c:pt>
                <c:pt idx="9">
                  <c:v>Эксперт 10</c:v>
                </c:pt>
              </c:strCache>
            </c:strRef>
          </c:cat>
          <c:val>
            <c:numRef>
              <c:f>Лист1!$G$2:$G$11</c:f>
              <c:numCache>
                <c:formatCode>General</c:formatCode>
                <c:ptCount val="10"/>
                <c:pt idx="0">
                  <c:v>1</c:v>
                </c:pt>
                <c:pt idx="1">
                  <c:v>7</c:v>
                </c:pt>
                <c:pt idx="2">
                  <c:v>1</c:v>
                </c:pt>
                <c:pt idx="3">
                  <c:v>1</c:v>
                </c:pt>
                <c:pt idx="4">
                  <c:v>1</c:v>
                </c:pt>
                <c:pt idx="5">
                  <c:v>1</c:v>
                </c:pt>
                <c:pt idx="6">
                  <c:v>6</c:v>
                </c:pt>
                <c:pt idx="7">
                  <c:v>1</c:v>
                </c:pt>
                <c:pt idx="8">
                  <c:v>1</c:v>
                </c:pt>
                <c:pt idx="9">
                  <c:v>1</c:v>
                </c:pt>
              </c:numCache>
            </c:numRef>
          </c:val>
          <c:extLst>
            <c:ext xmlns:c16="http://schemas.microsoft.com/office/drawing/2014/chart" uri="{C3380CC4-5D6E-409C-BE32-E72D297353CC}">
              <c16:uniqueId val="{00000005-0B4A-4B60-90B4-82B5C3A98EC8}"/>
            </c:ext>
          </c:extLst>
        </c:ser>
        <c:ser>
          <c:idx val="6"/>
          <c:order val="6"/>
          <c:tx>
            <c:strRef>
              <c:f>Лист1!$H$1</c:f>
              <c:strCache>
                <c:ptCount val="1"/>
                <c:pt idx="0">
                  <c:v>Нетворкинг</c:v>
                </c:pt>
              </c:strCache>
            </c:strRef>
          </c:tx>
          <c:spPr>
            <a:pattFill prst="smConfetti">
              <a:fgClr>
                <a:schemeClr val="tx1"/>
              </a:fgClr>
              <a:bgClr>
                <a:schemeClr val="bg1"/>
              </a:bgClr>
            </a:pattFill>
            <a:ln>
              <a:solidFill>
                <a:schemeClr val="tx1"/>
              </a:solidFill>
            </a:ln>
            <a:effectLst/>
          </c:spPr>
          <c:invertIfNegative val="0"/>
          <c:cat>
            <c:strRef>
              <c:f>Лист1!$A$2:$A$11</c:f>
              <c:strCache>
                <c:ptCount val="10"/>
                <c:pt idx="0">
                  <c:v>Эксперт 1</c:v>
                </c:pt>
                <c:pt idx="1">
                  <c:v>Эксперт 2</c:v>
                </c:pt>
                <c:pt idx="2">
                  <c:v>Эксперт 3</c:v>
                </c:pt>
                <c:pt idx="3">
                  <c:v>Эксперт 4</c:v>
                </c:pt>
                <c:pt idx="4">
                  <c:v>Эксперт 5</c:v>
                </c:pt>
                <c:pt idx="5">
                  <c:v>Эксперт 6</c:v>
                </c:pt>
                <c:pt idx="6">
                  <c:v>Эксперт 7</c:v>
                </c:pt>
                <c:pt idx="7">
                  <c:v>Эксперт 8</c:v>
                </c:pt>
                <c:pt idx="8">
                  <c:v>Эксперт 9</c:v>
                </c:pt>
                <c:pt idx="9">
                  <c:v>Эксперт 10</c:v>
                </c:pt>
              </c:strCache>
            </c:strRef>
          </c:cat>
          <c:val>
            <c:numRef>
              <c:f>Лист1!$H$2:$H$11</c:f>
              <c:numCache>
                <c:formatCode>General</c:formatCode>
                <c:ptCount val="10"/>
                <c:pt idx="0">
                  <c:v>10</c:v>
                </c:pt>
                <c:pt idx="1">
                  <c:v>1</c:v>
                </c:pt>
                <c:pt idx="2">
                  <c:v>1</c:v>
                </c:pt>
                <c:pt idx="3">
                  <c:v>1</c:v>
                </c:pt>
                <c:pt idx="4">
                  <c:v>3</c:v>
                </c:pt>
                <c:pt idx="5">
                  <c:v>4</c:v>
                </c:pt>
                <c:pt idx="6">
                  <c:v>1</c:v>
                </c:pt>
                <c:pt idx="7">
                  <c:v>3</c:v>
                </c:pt>
                <c:pt idx="8">
                  <c:v>6</c:v>
                </c:pt>
                <c:pt idx="9">
                  <c:v>10</c:v>
                </c:pt>
              </c:numCache>
            </c:numRef>
          </c:val>
          <c:extLst>
            <c:ext xmlns:c16="http://schemas.microsoft.com/office/drawing/2014/chart" uri="{C3380CC4-5D6E-409C-BE32-E72D297353CC}">
              <c16:uniqueId val="{00000006-0B4A-4B60-90B4-82B5C3A98EC8}"/>
            </c:ext>
          </c:extLst>
        </c:ser>
        <c:dLbls>
          <c:showLegendKey val="0"/>
          <c:showVal val="0"/>
          <c:showCatName val="0"/>
          <c:showSerName val="0"/>
          <c:showPercent val="0"/>
          <c:showBubbleSize val="0"/>
        </c:dLbls>
        <c:gapWidth val="219"/>
        <c:overlap val="-27"/>
        <c:axId val="312945664"/>
        <c:axId val="312976128"/>
      </c:barChart>
      <c:catAx>
        <c:axId val="31294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12976128"/>
        <c:crosses val="autoZero"/>
        <c:auto val="1"/>
        <c:lblAlgn val="ctr"/>
        <c:lblOffset val="100"/>
        <c:noMultiLvlLbl val="0"/>
      </c:catAx>
      <c:valAx>
        <c:axId val="31297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1294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Количество пользователей Vkontakte за 2019 год</c:v>
                </c:pt>
              </c:strCache>
            </c:strRef>
          </c:tx>
          <c:spPr>
            <a:solidFill>
              <a:schemeClr val="tx1"/>
            </a:solidFill>
            <a:ln>
              <a:solidFill>
                <a:schemeClr val="tx1"/>
              </a:solidFill>
            </a:ln>
            <a:effectLst/>
          </c:spPr>
          <c:invertIfNegative val="0"/>
          <c:cat>
            <c:strRef>
              <c:f>Лист1!$A$2:$A$12</c:f>
              <c:strCache>
                <c:ptCount val="11"/>
                <c:pt idx="0">
                  <c:v>Россия</c:v>
                </c:pt>
                <c:pt idx="1">
                  <c:v>Казахстан</c:v>
                </c:pt>
                <c:pt idx="2">
                  <c:v>Украина</c:v>
                </c:pt>
                <c:pt idx="3">
                  <c:v>Беларусь</c:v>
                </c:pt>
                <c:pt idx="4">
                  <c:v>Армения</c:v>
                </c:pt>
                <c:pt idx="5">
                  <c:v>Грузия</c:v>
                </c:pt>
                <c:pt idx="6">
                  <c:v>Кыргызстан</c:v>
                </c:pt>
                <c:pt idx="7">
                  <c:v>Азербайджан</c:v>
                </c:pt>
                <c:pt idx="8">
                  <c:v>Туркменистан</c:v>
                </c:pt>
                <c:pt idx="9">
                  <c:v>Таджикистан</c:v>
                </c:pt>
                <c:pt idx="10">
                  <c:v>Узбекистан</c:v>
                </c:pt>
              </c:strCache>
            </c:strRef>
          </c:cat>
          <c:val>
            <c:numRef>
              <c:f>Лист1!$B$2:$B$12</c:f>
              <c:numCache>
                <c:formatCode>0%</c:formatCode>
                <c:ptCount val="11"/>
                <c:pt idx="0">
                  <c:v>1.1200000000000001</c:v>
                </c:pt>
                <c:pt idx="1">
                  <c:v>1</c:v>
                </c:pt>
                <c:pt idx="2">
                  <c:v>0.91</c:v>
                </c:pt>
                <c:pt idx="3">
                  <c:v>0.83000000000000018</c:v>
                </c:pt>
                <c:pt idx="4">
                  <c:v>0.45</c:v>
                </c:pt>
                <c:pt idx="5">
                  <c:v>0.27</c:v>
                </c:pt>
                <c:pt idx="6">
                  <c:v>0.25</c:v>
                </c:pt>
                <c:pt idx="7">
                  <c:v>0.2</c:v>
                </c:pt>
                <c:pt idx="8" formatCode="0.00%">
                  <c:v>8.9000000000000051E-2</c:v>
                </c:pt>
                <c:pt idx="9" formatCode="0.00%">
                  <c:v>8.7000000000000022E-2</c:v>
                </c:pt>
                <c:pt idx="10" formatCode="0.00%">
                  <c:v>5.9000000000000011E-2</c:v>
                </c:pt>
              </c:numCache>
            </c:numRef>
          </c:val>
          <c:extLst>
            <c:ext xmlns:c16="http://schemas.microsoft.com/office/drawing/2014/chart" uri="{C3380CC4-5D6E-409C-BE32-E72D297353CC}">
              <c16:uniqueId val="{00000000-4821-4E23-8465-9E7D8CF8EC71}"/>
            </c:ext>
          </c:extLst>
        </c:ser>
        <c:dLbls>
          <c:showLegendKey val="0"/>
          <c:showVal val="0"/>
          <c:showCatName val="0"/>
          <c:showSerName val="0"/>
          <c:showPercent val="0"/>
          <c:showBubbleSize val="0"/>
        </c:dLbls>
        <c:gapWidth val="100"/>
        <c:overlap val="-24"/>
        <c:axId val="143427840"/>
        <c:axId val="143437824"/>
      </c:barChart>
      <c:catAx>
        <c:axId val="1434278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437824"/>
        <c:crosses val="autoZero"/>
        <c:auto val="1"/>
        <c:lblAlgn val="ctr"/>
        <c:lblOffset val="100"/>
        <c:noMultiLvlLbl val="0"/>
      </c:catAx>
      <c:valAx>
        <c:axId val="14343782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42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Количество пользователей Vkontakte за 2019 год (возрастной разрез)</c:v>
                </c:pt>
              </c:strCache>
            </c:strRef>
          </c:tx>
          <c:spPr>
            <a:solidFill>
              <a:schemeClr val="tx1"/>
            </a:solidFill>
            <a:ln>
              <a:solidFill>
                <a:schemeClr val="tx1"/>
              </a:solidFill>
            </a:ln>
            <a:effectLst/>
          </c:spPr>
          <c:invertIfNegative val="0"/>
          <c:cat>
            <c:strRef>
              <c:f>Лист1!$A$2:$A$7</c:f>
              <c:strCache>
                <c:ptCount val="6"/>
                <c:pt idx="0">
                  <c:v>до 18 лет</c:v>
                </c:pt>
                <c:pt idx="1">
                  <c:v>19-24 года</c:v>
                </c:pt>
                <c:pt idx="2">
                  <c:v>25-34 года</c:v>
                </c:pt>
                <c:pt idx="3">
                  <c:v>35-44 года</c:v>
                </c:pt>
                <c:pt idx="4">
                  <c:v>45-54 года</c:v>
                </c:pt>
                <c:pt idx="5">
                  <c:v>55 лет и старше</c:v>
                </c:pt>
              </c:strCache>
            </c:strRef>
          </c:cat>
          <c:val>
            <c:numRef>
              <c:f>Лист1!$B$2:$B$7</c:f>
              <c:numCache>
                <c:formatCode>0.00%</c:formatCode>
                <c:ptCount val="6"/>
                <c:pt idx="0" formatCode="0%">
                  <c:v>0.24000000000000005</c:v>
                </c:pt>
                <c:pt idx="1">
                  <c:v>0.32300000000000012</c:v>
                </c:pt>
                <c:pt idx="2">
                  <c:v>0.32100000000000012</c:v>
                </c:pt>
                <c:pt idx="3">
                  <c:v>7.0999999999999994E-2</c:v>
                </c:pt>
                <c:pt idx="4">
                  <c:v>2.4E-2</c:v>
                </c:pt>
                <c:pt idx="5">
                  <c:v>2.1000000000000008E-2</c:v>
                </c:pt>
              </c:numCache>
            </c:numRef>
          </c:val>
          <c:extLst>
            <c:ext xmlns:c16="http://schemas.microsoft.com/office/drawing/2014/chart" uri="{C3380CC4-5D6E-409C-BE32-E72D297353CC}">
              <c16:uniqueId val="{00000000-DED3-405E-BA51-963372B211DC}"/>
            </c:ext>
          </c:extLst>
        </c:ser>
        <c:dLbls>
          <c:showLegendKey val="0"/>
          <c:showVal val="0"/>
          <c:showCatName val="0"/>
          <c:showSerName val="0"/>
          <c:showPercent val="0"/>
          <c:showBubbleSize val="0"/>
        </c:dLbls>
        <c:gapWidth val="219"/>
        <c:overlap val="-27"/>
        <c:axId val="143461760"/>
        <c:axId val="143475840"/>
      </c:barChart>
      <c:catAx>
        <c:axId val="14346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475840"/>
        <c:crosses val="autoZero"/>
        <c:auto val="1"/>
        <c:lblAlgn val="ctr"/>
        <c:lblOffset val="100"/>
        <c:noMultiLvlLbl val="0"/>
      </c:catAx>
      <c:valAx>
        <c:axId val="143475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346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Количество пользователей Instagram за 2019 год</c:v>
                </c:pt>
              </c:strCache>
            </c:strRef>
          </c:tx>
          <c:spPr>
            <a:solidFill>
              <a:schemeClr val="tx1"/>
            </a:solidFill>
            <a:ln>
              <a:solidFill>
                <a:schemeClr val="tx1"/>
              </a:solidFill>
            </a:ln>
            <a:effectLst/>
          </c:spPr>
          <c:invertIfNegative val="0"/>
          <c:cat>
            <c:strRef>
              <c:f>Лист1!$A$2:$A$6</c:f>
              <c:strCache>
                <c:ptCount val="5"/>
                <c:pt idx="0">
                  <c:v>12-17 лет</c:v>
                </c:pt>
                <c:pt idx="1">
                  <c:v>18-24 года</c:v>
                </c:pt>
                <c:pt idx="2">
                  <c:v>25-34 года</c:v>
                </c:pt>
                <c:pt idx="3">
                  <c:v>35-44 года</c:v>
                </c:pt>
                <c:pt idx="4">
                  <c:v>45-54 года</c:v>
                </c:pt>
              </c:strCache>
            </c:strRef>
          </c:cat>
          <c:val>
            <c:numRef>
              <c:f>Лист1!$B$2:$B$6</c:f>
              <c:numCache>
                <c:formatCode>0%</c:formatCode>
                <c:ptCount val="5"/>
                <c:pt idx="0">
                  <c:v>0.2</c:v>
                </c:pt>
                <c:pt idx="1">
                  <c:v>0.34</c:v>
                </c:pt>
                <c:pt idx="2">
                  <c:v>0.33000000000000013</c:v>
                </c:pt>
                <c:pt idx="3">
                  <c:v>8.0000000000000029E-2</c:v>
                </c:pt>
                <c:pt idx="4">
                  <c:v>0.05</c:v>
                </c:pt>
              </c:numCache>
            </c:numRef>
          </c:val>
          <c:extLst>
            <c:ext xmlns:c16="http://schemas.microsoft.com/office/drawing/2014/chart" uri="{C3380CC4-5D6E-409C-BE32-E72D297353CC}">
              <c16:uniqueId val="{00000000-6824-4550-96D1-65FE3E1CC1FF}"/>
            </c:ext>
          </c:extLst>
        </c:ser>
        <c:dLbls>
          <c:showLegendKey val="0"/>
          <c:showVal val="0"/>
          <c:showCatName val="0"/>
          <c:showSerName val="0"/>
          <c:showPercent val="0"/>
          <c:showBubbleSize val="0"/>
        </c:dLbls>
        <c:gapWidth val="219"/>
        <c:overlap val="-27"/>
        <c:axId val="150090880"/>
        <c:axId val="150092416"/>
      </c:barChart>
      <c:catAx>
        <c:axId val="15009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50092416"/>
        <c:crosses val="autoZero"/>
        <c:auto val="1"/>
        <c:lblAlgn val="ctr"/>
        <c:lblOffset val="100"/>
        <c:noMultiLvlLbl val="0"/>
      </c:catAx>
      <c:valAx>
        <c:axId val="150092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5009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Количество пользователей Facebook за 2019 год</c:v>
                </c:pt>
              </c:strCache>
            </c:strRef>
          </c:tx>
          <c:spPr>
            <a:solidFill>
              <a:schemeClr val="tx1"/>
            </a:solidFill>
            <a:ln>
              <a:solidFill>
                <a:schemeClr val="tx1"/>
              </a:solidFill>
            </a:ln>
            <a:effectLst/>
          </c:spPr>
          <c:invertIfNegative val="0"/>
          <c:cat>
            <c:strRef>
              <c:f>Лист1!$A$2:$A$8</c:f>
              <c:strCache>
                <c:ptCount val="7"/>
                <c:pt idx="0">
                  <c:v>13-17 лет</c:v>
                </c:pt>
                <c:pt idx="1">
                  <c:v>18-24 года</c:v>
                </c:pt>
                <c:pt idx="2">
                  <c:v>25-34 года</c:v>
                </c:pt>
                <c:pt idx="3">
                  <c:v>35-44 года</c:v>
                </c:pt>
                <c:pt idx="4">
                  <c:v>45-54 года</c:v>
                </c:pt>
                <c:pt idx="5">
                  <c:v>55-64 года</c:v>
                </c:pt>
                <c:pt idx="6">
                  <c:v>65 лет и старше</c:v>
                </c:pt>
              </c:strCache>
            </c:strRef>
          </c:cat>
          <c:val>
            <c:numRef>
              <c:f>Лист1!$B$2:$B$8</c:f>
              <c:numCache>
                <c:formatCode>0%</c:formatCode>
                <c:ptCount val="7"/>
                <c:pt idx="0">
                  <c:v>8.0000000000000029E-2</c:v>
                </c:pt>
                <c:pt idx="1">
                  <c:v>0.29000000000000009</c:v>
                </c:pt>
                <c:pt idx="2">
                  <c:v>0.29000000000000009</c:v>
                </c:pt>
                <c:pt idx="3">
                  <c:v>0.16</c:v>
                </c:pt>
                <c:pt idx="4">
                  <c:v>0.1</c:v>
                </c:pt>
                <c:pt idx="5">
                  <c:v>0.05</c:v>
                </c:pt>
                <c:pt idx="6">
                  <c:v>3.0000000000000002E-2</c:v>
                </c:pt>
              </c:numCache>
            </c:numRef>
          </c:val>
          <c:extLst>
            <c:ext xmlns:c16="http://schemas.microsoft.com/office/drawing/2014/chart" uri="{C3380CC4-5D6E-409C-BE32-E72D297353CC}">
              <c16:uniqueId val="{00000000-9A93-4FA6-AD5D-2CBB5279D16F}"/>
            </c:ext>
          </c:extLst>
        </c:ser>
        <c:dLbls>
          <c:showLegendKey val="0"/>
          <c:showVal val="0"/>
          <c:showCatName val="0"/>
          <c:showSerName val="0"/>
          <c:showPercent val="0"/>
          <c:showBubbleSize val="0"/>
        </c:dLbls>
        <c:gapWidth val="219"/>
        <c:overlap val="-27"/>
        <c:axId val="150121088"/>
        <c:axId val="150131072"/>
      </c:barChart>
      <c:catAx>
        <c:axId val="15012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50131072"/>
        <c:crosses val="autoZero"/>
        <c:auto val="1"/>
        <c:lblAlgn val="ctr"/>
        <c:lblOffset val="100"/>
        <c:noMultiLvlLbl val="0"/>
      </c:catAx>
      <c:valAx>
        <c:axId val="150131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5012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2019</c:v>
                </c:pt>
              </c:strCache>
            </c:strRef>
          </c:tx>
          <c:spPr>
            <a:solidFill>
              <a:schemeClr val="bg1"/>
            </a:solidFill>
            <a:ln>
              <a:solidFill>
                <a:schemeClr val="tx1"/>
              </a:solidFill>
            </a:ln>
            <a:effectLst/>
          </c:spPr>
          <c:invertIfNegative val="0"/>
          <c:cat>
            <c:strRef>
              <c:f>Лист1!$A$2:$A$4</c:f>
              <c:strCache>
                <c:ptCount val="3"/>
                <c:pt idx="0">
                  <c:v>What's App</c:v>
                </c:pt>
                <c:pt idx="1">
                  <c:v>Viber</c:v>
                </c:pt>
                <c:pt idx="2">
                  <c:v>Telegram</c:v>
                </c:pt>
              </c:strCache>
            </c:strRef>
          </c:cat>
          <c:val>
            <c:numRef>
              <c:f>Лист1!$B$2:$B$4</c:f>
              <c:numCache>
                <c:formatCode>0%</c:formatCode>
                <c:ptCount val="3"/>
                <c:pt idx="0">
                  <c:v>0.39</c:v>
                </c:pt>
                <c:pt idx="1">
                  <c:v>0.28000000000000003</c:v>
                </c:pt>
                <c:pt idx="2">
                  <c:v>0.21</c:v>
                </c:pt>
              </c:numCache>
            </c:numRef>
          </c:val>
          <c:extLst>
            <c:ext xmlns:c16="http://schemas.microsoft.com/office/drawing/2014/chart" uri="{C3380CC4-5D6E-409C-BE32-E72D297353CC}">
              <c16:uniqueId val="{00000000-EA4B-47B2-B784-761BC59B91F5}"/>
            </c:ext>
          </c:extLst>
        </c:ser>
        <c:ser>
          <c:idx val="1"/>
          <c:order val="1"/>
          <c:tx>
            <c:strRef>
              <c:f>Лист1!$C$1</c:f>
              <c:strCache>
                <c:ptCount val="1"/>
                <c:pt idx="0">
                  <c:v>2018</c:v>
                </c:pt>
              </c:strCache>
            </c:strRef>
          </c:tx>
          <c:spPr>
            <a:solidFill>
              <a:schemeClr val="bg1">
                <a:lumMod val="50000"/>
              </a:schemeClr>
            </a:solidFill>
            <a:ln>
              <a:solidFill>
                <a:schemeClr val="tx1"/>
              </a:solidFill>
            </a:ln>
            <a:effectLst/>
          </c:spPr>
          <c:invertIfNegative val="0"/>
          <c:cat>
            <c:strRef>
              <c:f>Лист1!$A$2:$A$4</c:f>
              <c:strCache>
                <c:ptCount val="3"/>
                <c:pt idx="0">
                  <c:v>What's App</c:v>
                </c:pt>
                <c:pt idx="1">
                  <c:v>Viber</c:v>
                </c:pt>
                <c:pt idx="2">
                  <c:v>Telegram</c:v>
                </c:pt>
              </c:strCache>
            </c:strRef>
          </c:cat>
          <c:val>
            <c:numRef>
              <c:f>Лист1!$C$2:$C$4</c:f>
              <c:numCache>
                <c:formatCode>0%</c:formatCode>
                <c:ptCount val="3"/>
                <c:pt idx="0">
                  <c:v>0.28999999999999998</c:v>
                </c:pt>
                <c:pt idx="1">
                  <c:v>0.32</c:v>
                </c:pt>
                <c:pt idx="2">
                  <c:v>0.23</c:v>
                </c:pt>
              </c:numCache>
            </c:numRef>
          </c:val>
          <c:extLst>
            <c:ext xmlns:c16="http://schemas.microsoft.com/office/drawing/2014/chart" uri="{C3380CC4-5D6E-409C-BE32-E72D297353CC}">
              <c16:uniqueId val="{00000001-EA4B-47B2-B784-761BC59B91F5}"/>
            </c:ext>
          </c:extLst>
        </c:ser>
        <c:dLbls>
          <c:showLegendKey val="0"/>
          <c:showVal val="0"/>
          <c:showCatName val="0"/>
          <c:showSerName val="0"/>
          <c:showPercent val="0"/>
          <c:showBubbleSize val="0"/>
        </c:dLbls>
        <c:gapWidth val="219"/>
        <c:overlap val="-27"/>
        <c:axId val="160351744"/>
        <c:axId val="160353280"/>
      </c:barChart>
      <c:catAx>
        <c:axId val="16035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0353280"/>
        <c:crosses val="autoZero"/>
        <c:auto val="1"/>
        <c:lblAlgn val="ctr"/>
        <c:lblOffset val="100"/>
        <c:noMultiLvlLbl val="0"/>
      </c:catAx>
      <c:valAx>
        <c:axId val="16035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035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Есть аккаунт в социальных медиа</c:v>
                </c:pt>
              </c:strCache>
            </c:strRef>
          </c:tx>
          <c:spPr>
            <a:solidFill>
              <a:sysClr val="windowText" lastClr="000000"/>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Лист1!$B$2:$B$4</c:f>
              <c:numCache>
                <c:formatCode>0%</c:formatCode>
                <c:ptCount val="3"/>
                <c:pt idx="0" formatCode="0.00%">
                  <c:v>0.99299999999999999</c:v>
                </c:pt>
                <c:pt idx="1">
                  <c:v>1</c:v>
                </c:pt>
                <c:pt idx="2">
                  <c:v>0.99</c:v>
                </c:pt>
              </c:numCache>
            </c:numRef>
          </c:val>
          <c:extLst>
            <c:ext xmlns:c16="http://schemas.microsoft.com/office/drawing/2014/chart" uri="{C3380CC4-5D6E-409C-BE32-E72D297353CC}">
              <c16:uniqueId val="{00000000-6A5C-4ADD-A69C-C49E3C4E6827}"/>
            </c:ext>
          </c:extLst>
        </c:ser>
        <c:ser>
          <c:idx val="1"/>
          <c:order val="1"/>
          <c:tx>
            <c:strRef>
              <c:f>Лист1!$C$1</c:f>
              <c:strCache>
                <c:ptCount val="1"/>
                <c:pt idx="0">
                  <c:v>Нет аккаунта в социальных медиа</c:v>
                </c:pt>
              </c:strCache>
            </c:strRef>
          </c:tx>
          <c:spPr>
            <a:solidFill>
              <a:schemeClr val="bg1"/>
            </a:solidFill>
            <a:ln>
              <a:solidFill>
                <a:schemeClr val="tx1"/>
              </a:solidFill>
            </a:ln>
            <a:effectLst/>
          </c:spPr>
          <c:invertIfNegative val="0"/>
          <c:cat>
            <c:strRef>
              <c:f>Лист1!$A$2:$A$4</c:f>
              <c:strCache>
                <c:ptCount val="3"/>
                <c:pt idx="0">
                  <c:v>2019 год</c:v>
                </c:pt>
                <c:pt idx="1">
                  <c:v>2023 год</c:v>
                </c:pt>
                <c:pt idx="2">
                  <c:v>2025 год</c:v>
                </c:pt>
              </c:strCache>
            </c:strRef>
          </c:cat>
          <c:val>
            <c:numRef>
              <c:f>Лист1!$C$2:$C$4</c:f>
              <c:numCache>
                <c:formatCode>0%</c:formatCode>
                <c:ptCount val="3"/>
                <c:pt idx="0" formatCode="0.00%">
                  <c:v>7.0000000000000001E-3</c:v>
                </c:pt>
                <c:pt idx="1">
                  <c:v>0</c:v>
                </c:pt>
                <c:pt idx="2">
                  <c:v>0.01</c:v>
                </c:pt>
              </c:numCache>
            </c:numRef>
          </c:val>
          <c:extLst>
            <c:ext xmlns:c16="http://schemas.microsoft.com/office/drawing/2014/chart" uri="{C3380CC4-5D6E-409C-BE32-E72D297353CC}">
              <c16:uniqueId val="{00000001-6A5C-4ADD-A69C-C49E3C4E6827}"/>
            </c:ext>
          </c:extLst>
        </c:ser>
        <c:dLbls>
          <c:showLegendKey val="0"/>
          <c:showVal val="0"/>
          <c:showCatName val="0"/>
          <c:showSerName val="0"/>
          <c:showPercent val="0"/>
          <c:showBubbleSize val="0"/>
        </c:dLbls>
        <c:gapWidth val="219"/>
        <c:overlap val="-27"/>
        <c:axId val="258148608"/>
        <c:axId val="258154496"/>
      </c:barChart>
      <c:catAx>
        <c:axId val="25814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154496"/>
        <c:crosses val="autoZero"/>
        <c:auto val="1"/>
        <c:lblAlgn val="ctr"/>
        <c:lblOffset val="100"/>
        <c:noMultiLvlLbl val="0"/>
      </c:catAx>
      <c:valAx>
        <c:axId val="258154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14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4A88A-FD17-4DB4-A642-352D8B2C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201</Pages>
  <Words>72002</Words>
  <Characters>410412</Characters>
  <Application>Microsoft Office Word</Application>
  <DocSecurity>0</DocSecurity>
  <Lines>3420</Lines>
  <Paragraphs>962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Fyodorova</dc:creator>
  <cp:keywords/>
  <dc:description/>
  <cp:lastModifiedBy>Anastasia Fyodorova</cp:lastModifiedBy>
  <cp:revision>180</cp:revision>
  <cp:lastPrinted>2026-05-18T13:27:00Z</cp:lastPrinted>
  <dcterms:created xsi:type="dcterms:W3CDTF">2026-03-09T05:25:00Z</dcterms:created>
  <dcterms:modified xsi:type="dcterms:W3CDTF">2026-05-25T07:49:00Z</dcterms:modified>
</cp:coreProperties>
</file>